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A88475">
      <w:pPr>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drawing>
          <wp:anchor distT="0" distB="0" distL="114300" distR="114300" simplePos="0" relativeHeight="251769856" behindDoc="1" locked="0" layoutInCell="1" allowOverlap="1">
            <wp:simplePos x="0" y="0"/>
            <wp:positionH relativeFrom="column">
              <wp:posOffset>-956945</wp:posOffset>
            </wp:positionH>
            <wp:positionV relativeFrom="paragraph">
              <wp:posOffset>-1033780</wp:posOffset>
            </wp:positionV>
            <wp:extent cx="7598410" cy="10740390"/>
            <wp:effectExtent l="0" t="0" r="6350" b="3810"/>
            <wp:wrapNone/>
            <wp:docPr id="60" name="图片 60" descr="scan027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scan0270(1)_01"/>
                    <pic:cNvPicPr>
                      <a:picLocks noChangeAspect="1"/>
                    </pic:cNvPicPr>
                  </pic:nvPicPr>
                  <pic:blipFill>
                    <a:blip r:embed="rId8"/>
                    <a:stretch>
                      <a:fillRect/>
                    </a:stretch>
                  </pic:blipFill>
                  <pic:spPr>
                    <a:xfrm>
                      <a:off x="0" y="0"/>
                      <a:ext cx="7598410" cy="10740390"/>
                    </a:xfrm>
                    <a:prstGeom prst="rect">
                      <a:avLst/>
                    </a:prstGeom>
                  </pic:spPr>
                </pic:pic>
              </a:graphicData>
            </a:graphic>
          </wp:anchor>
        </w:drawing>
      </w:r>
    </w:p>
    <w:p w14:paraId="7F016194">
      <w:pPr>
        <w:spacing w:line="30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32"/>
          <w:highlight w:val="none"/>
          <w14:textFill>
            <w14:solidFill>
              <w14:schemeClr w14:val="tx1"/>
            </w14:solidFill>
          </w14:textFill>
        </w:rPr>
        <w:t xml:space="preserve">                                      </w:t>
      </w:r>
    </w:p>
    <w:p w14:paraId="0B78BE3B">
      <w:pPr>
        <w:rPr>
          <w:rFonts w:hint="eastAsia" w:ascii="Times New Roman" w:hAnsi="Times New Roman" w:eastAsia="宋体" w:cs="Times New Roman"/>
          <w:color w:val="000000" w:themeColor="text1"/>
          <w:highlight w:val="none"/>
          <w:lang w:eastAsia="zh-CN"/>
          <w14:textFill>
            <w14:solidFill>
              <w14:schemeClr w14:val="tx1"/>
            </w14:solidFill>
          </w14:textFill>
        </w:rPr>
      </w:pPr>
    </w:p>
    <w:p w14:paraId="3A7E325B">
      <w:pPr>
        <w:rPr>
          <w:rFonts w:hint="eastAsia" w:eastAsia="宋体"/>
          <w:color w:val="000000" w:themeColor="text1"/>
          <w:lang w:eastAsia="zh-CN"/>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0" w:num="1"/>
          <w:docGrid w:linePitch="312" w:charSpace="0"/>
        </w:sectPr>
      </w:pPr>
      <w:r>
        <w:rPr>
          <w:sz w:val="24"/>
        </w:rPr>
        <mc:AlternateContent>
          <mc:Choice Requires="wps">
            <w:drawing>
              <wp:anchor distT="0" distB="0" distL="114300" distR="114300" simplePos="0" relativeHeight="251770880" behindDoc="0" locked="0" layoutInCell="1" allowOverlap="1">
                <wp:simplePos x="0" y="0"/>
                <wp:positionH relativeFrom="column">
                  <wp:posOffset>2987040</wp:posOffset>
                </wp:positionH>
                <wp:positionV relativeFrom="paragraph">
                  <wp:posOffset>5339080</wp:posOffset>
                </wp:positionV>
                <wp:extent cx="2080260" cy="1516380"/>
                <wp:effectExtent l="6350" t="6350" r="16510" b="16510"/>
                <wp:wrapNone/>
                <wp:docPr id="55" name="矩形 55"/>
                <wp:cNvGraphicFramePr/>
                <a:graphic xmlns:a="http://schemas.openxmlformats.org/drawingml/2006/main">
                  <a:graphicData uri="http://schemas.microsoft.com/office/word/2010/wordprocessingShape">
                    <wps:wsp>
                      <wps:cNvSpPr/>
                      <wps:spPr>
                        <a:xfrm>
                          <a:off x="0" y="0"/>
                          <a:ext cx="2080260" cy="15163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2pt;margin-top:420.4pt;height:119.4pt;width:163.8pt;z-index:251770880;v-text-anchor:middle;mso-width-relative:page;mso-height-relative:page;" fillcolor="#5B9BD5 [3204]" filled="t" stroked="t" coordsize="21600,21600" o:gfxdata="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6zQudoAAAAMAQAA&#10;DwAAAAAAAAABACAAAAAiAAAAZHJzL2Rvd25yZXYueG1sUEsBAhQAFAAAAAgAh07iQBGdw0WJAgAA&#10;GQUAAA4AAAAAAAAAAQAgAAAAKQEAAGRycy9lMm9Eb2MueG1sUEsFBgAAAAAGAAYAWQEAACQGAAAA&#10;AA==&#10;">
                <v:fill on="t" focussize="0,0"/>
                <v:stroke weight="1pt" color="#2E75B6 [2404]" miterlimit="8" joinstyle="miter"/>
                <v:imagedata o:title=""/>
                <o:lock v:ext="edit" aspectratio="f"/>
              </v:rect>
            </w:pict>
          </mc:Fallback>
        </mc:AlternateContent>
      </w:r>
      <w:r>
        <w:rPr>
          <w:sz w:val="24"/>
        </w:rPr>
        <mc:AlternateContent>
          <mc:Choice Requires="wps">
            <w:drawing>
              <wp:anchor distT="0" distB="0" distL="114300" distR="114300" simplePos="0" relativeHeight="251769856" behindDoc="0" locked="0" layoutInCell="1" allowOverlap="1">
                <wp:simplePos x="0" y="0"/>
                <wp:positionH relativeFrom="column">
                  <wp:posOffset>2613660</wp:posOffset>
                </wp:positionH>
                <wp:positionV relativeFrom="paragraph">
                  <wp:posOffset>2915920</wp:posOffset>
                </wp:positionV>
                <wp:extent cx="1440180" cy="815340"/>
                <wp:effectExtent l="6350" t="6350" r="16510" b="16510"/>
                <wp:wrapNone/>
                <wp:docPr id="48" name="矩形 48"/>
                <wp:cNvGraphicFramePr/>
                <a:graphic xmlns:a="http://schemas.openxmlformats.org/drawingml/2006/main">
                  <a:graphicData uri="http://schemas.microsoft.com/office/word/2010/wordprocessingShape">
                    <wps:wsp>
                      <wps:cNvSpPr/>
                      <wps:spPr>
                        <a:xfrm>
                          <a:off x="3585845" y="3996055"/>
                          <a:ext cx="1440180" cy="81534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8pt;margin-top:229.6pt;height:64.2pt;width:113.4pt;z-index:251769856;v-text-anchor:middle;mso-width-relative:page;mso-height-relative:page;" fillcolor="#5B9BD5 [3204]" filled="t" stroked="t" coordsize="21600,21600" o:gfxdata="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f&#10;ahHh2wAAAAsBAAAPAAAAAAAAAAEAIAAAACIAAABkcnMvZG93bnJldi54bWxQSwECFAAUAAAACACH&#10;TuJArH8RLpMCAAAkBQAADgAAAAAAAAABACAAAAAqAQAAZHJzL2Uyb0RvYy54bWxQSwUGAAAAAAYA&#10;BgBZAQAALwYAAAAA&#10;">
                <v:fill on="t" focussize="0,0"/>
                <v:stroke weight="1pt" color="#2E75B6 [2404]" miterlimit="8" joinstyle="miter"/>
                <v:imagedata o:title=""/>
                <o:lock v:ext="edit" aspectratio="f"/>
              </v:rect>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5610225" cy="7929880"/>
            <wp:effectExtent l="0" t="0" r="13335" b="10160"/>
            <wp:docPr id="35" name="图片 35" descr="scan027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can0270(1)_02"/>
                    <pic:cNvPicPr>
                      <a:picLocks noChangeAspect="1"/>
                    </pic:cNvPicPr>
                  </pic:nvPicPr>
                  <pic:blipFill>
                    <a:blip r:embed="rId9"/>
                    <a:stretch>
                      <a:fillRect/>
                    </a:stretch>
                  </pic:blipFill>
                  <pic:spPr>
                    <a:xfrm>
                      <a:off x="0" y="0"/>
                      <a:ext cx="5610225" cy="7929880"/>
                    </a:xfrm>
                    <a:prstGeom prst="rect">
                      <a:avLst/>
                    </a:prstGeom>
                  </pic:spPr>
                </pic:pic>
              </a:graphicData>
            </a:graphic>
          </wp:inline>
        </w:drawing>
      </w:r>
      <w:r>
        <w:rPr>
          <w:sz w:val="24"/>
        </w:rPr>
        <mc:AlternateContent>
          <mc:Choice Requires="wps">
            <w:drawing>
              <wp:anchor distT="0" distB="0" distL="114300" distR="114300" simplePos="0" relativeHeight="251771904" behindDoc="0" locked="0" layoutInCell="1" allowOverlap="1">
                <wp:simplePos x="0" y="0"/>
                <wp:positionH relativeFrom="column">
                  <wp:posOffset>3634740</wp:posOffset>
                </wp:positionH>
                <wp:positionV relativeFrom="paragraph">
                  <wp:posOffset>3662680</wp:posOffset>
                </wp:positionV>
                <wp:extent cx="822960" cy="450215"/>
                <wp:effectExtent l="6350" t="6350" r="8890" b="15875"/>
                <wp:wrapNone/>
                <wp:docPr id="61" name="矩形 61"/>
                <wp:cNvGraphicFramePr/>
                <a:graphic xmlns:a="http://schemas.openxmlformats.org/drawingml/2006/main">
                  <a:graphicData uri="http://schemas.microsoft.com/office/word/2010/wordprocessingShape">
                    <wps:wsp>
                      <wps:cNvSpPr/>
                      <wps:spPr>
                        <a:xfrm>
                          <a:off x="0" y="0"/>
                          <a:ext cx="822960" cy="45021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2pt;margin-top:288.4pt;height:35.45pt;width:64.8pt;z-index:251771904;v-text-anchor:middle;mso-width-relative:page;mso-height-relative:page;" fillcolor="#5B9BD5 [3204]" filled="t" stroked="t" coordsize="21600,21600" o:gfxdata="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hbH7P2gAAAAsBAAAPAAAA&#10;AAAAAAEAIAAAACIAAABkcnMvZG93bnJldi54bWxQSwECFAAUAAAACACHTuJAo0RfVoUCAAAXBQAA&#10;DgAAAAAAAAABACAAAAApAQAAZHJzL2Uyb0RvYy54bWxQSwUGAAAAAAYABgBZAQAAIAYAAAAA&#10;">
                <v:fill on="t" focussize="0,0"/>
                <v:stroke weight="1pt" color="#2E75B6 [2404]" miterlimit="8" joinstyle="miter"/>
                <v:imagedata o:title=""/>
                <o:lock v:ext="edit" aspectratio="f"/>
              </v:rect>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5610225" cy="7929880"/>
            <wp:effectExtent l="0" t="0" r="13335" b="10160"/>
            <wp:docPr id="49" name="图片 49" descr="scan0270(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scan0270(1)_04"/>
                    <pic:cNvPicPr>
                      <a:picLocks noChangeAspect="1"/>
                    </pic:cNvPicPr>
                  </pic:nvPicPr>
                  <pic:blipFill>
                    <a:blip r:embed="rId10"/>
                    <a:stretch>
                      <a:fillRect/>
                    </a:stretch>
                  </pic:blipFill>
                  <pic:spPr>
                    <a:xfrm>
                      <a:off x="0" y="0"/>
                      <a:ext cx="5610225" cy="79298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0225" cy="7929880"/>
            <wp:effectExtent l="0" t="0" r="13335" b="10160"/>
            <wp:docPr id="47" name="图片 47" descr="scan0270(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scan0270(1)_03"/>
                    <pic:cNvPicPr>
                      <a:picLocks noChangeAspect="1"/>
                    </pic:cNvPicPr>
                  </pic:nvPicPr>
                  <pic:blipFill>
                    <a:blip r:embed="rId11"/>
                    <a:stretch>
                      <a:fillRect/>
                    </a:stretch>
                  </pic:blipFill>
                  <pic:spPr>
                    <a:xfrm>
                      <a:off x="0" y="0"/>
                      <a:ext cx="5610225" cy="79298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0225" cy="7929880"/>
            <wp:effectExtent l="0" t="0" r="13335" b="10160"/>
            <wp:docPr id="51" name="图片 51" descr="scan0270(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scan0270(1)_05"/>
                    <pic:cNvPicPr>
                      <a:picLocks noChangeAspect="1"/>
                    </pic:cNvPicPr>
                  </pic:nvPicPr>
                  <pic:blipFill>
                    <a:blip r:embed="rId12"/>
                    <a:stretch>
                      <a:fillRect/>
                    </a:stretch>
                  </pic:blipFill>
                  <pic:spPr>
                    <a:xfrm>
                      <a:off x="0" y="0"/>
                      <a:ext cx="5610225" cy="79298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10225" cy="7929880"/>
            <wp:effectExtent l="0" t="0" r="13335" b="10160"/>
            <wp:docPr id="52" name="图片 52" descr="scan0270(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scan0270(1)_06"/>
                    <pic:cNvPicPr>
                      <a:picLocks noChangeAspect="1"/>
                    </pic:cNvPicPr>
                  </pic:nvPicPr>
                  <pic:blipFill>
                    <a:blip r:embed="rId13"/>
                    <a:stretch>
                      <a:fillRect/>
                    </a:stretch>
                  </pic:blipFill>
                  <pic:spPr>
                    <a:xfrm>
                      <a:off x="0" y="0"/>
                      <a:ext cx="5610225" cy="792988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08955" cy="7924800"/>
            <wp:effectExtent l="0" t="0" r="4445" b="0"/>
            <wp:docPr id="39" name="图片 39" descr="7369973a75922368a8466cae4ca834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369973a75922368a8466cae4ca8342f"/>
                    <pic:cNvPicPr>
                      <a:picLocks noChangeAspect="1"/>
                    </pic:cNvPicPr>
                  </pic:nvPicPr>
                  <pic:blipFill>
                    <a:blip r:embed="rId14"/>
                    <a:stretch>
                      <a:fillRect/>
                    </a:stretch>
                  </pic:blipFill>
                  <pic:spPr>
                    <a:xfrm>
                      <a:off x="0" y="0"/>
                      <a:ext cx="5608955" cy="7924800"/>
                    </a:xfrm>
                    <a:prstGeom prst="rect">
                      <a:avLst/>
                    </a:prstGeom>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608955" cy="7924800"/>
            <wp:effectExtent l="0" t="0" r="4445" b="0"/>
            <wp:docPr id="40" name="图片 40" descr="b15525ac7b22d885a70f6f6a73fe0d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b15525ac7b22d885a70f6f6a73fe0db1"/>
                    <pic:cNvPicPr>
                      <a:picLocks noChangeAspect="1"/>
                    </pic:cNvPicPr>
                  </pic:nvPicPr>
                  <pic:blipFill>
                    <a:blip r:embed="rId15"/>
                    <a:stretch>
                      <a:fillRect/>
                    </a:stretch>
                  </pic:blipFill>
                  <pic:spPr>
                    <a:xfrm>
                      <a:off x="0" y="0"/>
                      <a:ext cx="5608955" cy="7924800"/>
                    </a:xfrm>
                    <a:prstGeom prst="rect">
                      <a:avLst/>
                    </a:prstGeom>
                  </pic:spPr>
                </pic:pic>
              </a:graphicData>
            </a:graphic>
          </wp:inline>
        </w:drawing>
      </w:r>
      <w:bookmarkStart w:id="261" w:name="_GoBack"/>
      <w:bookmarkEnd w:id="261"/>
    </w:p>
    <w:sdt>
      <w:sdtPr>
        <w:rPr>
          <w:rFonts w:hint="eastAsia" w:ascii="仿宋" w:hAnsi="仿宋" w:eastAsia="仿宋" w:cs="仿宋"/>
          <w:b/>
          <w:bCs/>
          <w:color w:val="000000" w:themeColor="text1"/>
          <w:sz w:val="36"/>
          <w:szCs w:val="36"/>
          <w:highlight w:val="none"/>
          <w14:textFill>
            <w14:solidFill>
              <w14:schemeClr w14:val="tx1"/>
            </w14:solidFill>
          </w14:textFill>
        </w:rPr>
        <w:id w:val="147459935"/>
        <w15:color w:val="DBDBDB"/>
        <w:docPartObj>
          <w:docPartGallery w:val="Table of Contents"/>
          <w:docPartUnique/>
        </w:docPartObj>
      </w:sdtPr>
      <w:sdtEndPr>
        <w:rPr>
          <w:rFonts w:hint="eastAsia" w:ascii="Times New Roman" w:hAnsi="Times New Roman" w:eastAsia="仿宋" w:cs="仿宋"/>
          <w:b/>
          <w:bCs/>
          <w:color w:val="000000" w:themeColor="text1"/>
          <w:sz w:val="24"/>
          <w:szCs w:val="24"/>
          <w:highlight w:val="none"/>
          <w14:textFill>
            <w14:solidFill>
              <w14:schemeClr w14:val="tx1"/>
            </w14:solidFill>
          </w14:textFill>
        </w:rPr>
      </w:sdtEndPr>
      <w:sdtContent>
        <w:p w14:paraId="6B3B2995">
          <w:pPr>
            <w:spacing w:line="240" w:lineRule="auto"/>
            <w:jc w:val="center"/>
            <w:rPr>
              <w:rFonts w:hint="eastAsia" w:ascii="仿宋" w:hAnsi="仿宋" w:eastAsia="仿宋" w:cs="仿宋"/>
              <w:b/>
              <w:bCs/>
              <w:color w:val="000000" w:themeColor="text1"/>
              <w:sz w:val="36"/>
              <w:szCs w:val="36"/>
              <w:highlight w:val="none"/>
              <w14:textFill>
                <w14:solidFill>
                  <w14:schemeClr w14:val="tx1"/>
                </w14:solidFill>
              </w14:textFill>
            </w:rPr>
          </w:pPr>
          <w:r>
            <w:rPr>
              <w:rFonts w:hint="eastAsia" w:ascii="仿宋" w:hAnsi="仿宋" w:eastAsia="仿宋" w:cs="仿宋"/>
              <w:b/>
              <w:bCs/>
              <w:color w:val="000000" w:themeColor="text1"/>
              <w:sz w:val="36"/>
              <w:szCs w:val="36"/>
              <w:highlight w:val="none"/>
              <w14:textFill>
                <w14:solidFill>
                  <w14:schemeClr w14:val="tx1"/>
                </w14:solidFill>
              </w14:textFill>
            </w:rPr>
            <w:t>目</w:t>
          </w:r>
          <w:r>
            <w:rPr>
              <w:rFonts w:hint="eastAsia" w:ascii="仿宋" w:hAnsi="仿宋" w:eastAsia="仿宋" w:cs="仿宋"/>
              <w:b/>
              <w:bCs/>
              <w:color w:val="000000" w:themeColor="text1"/>
              <w:sz w:val="36"/>
              <w:szCs w:val="36"/>
              <w:highlight w:val="none"/>
              <w:lang w:val="en-US" w:eastAsia="zh-CN"/>
              <w14:textFill>
                <w14:solidFill>
                  <w14:schemeClr w14:val="tx1"/>
                </w14:solidFill>
              </w14:textFill>
            </w:rPr>
            <w:t xml:space="preserve"> </w:t>
          </w:r>
          <w:r>
            <w:rPr>
              <w:rFonts w:hint="eastAsia" w:ascii="仿宋" w:hAnsi="仿宋" w:eastAsia="仿宋" w:cs="仿宋"/>
              <w:b/>
              <w:bCs/>
              <w:color w:val="000000" w:themeColor="text1"/>
              <w:sz w:val="36"/>
              <w:szCs w:val="36"/>
              <w:highlight w:val="none"/>
              <w14:textFill>
                <w14:solidFill>
                  <w14:schemeClr w14:val="tx1"/>
                </w14:solidFill>
              </w14:textFill>
            </w:rPr>
            <w:t>录</w:t>
          </w:r>
        </w:p>
        <w:p w14:paraId="0BDCFB85">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TOC \o "1-2" \h \u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_Toc30237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黑体" w:hAnsi="黑体" w:cs="黑体"/>
              <w:color w:val="000000" w:themeColor="text1"/>
              <w:highlight w:val="none"/>
              <w14:textFill>
                <w14:solidFill>
                  <w14:schemeClr w14:val="tx1"/>
                </w14:solidFill>
              </w14:textFill>
            </w:rPr>
            <w:t>一、</w:t>
          </w:r>
          <w:r>
            <w:rPr>
              <w:rFonts w:cs="Times New Roman"/>
              <w:color w:val="000000" w:themeColor="text1"/>
              <w:highlight w:val="none"/>
              <w14:textFill>
                <w14:solidFill>
                  <w14:schemeClr w14:val="tx1"/>
                </w14:solidFill>
              </w14:textFill>
            </w:rPr>
            <w:t>建设项目基本情况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_Toc30237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F264A54">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_Toc23884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cs="Times New Roman"/>
              <w:bCs/>
              <w:color w:val="000000" w:themeColor="text1"/>
              <w:highlight w:val="none"/>
              <w14:textFill>
                <w14:solidFill>
                  <w14:schemeClr w14:val="tx1"/>
                </w14:solidFill>
              </w14:textFill>
            </w:rPr>
            <w:t>二、</w:t>
          </w:r>
          <w:r>
            <w:rPr>
              <w:rFonts w:cs="Times New Roman"/>
              <w:bCs/>
              <w:color w:val="000000" w:themeColor="text1"/>
              <w:highlight w:val="none"/>
              <w14:textFill>
                <w14:solidFill>
                  <w14:schemeClr w14:val="tx1"/>
                </w14:solidFill>
              </w14:textFill>
            </w:rPr>
            <w:t>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_Toc23884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28DDFD6">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_Toc31148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黑体" w:hAnsi="黑体" w:cs="黑体"/>
              <w:bCs/>
              <w:color w:val="000000" w:themeColor="text1"/>
              <w:highlight w:val="none"/>
              <w14:textFill>
                <w14:solidFill>
                  <w14:schemeClr w14:val="tx1"/>
                </w14:solidFill>
              </w14:textFill>
            </w:rPr>
            <w:t>三、</w:t>
          </w:r>
          <w:r>
            <w:rPr>
              <w:rFonts w:cs="Times New Roman"/>
              <w:bCs/>
              <w:color w:val="000000" w:themeColor="text1"/>
              <w:highlight w:val="none"/>
              <w14:textFill>
                <w14:solidFill>
                  <w14:schemeClr w14:val="tx1"/>
                </w14:solidFill>
              </w14:textFill>
            </w:rPr>
            <w:t>区域环境质量现状、环境保护目标及评价标准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_Toc31148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- 42 -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5EEE1C4">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_Toc3425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cs="Times New Roman"/>
              <w:bCs/>
              <w:color w:val="000000" w:themeColor="text1"/>
              <w:highlight w:val="none"/>
              <w14:textFill>
                <w14:solidFill>
                  <w14:schemeClr w14:val="tx1"/>
                </w14:solidFill>
              </w14:textFill>
            </w:rPr>
            <w:t>四、</w:t>
          </w:r>
          <w:r>
            <w:rPr>
              <w:rFonts w:cs="Times New Roman"/>
              <w:bCs/>
              <w:color w:val="000000" w:themeColor="text1"/>
              <w:highlight w:val="none"/>
              <w14:textFill>
                <w14:solidFill>
                  <w14:schemeClr w14:val="tx1"/>
                </w14:solidFill>
              </w14:textFill>
            </w:rPr>
            <w:t>主要环境影响和保护措施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_Toc3425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- 50 -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AE4BA84">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_Toc21119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cs="Times New Roman"/>
              <w:bCs/>
              <w:color w:val="000000" w:themeColor="text1"/>
              <w:highlight w:val="none"/>
              <w14:textFill>
                <w14:solidFill>
                  <w14:schemeClr w14:val="tx1"/>
                </w14:solidFill>
              </w14:textFill>
            </w:rPr>
            <w:t>五、</w:t>
          </w:r>
          <w:r>
            <w:rPr>
              <w:rFonts w:cs="Times New Roman"/>
              <w:bCs/>
              <w:color w:val="000000" w:themeColor="text1"/>
              <w:highlight w:val="none"/>
              <w14:textFill>
                <w14:solidFill>
                  <w14:schemeClr w14:val="tx1"/>
                </w14:solidFill>
              </w14:textFill>
            </w:rPr>
            <w:t>环境保护措施监督检查清单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_Toc21119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- 109 -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AC4A66F">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_Toc4177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六、</w:t>
          </w:r>
          <w:r>
            <w:rPr>
              <w:rFonts w:cs="Times New Roman"/>
              <w:color w:val="000000" w:themeColor="text1"/>
              <w:highlight w:val="none"/>
              <w14:textFill>
                <w14:solidFill>
                  <w14:schemeClr w14:val="tx1"/>
                </w14:solidFill>
              </w14:textFill>
            </w:rPr>
            <w:t xml:space="preserve"> 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_Toc4177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- 111 -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A900255">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_Toc30410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ascii="Times New Roman"/>
              <w:color w:val="000000" w:themeColor="text1"/>
              <w:szCs w:val="24"/>
              <w:highlight w:val="none"/>
              <w14:textFill>
                <w14:solidFill>
                  <w14:schemeClr w14:val="tx1"/>
                </w14:solidFill>
              </w14:textFill>
            </w:rPr>
            <w:t>附图1项目地理位置图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_Toc30410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- 112 -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AFA87DC">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_Toc19779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ascii="Times New Roman"/>
              <w:color w:val="000000" w:themeColor="text1"/>
              <w:szCs w:val="24"/>
              <w:highlight w:val="none"/>
              <w14:textFill>
                <w14:solidFill>
                  <w14:schemeClr w14:val="tx1"/>
                </w14:solidFill>
              </w14:textFill>
            </w:rPr>
            <w:t>附图2 项目四至情况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_Toc19779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- 113 -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ABE91BE">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_Toc12059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bCs/>
              <w:color w:val="000000" w:themeColor="text1"/>
              <w:szCs w:val="24"/>
              <w:highlight w:val="none"/>
              <w14:textFill>
                <w14:solidFill>
                  <w14:schemeClr w14:val="tx1"/>
                </w14:solidFill>
              </w14:textFill>
            </w:rPr>
            <w:t>附图</w:t>
          </w:r>
          <w:r>
            <w:rPr>
              <w:rFonts w:hint="eastAsia" w:ascii="Times New Roman" w:eastAsia="宋体"/>
              <w:bCs/>
              <w:color w:val="000000" w:themeColor="text1"/>
              <w:szCs w:val="24"/>
              <w:highlight w:val="none"/>
              <w14:textFill>
                <w14:solidFill>
                  <w14:schemeClr w14:val="tx1"/>
                </w14:solidFill>
              </w14:textFill>
            </w:rPr>
            <w:t>3</w:t>
          </w:r>
          <w:r>
            <w:rPr>
              <w:rFonts w:hint="eastAsia"/>
              <w:bCs/>
              <w:color w:val="000000" w:themeColor="text1"/>
              <w:szCs w:val="24"/>
              <w:highlight w:val="none"/>
              <w:lang w:val="en-US" w:eastAsia="zh-CN"/>
              <w14:textFill>
                <w14:solidFill>
                  <w14:schemeClr w14:val="tx1"/>
                </w14:solidFill>
              </w14:textFill>
            </w:rPr>
            <w:t>-1</w:t>
          </w:r>
          <w:r>
            <w:rPr>
              <w:rFonts w:hint="eastAsia" w:ascii="Times New Roman" w:eastAsia="宋体"/>
              <w:bCs/>
              <w:color w:val="000000" w:themeColor="text1"/>
              <w:szCs w:val="24"/>
              <w:highlight w:val="none"/>
              <w14:textFill>
                <w14:solidFill>
                  <w14:schemeClr w14:val="tx1"/>
                </w14:solidFill>
              </w14:textFill>
            </w:rPr>
            <w:t xml:space="preserve"> </w:t>
          </w:r>
          <w:r>
            <w:rPr>
              <w:rFonts w:hint="eastAsia" w:ascii="Times New Roman" w:eastAsia="宋体"/>
              <w:bCs/>
              <w:color w:val="000000" w:themeColor="text1"/>
              <w:szCs w:val="24"/>
              <w:highlight w:val="none"/>
              <w:lang w:val="en-US" w:eastAsia="zh-CN"/>
              <w14:textFill>
                <w14:solidFill>
                  <w14:schemeClr w14:val="tx1"/>
                </w14:solidFill>
              </w14:textFill>
            </w:rPr>
            <w:t>厂区总</w:t>
          </w:r>
          <w:r>
            <w:rPr>
              <w:rFonts w:hint="eastAsia" w:ascii="Times New Roman" w:eastAsia="宋体"/>
              <w:bCs/>
              <w:color w:val="000000" w:themeColor="text1"/>
              <w:szCs w:val="24"/>
              <w:highlight w:val="none"/>
              <w14:textFill>
                <w14:solidFill>
                  <w14:schemeClr w14:val="tx1"/>
                </w14:solidFill>
              </w14:textFill>
            </w:rPr>
            <w:t>平面布置图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_Toc12059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- 114 -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6159A9E">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_Toc4344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bCs/>
              <w:color w:val="000000" w:themeColor="text1"/>
              <w:szCs w:val="24"/>
              <w:highlight w:val="none"/>
              <w14:textFill>
                <w14:solidFill>
                  <w14:schemeClr w14:val="tx1"/>
                </w14:solidFill>
              </w14:textFill>
            </w:rPr>
            <w:t>附图</w:t>
          </w:r>
          <w:r>
            <w:rPr>
              <w:rFonts w:hint="eastAsia" w:ascii="Times New Roman" w:eastAsia="宋体"/>
              <w:bCs/>
              <w:color w:val="000000" w:themeColor="text1"/>
              <w:szCs w:val="24"/>
              <w:highlight w:val="none"/>
              <w14:textFill>
                <w14:solidFill>
                  <w14:schemeClr w14:val="tx1"/>
                </w14:solidFill>
              </w14:textFill>
            </w:rPr>
            <w:t>3</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-2</w:t>
          </w:r>
          <w:r>
            <w:rPr>
              <w:rFonts w:hint="eastAsia" w:ascii="Times New Roman" w:eastAsia="宋体"/>
              <w:bCs/>
              <w:color w:val="000000" w:themeColor="text1"/>
              <w:szCs w:val="24"/>
              <w:highlight w:val="none"/>
              <w14:textFill>
                <w14:solidFill>
                  <w14:schemeClr w14:val="tx1"/>
                </w14:solidFill>
              </w14:textFill>
            </w:rPr>
            <w:t xml:space="preserve"> </w:t>
          </w:r>
          <w:r>
            <w:rPr>
              <w:rFonts w:hint="eastAsia" w:ascii="Times New Roman" w:eastAsia="宋体"/>
              <w:bCs/>
              <w:color w:val="000000" w:themeColor="text1"/>
              <w:szCs w:val="24"/>
              <w:highlight w:val="none"/>
              <w:lang w:val="en-US" w:eastAsia="zh-CN"/>
              <w14:textFill>
                <w14:solidFill>
                  <w14:schemeClr w14:val="tx1"/>
                </w14:solidFill>
              </w14:textFill>
            </w:rPr>
            <w:t>厂区</w:t>
          </w:r>
          <w:r>
            <w:rPr>
              <w:rFonts w:hint="eastAsia" w:ascii="Times New Roman"/>
              <w:bCs/>
              <w:color w:val="000000" w:themeColor="text1"/>
              <w:szCs w:val="24"/>
              <w:highlight w:val="none"/>
              <w:lang w:val="en-US" w:eastAsia="zh-CN"/>
              <w14:textFill>
                <w14:solidFill>
                  <w14:schemeClr w14:val="tx1"/>
                </w14:solidFill>
              </w14:textFill>
            </w:rPr>
            <w:t>雨污管网</w:t>
          </w:r>
          <w:r>
            <w:rPr>
              <w:rFonts w:hint="eastAsia" w:ascii="Times New Roman" w:eastAsia="宋体"/>
              <w:bCs/>
              <w:color w:val="000000" w:themeColor="text1"/>
              <w:szCs w:val="24"/>
              <w:highlight w:val="none"/>
              <w14:textFill>
                <w14:solidFill>
                  <w14:schemeClr w14:val="tx1"/>
                </w14:solidFill>
              </w14:textFill>
            </w:rPr>
            <w:t>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_Toc4344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- 115 -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3A54421">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_Toc28580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bCs/>
              <w:color w:val="000000" w:themeColor="text1"/>
              <w:szCs w:val="24"/>
              <w:highlight w:val="none"/>
              <w14:textFill>
                <w14:solidFill>
                  <w14:schemeClr w14:val="tx1"/>
                </w14:solidFill>
              </w14:textFill>
            </w:rPr>
            <w:t>附图4 环境保护目标分布图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_Toc28580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- 116 -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5CD3976">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_Toc14212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szCs w:val="22"/>
              <w:highlight w:val="none"/>
              <w14:textFill>
                <w14:solidFill>
                  <w14:schemeClr w14:val="tx1"/>
                </w14:solidFill>
              </w14:textFill>
            </w:rPr>
            <w:t>附图</w:t>
          </w:r>
          <w:r>
            <w:rPr>
              <w:rFonts w:hint="eastAsia"/>
              <w:bCs/>
              <w:color w:val="000000" w:themeColor="text1"/>
              <w:szCs w:val="22"/>
              <w:highlight w:val="none"/>
              <w14:textFill>
                <w14:solidFill>
                  <w14:schemeClr w14:val="tx1"/>
                </w14:solidFill>
              </w14:textFill>
            </w:rPr>
            <w:t>5</w:t>
          </w:r>
          <w:r>
            <w:rPr>
              <w:bCs/>
              <w:color w:val="000000" w:themeColor="text1"/>
              <w:szCs w:val="22"/>
              <w:highlight w:val="none"/>
              <w14:textFill>
                <w14:solidFill>
                  <w14:schemeClr w14:val="tx1"/>
                </w14:solidFill>
              </w14:textFill>
            </w:rPr>
            <w:t xml:space="preserve"> </w:t>
          </w:r>
          <w:r>
            <w:rPr>
              <w:rFonts w:hint="eastAsia"/>
              <w:bCs/>
              <w:color w:val="000000" w:themeColor="text1"/>
              <w:szCs w:val="22"/>
              <w:highlight w:val="none"/>
              <w14:textFill>
                <w14:solidFill>
                  <w14:schemeClr w14:val="tx1"/>
                </w14:solidFill>
              </w14:textFill>
            </w:rPr>
            <w:t>建设项目土地利用规划图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_Toc14212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- 117 -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EF5C381">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_Toc8749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szCs w:val="22"/>
              <w:highlight w:val="none"/>
              <w14:textFill>
                <w14:solidFill>
                  <w14:schemeClr w14:val="tx1"/>
                </w14:solidFill>
              </w14:textFill>
            </w:rPr>
            <w:t>附图</w:t>
          </w:r>
          <w:r>
            <w:rPr>
              <w:rFonts w:hint="eastAsia"/>
              <w:bCs/>
              <w:color w:val="000000" w:themeColor="text1"/>
              <w:szCs w:val="22"/>
              <w:highlight w:val="none"/>
              <w14:textFill>
                <w14:solidFill>
                  <w14:schemeClr w14:val="tx1"/>
                </w14:solidFill>
              </w14:textFill>
            </w:rPr>
            <w:t>6</w:t>
          </w:r>
          <w:r>
            <w:rPr>
              <w:bCs/>
              <w:color w:val="000000" w:themeColor="text1"/>
              <w:szCs w:val="22"/>
              <w:highlight w:val="none"/>
              <w14:textFill>
                <w14:solidFill>
                  <w14:schemeClr w14:val="tx1"/>
                </w14:solidFill>
              </w14:textFill>
            </w:rPr>
            <w:t xml:space="preserve"> </w:t>
          </w:r>
          <w:r>
            <w:rPr>
              <w:rFonts w:hint="eastAsia"/>
              <w:bCs/>
              <w:color w:val="000000" w:themeColor="text1"/>
              <w:szCs w:val="22"/>
              <w:highlight w:val="none"/>
              <w14:textFill>
                <w14:solidFill>
                  <w14:schemeClr w14:val="tx1"/>
                </w14:solidFill>
              </w14:textFill>
            </w:rPr>
            <w:t>大气环境功能区划图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_Toc8749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- 118 -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EBF6F22">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_Toc4489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bCs/>
              <w:color w:val="000000" w:themeColor="text1"/>
              <w:szCs w:val="22"/>
              <w:highlight w:val="none"/>
              <w14:textFill>
                <w14:solidFill>
                  <w14:schemeClr w14:val="tx1"/>
                </w14:solidFill>
              </w14:textFill>
            </w:rPr>
            <w:t>附图7 水环境功能区划图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_Toc4489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- 119 -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C63E3EB">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_Toc4826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bCs/>
              <w:color w:val="000000" w:themeColor="text1"/>
              <w:szCs w:val="22"/>
              <w:highlight w:val="none"/>
              <w14:textFill>
                <w14:solidFill>
                  <w14:schemeClr w14:val="tx1"/>
                </w14:solidFill>
              </w14:textFill>
            </w:rPr>
            <w:t>附图8 生态红线分布图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_Toc4826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- 120 -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F477CD7">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_Toc18533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bCs/>
              <w:color w:val="000000" w:themeColor="text1"/>
              <w:szCs w:val="22"/>
              <w:highlight w:val="none"/>
              <w14:textFill>
                <w14:solidFill>
                  <w14:schemeClr w14:val="tx1"/>
                </w14:solidFill>
              </w14:textFill>
            </w:rPr>
            <w:t xml:space="preserve">附图9 </w:t>
          </w:r>
          <w:r>
            <w:rPr>
              <w:rFonts w:hint="default" w:ascii="Times New Roman" w:hAnsi="Times New Roman" w:cs="Times New Roman"/>
              <w:bCs/>
              <w:color w:val="000000" w:themeColor="text1"/>
              <w:highlight w:val="none"/>
              <w14:textFill>
                <w14:solidFill>
                  <w14:schemeClr w14:val="tx1"/>
                </w14:solidFill>
              </w14:textFill>
            </w:rPr>
            <w:t>水环境管控单元</w:t>
          </w:r>
          <w:r>
            <w:rPr>
              <w:rFonts w:hint="default" w:ascii="Times New Roman" w:hAnsi="Times New Roman" w:cs="Times New Roman"/>
              <w:bCs/>
              <w:color w:val="000000" w:themeColor="text1"/>
              <w:szCs w:val="22"/>
              <w:highlight w:val="none"/>
              <w14:textFill>
                <w14:solidFill>
                  <w14:schemeClr w14:val="tx1"/>
                </w14:solidFill>
              </w14:textFill>
            </w:rPr>
            <w:t>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_Toc18533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- 121 -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FF95AB7">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_Toc17468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bCs/>
              <w:color w:val="000000" w:themeColor="text1"/>
              <w:szCs w:val="22"/>
              <w:highlight w:val="none"/>
              <w14:textFill>
                <w14:solidFill>
                  <w14:schemeClr w14:val="tx1"/>
                </w14:solidFill>
              </w14:textFill>
            </w:rPr>
            <w:t>附图10 大气环境管控单元图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_Toc17468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- 122 -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1B7085A">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_Toc24704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szCs w:val="22"/>
              <w:highlight w:val="none"/>
              <w14:textFill>
                <w14:solidFill>
                  <w14:schemeClr w14:val="tx1"/>
                </w14:solidFill>
              </w14:textFill>
            </w:rPr>
            <w:t>附图1</w:t>
          </w:r>
          <w:r>
            <w:rPr>
              <w:rFonts w:hint="eastAsia"/>
              <w:bCs/>
              <w:color w:val="000000" w:themeColor="text1"/>
              <w:szCs w:val="22"/>
              <w:highlight w:val="none"/>
              <w14:textFill>
                <w14:solidFill>
                  <w14:schemeClr w14:val="tx1"/>
                </w14:solidFill>
              </w14:textFill>
            </w:rPr>
            <w:t>1</w:t>
          </w:r>
          <w:r>
            <w:rPr>
              <w:bCs/>
              <w:color w:val="000000" w:themeColor="text1"/>
              <w:szCs w:val="22"/>
              <w:highlight w:val="none"/>
              <w14:textFill>
                <w14:solidFill>
                  <w14:schemeClr w14:val="tx1"/>
                </w14:solidFill>
              </w14:textFill>
            </w:rPr>
            <w:t xml:space="preserve"> </w:t>
          </w:r>
          <w:r>
            <w:rPr>
              <w:rFonts w:hint="eastAsia"/>
              <w:bCs/>
              <w:color w:val="000000" w:themeColor="text1"/>
              <w:szCs w:val="22"/>
              <w:highlight w:val="none"/>
              <w14:textFill>
                <w14:solidFill>
                  <w14:schemeClr w14:val="tx1"/>
                </w14:solidFill>
              </w14:textFill>
            </w:rPr>
            <w:t>生态管控单元分区图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_Toc24704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- 123 -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591038C">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_Toc27849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szCs w:val="22"/>
              <w:highlight w:val="none"/>
              <w14:textFill>
                <w14:solidFill>
                  <w14:schemeClr w14:val="tx1"/>
                </w14:solidFill>
              </w14:textFill>
            </w:rPr>
            <w:t>附图</w:t>
          </w:r>
          <w:r>
            <w:rPr>
              <w:rFonts w:hint="eastAsia"/>
              <w:bCs/>
              <w:color w:val="000000" w:themeColor="text1"/>
              <w:szCs w:val="22"/>
              <w:highlight w:val="none"/>
              <w14:textFill>
                <w14:solidFill>
                  <w14:schemeClr w14:val="tx1"/>
                </w14:solidFill>
              </w14:textFill>
            </w:rPr>
            <w:t>1</w:t>
          </w:r>
          <w:r>
            <w:rPr>
              <w:rFonts w:hint="eastAsia"/>
              <w:bCs/>
              <w:color w:val="000000" w:themeColor="text1"/>
              <w:szCs w:val="22"/>
              <w:highlight w:val="none"/>
              <w:lang w:val="en-US" w:eastAsia="zh-CN"/>
              <w14:textFill>
                <w14:solidFill>
                  <w14:schemeClr w14:val="tx1"/>
                </w14:solidFill>
              </w14:textFill>
            </w:rPr>
            <w:t>2</w:t>
          </w:r>
          <w:r>
            <w:rPr>
              <w:bCs/>
              <w:color w:val="000000" w:themeColor="text1"/>
              <w:szCs w:val="22"/>
              <w:highlight w:val="none"/>
              <w14:textFill>
                <w14:solidFill>
                  <w14:schemeClr w14:val="tx1"/>
                </w14:solidFill>
              </w14:textFill>
            </w:rPr>
            <w:t xml:space="preserve"> 项目</w:t>
          </w:r>
          <w:r>
            <w:rPr>
              <w:rFonts w:hint="eastAsia"/>
              <w:bCs/>
              <w:color w:val="000000" w:themeColor="text1"/>
              <w:szCs w:val="22"/>
              <w:highlight w:val="none"/>
              <w:lang w:val="en-US" w:eastAsia="zh-CN"/>
              <w14:textFill>
                <w14:solidFill>
                  <w14:schemeClr w14:val="tx1"/>
                </w14:solidFill>
              </w14:textFill>
            </w:rPr>
            <w:t>和项目</w:t>
          </w:r>
          <w:r>
            <w:rPr>
              <w:bCs/>
              <w:color w:val="000000" w:themeColor="text1"/>
              <w:szCs w:val="22"/>
              <w:highlight w:val="none"/>
              <w14:textFill>
                <w14:solidFill>
                  <w14:schemeClr w14:val="tx1"/>
                </w14:solidFill>
              </w14:textFill>
            </w:rPr>
            <w:t>周边现状</w:t>
          </w:r>
          <w:r>
            <w:rPr>
              <w:rFonts w:hint="eastAsia"/>
              <w:bCs/>
              <w:color w:val="000000" w:themeColor="text1"/>
              <w:szCs w:val="22"/>
              <w:highlight w:val="none"/>
              <w14:textFill>
                <w14:solidFill>
                  <w14:schemeClr w14:val="tx1"/>
                </w14:solidFill>
              </w14:textFill>
            </w:rPr>
            <w:t>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_Toc27849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- 124 -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1DF0463">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_Toc13153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cs="Times New Roman"/>
              <w:bCs/>
              <w:color w:val="000000" w:themeColor="text1"/>
              <w:highlight w:val="none"/>
              <w14:textFill>
                <w14:solidFill>
                  <w14:schemeClr w14:val="tx1"/>
                </w14:solidFill>
              </w14:textFill>
            </w:rPr>
            <w:t>附图1</w:t>
          </w:r>
          <w:r>
            <w:rPr>
              <w:rFonts w:hint="eastAsia" w:ascii="Times New Roman" w:cs="Times New Roman"/>
              <w:bCs/>
              <w:color w:val="000000" w:themeColor="text1"/>
              <w:highlight w:val="none"/>
              <w:lang w:val="en-US" w:eastAsia="zh-CN"/>
              <w14:textFill>
                <w14:solidFill>
                  <w14:schemeClr w14:val="tx1"/>
                </w14:solidFill>
              </w14:textFill>
            </w:rPr>
            <w:t>3-1</w:t>
          </w:r>
          <w:r>
            <w:rPr>
              <w:rFonts w:hint="eastAsia" w:ascii="Times New Roman" w:cs="Times New Roman"/>
              <w:bCs/>
              <w:color w:val="000000" w:themeColor="text1"/>
              <w:highlight w:val="none"/>
              <w14:textFill>
                <w14:solidFill>
                  <w14:schemeClr w14:val="tx1"/>
                </w14:solidFill>
              </w14:textFill>
            </w:rPr>
            <w:t xml:space="preserve"> 广东省“三线一单”</w:t>
          </w:r>
          <w:r>
            <w:rPr>
              <w:rFonts w:hint="eastAsia" w:ascii="Times New Roman" w:cs="Times New Roman"/>
              <w:bCs/>
              <w:color w:val="000000" w:themeColor="text1"/>
              <w:highlight w:val="none"/>
              <w:lang w:val="en-US" w:eastAsia="zh-CN"/>
              <w14:textFill>
                <w14:solidFill>
                  <w14:schemeClr w14:val="tx1"/>
                </w14:solidFill>
              </w14:textFill>
            </w:rPr>
            <w:t>平台陆域环境管控单元</w:t>
          </w:r>
          <w:r>
            <w:rPr>
              <w:rFonts w:hint="eastAsia" w:ascii="Times New Roman" w:cs="Times New Roman"/>
              <w:bCs/>
              <w:color w:val="000000" w:themeColor="text1"/>
              <w:highlight w:val="none"/>
              <w14:textFill>
                <w14:solidFill>
                  <w14:schemeClr w14:val="tx1"/>
                </w14:solidFill>
              </w14:textFill>
            </w:rPr>
            <w:t>截图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_Toc13153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- 125 -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12C86CA">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_Toc12589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cs="Times New Roman"/>
              <w:bCs/>
              <w:color w:val="000000" w:themeColor="text1"/>
              <w:highlight w:val="none"/>
              <w14:textFill>
                <w14:solidFill>
                  <w14:schemeClr w14:val="tx1"/>
                </w14:solidFill>
              </w14:textFill>
            </w:rPr>
            <w:t>附图1</w:t>
          </w:r>
          <w:r>
            <w:rPr>
              <w:rFonts w:hint="eastAsia" w:ascii="Times New Roman" w:cs="Times New Roman"/>
              <w:bCs/>
              <w:color w:val="000000" w:themeColor="text1"/>
              <w:highlight w:val="none"/>
              <w:lang w:val="en-US" w:eastAsia="zh-CN"/>
              <w14:textFill>
                <w14:solidFill>
                  <w14:schemeClr w14:val="tx1"/>
                </w14:solidFill>
              </w14:textFill>
            </w:rPr>
            <w:t>3-2</w:t>
          </w:r>
          <w:r>
            <w:rPr>
              <w:rFonts w:hint="eastAsia" w:ascii="Times New Roman" w:cs="Times New Roman"/>
              <w:bCs/>
              <w:color w:val="000000" w:themeColor="text1"/>
              <w:highlight w:val="none"/>
              <w14:textFill>
                <w14:solidFill>
                  <w14:schemeClr w14:val="tx1"/>
                </w14:solidFill>
              </w14:textFill>
            </w:rPr>
            <w:t xml:space="preserve"> 广东省“三线一单”</w:t>
          </w:r>
          <w:r>
            <w:rPr>
              <w:rFonts w:hint="eastAsia" w:ascii="Times New Roman" w:cs="Times New Roman"/>
              <w:bCs/>
              <w:color w:val="000000" w:themeColor="text1"/>
              <w:highlight w:val="none"/>
              <w:lang w:val="en-US" w:eastAsia="zh-CN"/>
              <w14:textFill>
                <w14:solidFill>
                  <w14:schemeClr w14:val="tx1"/>
                </w14:solidFill>
              </w14:textFill>
            </w:rPr>
            <w:t>平台生态空间一般管控区</w:t>
          </w:r>
          <w:r>
            <w:rPr>
              <w:rFonts w:hint="eastAsia" w:ascii="Times New Roman" w:cs="Times New Roman"/>
              <w:bCs/>
              <w:color w:val="000000" w:themeColor="text1"/>
              <w:highlight w:val="none"/>
              <w14:textFill>
                <w14:solidFill>
                  <w14:schemeClr w14:val="tx1"/>
                </w14:solidFill>
              </w14:textFill>
            </w:rPr>
            <w:t>截图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_Toc12589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- 126 -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CF3B95D">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_Toc18240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cs="Times New Roman"/>
              <w:bCs/>
              <w:color w:val="000000" w:themeColor="text1"/>
              <w:highlight w:val="none"/>
              <w14:textFill>
                <w14:solidFill>
                  <w14:schemeClr w14:val="tx1"/>
                </w14:solidFill>
              </w14:textFill>
            </w:rPr>
            <w:t>附图1</w:t>
          </w:r>
          <w:r>
            <w:rPr>
              <w:rFonts w:hint="eastAsia" w:ascii="Times New Roman" w:cs="Times New Roman"/>
              <w:bCs/>
              <w:color w:val="000000" w:themeColor="text1"/>
              <w:highlight w:val="none"/>
              <w:lang w:val="en-US" w:eastAsia="zh-CN"/>
              <w14:textFill>
                <w14:solidFill>
                  <w14:schemeClr w14:val="tx1"/>
                </w14:solidFill>
              </w14:textFill>
            </w:rPr>
            <w:t>3-3</w:t>
          </w:r>
          <w:r>
            <w:rPr>
              <w:rFonts w:hint="eastAsia" w:ascii="Times New Roman" w:cs="Times New Roman"/>
              <w:bCs/>
              <w:color w:val="000000" w:themeColor="text1"/>
              <w:highlight w:val="none"/>
              <w14:textFill>
                <w14:solidFill>
                  <w14:schemeClr w14:val="tx1"/>
                </w14:solidFill>
              </w14:textFill>
            </w:rPr>
            <w:t xml:space="preserve"> 广东省“三线一单”</w:t>
          </w:r>
          <w:r>
            <w:rPr>
              <w:rFonts w:hint="eastAsia" w:ascii="Times New Roman" w:cs="Times New Roman"/>
              <w:bCs/>
              <w:color w:val="000000" w:themeColor="text1"/>
              <w:highlight w:val="none"/>
              <w:lang w:val="en-US" w:eastAsia="zh-CN"/>
              <w14:textFill>
                <w14:solidFill>
                  <w14:schemeClr w14:val="tx1"/>
                </w14:solidFill>
              </w14:textFill>
            </w:rPr>
            <w:t>平台水环境管控分区</w:t>
          </w:r>
          <w:r>
            <w:rPr>
              <w:rFonts w:hint="eastAsia" w:ascii="Times New Roman" w:cs="Times New Roman"/>
              <w:bCs/>
              <w:color w:val="000000" w:themeColor="text1"/>
              <w:highlight w:val="none"/>
              <w14:textFill>
                <w14:solidFill>
                  <w14:schemeClr w14:val="tx1"/>
                </w14:solidFill>
              </w14:textFill>
            </w:rPr>
            <w:t>截图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_Toc18240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- 127 -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05CBE80">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_Toc2581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cs="Times New Roman"/>
              <w:bCs/>
              <w:color w:val="000000" w:themeColor="text1"/>
              <w:highlight w:val="none"/>
              <w14:textFill>
                <w14:solidFill>
                  <w14:schemeClr w14:val="tx1"/>
                </w14:solidFill>
              </w14:textFill>
            </w:rPr>
            <w:t>附图1</w:t>
          </w:r>
          <w:r>
            <w:rPr>
              <w:rFonts w:hint="eastAsia" w:ascii="Times New Roman" w:cs="Times New Roman"/>
              <w:bCs/>
              <w:color w:val="000000" w:themeColor="text1"/>
              <w:highlight w:val="none"/>
              <w:lang w:val="en-US" w:eastAsia="zh-CN"/>
              <w14:textFill>
                <w14:solidFill>
                  <w14:schemeClr w14:val="tx1"/>
                </w14:solidFill>
              </w14:textFill>
            </w:rPr>
            <w:t>3-4</w:t>
          </w:r>
          <w:r>
            <w:rPr>
              <w:rFonts w:hint="eastAsia" w:ascii="Times New Roman" w:cs="Times New Roman"/>
              <w:bCs/>
              <w:color w:val="000000" w:themeColor="text1"/>
              <w:highlight w:val="none"/>
              <w14:textFill>
                <w14:solidFill>
                  <w14:schemeClr w14:val="tx1"/>
                </w14:solidFill>
              </w14:textFill>
            </w:rPr>
            <w:t xml:space="preserve"> 广东省“三线一单”</w:t>
          </w:r>
          <w:r>
            <w:rPr>
              <w:rFonts w:hint="eastAsia" w:ascii="Times New Roman" w:cs="Times New Roman"/>
              <w:bCs/>
              <w:color w:val="000000" w:themeColor="text1"/>
              <w:highlight w:val="none"/>
              <w:lang w:val="en-US" w:eastAsia="zh-CN"/>
              <w14:textFill>
                <w14:solidFill>
                  <w14:schemeClr w14:val="tx1"/>
                </w14:solidFill>
              </w14:textFill>
            </w:rPr>
            <w:t>平台大气环境管控分区</w:t>
          </w:r>
          <w:r>
            <w:rPr>
              <w:rFonts w:hint="eastAsia" w:ascii="Times New Roman" w:cs="Times New Roman"/>
              <w:bCs/>
              <w:color w:val="000000" w:themeColor="text1"/>
              <w:highlight w:val="none"/>
              <w14:textFill>
                <w14:solidFill>
                  <w14:schemeClr w14:val="tx1"/>
                </w14:solidFill>
              </w14:textFill>
            </w:rPr>
            <w:t>截图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- 128 -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F09A912">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_Toc22555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ascii="Times New Roman" w:cs="Times New Roman"/>
              <w:bCs/>
              <w:color w:val="000000" w:themeColor="text1"/>
              <w:highlight w:val="none"/>
              <w14:textFill>
                <w14:solidFill>
                  <w14:schemeClr w14:val="tx1"/>
                </w14:solidFill>
              </w14:textFill>
            </w:rPr>
            <w:t>附图1</w:t>
          </w:r>
          <w:r>
            <w:rPr>
              <w:rFonts w:hint="eastAsia" w:ascii="Times New Roman" w:cs="Times New Roman"/>
              <w:bCs/>
              <w:color w:val="000000" w:themeColor="text1"/>
              <w:highlight w:val="none"/>
              <w:lang w:val="en-US" w:eastAsia="zh-CN"/>
              <w14:textFill>
                <w14:solidFill>
                  <w14:schemeClr w14:val="tx1"/>
                </w14:solidFill>
              </w14:textFill>
            </w:rPr>
            <w:t>3-5</w:t>
          </w:r>
          <w:r>
            <w:rPr>
              <w:rFonts w:hint="eastAsia" w:ascii="Times New Roman" w:cs="Times New Roman"/>
              <w:bCs/>
              <w:color w:val="000000" w:themeColor="text1"/>
              <w:highlight w:val="none"/>
              <w14:textFill>
                <w14:solidFill>
                  <w14:schemeClr w14:val="tx1"/>
                </w14:solidFill>
              </w14:textFill>
            </w:rPr>
            <w:t xml:space="preserve"> 广东省“三线一单”</w:t>
          </w:r>
          <w:r>
            <w:rPr>
              <w:rFonts w:hint="eastAsia" w:ascii="Times New Roman" w:cs="Times New Roman"/>
              <w:bCs/>
              <w:color w:val="000000" w:themeColor="text1"/>
              <w:highlight w:val="none"/>
              <w:lang w:val="en-US" w:eastAsia="zh-CN"/>
              <w14:textFill>
                <w14:solidFill>
                  <w14:schemeClr w14:val="tx1"/>
                </w14:solidFill>
              </w14:textFill>
            </w:rPr>
            <w:t>平台自然资源管控分区</w:t>
          </w:r>
          <w:r>
            <w:rPr>
              <w:rFonts w:hint="eastAsia" w:ascii="Times New Roman" w:cs="Times New Roman"/>
              <w:bCs/>
              <w:color w:val="000000" w:themeColor="text1"/>
              <w:highlight w:val="none"/>
              <w14:textFill>
                <w14:solidFill>
                  <w14:schemeClr w14:val="tx1"/>
                </w14:solidFill>
              </w14:textFill>
            </w:rPr>
            <w:t>截图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_Toc22555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- 129 -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92D53C8">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_Toc31076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14:textFill>
                <w14:solidFill>
                  <w14:schemeClr w14:val="tx1"/>
                </w14:solidFill>
              </w14:textFill>
            </w:rPr>
            <w:t>附图1</w:t>
          </w:r>
          <w:r>
            <w:rPr>
              <w:rFonts w:hint="eastAsia"/>
              <w:bCs/>
              <w:color w:val="000000" w:themeColor="text1"/>
              <w:highlight w:val="none"/>
              <w:lang w:val="en-US" w:eastAsia="zh-CN"/>
              <w14:textFill>
                <w14:solidFill>
                  <w14:schemeClr w14:val="tx1"/>
                </w14:solidFill>
              </w14:textFill>
            </w:rPr>
            <w:t>4</w:t>
          </w:r>
          <w:r>
            <w:rPr>
              <w:rFonts w:hint="eastAsia"/>
              <w:bCs/>
              <w:color w:val="000000" w:themeColor="text1"/>
              <w:highlight w:val="none"/>
              <w14:textFill>
                <w14:solidFill>
                  <w14:schemeClr w14:val="tx1"/>
                </w14:solidFill>
              </w14:textFill>
            </w:rPr>
            <w:t>项目与大气补充监测点位置图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_Toc31076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- 130 -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5D52EAB">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_Toc18089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bCs/>
              <w:color w:val="000000" w:themeColor="text1"/>
              <w:highlight w:val="none"/>
              <w:lang w:eastAsia="zh-CN"/>
              <w14:textFill>
                <w14:solidFill>
                  <w14:schemeClr w14:val="tx1"/>
                </w14:solidFill>
              </w14:textFill>
            </w:rPr>
            <w:t>附图</w:t>
          </w:r>
          <w:r>
            <w:rPr>
              <w:rFonts w:hint="default" w:ascii="Times New Roman" w:hAnsi="Times New Roman" w:cs="Times New Roman"/>
              <w:bCs/>
              <w:color w:val="000000" w:themeColor="text1"/>
              <w:highlight w:val="none"/>
              <w:lang w:val="en-US" w:eastAsia="zh-CN"/>
              <w14:textFill>
                <w14:solidFill>
                  <w14:schemeClr w14:val="tx1"/>
                </w14:solidFill>
              </w14:textFill>
            </w:rPr>
            <w:t>15 乐昌产业转移工业园管网分布图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_Toc18089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- 131 -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57F7729B">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_Toc4590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ascii="Times New Roman"/>
              <w:bCs/>
              <w:color w:val="000000" w:themeColor="text1"/>
              <w:szCs w:val="24"/>
              <w:highlight w:val="none"/>
              <w14:textFill>
                <w14:solidFill>
                  <w14:schemeClr w14:val="tx1"/>
                </w14:solidFill>
              </w14:textFill>
            </w:rPr>
            <w:t>附件1营业执照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_Toc4590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- 132 -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FB6ACA7">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_Toc918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highlight w:val="none"/>
              <w14:textFill>
                <w14:solidFill>
                  <w14:schemeClr w14:val="tx1"/>
                </w14:solidFill>
              </w14:textFill>
            </w:rPr>
            <w:t>附件2 法人身份证复印件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- 133 -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010D105">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_Toc492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highlight w:val="none"/>
              <w:lang w:bidi="ar"/>
              <w14:textFill>
                <w14:solidFill>
                  <w14:schemeClr w14:val="tx1"/>
                </w14:solidFill>
              </w14:textFill>
            </w:rPr>
            <w:t>附件3</w:t>
          </w:r>
          <w:r>
            <w:rPr>
              <w:bCs/>
              <w:color w:val="000000" w:themeColor="text1"/>
              <w:szCs w:val="28"/>
              <w:highlight w:val="none"/>
              <w14:textFill>
                <w14:solidFill>
                  <w14:schemeClr w14:val="tx1"/>
                </w14:solidFill>
              </w14:textFill>
            </w:rPr>
            <w:t xml:space="preserve"> </w:t>
          </w:r>
          <w:r>
            <w:rPr>
              <w:rFonts w:hint="eastAsia"/>
              <w:bCs/>
              <w:color w:val="000000" w:themeColor="text1"/>
              <w:highlight w:val="none"/>
              <w:lang w:eastAsia="zh-CN" w:bidi="ar"/>
              <w14:textFill>
                <w14:solidFill>
                  <w14:schemeClr w14:val="tx1"/>
                </w14:solidFill>
              </w14:textFill>
            </w:rPr>
            <w:t>建设用地规划许可证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- 134 -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4AD4AEE">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_Toc21905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szCs w:val="24"/>
              <w:highlight w:val="none"/>
              <w:lang w:eastAsia="zh-CN"/>
              <w14:textFill>
                <w14:solidFill>
                  <w14:schemeClr w14:val="tx1"/>
                </w14:solidFill>
              </w14:textFill>
            </w:rPr>
            <w:t>附件</w:t>
          </w:r>
          <w:r>
            <w:rPr>
              <w:rFonts w:hint="default" w:ascii="Times New Roman" w:hAnsi="Times New Roman" w:cs="Times New Roman"/>
              <w:color w:val="000000" w:themeColor="text1"/>
              <w:szCs w:val="24"/>
              <w:highlight w:val="none"/>
              <w:lang w:val="en-US" w:eastAsia="zh-CN"/>
              <w14:textFill>
                <w14:solidFill>
                  <w14:schemeClr w14:val="tx1"/>
                </w14:solidFill>
              </w14:textFill>
            </w:rPr>
            <w:t>4 备案证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_Toc21905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- 135 -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96271BA">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_Toc20900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szCs w:val="24"/>
              <w:highlight w:val="none"/>
              <w:lang w:bidi="ar"/>
              <w14:textFill>
                <w14:solidFill>
                  <w14:schemeClr w14:val="tx1"/>
                </w14:solidFill>
              </w14:textFill>
            </w:rPr>
            <w:t>附件</w:t>
          </w:r>
          <w:r>
            <w:rPr>
              <w:rFonts w:hint="eastAsia"/>
              <w:bCs/>
              <w:color w:val="000000" w:themeColor="text1"/>
              <w:szCs w:val="24"/>
              <w:highlight w:val="none"/>
              <w:lang w:val="en-US" w:eastAsia="zh-CN" w:bidi="ar"/>
              <w14:textFill>
                <w14:solidFill>
                  <w14:schemeClr w14:val="tx1"/>
                </w14:solidFill>
              </w14:textFill>
            </w:rPr>
            <w:t>5-1</w:t>
          </w:r>
          <w:r>
            <w:rPr>
              <w:bCs/>
              <w:color w:val="000000" w:themeColor="text1"/>
              <w:szCs w:val="24"/>
              <w:highlight w:val="none"/>
              <w14:textFill>
                <w14:solidFill>
                  <w14:schemeClr w14:val="tx1"/>
                </w14:solidFill>
              </w14:textFill>
            </w:rPr>
            <w:t xml:space="preserve"> </w:t>
          </w:r>
          <w:r>
            <w:rPr>
              <w:rFonts w:hint="eastAsia"/>
              <w:bCs/>
              <w:color w:val="000000" w:themeColor="text1"/>
              <w:szCs w:val="24"/>
              <w:highlight w:val="none"/>
              <w14:textFill>
                <w14:solidFill>
                  <w14:schemeClr w14:val="tx1"/>
                </w14:solidFill>
              </w14:textFill>
            </w:rPr>
            <w:t>除油剂</w:t>
          </w:r>
          <w:r>
            <w:rPr>
              <w:bCs/>
              <w:color w:val="000000" w:themeColor="text1"/>
              <w:szCs w:val="24"/>
              <w:highlight w:val="none"/>
              <w:lang w:bidi="ar"/>
              <w14:textFill>
                <w14:solidFill>
                  <w14:schemeClr w14:val="tx1"/>
                </w14:solidFill>
              </w14:textFill>
            </w:rPr>
            <w:t>MSDS报告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_Toc20900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- 136 -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34C6F31D">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_Toc3417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bCs/>
              <w:color w:val="000000" w:themeColor="text1"/>
              <w:highlight w:val="none"/>
              <w:lang w:bidi="ar"/>
              <w14:textFill>
                <w14:solidFill>
                  <w14:schemeClr w14:val="tx1"/>
                </w14:solidFill>
              </w14:textFill>
            </w:rPr>
            <w:t>附件</w:t>
          </w:r>
          <w:r>
            <w:rPr>
              <w:rFonts w:hint="eastAsia"/>
              <w:bCs/>
              <w:color w:val="000000" w:themeColor="text1"/>
              <w:highlight w:val="none"/>
              <w:lang w:val="en-US" w:eastAsia="zh-CN" w:bidi="ar"/>
              <w14:textFill>
                <w14:solidFill>
                  <w14:schemeClr w14:val="tx1"/>
                </w14:solidFill>
              </w14:textFill>
            </w:rPr>
            <w:t>5-2</w:t>
          </w:r>
          <w:r>
            <w:rPr>
              <w:bCs/>
              <w:color w:val="000000" w:themeColor="text1"/>
              <w:highlight w:val="none"/>
              <w14:textFill>
                <w14:solidFill>
                  <w14:schemeClr w14:val="tx1"/>
                </w14:solidFill>
              </w14:textFill>
            </w:rPr>
            <w:t xml:space="preserve"> </w:t>
          </w:r>
          <w:r>
            <w:rPr>
              <w:rFonts w:hint="eastAsia"/>
              <w:bCs/>
              <w:color w:val="000000" w:themeColor="text1"/>
              <w:highlight w:val="none"/>
              <w14:textFill>
                <w14:solidFill>
                  <w14:schemeClr w14:val="tx1"/>
                </w14:solidFill>
              </w14:textFill>
            </w:rPr>
            <w:t>无铬钝化剂</w:t>
          </w:r>
          <w:r>
            <w:rPr>
              <w:bCs/>
              <w:color w:val="000000" w:themeColor="text1"/>
              <w:highlight w:val="none"/>
              <w:lang w:bidi="ar"/>
              <w14:textFill>
                <w14:solidFill>
                  <w14:schemeClr w14:val="tx1"/>
                </w14:solidFill>
              </w14:textFill>
            </w:rPr>
            <w:t>MSDS报告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_Toc3417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- 143 -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78C8D531">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_Toc19358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lang w:eastAsia="zh-CN" w:bidi="ar"/>
              <w14:textFill>
                <w14:solidFill>
                  <w14:schemeClr w14:val="tx1"/>
                </w14:solidFill>
              </w14:textFill>
            </w:rPr>
            <w:t>附件</w:t>
          </w:r>
          <w:r>
            <w:rPr>
              <w:rFonts w:hint="eastAsia"/>
              <w:bCs/>
              <w:color w:val="000000" w:themeColor="text1"/>
              <w:highlight w:val="none"/>
              <w:lang w:val="en-US" w:eastAsia="zh-CN" w:bidi="ar"/>
              <w14:textFill>
                <w14:solidFill>
                  <w14:schemeClr w14:val="tx1"/>
                </w14:solidFill>
              </w14:textFill>
            </w:rPr>
            <w:t>6 环境质量现状监测报告（摘录部分）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- 150 -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05D5F67F">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_Toc30993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lang w:val="en-US" w:eastAsia="zh-CN"/>
              <w14:textFill>
                <w14:solidFill>
                  <w14:schemeClr w14:val="tx1"/>
                </w14:solidFill>
              </w14:textFill>
            </w:rPr>
            <w:t>附件7 废水水质监测报告（引用摘录）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_Toc30993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- 154 -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49E1A6AF">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_Toc17057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lang w:val="en-US" w:eastAsia="zh-CN"/>
              <w14:textFill>
                <w14:solidFill>
                  <w14:schemeClr w14:val="tx1"/>
                </w14:solidFill>
              </w14:textFill>
            </w:rPr>
            <w:t>附件8 武江中钛的监测数据（引用摘录）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- 157 -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10AFB33">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_Toc4140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lang w:val="en-US" w:eastAsia="zh-CN"/>
              <w14:textFill>
                <w14:solidFill>
                  <w14:schemeClr w14:val="tx1"/>
                </w14:solidFill>
              </w14:textFill>
            </w:rPr>
            <w:t>附件9废水接纳协议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_Toc4140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- 162 -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200309D8">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_Toc2316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eastAsia"/>
              <w:bCs/>
              <w:color w:val="000000" w:themeColor="text1"/>
              <w:highlight w:val="none"/>
              <w:lang w:val="en-US" w:eastAsia="zh-CN"/>
              <w14:textFill>
                <w14:solidFill>
                  <w14:schemeClr w14:val="tx1"/>
                </w14:solidFill>
              </w14:textFill>
            </w:rPr>
            <w:t>附件10专家评审意见及修改索引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- 164 -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1864D55D">
          <w:pPr>
            <w:pStyle w:val="30"/>
            <w:tabs>
              <w:tab w:val="right" w:leader="dot" w:pos="8844"/>
            </w:tabs>
            <w:rPr>
              <w:color w:val="000000" w:themeColor="text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_Toc6487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eastAsia="黑体"/>
              <w:bCs/>
              <w:color w:val="000000" w:themeColor="text1"/>
              <w:szCs w:val="40"/>
              <w:highlight w:val="none"/>
              <w14:textFill>
                <w14:solidFill>
                  <w14:schemeClr w14:val="tx1"/>
                </w14:solidFill>
              </w14:textFill>
            </w:rPr>
            <w:t>建设项目污染物排放量汇总表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_Toc6487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- 168 -</w:t>
          </w:r>
          <w:r>
            <w:rPr>
              <w:color w:val="000000" w:themeColor="text1"/>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fldChar w:fldCharType="end"/>
          </w:r>
        </w:p>
        <w:p w14:paraId="6E7C2F51">
          <w:pPr>
            <w:pStyle w:val="30"/>
            <w:keepNext w:val="0"/>
            <w:keepLines w:val="0"/>
            <w:pageBreakBefore w:val="0"/>
            <w:widowControl w:val="0"/>
            <w:tabs>
              <w:tab w:val="right" w:leader="dot" w:pos="8844"/>
            </w:tabs>
            <w:kinsoku/>
            <w:wordWrap/>
            <w:overflowPunct/>
            <w:topLinePunct w:val="0"/>
            <w:autoSpaceDE/>
            <w:autoSpaceDN/>
            <w:bidi w:val="0"/>
            <w:adjustRightInd/>
            <w:snapToGrid w:val="0"/>
            <w:textAlignment w:val="auto"/>
            <w:rPr>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end"/>
          </w:r>
        </w:p>
      </w:sdtContent>
    </w:sdt>
    <w:p w14:paraId="310DC0D8">
      <w:pPr>
        <w:adjustRightInd w:val="0"/>
        <w:spacing w:line="288" w:lineRule="auto"/>
        <w:rPr>
          <w:rFonts w:eastAsia="楷体_GB2312"/>
          <w:color w:val="000000" w:themeColor="text1"/>
          <w:sz w:val="36"/>
          <w:szCs w:val="36"/>
          <w:highlight w:val="none"/>
          <w14:textFill>
            <w14:solidFill>
              <w14:schemeClr w14:val="tx1"/>
            </w14:solidFill>
          </w14:textFill>
        </w:rPr>
      </w:pPr>
    </w:p>
    <w:p w14:paraId="2EFDF69E">
      <w:pPr>
        <w:rPr>
          <w:color w:val="000000" w:themeColor="text1"/>
          <w:highlight w:val="none"/>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4628F7E8">
      <w:pPr>
        <w:pStyle w:val="2"/>
        <w:numPr>
          <w:ilvl w:val="0"/>
          <w:numId w:val="0"/>
        </w:numPr>
        <w:rPr>
          <w:rFonts w:cs="Times New Roman"/>
          <w:color w:val="000000" w:themeColor="text1"/>
          <w:highlight w:val="none"/>
          <w14:textFill>
            <w14:solidFill>
              <w14:schemeClr w14:val="tx1"/>
            </w14:solidFill>
          </w14:textFill>
        </w:rPr>
      </w:pPr>
      <w:bookmarkStart w:id="0" w:name="_Toc30237"/>
      <w:bookmarkStart w:id="1" w:name="_Toc2620"/>
      <w:bookmarkStart w:id="2" w:name="_Toc20765"/>
      <w:r>
        <w:rPr>
          <w:rFonts w:hint="eastAsia" w:ascii="黑体" w:hAnsi="黑体" w:cs="黑体"/>
          <w:color w:val="000000" w:themeColor="text1"/>
          <w:highlight w:val="none"/>
          <w14:textFill>
            <w14:solidFill>
              <w14:schemeClr w14:val="tx1"/>
            </w14:solidFill>
          </w14:textFill>
        </w:rPr>
        <w:t>一、</w:t>
      </w:r>
      <w:r>
        <w:rPr>
          <w:rFonts w:cs="Times New Roman"/>
          <w:color w:val="000000" w:themeColor="text1"/>
          <w:highlight w:val="none"/>
          <w14:textFill>
            <w14:solidFill>
              <w14:schemeClr w14:val="tx1"/>
            </w14:solidFill>
          </w14:textFill>
        </w:rPr>
        <w:t>建设项目基本情况</w:t>
      </w:r>
      <w:bookmarkEnd w:id="0"/>
      <w:bookmarkEnd w:id="1"/>
      <w:bookmarkEnd w:id="2"/>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1244"/>
        <w:gridCol w:w="2627"/>
        <w:gridCol w:w="592"/>
        <w:gridCol w:w="1345"/>
        <w:gridCol w:w="1136"/>
        <w:gridCol w:w="2537"/>
      </w:tblGrid>
      <w:tr w14:paraId="5680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D02EF39">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建设项目名称</w:t>
            </w:r>
          </w:p>
        </w:tc>
        <w:tc>
          <w:tcPr>
            <w:tcW w:w="4133" w:type="pct"/>
            <w:gridSpan w:val="5"/>
            <w:vAlign w:val="center"/>
          </w:tcPr>
          <w:p w14:paraId="4861481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乐昌致远新材料项目</w:t>
            </w:r>
          </w:p>
        </w:tc>
      </w:tr>
      <w:tr w14:paraId="6A82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EE4B1F7">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项目代码</w:t>
            </w:r>
          </w:p>
        </w:tc>
        <w:tc>
          <w:tcPr>
            <w:tcW w:w="4133" w:type="pct"/>
            <w:gridSpan w:val="5"/>
            <w:vAlign w:val="center"/>
          </w:tcPr>
          <w:p w14:paraId="72825C5E">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2411-440281-04-01-723002</w:t>
            </w:r>
          </w:p>
        </w:tc>
      </w:tr>
      <w:tr w14:paraId="26F9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36248204">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建设单位联系人</w:t>
            </w:r>
          </w:p>
        </w:tc>
        <w:tc>
          <w:tcPr>
            <w:tcW w:w="1615" w:type="pct"/>
            <w:gridSpan w:val="2"/>
            <w:vAlign w:val="center"/>
          </w:tcPr>
          <w:p w14:paraId="1CF39C3C">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林</w:t>
            </w:r>
          </w:p>
        </w:tc>
        <w:tc>
          <w:tcPr>
            <w:tcW w:w="1245" w:type="pct"/>
            <w:gridSpan w:val="2"/>
            <w:vAlign w:val="center"/>
          </w:tcPr>
          <w:p w14:paraId="006E197F">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b/>
                <w:bCs/>
                <w:color w:val="auto"/>
                <w:kern w:val="2"/>
                <w:sz w:val="24"/>
                <w:szCs w:val="24"/>
                <w:highlight w:val="none"/>
              </w:rPr>
              <w:t>联系方式</w:t>
            </w:r>
          </w:p>
        </w:tc>
        <w:tc>
          <w:tcPr>
            <w:tcW w:w="1273" w:type="pct"/>
            <w:vAlign w:val="center"/>
          </w:tcPr>
          <w:p w14:paraId="6CE8BF38">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p>
        </w:tc>
      </w:tr>
      <w:tr w14:paraId="664AA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366994B">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建设地点</w:t>
            </w:r>
          </w:p>
        </w:tc>
        <w:tc>
          <w:tcPr>
            <w:tcW w:w="4133" w:type="pct"/>
            <w:gridSpan w:val="5"/>
            <w:vAlign w:val="center"/>
          </w:tcPr>
          <w:p w14:paraId="483A9AC6">
            <w:pPr>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韶关市乐昌市乐昌产业转移工业园GL-01-15-02地块</w:t>
            </w:r>
          </w:p>
        </w:tc>
      </w:tr>
      <w:tr w14:paraId="1690E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66" w:type="pct"/>
            <w:gridSpan w:val="2"/>
            <w:vAlign w:val="center"/>
          </w:tcPr>
          <w:p w14:paraId="0F1B0E38">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地理坐标</w:t>
            </w:r>
          </w:p>
        </w:tc>
        <w:tc>
          <w:tcPr>
            <w:tcW w:w="4133" w:type="pct"/>
            <w:gridSpan w:val="5"/>
            <w:vAlign w:val="center"/>
          </w:tcPr>
          <w:p w14:paraId="2EDBA064">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highlight w:val="none"/>
              </w:rPr>
              <w:t>E113°24′</w:t>
            </w:r>
            <w:r>
              <w:rPr>
                <w:rFonts w:hint="eastAsia" w:cs="Times New Roman"/>
                <w:color w:val="auto"/>
                <w:kern w:val="2"/>
                <w:sz w:val="24"/>
                <w:highlight w:val="none"/>
                <w:lang w:val="en-US" w:eastAsia="zh-CN"/>
              </w:rPr>
              <w:t>14.681</w:t>
            </w:r>
            <w:r>
              <w:rPr>
                <w:rFonts w:hint="default" w:ascii="Times New Roman" w:hAnsi="Times New Roman" w:cs="Times New Roman"/>
                <w:color w:val="auto"/>
                <w:kern w:val="2"/>
                <w:sz w:val="24"/>
                <w:highlight w:val="none"/>
              </w:rPr>
              <w:t>"、N25°0</w:t>
            </w:r>
            <w:r>
              <w:rPr>
                <w:rFonts w:hint="eastAsia" w:cs="Times New Roman"/>
                <w:color w:val="auto"/>
                <w:kern w:val="2"/>
                <w:sz w:val="24"/>
                <w:highlight w:val="none"/>
                <w:lang w:val="en-US" w:eastAsia="zh-CN"/>
              </w:rPr>
              <w:t>9</w:t>
            </w:r>
            <w:r>
              <w:rPr>
                <w:rFonts w:hint="default" w:ascii="Times New Roman" w:hAnsi="Times New Roman" w:cs="Times New Roman"/>
                <w:color w:val="auto"/>
                <w:kern w:val="2"/>
                <w:sz w:val="24"/>
                <w:highlight w:val="none"/>
              </w:rPr>
              <w:t>'</w:t>
            </w:r>
            <w:r>
              <w:rPr>
                <w:rFonts w:hint="eastAsia" w:cs="Times New Roman"/>
                <w:color w:val="auto"/>
                <w:kern w:val="2"/>
                <w:sz w:val="24"/>
                <w:highlight w:val="none"/>
                <w:lang w:val="en-US" w:eastAsia="zh-CN"/>
              </w:rPr>
              <w:t>16.655</w:t>
            </w:r>
            <w:r>
              <w:rPr>
                <w:rFonts w:hint="default" w:ascii="Times New Roman" w:hAnsi="Times New Roman" w:cs="Times New Roman"/>
                <w:color w:val="auto"/>
                <w:kern w:val="2"/>
                <w:sz w:val="24"/>
                <w:highlight w:val="none"/>
              </w:rPr>
              <w:t>"</w:t>
            </w:r>
          </w:p>
        </w:tc>
      </w:tr>
      <w:tr w14:paraId="38F79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866" w:type="pct"/>
            <w:gridSpan w:val="2"/>
            <w:vAlign w:val="center"/>
          </w:tcPr>
          <w:p w14:paraId="60448B25">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国民经济</w:t>
            </w:r>
          </w:p>
          <w:p w14:paraId="2BA7DBDB">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318" w:type="pct"/>
            <w:vAlign w:val="center"/>
          </w:tcPr>
          <w:p w14:paraId="55D32A81">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C3360金属表面处理及热处理加工</w:t>
            </w:r>
          </w:p>
        </w:tc>
        <w:tc>
          <w:tcPr>
            <w:tcW w:w="972" w:type="pct"/>
            <w:gridSpan w:val="2"/>
            <w:vAlign w:val="center"/>
          </w:tcPr>
          <w:p w14:paraId="197183AC">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2009776D">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行业类别</w:t>
            </w:r>
          </w:p>
        </w:tc>
        <w:tc>
          <w:tcPr>
            <w:tcW w:w="1843" w:type="pct"/>
            <w:gridSpan w:val="2"/>
            <w:vAlign w:val="center"/>
          </w:tcPr>
          <w:p w14:paraId="68FACFC2">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三十、金属制品业 33——67、金属表面处理及热处理加工 336</w:t>
            </w:r>
          </w:p>
        </w:tc>
      </w:tr>
      <w:tr w14:paraId="7E43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866" w:type="pct"/>
            <w:gridSpan w:val="2"/>
            <w:vAlign w:val="center"/>
          </w:tcPr>
          <w:p w14:paraId="5058D211">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建设性质</w:t>
            </w:r>
          </w:p>
        </w:tc>
        <w:tc>
          <w:tcPr>
            <w:tcW w:w="1318" w:type="pct"/>
            <w:vAlign w:val="center"/>
          </w:tcPr>
          <w:p w14:paraId="50545AA6">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43A0931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18DB332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C62C6A2">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707FB6C8">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建设项目</w:t>
            </w:r>
          </w:p>
          <w:p w14:paraId="5A65AA1C">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申报情形</w:t>
            </w:r>
          </w:p>
        </w:tc>
        <w:tc>
          <w:tcPr>
            <w:tcW w:w="1843" w:type="pct"/>
            <w:gridSpan w:val="2"/>
            <w:vAlign w:val="center"/>
          </w:tcPr>
          <w:p w14:paraId="63AFFF2A">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首次申报项目</w:t>
            </w:r>
          </w:p>
          <w:p w14:paraId="22D9118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671C49A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7CF627E">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重大变动重新报批项目</w:t>
            </w:r>
          </w:p>
        </w:tc>
      </w:tr>
      <w:tr w14:paraId="4C3E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866" w:type="pct"/>
            <w:gridSpan w:val="2"/>
            <w:vAlign w:val="center"/>
          </w:tcPr>
          <w:p w14:paraId="53385451">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项目审批（核准/备案）部门（选填）</w:t>
            </w:r>
          </w:p>
        </w:tc>
        <w:tc>
          <w:tcPr>
            <w:tcW w:w="1318" w:type="pct"/>
            <w:vAlign w:val="center"/>
          </w:tcPr>
          <w:p w14:paraId="0496A4E5">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c>
          <w:tcPr>
            <w:tcW w:w="972" w:type="pct"/>
            <w:gridSpan w:val="2"/>
            <w:vAlign w:val="center"/>
          </w:tcPr>
          <w:p w14:paraId="33345C6C">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项目审批（核准/备案）文号（选填）</w:t>
            </w:r>
          </w:p>
        </w:tc>
        <w:tc>
          <w:tcPr>
            <w:tcW w:w="1843" w:type="pct"/>
            <w:gridSpan w:val="2"/>
            <w:vAlign w:val="center"/>
          </w:tcPr>
          <w:p w14:paraId="2D38D343">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w:t>
            </w:r>
          </w:p>
        </w:tc>
      </w:tr>
      <w:tr w14:paraId="12AE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866" w:type="pct"/>
            <w:gridSpan w:val="2"/>
            <w:vAlign w:val="center"/>
          </w:tcPr>
          <w:p w14:paraId="261B7895">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总投资（万元）</w:t>
            </w:r>
          </w:p>
        </w:tc>
        <w:tc>
          <w:tcPr>
            <w:tcW w:w="1318" w:type="pct"/>
            <w:vAlign w:val="center"/>
          </w:tcPr>
          <w:p w14:paraId="4AAD9DBD">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12000</w:t>
            </w:r>
          </w:p>
        </w:tc>
        <w:tc>
          <w:tcPr>
            <w:tcW w:w="972" w:type="pct"/>
            <w:gridSpan w:val="2"/>
            <w:vAlign w:val="center"/>
          </w:tcPr>
          <w:p w14:paraId="31A79BE1">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w:t>
            </w:r>
          </w:p>
          <w:p w14:paraId="7385F809">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（万元）</w:t>
            </w:r>
          </w:p>
        </w:tc>
        <w:tc>
          <w:tcPr>
            <w:tcW w:w="1843" w:type="pct"/>
            <w:gridSpan w:val="2"/>
            <w:vAlign w:val="center"/>
          </w:tcPr>
          <w:p w14:paraId="7794B2CB">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100</w:t>
            </w:r>
          </w:p>
        </w:tc>
      </w:tr>
      <w:tr w14:paraId="6DE1A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866" w:type="pct"/>
            <w:gridSpan w:val="2"/>
            <w:vAlign w:val="center"/>
          </w:tcPr>
          <w:p w14:paraId="3952AF39">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环保投资占比（%）</w:t>
            </w:r>
          </w:p>
        </w:tc>
        <w:tc>
          <w:tcPr>
            <w:tcW w:w="1318" w:type="pct"/>
            <w:vAlign w:val="center"/>
          </w:tcPr>
          <w:p w14:paraId="630CB50E">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olor w:val="auto"/>
                <w:kern w:val="2"/>
                <w:sz w:val="24"/>
                <w:szCs w:val="24"/>
                <w:highlight w:val="none"/>
                <w:lang w:val="en-US" w:eastAsia="zh-CN"/>
              </w:rPr>
              <w:t>0.83</w:t>
            </w:r>
          </w:p>
        </w:tc>
        <w:tc>
          <w:tcPr>
            <w:tcW w:w="972" w:type="pct"/>
            <w:gridSpan w:val="2"/>
            <w:vAlign w:val="center"/>
          </w:tcPr>
          <w:p w14:paraId="6EC97350">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施工工期</w:t>
            </w:r>
          </w:p>
        </w:tc>
        <w:tc>
          <w:tcPr>
            <w:tcW w:w="1843" w:type="pct"/>
            <w:gridSpan w:val="2"/>
            <w:vAlign w:val="center"/>
          </w:tcPr>
          <w:p w14:paraId="78D2FAEE">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eastAsia="zh-CN"/>
              </w:rPr>
            </w:pPr>
            <w:r>
              <w:rPr>
                <w:rFonts w:hint="eastAsia" w:cs="Times New Roman"/>
                <w:color w:val="auto"/>
                <w:kern w:val="2"/>
                <w:sz w:val="24"/>
                <w:szCs w:val="24"/>
                <w:highlight w:val="none"/>
                <w:lang w:val="en-US" w:eastAsia="zh-CN"/>
              </w:rPr>
              <w:t>4</w:t>
            </w:r>
            <w:r>
              <w:rPr>
                <w:rFonts w:hint="default" w:ascii="Times New Roman" w:hAnsi="Times New Roman" w:cs="Times New Roman"/>
                <w:color w:val="auto"/>
                <w:kern w:val="2"/>
                <w:sz w:val="24"/>
                <w:szCs w:val="24"/>
                <w:highlight w:val="none"/>
                <w:lang w:eastAsia="zh-CN"/>
              </w:rPr>
              <w:t>个月</w:t>
            </w:r>
          </w:p>
        </w:tc>
      </w:tr>
      <w:tr w14:paraId="5910C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66" w:type="pct"/>
            <w:gridSpan w:val="2"/>
            <w:vAlign w:val="center"/>
          </w:tcPr>
          <w:p w14:paraId="380E4C09">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是否开工建设</w:t>
            </w:r>
          </w:p>
        </w:tc>
        <w:tc>
          <w:tcPr>
            <w:tcW w:w="1318" w:type="pct"/>
            <w:vAlign w:val="center"/>
          </w:tcPr>
          <w:p w14:paraId="2D5EDAEF">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否</w:t>
            </w:r>
          </w:p>
          <w:p w14:paraId="0E47FC67">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是：</w:t>
            </w:r>
          </w:p>
        </w:tc>
        <w:tc>
          <w:tcPr>
            <w:tcW w:w="972" w:type="pct"/>
            <w:gridSpan w:val="2"/>
            <w:vAlign w:val="center"/>
          </w:tcPr>
          <w:p w14:paraId="69FD37C4">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cs="Times New Roman"/>
                <w:b/>
                <w:bCs/>
                <w:color w:val="auto"/>
                <w:kern w:val="2"/>
                <w:sz w:val="24"/>
                <w:szCs w:val="24"/>
                <w:highlight w:val="none"/>
              </w:rPr>
            </w:pPr>
            <w:r>
              <w:rPr>
                <w:rFonts w:hint="default" w:ascii="Times New Roman" w:hAnsi="Times New Roman" w:cs="Times New Roman"/>
                <w:b/>
                <w:bCs/>
                <w:color w:val="auto"/>
                <w:kern w:val="2"/>
                <w:sz w:val="24"/>
                <w:szCs w:val="24"/>
                <w:highlight w:val="none"/>
              </w:rPr>
              <w:t>用地（用海）面积（m</w:t>
            </w:r>
            <w:r>
              <w:rPr>
                <w:rFonts w:hint="default" w:ascii="Times New Roman" w:hAnsi="Times New Roman" w:cs="Times New Roman"/>
                <w:b/>
                <w:bCs/>
                <w:color w:val="auto"/>
                <w:kern w:val="2"/>
                <w:sz w:val="24"/>
                <w:szCs w:val="24"/>
                <w:highlight w:val="none"/>
                <w:vertAlign w:val="superscript"/>
              </w:rPr>
              <w:t>2</w:t>
            </w:r>
            <w:r>
              <w:rPr>
                <w:rFonts w:hint="default" w:ascii="Times New Roman" w:hAnsi="Times New Roman" w:cs="Times New Roman"/>
                <w:b/>
                <w:bCs/>
                <w:color w:val="auto"/>
                <w:kern w:val="2"/>
                <w:sz w:val="24"/>
                <w:szCs w:val="24"/>
                <w:highlight w:val="none"/>
              </w:rPr>
              <w:t>）</w:t>
            </w:r>
          </w:p>
        </w:tc>
        <w:tc>
          <w:tcPr>
            <w:tcW w:w="1843" w:type="pct"/>
            <w:gridSpan w:val="2"/>
            <w:vAlign w:val="center"/>
          </w:tcPr>
          <w:p w14:paraId="4C6023CB">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outlineLvl w:val="9"/>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34905.44</w:t>
            </w:r>
          </w:p>
        </w:tc>
      </w:tr>
      <w:tr w14:paraId="5012D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32895A98">
            <w:pPr>
              <w:pStyle w:val="56"/>
              <w:keepNext w:val="0"/>
              <w:keepLines w:val="0"/>
              <w:pageBreakBefore w:val="0"/>
              <w:widowControl/>
              <w:suppressLineNumbers w:val="0"/>
              <w:kinsoku/>
              <w:wordWrap w:val="0"/>
              <w:overflowPunct/>
              <w:topLinePunct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专项评价设置情况</w:t>
            </w:r>
          </w:p>
        </w:tc>
        <w:tc>
          <w:tcPr>
            <w:tcW w:w="4133" w:type="pct"/>
            <w:gridSpan w:val="5"/>
            <w:vAlign w:val="center"/>
          </w:tcPr>
          <w:p w14:paraId="079D9DA5">
            <w:pPr>
              <w:pStyle w:val="98"/>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项目专项评价设置情况一览表</w:t>
            </w:r>
          </w:p>
          <w:tbl>
            <w:tblPr>
              <w:tblStyle w:val="9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26"/>
              <w:gridCol w:w="3449"/>
              <w:gridCol w:w="2986"/>
              <w:gridCol w:w="750"/>
            </w:tblGrid>
            <w:tr w14:paraId="5DAA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109AC509">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专项评价</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FE7ED04">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设置原则</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17C9A730">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F7FDB57">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判定结果</w:t>
                  </w:r>
                </w:p>
              </w:tc>
            </w:tr>
            <w:tr w14:paraId="4C905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1E9F475">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大气</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480C467B">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排放废气含有毒有害污染物、二噁英、苯并芘、氰化物、氯气且厂界外500米范围内有环境空气保护目标的建设项目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35BF51A7">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本项目排放的</w:t>
                  </w:r>
                  <w:r>
                    <w:rPr>
                      <w:rFonts w:hint="eastAsia" w:ascii="Times New Roman" w:cs="Times New Roman"/>
                      <w:color w:val="auto"/>
                      <w:sz w:val="21"/>
                      <w:szCs w:val="21"/>
                      <w:highlight w:val="none"/>
                      <w:lang w:val="en-US" w:eastAsia="zh-CN"/>
                    </w:rPr>
                    <w:t>废气</w:t>
                  </w:r>
                  <w:r>
                    <w:rPr>
                      <w:rFonts w:hint="default" w:ascii="Times New Roman" w:hAnsi="Times New Roman" w:cs="Times New Roman"/>
                      <w:color w:val="auto"/>
                      <w:sz w:val="21"/>
                      <w:szCs w:val="21"/>
                      <w:highlight w:val="none"/>
                      <w:lang w:val="en-US" w:eastAsia="zh-CN"/>
                    </w:rPr>
                    <w:t>不涉及技术指南规定的有毒有害废气污染物</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17EC5AD2">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EB8B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3DCBF664">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地表水</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2A80BA5A">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新增工业废水直排建设项目（槽罐车外送污水处理厂的除外）；新增废水直排的污水集中处理厂</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781ED6">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项目废水自处理后依托园区污水处理厂进一步处理，达标后排放至武江，不直排</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7196D346">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49015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0DC88ABA">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环境风险</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19A69566">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有毒有害和易燃易爆危险物质存储量超过临界量的建设项目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04482EED">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经分析，本项目危险物质存储量总计未超过临界量</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5C9BDC8F">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11C5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5C20006E">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3646EF7A">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取水口下游500米范围内有重要水生生物的自然产卵场、索饵场、越冬场和洄游通道的新增河道取水的污染类建设项目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50C9219A">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本项目不涉及直接从河道取水</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221559E1">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r w14:paraId="2C57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blHeader/>
                <w:jc w:val="center"/>
              </w:trPr>
              <w:tc>
                <w:tcPr>
                  <w:tcW w:w="516" w:type="pct"/>
                  <w:tcBorders>
                    <w:top w:val="single" w:color="auto" w:sz="4" w:space="0"/>
                    <w:left w:val="single" w:color="auto" w:sz="4" w:space="0"/>
                    <w:bottom w:val="single" w:color="auto" w:sz="4" w:space="0"/>
                    <w:right w:val="single" w:color="auto" w:sz="4" w:space="0"/>
                  </w:tcBorders>
                  <w:shd w:val="clear" w:color="auto" w:fill="auto"/>
                  <w:vAlign w:val="center"/>
                </w:tcPr>
                <w:p w14:paraId="711F1525">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海洋</w:t>
                  </w:r>
                </w:p>
              </w:tc>
              <w:tc>
                <w:tcPr>
                  <w:tcW w:w="2152" w:type="pct"/>
                  <w:tcBorders>
                    <w:top w:val="single" w:color="auto" w:sz="4" w:space="0"/>
                    <w:left w:val="single" w:color="auto" w:sz="4" w:space="0"/>
                    <w:bottom w:val="single" w:color="auto" w:sz="4" w:space="0"/>
                    <w:right w:val="single" w:color="auto" w:sz="4" w:space="0"/>
                  </w:tcBorders>
                  <w:shd w:val="clear" w:color="auto" w:fill="auto"/>
                  <w:vAlign w:val="center"/>
                </w:tcPr>
                <w:p w14:paraId="04C52663">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直接向海排放污染物的海洋工程建设项目</w:t>
                  </w:r>
                </w:p>
              </w:tc>
              <w:tc>
                <w:tcPr>
                  <w:tcW w:w="1863" w:type="pct"/>
                  <w:tcBorders>
                    <w:top w:val="single" w:color="auto" w:sz="4" w:space="0"/>
                    <w:left w:val="single" w:color="auto" w:sz="4" w:space="0"/>
                    <w:bottom w:val="single" w:color="auto" w:sz="4" w:space="0"/>
                    <w:right w:val="single" w:color="auto" w:sz="4" w:space="0"/>
                  </w:tcBorders>
                  <w:shd w:val="clear" w:color="auto" w:fill="auto"/>
                  <w:vAlign w:val="center"/>
                </w:tcPr>
                <w:p w14:paraId="7A4D35DB">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本项目污水排放不涉及海洋</w:t>
                  </w:r>
                </w:p>
              </w:tc>
              <w:tc>
                <w:tcPr>
                  <w:tcW w:w="468" w:type="pct"/>
                  <w:tcBorders>
                    <w:top w:val="single" w:color="auto" w:sz="4" w:space="0"/>
                    <w:left w:val="single" w:color="auto" w:sz="4" w:space="0"/>
                    <w:bottom w:val="single" w:color="auto" w:sz="4" w:space="0"/>
                    <w:right w:val="single" w:color="auto" w:sz="4" w:space="0"/>
                  </w:tcBorders>
                  <w:shd w:val="clear" w:color="auto" w:fill="auto"/>
                  <w:vAlign w:val="center"/>
                </w:tcPr>
                <w:p w14:paraId="6D145FDB">
                  <w:pPr>
                    <w:pStyle w:val="62"/>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不需设置</w:t>
                  </w:r>
                </w:p>
              </w:tc>
            </w:tr>
          </w:tbl>
          <w:p w14:paraId="2427A7B3">
            <w:pPr>
              <w:pStyle w:val="56"/>
              <w:keepNext w:val="0"/>
              <w:keepLines w:val="0"/>
              <w:pageBreakBefore w:val="0"/>
              <w:widowControl/>
              <w:suppressLineNumbers w:val="0"/>
              <w:kinsoku/>
              <w:overflowPunct/>
              <w:topLinePunct w:val="0"/>
              <w:bidi w:val="0"/>
              <w:adjustRightInd/>
              <w:snapToGrid/>
              <w:spacing w:before="0" w:beforeAutospacing="0" w:after="0" w:afterAutospacing="0"/>
              <w:ind w:left="0" w:right="0"/>
              <w:jc w:val="both"/>
              <w:outlineLvl w:val="9"/>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cs="Times New Roman"/>
                <w:color w:val="auto"/>
                <w:kern w:val="2"/>
                <w:sz w:val="24"/>
                <w:szCs w:val="22"/>
                <w:highlight w:val="none"/>
                <w:lang w:val="en-US" w:eastAsia="zh-CN"/>
              </w:rPr>
              <w:t xml:space="preserve"> </w:t>
            </w:r>
          </w:p>
        </w:tc>
      </w:tr>
      <w:tr w14:paraId="3C59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866" w:type="pct"/>
            <w:gridSpan w:val="2"/>
            <w:vAlign w:val="center"/>
          </w:tcPr>
          <w:p w14:paraId="2E8CE91C">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规划情况</w:t>
            </w:r>
          </w:p>
        </w:tc>
        <w:tc>
          <w:tcPr>
            <w:tcW w:w="4133" w:type="pct"/>
            <w:gridSpan w:val="5"/>
            <w:vAlign w:val="center"/>
          </w:tcPr>
          <w:p w14:paraId="6E1F13B5">
            <w:pPr>
              <w:pStyle w:val="56"/>
              <w:keepNext w:val="0"/>
              <w:keepLines w:val="0"/>
              <w:pageBreakBefore w:val="0"/>
              <w:widowControl/>
              <w:suppressLineNumbers w:val="0"/>
              <w:kinsoku/>
              <w:overflowPunct/>
              <w:topLinePunct w:val="0"/>
              <w:bidi w:val="0"/>
              <w:adjustRightInd/>
              <w:snapToGrid/>
              <w:spacing w:before="0" w:beforeAutospacing="0" w:after="0" w:afterAutospacing="0"/>
              <w:ind w:left="0" w:right="0"/>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《乐昌产业转移工业园</w:t>
            </w:r>
            <w:r>
              <w:rPr>
                <w:rFonts w:hint="default" w:ascii="Times New Roman" w:hAnsi="Times New Roman" w:cs="Times New Roman"/>
                <w:color w:val="auto"/>
                <w:spacing w:val="-1"/>
                <w:kern w:val="2"/>
                <w:sz w:val="24"/>
                <w:szCs w:val="24"/>
                <w:highlight w:val="none"/>
                <w:lang w:val="en-US" w:eastAsia="zh-CN"/>
              </w:rPr>
              <w:t>城东片区控制性详细规划修编</w:t>
            </w:r>
            <w:r>
              <w:rPr>
                <w:rFonts w:hint="default" w:ascii="Times New Roman" w:hAnsi="Times New Roman" w:cs="Times New Roman"/>
                <w:color w:val="auto"/>
                <w:spacing w:val="-1"/>
                <w:kern w:val="2"/>
                <w:sz w:val="24"/>
                <w:szCs w:val="24"/>
                <w:highlight w:val="none"/>
              </w:rPr>
              <w:t>》</w:t>
            </w:r>
          </w:p>
        </w:tc>
      </w:tr>
      <w:tr w14:paraId="0E927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66" w:type="pct"/>
            <w:gridSpan w:val="2"/>
            <w:vAlign w:val="center"/>
          </w:tcPr>
          <w:p w14:paraId="16351832">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规划环境影响评价情况</w:t>
            </w:r>
          </w:p>
        </w:tc>
        <w:tc>
          <w:tcPr>
            <w:tcW w:w="4133" w:type="pct"/>
            <w:gridSpan w:val="5"/>
            <w:vAlign w:val="center"/>
          </w:tcPr>
          <w:p w14:paraId="7399F12D">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default" w:ascii="Times New Roman" w:hAnsi="Times New Roman" w:cs="Times New Roman"/>
                <w:color w:val="auto"/>
                <w:kern w:val="2"/>
                <w:sz w:val="24"/>
                <w:szCs w:val="22"/>
                <w:highlight w:val="none"/>
              </w:rPr>
            </w:pPr>
            <w:r>
              <w:rPr>
                <w:rFonts w:hint="default" w:ascii="Times New Roman" w:hAnsi="Times New Roman" w:cs="Times New Roman"/>
                <w:color w:val="auto"/>
                <w:spacing w:val="-1"/>
                <w:kern w:val="2"/>
                <w:sz w:val="24"/>
                <w:szCs w:val="24"/>
                <w:highlight w:val="none"/>
              </w:rPr>
              <w:t>《广东乐昌经济开发区区位调整规划环境影响报告书》，</w:t>
            </w:r>
            <w:r>
              <w:rPr>
                <w:rFonts w:hint="default" w:ascii="Times New Roman" w:hAnsi="Times New Roman" w:cs="Times New Roman"/>
                <w:color w:val="auto"/>
                <w:spacing w:val="-1"/>
                <w:kern w:val="2"/>
                <w:sz w:val="24"/>
                <w:szCs w:val="24"/>
                <w:highlight w:val="none"/>
                <w:lang w:eastAsia="zh-CN"/>
              </w:rPr>
              <w:t>审查单位：</w:t>
            </w:r>
            <w:r>
              <w:rPr>
                <w:rFonts w:hint="default" w:ascii="Times New Roman" w:hAnsi="Times New Roman" w:cs="Times New Roman"/>
                <w:color w:val="auto"/>
                <w:spacing w:val="-1"/>
                <w:kern w:val="2"/>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2016</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186号）</w:t>
            </w:r>
          </w:p>
        </w:tc>
      </w:tr>
      <w:tr w14:paraId="0321D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0" w:hRule="atLeast"/>
          <w:jc w:val="center"/>
        </w:trPr>
        <w:tc>
          <w:tcPr>
            <w:tcW w:w="866" w:type="pct"/>
            <w:gridSpan w:val="2"/>
            <w:vAlign w:val="center"/>
          </w:tcPr>
          <w:p w14:paraId="644433B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sz w:val="24"/>
                <w:szCs w:val="22"/>
                <w:highlight w:val="none"/>
              </w:rPr>
            </w:pPr>
            <w:r>
              <w:rPr>
                <w:rFonts w:hint="default" w:ascii="Times New Roman" w:hAnsi="Times New Roman" w:cs="Times New Roman"/>
                <w:b/>
                <w:bCs/>
                <w:color w:val="auto"/>
                <w:kern w:val="2"/>
                <w:sz w:val="24"/>
                <w:szCs w:val="22"/>
                <w:highlight w:val="none"/>
              </w:rPr>
              <w:t>规划及规划环境影响评价符合性分析</w:t>
            </w:r>
          </w:p>
        </w:tc>
        <w:tc>
          <w:tcPr>
            <w:tcW w:w="4133" w:type="pct"/>
            <w:gridSpan w:val="5"/>
            <w:vAlign w:val="center"/>
          </w:tcPr>
          <w:p w14:paraId="45D322B8">
            <w:pPr>
              <w:keepNext w:val="0"/>
              <w:keepLines w:val="0"/>
              <w:pageBreakBefore w:val="0"/>
              <w:widowControl/>
              <w:numPr>
                <w:ilvl w:val="0"/>
                <w:numId w:val="0"/>
              </w:numPr>
              <w:suppressLineNumbers w:val="0"/>
              <w:tabs>
                <w:tab w:val="left" w:pos="0"/>
              </w:tabs>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eastAsia="宋体" w:cs="Times New Roman"/>
                <w:color w:val="auto"/>
                <w:spacing w:val="-1"/>
                <w:sz w:val="24"/>
                <w:szCs w:val="24"/>
                <w:highlight w:val="none"/>
              </w:rPr>
            </w:pPr>
            <w:bookmarkStart w:id="3" w:name="_Toc24148"/>
            <w:bookmarkStart w:id="4" w:name="_Toc9596"/>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3"/>
            <w:bookmarkEnd w:id="4"/>
          </w:p>
          <w:p w14:paraId="3637924F">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firstLine="476" w:firstLineChars="200"/>
              <w:jc w:val="left"/>
              <w:outlineLvl w:val="9"/>
              <w:rPr>
                <w:rFonts w:hint="default" w:ascii="Times New Roman" w:hAnsi="Times New Roman" w:cs="Times New Roman"/>
                <w:color w:val="auto"/>
                <w:spacing w:val="-1"/>
                <w:kern w:val="2"/>
                <w:sz w:val="24"/>
                <w:szCs w:val="24"/>
                <w:highlight w:val="none"/>
              </w:rPr>
            </w:pPr>
            <w:r>
              <w:rPr>
                <w:rFonts w:hint="default" w:ascii="Times New Roman" w:hAnsi="Times New Roman" w:cs="Times New Roman"/>
                <w:color w:val="auto"/>
                <w:spacing w:val="-1"/>
                <w:kern w:val="2"/>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p w14:paraId="726F1D0D">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6DA75234">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75A873F0">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12764CFA">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p w14:paraId="077180E0">
            <w:pPr>
              <w:pStyle w:val="56"/>
              <w:keepNext w:val="0"/>
              <w:keepLines w:val="0"/>
              <w:pageBreakBefore w:val="0"/>
              <w:widowControl/>
              <w:suppressLineNumbers w:val="0"/>
              <w:kinsoku/>
              <w:overflowPunct/>
              <w:topLinePunct w:val="0"/>
              <w:bidi w:val="0"/>
              <w:adjustRightInd/>
              <w:snapToGrid/>
              <w:spacing w:before="0" w:beforeAutospacing="0" w:after="0" w:afterAutospacing="0" w:line="360" w:lineRule="auto"/>
              <w:ind w:left="0" w:right="0"/>
              <w:jc w:val="left"/>
              <w:outlineLvl w:val="9"/>
              <w:rPr>
                <w:rFonts w:hint="eastAsia" w:ascii="Times New Roman" w:hAnsi="Times New Roman" w:eastAsia="宋体" w:cs="Times New Roman"/>
                <w:color w:val="auto"/>
                <w:kern w:val="2"/>
                <w:sz w:val="24"/>
                <w:szCs w:val="22"/>
                <w:highlight w:val="none"/>
                <w:lang w:val="en-US" w:eastAsia="zh-CN"/>
              </w:rPr>
            </w:pPr>
          </w:p>
        </w:tc>
      </w:tr>
      <w:tr w14:paraId="13C7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9" w:hRule="atLeast"/>
          <w:jc w:val="center"/>
        </w:trPr>
        <w:tc>
          <w:tcPr>
            <w:tcW w:w="242" w:type="pct"/>
            <w:vAlign w:val="center"/>
          </w:tcPr>
          <w:p w14:paraId="708F452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 w:name="_Toc27052"/>
            <w:bookmarkStart w:id="6" w:name="_Toc11884"/>
            <w:bookmarkStart w:id="7" w:name="_Toc22642"/>
            <w:bookmarkStart w:id="8" w:name="_Toc2999"/>
            <w:bookmarkStart w:id="9" w:name="_Toc28749"/>
            <w:r>
              <w:rPr>
                <w:rFonts w:hint="default" w:ascii="Times New Roman" w:hAnsi="Times New Roman" w:cs="Times New Roman"/>
                <w:b/>
                <w:bCs/>
                <w:color w:val="auto"/>
                <w:highlight w:val="none"/>
              </w:rPr>
              <w:t>其他符合性分析</w:t>
            </w:r>
            <w:bookmarkEnd w:id="5"/>
            <w:bookmarkEnd w:id="6"/>
            <w:bookmarkEnd w:id="7"/>
            <w:bookmarkEnd w:id="8"/>
            <w:bookmarkEnd w:id="9"/>
          </w:p>
        </w:tc>
        <w:tc>
          <w:tcPr>
            <w:tcW w:w="4757" w:type="pct"/>
            <w:gridSpan w:val="6"/>
            <w:vAlign w:val="center"/>
          </w:tcPr>
          <w:p w14:paraId="0605E24E">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18C494CF">
            <w:pPr>
              <w:keepNext/>
              <w:keepLines/>
              <w:pageBreakBefore w:val="0"/>
              <w:widowControl w:val="0"/>
              <w:suppressLineNumbers w:val="0"/>
              <w:tabs>
                <w:tab w:val="left" w:pos="0"/>
              </w:tabs>
              <w:kinsoku/>
              <w:wordWrap/>
              <w:overflowPunct/>
              <w:topLinePunct w:val="0"/>
              <w:autoSpaceDE/>
              <w:autoSpaceDN/>
              <w:bidi w:val="0"/>
              <w:snapToGrid/>
              <w:spacing w:before="0" w:beforeAutospacing="0" w:after="0" w:afterAutospacing="0"/>
              <w:ind w:left="0" w:right="0" w:firstLine="480" w:firstLineChars="200"/>
              <w:textAlignment w:val="auto"/>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本项目所属行业类别为C3360金属表面处理及热处理加工，根据《产业结构调整指导目录（2024年本）》（国家发展和改革委员会令 第7号），本项目不属于指导目录中的鼓励类、限制类和淘汰类产业，符合国家有关法律、法规和政策规定，属于允许类。</w:t>
            </w:r>
          </w:p>
          <w:p w14:paraId="36E72C07">
            <w:pPr>
              <w:pStyle w:val="19"/>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根据《国家发展改革委商务部关于印发&lt;市场准入负面清单（202</w:t>
            </w:r>
            <w:r>
              <w:rPr>
                <w:rFonts w:hint="eastAsia" w:cs="Times New Roman"/>
                <w:color w:val="auto"/>
                <w:kern w:val="0"/>
                <w:highlight w:val="none"/>
                <w:lang w:val="en-US" w:eastAsia="zh-CN" w:bidi="ar"/>
              </w:rPr>
              <w:t>5</w:t>
            </w:r>
            <w:r>
              <w:rPr>
                <w:rFonts w:hint="default" w:ascii="Times New Roman" w:hAnsi="Times New Roman" w:cs="Times New Roman"/>
                <w:color w:val="auto"/>
                <w:kern w:val="0"/>
                <w:highlight w:val="none"/>
                <w:lang w:bidi="ar"/>
              </w:rPr>
              <w:t>年版）&gt;的通知》（发改体改规〔2022〕397号）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《广东省国家重点生态功能区产业准入负面清单（试行）》（粤发改规划</w:t>
            </w:r>
            <w:r>
              <w:rPr>
                <w:rFonts w:hint="default" w:ascii="Times New Roman" w:hAnsi="Times New Roman" w:cs="Times New Roman"/>
                <w:color w:val="auto"/>
                <w:kern w:val="0"/>
                <w:highlight w:val="none"/>
                <w:lang w:eastAsia="zh-CN" w:bidi="ar"/>
              </w:rPr>
              <w:t>〔2017〕331号</w:t>
            </w:r>
            <w:r>
              <w:rPr>
                <w:rFonts w:hint="default" w:ascii="Times New Roman" w:hAnsi="Times New Roman" w:cs="Times New Roman"/>
                <w:color w:val="auto"/>
                <w:kern w:val="0"/>
                <w:highlight w:val="none"/>
                <w:lang w:bidi="ar"/>
              </w:rPr>
              <w:t>），</w:t>
            </w:r>
            <w:r>
              <w:rPr>
                <w:rFonts w:hint="default" w:ascii="Times New Roman" w:hAnsi="Times New Roman" w:cs="Times New Roman"/>
                <w:color w:val="auto"/>
                <w:kern w:val="0"/>
                <w:highlight w:val="none"/>
                <w:lang w:eastAsia="zh-CN" w:bidi="ar"/>
              </w:rPr>
              <w:t>项目</w:t>
            </w:r>
            <w:r>
              <w:rPr>
                <w:rFonts w:hint="default" w:ascii="Times New Roman" w:hAnsi="Times New Roman" w:cs="Times New Roman"/>
                <w:color w:val="auto"/>
                <w:kern w:val="0"/>
                <w:highlight w:val="none"/>
                <w:lang w:bidi="ar"/>
              </w:rPr>
              <w:t>不属于</w:t>
            </w:r>
            <w:r>
              <w:rPr>
                <w:rFonts w:hint="default" w:ascii="Times New Roman" w:hAnsi="Times New Roman" w:cs="Times New Roman"/>
                <w:color w:val="auto"/>
                <w:highlight w:val="none"/>
                <w:lang w:val="en-US" w:eastAsia="zh-CN"/>
              </w:rPr>
              <w:t>负面清单所列行业，也不属于许可准入事项</w:t>
            </w:r>
            <w:r>
              <w:rPr>
                <w:rFonts w:hint="default" w:ascii="Times New Roman" w:hAnsi="Times New Roman" w:cs="Times New Roman"/>
                <w:color w:val="auto"/>
                <w:kern w:val="0"/>
                <w:highlight w:val="none"/>
                <w:lang w:bidi="ar"/>
              </w:rPr>
              <w:t>。因此，本项目可依法进行建设和投产。</w:t>
            </w:r>
          </w:p>
          <w:p w14:paraId="0DFE7429">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eastAsia" w:cs="Times New Roman"/>
                <w:b w:val="0"/>
                <w:bCs w:val="0"/>
                <w:color w:val="auto"/>
                <w:kern w:val="0"/>
                <w:highlight w:val="none"/>
                <w:lang w:val="en-US" w:eastAsia="zh-CN"/>
              </w:rPr>
            </w:pPr>
            <w:r>
              <w:rPr>
                <w:rFonts w:hint="default" w:ascii="Times New Roman" w:hAnsi="Times New Roman" w:cs="Times New Roman"/>
                <w:color w:val="auto"/>
                <w:kern w:val="0"/>
                <w:highlight w:val="none"/>
                <w:lang w:bidi="ar"/>
              </w:rPr>
              <w:t>根据</w:t>
            </w:r>
            <w:r>
              <w:rPr>
                <w:rFonts w:hint="eastAsia" w:cs="Times New Roman"/>
                <w:color w:val="auto"/>
                <w:kern w:val="0"/>
                <w:highlight w:val="none"/>
                <w:lang w:eastAsia="zh-CN" w:bidi="ar"/>
              </w:rPr>
              <w:t>《</w:t>
            </w:r>
            <w:r>
              <w:rPr>
                <w:rFonts w:hint="default" w:ascii="Times New Roman" w:hAnsi="Times New Roman" w:cs="Times New Roman"/>
                <w:b w:val="0"/>
                <w:bCs w:val="0"/>
                <w:color w:val="auto"/>
                <w:kern w:val="0"/>
                <w:highlight w:val="none"/>
                <w:lang w:val="en-US" w:eastAsia="zh-CN"/>
              </w:rPr>
              <w:t>广东省工业和信息化厅关于公布2025年广东省中小企业特色产业集群名单的通告</w:t>
            </w:r>
            <w:r>
              <w:rPr>
                <w:rFonts w:hint="eastAsia" w:cs="Times New Roman"/>
                <w:b w:val="0"/>
                <w:bCs w:val="0"/>
                <w:color w:val="auto"/>
                <w:kern w:val="0"/>
                <w:highlight w:val="none"/>
                <w:lang w:val="en-US" w:eastAsia="zh-CN"/>
              </w:rPr>
              <w:t>，通告</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2025</w:t>
            </w:r>
            <w:r>
              <w:rPr>
                <w:rFonts w:hint="default" w:ascii="Times New Roman" w:hAnsi="Times New Roman" w:cs="Times New Roman"/>
                <w:color w:val="auto"/>
                <w:kern w:val="0"/>
                <w:highlight w:val="none"/>
                <w:lang w:eastAsia="zh-CN" w:bidi="ar"/>
              </w:rPr>
              <w:t>〕</w:t>
            </w:r>
            <w:r>
              <w:rPr>
                <w:rFonts w:hint="eastAsia" w:cs="Times New Roman"/>
                <w:b w:val="0"/>
                <w:bCs w:val="0"/>
                <w:color w:val="auto"/>
                <w:kern w:val="0"/>
                <w:highlight w:val="none"/>
                <w:lang w:val="en-US" w:eastAsia="zh-CN"/>
              </w:rPr>
              <w:t>43号，集群要做大做强主导产业，进一步畅通产业协作网络，增强集群创新活力和产业链关键环节配套能力,着力培育优质中小企业，不断推进集群数字化升级和绿色低碳转型，持续深化开放合作，加快提升集群治理和服务水平。</w:t>
            </w:r>
          </w:p>
          <w:p w14:paraId="4665D4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cs="Times New Roman"/>
                <w:b w:val="0"/>
                <w:bCs w:val="0"/>
                <w:color w:val="auto"/>
                <w:kern w:val="0"/>
                <w:highlight w:val="none"/>
                <w:lang w:val="en-US" w:eastAsia="zh-CN"/>
              </w:rPr>
            </w:pPr>
            <w:r>
              <w:rPr>
                <w:rFonts w:hint="eastAsia" w:cs="Times New Roman"/>
                <w:b w:val="0"/>
                <w:bCs w:val="0"/>
                <w:color w:val="auto"/>
                <w:kern w:val="0"/>
                <w:highlight w:val="none"/>
                <w:lang w:val="en-US" w:eastAsia="zh-CN"/>
              </w:rPr>
              <w:t>本项目所在园区已列入</w:t>
            </w:r>
            <w:r>
              <w:rPr>
                <w:rFonts w:hint="default" w:cs="Times New Roman"/>
                <w:b w:val="0"/>
                <w:bCs w:val="0"/>
                <w:color w:val="auto"/>
                <w:kern w:val="0"/>
                <w:highlight w:val="none"/>
                <w:lang w:val="en-US" w:eastAsia="zh-CN"/>
              </w:rPr>
              <w:t>2025年广东省中小企业特色产业集群名单</w:t>
            </w:r>
            <w:r>
              <w:rPr>
                <w:rFonts w:hint="eastAsia" w:cs="Times New Roman"/>
                <w:b w:val="0"/>
                <w:bCs w:val="0"/>
                <w:color w:val="auto"/>
                <w:kern w:val="0"/>
                <w:highlight w:val="none"/>
                <w:lang w:val="en-US" w:eastAsia="zh-CN"/>
              </w:rPr>
              <w:t>（乐昌市铝幕墙产业集群），乐昌市铝幕墙产业集群作为广东新型城镇化试点重点发展产业，依托当地铝加工产业基础，形成了从铝型材生产到幕墙设计、加工制造的全产业链体系。该集群产品广泛应用于国家大型基建项目，发展势头强劲。乐昌市正规划建设专业化铝幕墙产业园，配套专项产业政策，致力于打造百亿级产业集群和华南铝幕墙制造基地。2024年集群总产值达51.39亿元，集聚了135家优质中小企业，其中包括21家省级专精特新中小企业和22个省、市级制造业创新中心。集群注重产学研合作，与华南理工大学等多家高校院所建立合作关系，引进产业博士人才30余名。在技术创新方面，集群企业拥有有效发明专利33项，每万人有效发明专利拥有量达50件。</w:t>
            </w:r>
          </w:p>
          <w:p w14:paraId="3D0FA1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olor w:val="auto"/>
                <w:highlight w:val="none"/>
                <w:lang w:val="en-US"/>
              </w:rPr>
            </w:pPr>
            <w:r>
              <w:rPr>
                <w:rFonts w:hint="eastAsia" w:cs="Times New Roman"/>
                <w:b w:val="0"/>
                <w:bCs w:val="0"/>
                <w:color w:val="auto"/>
                <w:kern w:val="0"/>
                <w:highlight w:val="none"/>
                <w:lang w:val="en-US" w:eastAsia="zh-CN"/>
              </w:rPr>
              <w:t>本项目主要从事主要从事铝单板、铝幕墙等产品的生产制造，能够积极响应以上产业政策，为乐昌市铝幕墙产业集群发展提供助力。</w:t>
            </w:r>
          </w:p>
          <w:p w14:paraId="72276B48">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二</w:t>
            </w:r>
            <w:r>
              <w:rPr>
                <w:rFonts w:hint="default" w:ascii="Times New Roman" w:hAnsi="Times New Roman" w:cs="Times New Roman"/>
                <w:b/>
                <w:bCs/>
                <w:color w:val="auto"/>
                <w:kern w:val="0"/>
                <w:highlight w:val="none"/>
              </w:rPr>
              <w:t>、与城市规划相符性分析</w:t>
            </w:r>
          </w:p>
          <w:p w14:paraId="5DC07481">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w:t>
            </w:r>
            <w:r>
              <w:rPr>
                <w:rFonts w:hint="eastAsia" w:cs="Times New Roman"/>
                <w:color w:val="auto"/>
                <w:kern w:val="0"/>
                <w:highlight w:val="none"/>
                <w:lang w:eastAsia="zh-CN"/>
              </w:rPr>
              <w:t>韶关市乐昌市乐昌产业转移工业园GL-01-15-02地块</w:t>
            </w:r>
            <w:r>
              <w:rPr>
                <w:rFonts w:hint="default" w:ascii="Times New Roman" w:hAnsi="Times New Roman" w:cs="Times New Roman"/>
                <w:color w:val="auto"/>
                <w:kern w:val="0"/>
                <w:highlight w:val="none"/>
                <w:lang w:eastAsia="zh-CN"/>
              </w:rPr>
              <w:t>（韶关乐昌产业园区</w:t>
            </w:r>
            <w:r>
              <w:rPr>
                <w:rFonts w:hint="default" w:ascii="Times New Roman" w:hAnsi="Times New Roman" w:cs="Times New Roman"/>
                <w:color w:val="auto"/>
                <w:kern w:val="0"/>
                <w:highlight w:val="none"/>
                <w:lang w:val="en-US" w:eastAsia="zh-CN"/>
              </w:rPr>
              <w:t>内</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，根据《乐昌产业转移工业园控制性详细规划》（详见附图</w:t>
            </w:r>
            <w:r>
              <w:rPr>
                <w:rFonts w:hint="default"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rPr>
              <w:t>），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0" w:name="_Toc459880767"/>
          </w:p>
          <w:bookmarkEnd w:id="10"/>
          <w:p w14:paraId="5A55B95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lang w:val="en-US" w:eastAsia="zh-CN"/>
              </w:rPr>
              <w:t>三</w:t>
            </w:r>
            <w:r>
              <w:rPr>
                <w:rFonts w:hint="default" w:ascii="Times New Roman" w:hAnsi="Times New Roman" w:cs="Times New Roman"/>
                <w:b/>
                <w:bCs/>
                <w:color w:val="auto"/>
                <w:kern w:val="0"/>
                <w:highlight w:val="none"/>
              </w:rPr>
              <w:t>、与环境功能区划相符性分析</w:t>
            </w:r>
          </w:p>
          <w:p w14:paraId="4CDD91A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部分市乡镇集中式饮用水源保护区划分方案的通知》（粤府函〔2015〕17号）及《广东省人民政府关于韶关市部分饮用水水源保护区调整方案的批复》（粤府函〔2024〕31号），项目所在地不属于韶关市</w:t>
            </w:r>
            <w:r>
              <w:rPr>
                <w:rFonts w:hint="eastAsia" w:cs="Times New Roman"/>
                <w:color w:val="auto"/>
                <w:kern w:val="0"/>
                <w:highlight w:val="none"/>
                <w:lang w:val="en-US" w:eastAsia="zh-CN"/>
              </w:rPr>
              <w:t>韶关市区武江饮用水水源地一级保护区、二级保护区、准保护区范围内</w:t>
            </w:r>
            <w:r>
              <w:rPr>
                <w:rFonts w:hint="default" w:ascii="Times New Roman" w:hAnsi="Times New Roman" w:cs="Times New Roman"/>
                <w:color w:val="auto"/>
                <w:kern w:val="0"/>
                <w:highlight w:val="none"/>
              </w:rPr>
              <w:t>，符合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78D0BC37">
            <w:pPr>
              <w:keepNext w:val="0"/>
              <w:keepLines w:val="0"/>
              <w:pageBreakBefore w:val="0"/>
              <w:widowControl/>
              <w:suppressLineNumbers w:val="0"/>
              <w:kinsoku/>
              <w:wordWrap/>
              <w:overflowPunct/>
              <w:topLinePunct w:val="0"/>
              <w:autoSpaceDE/>
              <w:autoSpaceDN/>
              <w:bidi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乐昌市生态环境保护“十四五”规划的通知》（乐府办〔2022〕16号）中《乐昌市“十四五”生态环境保护规划大气环境功能区划图》，项目所在区域为环境空气质量二类功能区（详见附图6），</w:t>
            </w:r>
            <w:r>
              <w:rPr>
                <w:rFonts w:hint="default" w:ascii="Times New Roman" w:hAnsi="Times New Roman" w:cs="Times New Roman"/>
                <w:color w:val="auto"/>
                <w:kern w:val="0"/>
                <w:highlight w:val="none"/>
                <w:lang w:bidi="ar"/>
              </w:rPr>
              <w:t>不属于环境空气质量一类功能区中的自然保护区风景名胜区和</w:t>
            </w:r>
            <w:r>
              <w:rPr>
                <w:rFonts w:hint="default" w:ascii="Times New Roman" w:hAnsi="Times New Roman" w:cs="Times New Roman"/>
                <w:color w:val="auto"/>
                <w:kern w:val="0"/>
                <w:highlight w:val="none"/>
                <w:lang w:eastAsia="zh-CN" w:bidi="ar"/>
              </w:rPr>
              <w:t>其他需要</w:t>
            </w:r>
            <w:r>
              <w:rPr>
                <w:rFonts w:hint="default" w:ascii="Times New Roman" w:hAnsi="Times New Roman" w:cs="Times New Roman"/>
                <w:color w:val="auto"/>
                <w:kern w:val="0"/>
                <w:highlight w:val="none"/>
                <w:lang w:bidi="ar"/>
              </w:rPr>
              <w:t>特殊保护的区域</w:t>
            </w:r>
            <w:r>
              <w:rPr>
                <w:rFonts w:hint="default" w:ascii="Times New Roman" w:hAnsi="Times New Roman" w:cs="Times New Roman"/>
                <w:color w:val="auto"/>
                <w:kern w:val="0"/>
                <w:highlight w:val="none"/>
              </w:rPr>
              <w:t>。</w:t>
            </w:r>
          </w:p>
          <w:p w14:paraId="48772F53">
            <w:pPr>
              <w:keepNext w:val="0"/>
              <w:keepLines w:val="0"/>
              <w:pageBreakBefore w:val="0"/>
              <w:suppressLineNumbers w:val="0"/>
              <w:kinsoku/>
              <w:wordWrap/>
              <w:overflowPunct/>
              <w:topLinePunct w:val="0"/>
              <w:autoSpaceDE/>
              <w:autoSpaceDN/>
              <w:bidi w:val="0"/>
              <w:adjustRightInd w:val="0"/>
              <w:snapToGrid/>
              <w:spacing w:before="0" w:beforeAutospacing="0" w:after="0" w:afterAutospacing="0"/>
              <w:ind w:left="0" w:right="0" w:firstLine="480" w:firstLineChars="200"/>
              <w:jc w:val="left"/>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（3）根据《乐昌产业转移工业园控制性详细规划》及不动产权证，项目所在地位为工业用地，项目所在区域为声环境3类区，不属于声环境1类区。</w:t>
            </w:r>
          </w:p>
          <w:p w14:paraId="3D1F686A">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41E550FD">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lang w:val="en-US" w:eastAsia="zh-CN"/>
              </w:rPr>
            </w:pPr>
          </w:p>
          <w:p w14:paraId="1793C198">
            <w:pPr>
              <w:keepNext w:val="0"/>
              <w:keepLines w:val="0"/>
              <w:pageBreakBefore w:val="0"/>
              <w:suppressLineNumbers w:val="0"/>
              <w:kinsoku/>
              <w:overflowPunct/>
              <w:topLinePunct w:val="0"/>
              <w:bidi w:val="0"/>
              <w:snapToGrid/>
              <w:spacing w:before="0" w:beforeAutospacing="0" w:after="0" w:afterAutospacing="0"/>
              <w:ind w:left="0" w:right="0"/>
              <w:rPr>
                <w:rFonts w:hint="default" w:ascii="Times New Roman" w:hAnsi="Times New Roman" w:cs="Times New Roman"/>
                <w:color w:val="auto"/>
                <w:highlight w:val="none"/>
              </w:rPr>
            </w:pPr>
          </w:p>
        </w:tc>
      </w:tr>
    </w:tbl>
    <w:p w14:paraId="6F386421">
      <w:pPr>
        <w:rPr>
          <w:color w:val="auto"/>
          <w:highlight w:val="none"/>
        </w:rPr>
        <w:sectPr>
          <w:footerReference r:id="rId6" w:type="default"/>
          <w:pgSz w:w="11906" w:h="16838"/>
          <w:pgMar w:top="1440" w:right="1080" w:bottom="1440" w:left="1080" w:header="851" w:footer="680" w:gutter="0"/>
          <w:pgBorders>
            <w:top w:val="none" w:sz="0" w:space="0"/>
            <w:left w:val="none" w:sz="0" w:space="0"/>
            <w:bottom w:val="none" w:sz="0" w:space="0"/>
            <w:right w:val="none" w:sz="0" w:space="0"/>
          </w:pgBorders>
          <w:pgNumType w:fmt="numberInDash" w:start="1"/>
          <w:cols w:space="720" w:num="1"/>
          <w:docGrid w:type="linesAndChars" w:linePitch="312" w:charSpace="0"/>
        </w:sectPr>
      </w:pP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717"/>
      </w:tblGrid>
      <w:tr w14:paraId="49773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186" w:type="pct"/>
            <w:vAlign w:val="center"/>
          </w:tcPr>
          <w:p w14:paraId="672828C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eastAsia"/>
                <w:color w:val="auto"/>
                <w:highlight w:val="none"/>
              </w:rPr>
            </w:pPr>
            <w:r>
              <w:rPr>
                <w:rFonts w:hint="eastAsia"/>
                <w:b/>
                <w:bCs/>
                <w:color w:val="auto"/>
                <w:highlight w:val="none"/>
              </w:rPr>
              <w:t>其他符合性分析</w:t>
            </w:r>
          </w:p>
        </w:tc>
        <w:tc>
          <w:tcPr>
            <w:tcW w:w="4813" w:type="pct"/>
            <w:vAlign w:val="center"/>
          </w:tcPr>
          <w:p w14:paraId="35B6E9B2">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b/>
                <w:bCs/>
                <w:color w:val="auto"/>
                <w:highlight w:val="none"/>
              </w:rPr>
            </w:pPr>
            <w:r>
              <w:rPr>
                <w:rFonts w:hint="eastAsia"/>
                <w:b/>
                <w:bCs/>
                <w:color w:val="auto"/>
                <w:highlight w:val="none"/>
              </w:rPr>
              <w:t>四、与《</w:t>
            </w:r>
            <w:r>
              <w:rPr>
                <w:rFonts w:hint="eastAsia"/>
                <w:b/>
                <w:bCs/>
                <w:color w:val="auto"/>
                <w:szCs w:val="28"/>
                <w:highlight w:val="none"/>
              </w:rPr>
              <w:t>工业和信息化部发布&lt;限期淘汰产生严重污染环境的工业固体废物的落后生产工艺设备名录&gt;公告》（中华人民共和国工业和信息化部公告 2021年第25号）相符性分析</w:t>
            </w:r>
          </w:p>
          <w:p w14:paraId="56019CF8">
            <w:pPr>
              <w:pStyle w:val="43"/>
              <w:keepNext w:val="0"/>
              <w:keepLines w:val="0"/>
              <w:pageBreakBefore w:val="0"/>
              <w:suppressLineNumbers w:val="0"/>
              <w:kinsoku/>
              <w:overflowPunct/>
              <w:topLinePunct w:val="0"/>
              <w:bidi w:val="0"/>
              <w:snapToGrid/>
              <w:spacing w:before="0" w:beforeAutospacing="0" w:after="0" w:afterAutospacing="0"/>
              <w:ind w:left="0" w:right="0" w:firstLine="480" w:firstLineChars="200"/>
              <w:rPr>
                <w:rFonts w:hint="eastAsia" w:ascii="Times New Roman" w:cs="Times New Roman"/>
                <w:color w:val="auto"/>
                <w:highlight w:val="none"/>
              </w:rPr>
            </w:pPr>
            <w:r>
              <w:rPr>
                <w:rFonts w:hint="eastAsia" w:ascii="Times New Roman" w:cs="Times New Roman"/>
                <w:color w:val="auto"/>
                <w:szCs w:val="28"/>
                <w:highlight w:val="none"/>
              </w:rPr>
              <w:t>本项目所用生产工艺及设备不属于《限期淘汰产生严重污染环境的工业固体废物的落后生产工艺设备名录》中限期淘汰的落后生产工艺设备，故与《工业和信息化部发布&lt;限期淘汰产生严重污染环境的工业固体废物的落后生产工艺设备名录&gt;公告》（中华人民共和国工业和信息化部公告 2021年第25号）相符。</w:t>
            </w:r>
          </w:p>
          <w:p w14:paraId="44C5613C">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b/>
                <w:bCs/>
                <w:color w:val="auto"/>
                <w:highlight w:val="none"/>
              </w:rPr>
            </w:pPr>
            <w:r>
              <w:rPr>
                <w:rFonts w:hint="eastAsia"/>
                <w:b/>
                <w:bCs/>
                <w:color w:val="auto"/>
                <w:highlight w:val="none"/>
              </w:rPr>
              <w:t>五、“三线一单”相符性分析</w:t>
            </w:r>
          </w:p>
          <w:p w14:paraId="074CE754">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highlight w:val="none"/>
              </w:rPr>
            </w:pPr>
            <w:r>
              <w:rPr>
                <w:rFonts w:hint="eastAsia"/>
                <w:color w:val="auto"/>
                <w:highlight w:val="none"/>
              </w:rPr>
              <w:t>1、《关于印发广东省“三线一单”生态环境分区管控方案的通知》（粤府〔2020〕71号）</w:t>
            </w:r>
          </w:p>
          <w:p w14:paraId="3807EFF2">
            <w:pPr>
              <w:pStyle w:val="98"/>
              <w:keepNext w:val="0"/>
              <w:keepLines w:val="0"/>
              <w:pageBreakBefore w:val="0"/>
              <w:suppressLineNumbers w:val="0"/>
              <w:kinsoku/>
              <w:overflowPunct/>
              <w:topLinePunct w:val="0"/>
              <w:bidi w:val="0"/>
              <w:snapToGrid/>
              <w:spacing w:before="0" w:beforeAutospacing="0" w:after="0" w:afterAutospacing="0"/>
              <w:ind w:left="0" w:leftChars="0" w:right="0" w:firstLine="0" w:firstLineChars="0"/>
              <w:rPr>
                <w:rFonts w:hint="eastAsia"/>
                <w:color w:val="auto"/>
                <w:highlight w:val="none"/>
              </w:rPr>
            </w:pPr>
            <w:r>
              <w:rPr>
                <w:rFonts w:hint="eastAsia"/>
                <w:color w:val="auto"/>
                <w:sz w:val="21"/>
                <w:szCs w:val="21"/>
                <w:highlight w:val="none"/>
                <w:lang w:val="en-US" w:eastAsia="zh-CN"/>
              </w:rPr>
              <w:t>与</w:t>
            </w:r>
            <w:r>
              <w:rPr>
                <w:rFonts w:hint="eastAsia"/>
                <w:color w:val="auto"/>
                <w:sz w:val="21"/>
                <w:szCs w:val="21"/>
                <w:highlight w:val="none"/>
              </w:rPr>
              <w:t>广东省“三线一单”相符性分析一览表</w:t>
            </w:r>
          </w:p>
          <w:tbl>
            <w:tblPr>
              <w:tblStyle w:val="39"/>
              <w:tblW w:w="134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38"/>
              <w:gridCol w:w="1071"/>
              <w:gridCol w:w="4947"/>
              <w:gridCol w:w="5847"/>
              <w:gridCol w:w="967"/>
            </w:tblGrid>
            <w:tr w14:paraId="2536A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8D44D04">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1291BE00">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1FB0B67D">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269DC6AF">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12ABE8E">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53FA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7B8D0456">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6DCED692">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B375CB0">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11A8B0D3">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项目用地用途为工业厂房，不在生态保护红线和生态环境空间管控区内，符合生态保护红线要求。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74346D31">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200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612C5B10">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41566EC3">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8D65796">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1AC2888">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2023年韶关市生态环境状况公报》，可知项目所在地大气环境质量属于达标区，地表水环境质量现状良好。生活污水、生产废水经预处理后引入园区污水处理厂处理，不直接排入水体。在严格落实各项污染防治措施的前提下，本项目的建设对周边环境影响较小，建成后不会突破当地环境质量底线，符合环境质量底线要求。</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5DE28138">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757A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25DC4B71">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36A78E8E">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79C3F8BB">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水资源、土地资源、岸线资源、能源消耗等达到或优于国家下达的总量和强度控制目标。</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73221D12">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2491DD46">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477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638" w:type="dxa"/>
                  <w:tcBorders>
                    <w:top w:val="single" w:color="auto" w:sz="4" w:space="0"/>
                    <w:left w:val="single" w:color="auto" w:sz="4" w:space="0"/>
                    <w:bottom w:val="single" w:color="auto" w:sz="4" w:space="0"/>
                    <w:right w:val="single" w:color="auto" w:sz="4" w:space="0"/>
                  </w:tcBorders>
                  <w:shd w:val="clear" w:color="auto" w:fill="auto"/>
                  <w:vAlign w:val="center"/>
                </w:tcPr>
                <w:p w14:paraId="1BFB8F89">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1071" w:type="dxa"/>
                  <w:tcBorders>
                    <w:top w:val="single" w:color="auto" w:sz="4" w:space="0"/>
                    <w:left w:val="single" w:color="auto" w:sz="4" w:space="0"/>
                    <w:bottom w:val="single" w:color="auto" w:sz="4" w:space="0"/>
                    <w:right w:val="single" w:color="auto" w:sz="4" w:space="0"/>
                  </w:tcBorders>
                  <w:shd w:val="clear" w:color="auto" w:fill="auto"/>
                  <w:vAlign w:val="center"/>
                </w:tcPr>
                <w:p w14:paraId="73E0B6CA">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4947" w:type="dxa"/>
                  <w:tcBorders>
                    <w:top w:val="single" w:color="auto" w:sz="4" w:space="0"/>
                    <w:left w:val="single" w:color="auto" w:sz="4" w:space="0"/>
                    <w:bottom w:val="single" w:color="auto" w:sz="4" w:space="0"/>
                    <w:right w:val="single" w:color="auto" w:sz="4" w:space="0"/>
                  </w:tcBorders>
                  <w:shd w:val="clear" w:color="auto" w:fill="auto"/>
                  <w:vAlign w:val="center"/>
                </w:tcPr>
                <w:p w14:paraId="26CAF7FE">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w:t>
                  </w:r>
                </w:p>
              </w:tc>
              <w:tc>
                <w:tcPr>
                  <w:tcW w:w="5847" w:type="dxa"/>
                  <w:tcBorders>
                    <w:top w:val="single" w:color="auto" w:sz="4" w:space="0"/>
                    <w:left w:val="single" w:color="auto" w:sz="4" w:space="0"/>
                    <w:bottom w:val="single" w:color="auto" w:sz="4" w:space="0"/>
                    <w:right w:val="single" w:color="auto" w:sz="4" w:space="0"/>
                  </w:tcBorders>
                  <w:shd w:val="clear" w:color="auto" w:fill="auto"/>
                  <w:vAlign w:val="center"/>
                </w:tcPr>
                <w:p w14:paraId="5440002E">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营运期主要污染物为废水、废气、噪声和固体废物，分别经处理后均能实现达标排放，固体废物经有效的分类收集、处置，对周围环境影响较小，故本项目可与周围环境相容，本项目不属于《市场准入负面清单（2022年版）》禁止准入类项目。</w:t>
                  </w:r>
                </w:p>
              </w:tc>
              <w:tc>
                <w:tcPr>
                  <w:tcW w:w="967" w:type="dxa"/>
                  <w:tcBorders>
                    <w:top w:val="single" w:color="auto" w:sz="4" w:space="0"/>
                    <w:left w:val="single" w:color="auto" w:sz="4" w:space="0"/>
                    <w:bottom w:val="single" w:color="auto" w:sz="4" w:space="0"/>
                    <w:right w:val="single" w:color="auto" w:sz="4" w:space="0"/>
                  </w:tcBorders>
                  <w:shd w:val="clear" w:color="auto" w:fill="auto"/>
                  <w:vAlign w:val="center"/>
                </w:tcPr>
                <w:p w14:paraId="39C87697">
                  <w:pPr>
                    <w:pStyle w:val="62"/>
                    <w:keepNext w:val="0"/>
                    <w:keepLines w:val="0"/>
                    <w:pageBreakBefore w:val="0"/>
                    <w:widowControl w:val="0"/>
                    <w:suppressLineNumbers w:val="0"/>
                    <w:kinsoku/>
                    <w:wordWrap/>
                    <w:overflowPunct/>
                    <w:topLinePunct w:val="0"/>
                    <w:autoSpaceDE/>
                    <w:autoSpaceDN/>
                    <w:bidi w:val="0"/>
                    <w:adjustRightInd/>
                    <w:snapToGrid w:val="0"/>
                    <w:spacing w:before="0" w:beforeLines="0" w:beforeAutospacing="0" w:after="0" w:afterLines="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bl>
          <w:p w14:paraId="20CFACB0">
            <w:pPr>
              <w:pStyle w:val="98"/>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rPr>
              <w:t>环境管控单元要求一览表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7050"/>
              <w:gridCol w:w="4398"/>
              <w:gridCol w:w="1175"/>
            </w:tblGrid>
            <w:tr w14:paraId="2360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1F65B821">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单元</w:t>
                  </w:r>
                </w:p>
              </w:tc>
              <w:tc>
                <w:tcPr>
                  <w:tcW w:w="2613" w:type="pct"/>
                  <w:vAlign w:val="center"/>
                </w:tcPr>
                <w:p w14:paraId="118CF8B3">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保护和管控分区或相关要求（节选）</w:t>
                  </w:r>
                </w:p>
              </w:tc>
              <w:tc>
                <w:tcPr>
                  <w:tcW w:w="1630" w:type="pct"/>
                  <w:vAlign w:val="center"/>
                </w:tcPr>
                <w:p w14:paraId="4809C9E0">
                  <w:pPr>
                    <w:keepNext w:val="0"/>
                    <w:keepLines w:val="0"/>
                    <w:pageBreakBefore w:val="0"/>
                    <w:widowControl/>
                    <w:suppressLineNumbers w:val="0"/>
                    <w:kinsoku/>
                    <w:wordWrap w:val="0"/>
                    <w:overflowPunct/>
                    <w:topLinePunct w:val="0"/>
                    <w:bidi w:val="0"/>
                    <w:adjustRightInd/>
                    <w:snapToGrid w:val="0"/>
                    <w:spacing w:before="0" w:beforeAutospacing="0" w:after="0" w:afterAutospacing="0" w:line="276" w:lineRule="auto"/>
                    <w:ind w:left="0" w:right="0"/>
                    <w:jc w:val="center"/>
                    <w:textAlignment w:val="center"/>
                    <w:rPr>
                      <w:rFonts w:hint="eastAsia"/>
                      <w:b/>
                      <w:bCs/>
                      <w:color w:val="auto"/>
                      <w:position w:val="-10"/>
                      <w:sz w:val="21"/>
                      <w:szCs w:val="21"/>
                      <w:highlight w:val="none"/>
                    </w:rPr>
                  </w:pPr>
                  <w:r>
                    <w:rPr>
                      <w:rFonts w:hint="eastAsia"/>
                      <w:b/>
                      <w:bCs/>
                      <w:color w:val="auto"/>
                      <w:position w:val="-10"/>
                      <w:sz w:val="21"/>
                      <w:szCs w:val="21"/>
                      <w:highlight w:val="none"/>
                    </w:rPr>
                    <w:t>项目情况</w:t>
                  </w:r>
                </w:p>
              </w:tc>
              <w:tc>
                <w:tcPr>
                  <w:tcW w:w="435" w:type="pct"/>
                  <w:vAlign w:val="center"/>
                </w:tcPr>
                <w:p w14:paraId="661DDE3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b/>
                      <w:bCs/>
                      <w:color w:val="auto"/>
                      <w:kern w:val="2"/>
                      <w:highlight w:val="none"/>
                    </w:rPr>
                  </w:pPr>
                  <w:r>
                    <w:rPr>
                      <w:rFonts w:hint="eastAsia"/>
                      <w:b/>
                      <w:bCs/>
                      <w:color w:val="auto"/>
                      <w:kern w:val="2"/>
                      <w:highlight w:val="none"/>
                    </w:rPr>
                    <w:t>是否符合</w:t>
                  </w:r>
                </w:p>
              </w:tc>
            </w:tr>
            <w:tr w14:paraId="7538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4F6B208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优先保护单元</w:t>
                  </w:r>
                </w:p>
              </w:tc>
              <w:tc>
                <w:tcPr>
                  <w:tcW w:w="2613" w:type="pct"/>
                  <w:vAlign w:val="center"/>
                </w:tcPr>
                <w:p w14:paraId="422F1AE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生态优先保护区：生态保护红线、一般生态空间</w:t>
                  </w:r>
                </w:p>
              </w:tc>
              <w:tc>
                <w:tcPr>
                  <w:tcW w:w="1630" w:type="pct"/>
                  <w:vAlign w:val="center"/>
                </w:tcPr>
                <w:p w14:paraId="5797DD3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eastAsia="宋体"/>
                      <w:color w:val="auto"/>
                      <w:kern w:val="2"/>
                      <w:highlight w:val="none"/>
                      <w:lang w:eastAsia="zh-CN"/>
                    </w:rPr>
                  </w:pPr>
                  <w:r>
                    <w:rPr>
                      <w:rFonts w:hint="eastAsia"/>
                      <w:color w:val="auto"/>
                      <w:kern w:val="2"/>
                      <w:highlight w:val="none"/>
                    </w:rPr>
                    <w:t>项目不在生态保护红线内，详见附图</w:t>
                  </w:r>
                  <w:r>
                    <w:rPr>
                      <w:rFonts w:hint="eastAsia"/>
                      <w:color w:val="auto"/>
                      <w:kern w:val="2"/>
                      <w:highlight w:val="none"/>
                      <w:lang w:val="en-US" w:eastAsia="zh-CN"/>
                    </w:rPr>
                    <w:t>8</w:t>
                  </w:r>
                </w:p>
              </w:tc>
              <w:tc>
                <w:tcPr>
                  <w:tcW w:w="435" w:type="pct"/>
                  <w:vAlign w:val="center"/>
                </w:tcPr>
                <w:p w14:paraId="7576821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4EF0F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0DE1085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21EE935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水环境优先保护区：饮用水水源一级保护区、二级保护区、准保护区</w:t>
                  </w:r>
                </w:p>
              </w:tc>
              <w:tc>
                <w:tcPr>
                  <w:tcW w:w="1630" w:type="pct"/>
                  <w:vAlign w:val="center"/>
                </w:tcPr>
                <w:p w14:paraId="3EB2202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eastAsia="宋体"/>
                      <w:color w:val="auto"/>
                      <w:kern w:val="2"/>
                      <w:highlight w:val="none"/>
                      <w:lang w:val="en-US" w:eastAsia="zh-CN"/>
                    </w:rPr>
                  </w:pPr>
                  <w:r>
                    <w:rPr>
                      <w:rFonts w:hint="eastAsia"/>
                      <w:color w:val="auto"/>
                      <w:kern w:val="2"/>
                      <w:highlight w:val="none"/>
                    </w:rPr>
                    <w:t>项目不在饮用水水源保护区内，不属于水环境优先保护区</w:t>
                  </w:r>
                  <w:r>
                    <w:rPr>
                      <w:rFonts w:hint="eastAsia"/>
                      <w:color w:val="auto"/>
                      <w:kern w:val="2"/>
                      <w:highlight w:val="none"/>
                      <w:lang w:eastAsia="zh-CN"/>
                    </w:rPr>
                    <w:t>，</w:t>
                  </w:r>
                  <w:r>
                    <w:rPr>
                      <w:rFonts w:hint="eastAsia"/>
                      <w:color w:val="auto"/>
                      <w:kern w:val="2"/>
                      <w:highlight w:val="none"/>
                    </w:rPr>
                    <w:t>详见附图</w:t>
                  </w:r>
                  <w:r>
                    <w:rPr>
                      <w:rFonts w:hint="eastAsia"/>
                      <w:color w:val="auto"/>
                      <w:kern w:val="2"/>
                      <w:highlight w:val="none"/>
                      <w:lang w:val="en-US" w:eastAsia="zh-CN"/>
                    </w:rPr>
                    <w:t>9</w:t>
                  </w:r>
                </w:p>
              </w:tc>
              <w:tc>
                <w:tcPr>
                  <w:tcW w:w="435" w:type="pct"/>
                  <w:vAlign w:val="center"/>
                </w:tcPr>
                <w:p w14:paraId="6CE7022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56BAD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0" w:type="pct"/>
                  <w:vMerge w:val="continue"/>
                  <w:vAlign w:val="center"/>
                </w:tcPr>
                <w:p w14:paraId="12A3FB1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2E059E5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大气环境优先保护区（环境空气质量一类功能区）</w:t>
                  </w:r>
                </w:p>
              </w:tc>
              <w:tc>
                <w:tcPr>
                  <w:tcW w:w="1630" w:type="pct"/>
                  <w:vAlign w:val="center"/>
                </w:tcPr>
                <w:p w14:paraId="48D9F16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eastAsia="宋体"/>
                      <w:color w:val="auto"/>
                      <w:kern w:val="2"/>
                      <w:highlight w:val="none"/>
                      <w:lang w:val="en-US" w:eastAsia="zh-CN"/>
                    </w:rPr>
                  </w:pPr>
                  <w:r>
                    <w:rPr>
                      <w:rFonts w:hint="eastAsia"/>
                      <w:color w:val="auto"/>
                      <w:kern w:val="2"/>
                      <w:highlight w:val="none"/>
                    </w:rPr>
                    <w:t>项目属于空气质量二类功能区，不属于大气环境优先保护区</w:t>
                  </w:r>
                  <w:r>
                    <w:rPr>
                      <w:rFonts w:hint="eastAsia"/>
                      <w:color w:val="auto"/>
                      <w:kern w:val="2"/>
                      <w:highlight w:val="none"/>
                      <w:lang w:eastAsia="zh-CN"/>
                    </w:rPr>
                    <w:t>，</w:t>
                  </w:r>
                  <w:r>
                    <w:rPr>
                      <w:rFonts w:hint="eastAsia"/>
                      <w:color w:val="auto"/>
                      <w:kern w:val="2"/>
                      <w:highlight w:val="none"/>
                      <w:lang w:val="en-US" w:eastAsia="zh-CN"/>
                    </w:rPr>
                    <w:t>详见附图10</w:t>
                  </w:r>
                </w:p>
              </w:tc>
              <w:tc>
                <w:tcPr>
                  <w:tcW w:w="435" w:type="pct"/>
                  <w:vAlign w:val="center"/>
                </w:tcPr>
                <w:p w14:paraId="4A72907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4634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restart"/>
                  <w:vAlign w:val="center"/>
                </w:tcPr>
                <w:p w14:paraId="19FAF00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重点管控单元</w:t>
                  </w:r>
                </w:p>
              </w:tc>
              <w:tc>
                <w:tcPr>
                  <w:tcW w:w="2613" w:type="pct"/>
                  <w:vAlign w:val="center"/>
                </w:tcPr>
                <w:p w14:paraId="0C0E52E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630" w:type="pct"/>
                  <w:vAlign w:val="center"/>
                </w:tcPr>
                <w:p w14:paraId="00A1C031">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根据附图1</w:t>
                  </w:r>
                  <w:r>
                    <w:rPr>
                      <w:rFonts w:hint="eastAsia"/>
                      <w:color w:val="auto"/>
                      <w:sz w:val="21"/>
                      <w:szCs w:val="21"/>
                      <w:highlight w:val="none"/>
                      <w:lang w:val="en-US" w:eastAsia="zh-CN"/>
                    </w:rPr>
                    <w:t>3</w:t>
                  </w:r>
                  <w:r>
                    <w:rPr>
                      <w:rFonts w:hint="eastAsia"/>
                      <w:color w:val="auto"/>
                      <w:sz w:val="21"/>
                      <w:szCs w:val="21"/>
                      <w:highlight w:val="none"/>
                    </w:rPr>
                    <w:t>，项目位于乐昌经济开发区重点管控单元（管控编码ZH44028120003），属于园区重点管控单元，项目主要从事金属表面处理及热处理加工，生产过程中产生氮氧化物需分配大气污染物总量；生活污水经三级化粪池处理后排入园区污水处理厂处理，生产废水经自建污水处理站处理后排入园区污水处理</w:t>
                  </w:r>
                  <w:r>
                    <w:rPr>
                      <w:rFonts w:hint="eastAsia"/>
                      <w:color w:val="auto"/>
                      <w:sz w:val="21"/>
                      <w:szCs w:val="21"/>
                      <w:highlight w:val="none"/>
                      <w:lang w:eastAsia="zh-CN"/>
                    </w:rPr>
                    <w:t>厂</w:t>
                  </w:r>
                  <w:r>
                    <w:rPr>
                      <w:rFonts w:hint="eastAsia"/>
                      <w:color w:val="auto"/>
                      <w:sz w:val="21"/>
                      <w:szCs w:val="21"/>
                      <w:highlight w:val="none"/>
                    </w:rPr>
                    <w:t>处理达标后排放，无需分配水污染物总量。</w:t>
                  </w:r>
                </w:p>
              </w:tc>
              <w:tc>
                <w:tcPr>
                  <w:tcW w:w="435" w:type="pct"/>
                  <w:vAlign w:val="center"/>
                </w:tcPr>
                <w:p w14:paraId="425253C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015AB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A1DF5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77BEDD9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630" w:type="pct"/>
                  <w:vAlign w:val="center"/>
                </w:tcPr>
                <w:p w14:paraId="6331E91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项目不属于耗水量大和污染物排放强度高的行业，生活污水经三级化粪池预处理后排入园区污水处理</w:t>
                  </w:r>
                  <w:r>
                    <w:rPr>
                      <w:rFonts w:hint="eastAsia"/>
                      <w:color w:val="auto"/>
                      <w:kern w:val="2"/>
                      <w:highlight w:val="none"/>
                      <w:lang w:eastAsia="zh-CN"/>
                    </w:rPr>
                    <w:t>厂</w:t>
                  </w:r>
                  <w:r>
                    <w:rPr>
                      <w:rFonts w:hint="eastAsia"/>
                      <w:color w:val="auto"/>
                      <w:kern w:val="2"/>
                      <w:highlight w:val="none"/>
                    </w:rPr>
                    <w:t>；生产废水经自建污水处理站处理后排入园区污水处理厂处理达标后排放，不直接纳入水体，对水环境影响不大。</w:t>
                  </w:r>
                </w:p>
              </w:tc>
              <w:tc>
                <w:tcPr>
                  <w:tcW w:w="435" w:type="pct"/>
                  <w:vAlign w:val="center"/>
                </w:tcPr>
                <w:p w14:paraId="347A8E7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1FE9C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Merge w:val="continue"/>
                  <w:vAlign w:val="center"/>
                </w:tcPr>
                <w:p w14:paraId="7FE0B0F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p>
              </w:tc>
              <w:tc>
                <w:tcPr>
                  <w:tcW w:w="2613" w:type="pct"/>
                  <w:vAlign w:val="center"/>
                </w:tcPr>
                <w:p w14:paraId="3A482B1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630" w:type="pct"/>
                  <w:vAlign w:val="center"/>
                </w:tcPr>
                <w:p w14:paraId="6D2E0BC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项目不属于</w:t>
                  </w:r>
                  <w:r>
                    <w:rPr>
                      <w:rFonts w:hint="eastAsia"/>
                      <w:color w:val="auto"/>
                      <w:kern w:val="2"/>
                      <w:highlight w:val="none"/>
                      <w:lang w:val="en-US" w:eastAsia="zh-CN"/>
                    </w:rPr>
                    <w:t>产生和排放</w:t>
                  </w:r>
                  <w:r>
                    <w:rPr>
                      <w:rFonts w:hint="eastAsia"/>
                      <w:color w:val="auto"/>
                      <w:kern w:val="2"/>
                      <w:highlight w:val="none"/>
                    </w:rPr>
                    <w:t>有毒有害大气污染物的项目</w:t>
                  </w:r>
                </w:p>
              </w:tc>
              <w:tc>
                <w:tcPr>
                  <w:tcW w:w="435" w:type="pct"/>
                  <w:vAlign w:val="center"/>
                </w:tcPr>
                <w:p w14:paraId="62ECA54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r w14:paraId="66C4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0" w:type="pct"/>
                  <w:vAlign w:val="center"/>
                </w:tcPr>
                <w:p w14:paraId="20C631D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一般管控单元</w:t>
                  </w:r>
                </w:p>
              </w:tc>
              <w:tc>
                <w:tcPr>
                  <w:tcW w:w="2613" w:type="pct"/>
                  <w:vAlign w:val="center"/>
                </w:tcPr>
                <w:p w14:paraId="0C59FF5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执行区域生态环境保护的基本要求。根据资源环境承载能力，引导产业科学布局，合理控制开发强度，维护生态环境功能稳定</w:t>
                  </w:r>
                </w:p>
              </w:tc>
              <w:tc>
                <w:tcPr>
                  <w:tcW w:w="1630" w:type="pct"/>
                  <w:vAlign w:val="center"/>
                </w:tcPr>
                <w:p w14:paraId="6A797FA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项目执行区域生态环境保护的基本要求</w:t>
                  </w:r>
                </w:p>
              </w:tc>
              <w:tc>
                <w:tcPr>
                  <w:tcW w:w="435" w:type="pct"/>
                  <w:vAlign w:val="center"/>
                </w:tcPr>
                <w:p w14:paraId="0FF9A03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color w:val="auto"/>
                      <w:kern w:val="2"/>
                      <w:highlight w:val="none"/>
                    </w:rPr>
                  </w:pPr>
                  <w:r>
                    <w:rPr>
                      <w:rFonts w:hint="eastAsia"/>
                      <w:color w:val="auto"/>
                      <w:kern w:val="2"/>
                      <w:highlight w:val="none"/>
                    </w:rPr>
                    <w:t>符合</w:t>
                  </w:r>
                </w:p>
              </w:tc>
            </w:tr>
          </w:tbl>
          <w:p w14:paraId="06765BD9">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color w:val="auto"/>
                <w:highlight w:val="none"/>
              </w:rPr>
            </w:pPr>
            <w:r>
              <w:rPr>
                <w:rFonts w:hint="eastAsia"/>
                <w:color w:val="auto"/>
                <w:highlight w:val="none"/>
              </w:rPr>
              <w:t>综上所述，项目符合《广东省人民政府关于印发广东省“三线一单”生态环境分区管控方案的通知（粤府〔2020〕71 号）》的相关要求。</w:t>
            </w:r>
          </w:p>
          <w:p w14:paraId="1726A676">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left"/>
              <w:rPr>
                <w:rFonts w:hint="eastAsia"/>
                <w:b/>
                <w:bCs/>
                <w:color w:val="auto"/>
                <w:highlight w:val="none"/>
              </w:rPr>
            </w:pPr>
            <w:r>
              <w:rPr>
                <w:rFonts w:hint="eastAsia"/>
                <w:b/>
                <w:bCs/>
                <w:color w:val="auto"/>
                <w:highlight w:val="none"/>
                <w:lang w:val="en-US" w:eastAsia="zh-CN"/>
              </w:rPr>
              <w:t>2、</w:t>
            </w:r>
            <w:r>
              <w:rPr>
                <w:rFonts w:hint="eastAsia"/>
                <w:b/>
                <w:bCs/>
                <w:color w:val="auto"/>
                <w:highlight w:val="none"/>
              </w:rPr>
              <w:t>项目与《韶关市“三线一单”生态环境分区管控方案》（韶府〔2021〕10号）</w:t>
            </w:r>
            <w:r>
              <w:rPr>
                <w:rFonts w:hint="eastAsia"/>
                <w:b/>
                <w:bCs/>
                <w:color w:val="auto"/>
                <w:highlight w:val="none"/>
                <w:lang w:val="en-US" w:eastAsia="zh-CN"/>
              </w:rPr>
              <w:t>和《韶关市生态环境分区管控动态更新成果》</w:t>
            </w:r>
            <w:r>
              <w:rPr>
                <w:rFonts w:hint="eastAsia"/>
                <w:b/>
                <w:bCs/>
                <w:color w:val="auto"/>
                <w:highlight w:val="none"/>
              </w:rPr>
              <w:t>的相符性分析</w:t>
            </w:r>
          </w:p>
          <w:p w14:paraId="743EFA43">
            <w:pPr>
              <w:keepNext w:val="0"/>
              <w:keepLines w:val="0"/>
              <w:pageBreakBefore w:val="0"/>
              <w:suppressLineNumbers w:val="0"/>
              <w:kinsoku/>
              <w:overflowPunct/>
              <w:topLinePunct w:val="0"/>
              <w:bidi w:val="0"/>
              <w:snapToGrid/>
              <w:spacing w:before="0" w:beforeAutospacing="0" w:after="0" w:afterAutospacing="0" w:line="348" w:lineRule="auto"/>
              <w:ind w:left="0" w:right="86" w:rightChars="36" w:firstLine="480" w:firstLineChars="200"/>
              <w:jc w:val="both"/>
              <w:rPr>
                <w:rFonts w:hint="eastAsia" w:eastAsia="宋体"/>
                <w:b/>
                <w:bCs/>
                <w:color w:val="auto"/>
                <w:highlight w:val="none"/>
                <w:lang w:val="en-US" w:eastAsia="zh-CN"/>
              </w:rPr>
            </w:pPr>
            <w:r>
              <w:rPr>
                <w:rFonts w:hint="default" w:ascii="Times New Roman" w:hAnsi="Times New Roman" w:cs="Times New Roman"/>
                <w:bCs/>
                <w:color w:val="auto"/>
                <w:sz w:val="24"/>
                <w:szCs w:val="24"/>
                <w:highlight w:val="none"/>
              </w:rPr>
              <w:t>根据</w:t>
            </w:r>
            <w:r>
              <w:rPr>
                <w:rFonts w:hint="default" w:ascii="Times New Roman" w:hAnsi="Times New Roman" w:cs="Times New Roman"/>
                <w:color w:val="auto"/>
                <w:kern w:val="0"/>
                <w:sz w:val="24"/>
                <w:szCs w:val="24"/>
                <w:highlight w:val="none"/>
              </w:rPr>
              <w:t>《韶关市生态环境分区管控动态更新成果》</w:t>
            </w:r>
            <w:r>
              <w:rPr>
                <w:rFonts w:hint="eastAsia" w:ascii="Times New Roman" w:hAnsi="Times New Roman" w:cs="Times New Roman"/>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本项目所在环境管控单位为乐昌经济开发区重点管控单元（编号：ZH44028120003）</w:t>
            </w:r>
            <w:r>
              <w:rPr>
                <w:rFonts w:hint="default" w:ascii="Times New Roman" w:hAnsi="Times New Roman" w:cs="Times New Roman"/>
                <w:bCs/>
                <w:color w:val="auto"/>
                <w:sz w:val="24"/>
                <w:szCs w:val="24"/>
                <w:highlight w:val="none"/>
              </w:rPr>
              <w:t>，本项目与所在区域的生态保护红线、环境质量底线、资源利用上线</w:t>
            </w:r>
            <w:r>
              <w:rPr>
                <w:rFonts w:hint="eastAsia" w:cs="Times New Roman"/>
                <w:bCs/>
                <w:color w:val="auto"/>
                <w:sz w:val="24"/>
                <w:szCs w:val="24"/>
                <w:highlight w:val="none"/>
                <w:lang w:val="en-US" w:eastAsia="zh-CN"/>
              </w:rPr>
              <w:t>如下表所示</w:t>
            </w:r>
            <w:r>
              <w:rPr>
                <w:rFonts w:hint="eastAsia" w:cs="Times New Roman"/>
                <w:bCs/>
                <w:color w:val="auto"/>
                <w:sz w:val="24"/>
                <w:szCs w:val="24"/>
                <w:highlight w:val="none"/>
                <w:lang w:eastAsia="zh-CN"/>
              </w:rPr>
              <w:t>。</w:t>
            </w:r>
          </w:p>
          <w:p w14:paraId="2CCBF11B">
            <w:pPr>
              <w:pStyle w:val="98"/>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与韶关市“三线一单”</w:t>
            </w:r>
            <w:r>
              <w:rPr>
                <w:rFonts w:hint="eastAsia"/>
                <w:color w:val="auto"/>
                <w:sz w:val="21"/>
                <w:szCs w:val="21"/>
                <w:highlight w:val="none"/>
              </w:rPr>
              <w:t>相符性分析一览表</w:t>
            </w:r>
          </w:p>
          <w:tbl>
            <w:tblPr>
              <w:tblStyle w:val="38"/>
              <w:tblW w:w="134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6055"/>
              <w:gridCol w:w="5643"/>
              <w:gridCol w:w="1019"/>
            </w:tblGrid>
            <w:tr w14:paraId="68202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82" w:type="pct"/>
                  <w:vAlign w:val="center"/>
                </w:tcPr>
                <w:p w14:paraId="6E749E0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类别</w:t>
                  </w:r>
                </w:p>
              </w:tc>
              <w:tc>
                <w:tcPr>
                  <w:tcW w:w="2246" w:type="pct"/>
                  <w:vAlign w:val="center"/>
                </w:tcPr>
                <w:p w14:paraId="16F00BEA">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文件要求</w:t>
                  </w:r>
                </w:p>
              </w:tc>
              <w:tc>
                <w:tcPr>
                  <w:tcW w:w="2093" w:type="pct"/>
                  <w:vAlign w:val="center"/>
                </w:tcPr>
                <w:p w14:paraId="32B50E7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本项目情况</w:t>
                  </w:r>
                </w:p>
              </w:tc>
              <w:tc>
                <w:tcPr>
                  <w:tcW w:w="378" w:type="pct"/>
                  <w:vAlign w:val="center"/>
                </w:tcPr>
                <w:p w14:paraId="00BB4DF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符合性</w:t>
                  </w:r>
                </w:p>
              </w:tc>
            </w:tr>
            <w:tr w14:paraId="537AD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1AA89DDC">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生态保护红线</w:t>
                  </w:r>
                </w:p>
              </w:tc>
              <w:tc>
                <w:tcPr>
                  <w:tcW w:w="2246" w:type="pct"/>
                  <w:vAlign w:val="center"/>
                </w:tcPr>
                <w:p w14:paraId="712300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lang w:bidi="ar"/>
                    </w:rPr>
                  </w:pPr>
                  <w:r>
                    <w:rPr>
                      <w:rFonts w:hint="eastAsia" w:ascii="宋体" w:hAnsi="宋体" w:eastAsia="宋体" w:cs="宋体"/>
                      <w:color w:val="auto"/>
                      <w:kern w:val="0"/>
                      <w:sz w:val="21"/>
                      <w:szCs w:val="21"/>
                      <w:highlight w:val="none"/>
                      <w:lang w:val="en-US" w:eastAsia="zh-CN" w:bidi="ar"/>
                    </w:rPr>
                    <w:t>生态保护红线及一般生态空间。全市陆域生态保护红线面积</w:t>
                  </w:r>
                  <w:r>
                    <w:rPr>
                      <w:rFonts w:hint="default" w:ascii="Times New Roman" w:hAnsi="Times New Roman" w:eastAsia="宋体" w:cs="Times New Roman"/>
                      <w:color w:val="auto"/>
                      <w:kern w:val="0"/>
                      <w:sz w:val="21"/>
                      <w:szCs w:val="21"/>
                      <w:highlight w:val="none"/>
                      <w:lang w:val="en-US" w:eastAsia="zh-CN" w:bidi="ar"/>
                    </w:rPr>
                    <w:t>5827.58</w:t>
                  </w:r>
                  <w:r>
                    <w:rPr>
                      <w:rFonts w:hint="eastAsia" w:ascii="宋体" w:hAnsi="宋体" w:eastAsia="宋体" w:cs="宋体"/>
                      <w:color w:val="auto"/>
                      <w:kern w:val="0"/>
                      <w:sz w:val="21"/>
                      <w:szCs w:val="21"/>
                      <w:highlight w:val="none"/>
                      <w:lang w:val="en-US" w:eastAsia="zh-CN" w:bidi="ar"/>
                    </w:rPr>
                    <w:t>平方千米，占全市陆域国土面积的</w:t>
                  </w:r>
                  <w:r>
                    <w:rPr>
                      <w:rFonts w:hint="default" w:ascii="Times New Roman" w:hAnsi="Times New Roman" w:eastAsia="宋体" w:cs="Times New Roman"/>
                      <w:color w:val="auto"/>
                      <w:kern w:val="0"/>
                      <w:sz w:val="21"/>
                      <w:szCs w:val="21"/>
                      <w:highlight w:val="none"/>
                      <w:lang w:val="en-US" w:eastAsia="zh-CN" w:bidi="ar"/>
                    </w:rPr>
                    <w:t>31.65%</w:t>
                  </w:r>
                  <w:r>
                    <w:rPr>
                      <w:rFonts w:hint="eastAsia" w:ascii="宋体" w:hAnsi="宋体" w:eastAsia="宋体" w:cs="宋体"/>
                      <w:color w:val="auto"/>
                      <w:kern w:val="0"/>
                      <w:sz w:val="21"/>
                      <w:szCs w:val="21"/>
                      <w:highlight w:val="none"/>
                      <w:lang w:val="en-US" w:eastAsia="zh-CN" w:bidi="ar"/>
                    </w:rPr>
                    <w:t>；一般生态空间面积</w:t>
                  </w:r>
                  <w:r>
                    <w:rPr>
                      <w:rFonts w:hint="default" w:ascii="Times New Roman" w:hAnsi="Times New Roman" w:eastAsia="宋体" w:cs="Times New Roman"/>
                      <w:color w:val="auto"/>
                      <w:kern w:val="0"/>
                      <w:sz w:val="21"/>
                      <w:szCs w:val="21"/>
                      <w:highlight w:val="none"/>
                      <w:lang w:val="en-US" w:eastAsia="zh-CN" w:bidi="ar"/>
                    </w:rPr>
                    <w:t>4951.43</w:t>
                  </w:r>
                  <w:r>
                    <w:rPr>
                      <w:rFonts w:hint="eastAsia" w:ascii="宋体" w:hAnsi="宋体" w:eastAsia="宋体" w:cs="宋体"/>
                      <w:color w:val="auto"/>
                      <w:kern w:val="0"/>
                      <w:sz w:val="21"/>
                      <w:szCs w:val="21"/>
                      <w:highlight w:val="none"/>
                      <w:lang w:val="en-US" w:eastAsia="zh-CN" w:bidi="ar"/>
                    </w:rPr>
                    <w:t>平方千米</w:t>
                  </w:r>
                  <w:r>
                    <w:rPr>
                      <w:rFonts w:hint="eastAsia" w:ascii="宋体" w:hAnsi="宋体" w:eastAsia="宋体" w:cs="宋体"/>
                      <w:color w:val="auto"/>
                      <w:kern w:val="0"/>
                      <w:sz w:val="24"/>
                      <w:szCs w:val="24"/>
                      <w:highlight w:val="none"/>
                      <w:lang w:val="en-US" w:eastAsia="zh-CN" w:bidi="ar"/>
                    </w:rPr>
                    <w:t>。</w:t>
                  </w:r>
                </w:p>
                <w:p w14:paraId="284C1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eastAsia" w:ascii="宋体" w:hAnsi="宋体" w:eastAsia="宋体" w:cs="宋体"/>
                      <w:color w:val="auto"/>
                      <w:kern w:val="0"/>
                      <w:sz w:val="21"/>
                      <w:szCs w:val="21"/>
                      <w:highlight w:val="none"/>
                      <w:lang w:val="en-US" w:eastAsia="zh-CN" w:bidi="ar"/>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tc>
              <w:tc>
                <w:tcPr>
                  <w:tcW w:w="2093" w:type="pct"/>
                  <w:vAlign w:val="center"/>
                </w:tcPr>
                <w:p w14:paraId="75777E8D">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本项目选址不涉及自然保护区、风景名胜区、饮用水源保护区、基本农田保护区及其它需要特殊保护的敏感区域，项目位于</w:t>
                  </w:r>
                  <w:r>
                    <w:rPr>
                      <w:rFonts w:hint="eastAsia" w:cs="Times New Roman"/>
                      <w:color w:val="auto"/>
                      <w:kern w:val="0"/>
                      <w:sz w:val="21"/>
                      <w:szCs w:val="21"/>
                      <w:highlight w:val="none"/>
                      <w:lang w:eastAsia="zh-CN"/>
                    </w:rPr>
                    <w:t>韶关市乐昌市乐昌产业转移工业园GL-01-15-02地块</w:t>
                  </w:r>
                  <w:r>
                    <w:rPr>
                      <w:rFonts w:hint="default" w:ascii="Times New Roman" w:hAnsi="Times New Roman" w:cs="Times New Roman"/>
                      <w:color w:val="auto"/>
                      <w:sz w:val="21"/>
                      <w:szCs w:val="21"/>
                      <w:highlight w:val="none"/>
                    </w:rPr>
                    <w:t>，不在生态红线内。</w:t>
                  </w:r>
                </w:p>
              </w:tc>
              <w:tc>
                <w:tcPr>
                  <w:tcW w:w="378" w:type="pct"/>
                  <w:vAlign w:val="center"/>
                </w:tcPr>
                <w:p w14:paraId="75AF547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1A416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5" w:hRule="atLeast"/>
                <w:jc w:val="center"/>
              </w:trPr>
              <w:tc>
                <w:tcPr>
                  <w:tcW w:w="282" w:type="pct"/>
                  <w:vAlign w:val="center"/>
                </w:tcPr>
                <w:p w14:paraId="498DE7B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环境质量底线</w:t>
                  </w:r>
                </w:p>
              </w:tc>
              <w:tc>
                <w:tcPr>
                  <w:tcW w:w="2246" w:type="pct"/>
                  <w:vAlign w:val="center"/>
                </w:tcPr>
                <w:p w14:paraId="7E41D5E9">
                  <w:pPr>
                    <w:keepNext w:val="0"/>
                    <w:keepLines w:val="0"/>
                    <w:pageBreakBefore w:val="0"/>
                    <w:widowControl/>
                    <w:suppressLineNumbers w:val="0"/>
                    <w:kinsoku/>
                    <w:wordWrap/>
                    <w:overflowPunct/>
                    <w:topLinePunct w:val="0"/>
                    <w:bidi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全市水环境质量保持优良，县级以上集中式饮用水水源水质全面稳定达到或优于Ⅲ类，考核断面优良水质比例达100%。大气环境质量持续改善，AQI和PM</w:t>
                  </w:r>
                  <w:r>
                    <w:rPr>
                      <w:rFonts w:hint="default" w:ascii="Times New Roman" w:hAnsi="Times New Roman" w:cs="Times New Roman"/>
                      <w:color w:val="auto"/>
                      <w:kern w:val="0"/>
                      <w:sz w:val="21"/>
                      <w:szCs w:val="21"/>
                      <w:highlight w:val="none"/>
                      <w:vertAlign w:val="subscript"/>
                    </w:rPr>
                    <w:t>2.5</w:t>
                  </w:r>
                  <w:r>
                    <w:rPr>
                      <w:rFonts w:hint="default" w:ascii="Times New Roman" w:hAnsi="Times New Roman" w:cs="Times New Roman"/>
                      <w:color w:val="auto"/>
                      <w:kern w:val="0"/>
                      <w:sz w:val="21"/>
                      <w:szCs w:val="21"/>
                      <w:highlight w:val="none"/>
                    </w:rPr>
                    <w:t>等主要指标达到省下达的任务要求，臭氧污染得到有效遏制。土壤环境质量稳中向好，土壤环境风险得到管控。</w:t>
                  </w:r>
                </w:p>
              </w:tc>
              <w:tc>
                <w:tcPr>
                  <w:tcW w:w="2093" w:type="pct"/>
                  <w:vAlign w:val="center"/>
                </w:tcPr>
                <w:p w14:paraId="659C4212">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项目所在区域的声环境质量能够符合相应的标准要求；地表水质量达标；根据《韶关市生态环境状况公报》（2023年）</w:t>
                  </w:r>
                  <w:r>
                    <w:rPr>
                      <w:rFonts w:hint="default" w:ascii="Times New Roman" w:hAnsi="Times New Roman" w:cs="Times New Roman"/>
                      <w:bCs/>
                      <w:color w:val="auto"/>
                      <w:sz w:val="21"/>
                      <w:szCs w:val="21"/>
                      <w:highlight w:val="none"/>
                    </w:rPr>
                    <w:t>，乐昌市</w:t>
                  </w:r>
                  <w:r>
                    <w:rPr>
                      <w:rFonts w:hint="eastAsia" w:cs="Times New Roman"/>
                      <w:bCs/>
                      <w:color w:val="auto"/>
                      <w:sz w:val="21"/>
                      <w:szCs w:val="21"/>
                      <w:highlight w:val="none"/>
                      <w:lang w:val="en-US" w:eastAsia="zh-CN"/>
                    </w:rPr>
                    <w:t>各项基本污染物</w:t>
                  </w:r>
                  <w:r>
                    <w:rPr>
                      <w:rFonts w:hint="default" w:ascii="Times New Roman" w:hAnsi="Times New Roman" w:cs="Times New Roman"/>
                      <w:bCs/>
                      <w:color w:val="auto"/>
                      <w:sz w:val="21"/>
                      <w:szCs w:val="21"/>
                      <w:highlight w:val="none"/>
                    </w:rPr>
                    <w:t>均满足《环境空气质量标准》(GB3095-2012)及2018年修改单二级标准，由此说明</w:t>
                  </w:r>
                  <w:r>
                    <w:rPr>
                      <w:rFonts w:hint="eastAsia" w:ascii="Times New Roman" w:hAnsi="Times New Roman" w:cs="Times New Roman"/>
                      <w:bCs/>
                      <w:color w:val="auto"/>
                      <w:sz w:val="21"/>
                      <w:szCs w:val="21"/>
                      <w:highlight w:val="none"/>
                      <w:lang w:val="en-US" w:eastAsia="zh-CN"/>
                    </w:rPr>
                    <w:t>韶关市</w:t>
                  </w:r>
                  <w:r>
                    <w:rPr>
                      <w:rFonts w:hint="default" w:ascii="Times New Roman" w:hAnsi="Times New Roman" w:cs="Times New Roman"/>
                      <w:bCs/>
                      <w:color w:val="auto"/>
                      <w:sz w:val="21"/>
                      <w:szCs w:val="21"/>
                      <w:highlight w:val="none"/>
                    </w:rPr>
                    <w:t>乐昌市属于环境空气质量达标区</w:t>
                  </w:r>
                  <w:r>
                    <w:rPr>
                      <w:rFonts w:hint="default" w:ascii="Times New Roman" w:hAnsi="Times New Roman" w:cs="Times New Roman"/>
                      <w:color w:val="auto"/>
                      <w:kern w:val="0"/>
                      <w:sz w:val="21"/>
                      <w:szCs w:val="21"/>
                      <w:highlight w:val="none"/>
                    </w:rPr>
                    <w:t>。本项目排放的大气污染物</w:t>
                  </w:r>
                  <w:r>
                    <w:rPr>
                      <w:rFonts w:hint="eastAsia" w:ascii="Times New Roman" w:hAnsi="Times New Roman" w:cs="Times New Roman"/>
                      <w:color w:val="auto"/>
                      <w:kern w:val="0"/>
                      <w:sz w:val="21"/>
                      <w:szCs w:val="21"/>
                      <w:highlight w:val="none"/>
                      <w:lang w:val="en-US" w:eastAsia="zh-CN"/>
                    </w:rPr>
                    <w:t>为颗粒物、二氧化硫、氮氧化物</w:t>
                  </w:r>
                  <w:r>
                    <w:rPr>
                      <w:rFonts w:hint="default" w:ascii="Times New Roman" w:hAnsi="Times New Roman"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项目废气排放量较少</w:t>
                  </w:r>
                  <w:r>
                    <w:rPr>
                      <w:rFonts w:hint="default" w:ascii="Times New Roman" w:hAnsi="Times New Roman" w:cs="Times New Roman"/>
                      <w:color w:val="auto"/>
                      <w:kern w:val="0"/>
                      <w:sz w:val="21"/>
                      <w:szCs w:val="21"/>
                      <w:highlight w:val="none"/>
                    </w:rPr>
                    <w:t>，对周围大气环境影响不大。项目</w:t>
                  </w:r>
                  <w:r>
                    <w:rPr>
                      <w:rFonts w:hint="eastAsia" w:ascii="Times New Roman" w:hAnsi="Times New Roman" w:cs="Times New Roman"/>
                      <w:color w:val="auto"/>
                      <w:sz w:val="21"/>
                      <w:szCs w:val="21"/>
                      <w:highlight w:val="none"/>
                      <w:lang w:val="en-US" w:eastAsia="zh-CN"/>
                    </w:rPr>
                    <w:t>生产废水经自处理达标后、</w:t>
                  </w:r>
                  <w:r>
                    <w:rPr>
                      <w:rFonts w:hint="default" w:ascii="Times New Roman" w:hAnsi="Times New Roman" w:cs="Times New Roman"/>
                      <w:color w:val="auto"/>
                      <w:sz w:val="21"/>
                      <w:szCs w:val="21"/>
                      <w:highlight w:val="none"/>
                    </w:rPr>
                    <w:t>生活污水经三级化粪池预处理后</w:t>
                  </w:r>
                  <w:r>
                    <w:rPr>
                      <w:rFonts w:hint="eastAsia" w:ascii="Times New Roman" w:hAnsi="Times New Roman" w:cs="Times New Roman"/>
                      <w:color w:val="auto"/>
                      <w:sz w:val="21"/>
                      <w:szCs w:val="21"/>
                      <w:highlight w:val="none"/>
                      <w:lang w:val="en-US" w:eastAsia="zh-CN"/>
                    </w:rPr>
                    <w:t>一并排入园区污水处理厂处理</w:t>
                  </w:r>
                  <w:r>
                    <w:rPr>
                      <w:rFonts w:hint="default" w:ascii="Times New Roman" w:hAnsi="Times New Roman" w:cs="Times New Roman"/>
                      <w:color w:val="auto"/>
                      <w:sz w:val="21"/>
                      <w:szCs w:val="21"/>
                      <w:highlight w:val="none"/>
                    </w:rPr>
                    <w:t>。</w:t>
                  </w:r>
                </w:p>
              </w:tc>
              <w:tc>
                <w:tcPr>
                  <w:tcW w:w="378" w:type="pct"/>
                  <w:vAlign w:val="center"/>
                </w:tcPr>
                <w:p w14:paraId="4F6D9FF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r w14:paraId="7BD7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0" w:hRule="atLeast"/>
                <w:jc w:val="center"/>
              </w:trPr>
              <w:tc>
                <w:tcPr>
                  <w:tcW w:w="282" w:type="pct"/>
                  <w:vAlign w:val="center"/>
                </w:tcPr>
                <w:p w14:paraId="5AD6D97A">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资源利用上线</w:t>
                  </w:r>
                </w:p>
              </w:tc>
              <w:tc>
                <w:tcPr>
                  <w:tcW w:w="2246" w:type="pct"/>
                  <w:vAlign w:val="center"/>
                </w:tcPr>
                <w:p w14:paraId="282AB2F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强化节约集约利用，持续提升资源能源利用效率，水资源、土地资源、岸线资源、能源消耗等达到或优于国家、省下达的总量和强度控制目标。水资源利用效率持续提高。到</w:t>
                  </w:r>
                  <w:r>
                    <w:rPr>
                      <w:rFonts w:hint="default" w:ascii="Times New Roman" w:hAnsi="Times New Roman" w:eastAsia="宋体" w:cs="Times New Roman"/>
                      <w:color w:val="auto"/>
                      <w:kern w:val="0"/>
                      <w:sz w:val="21"/>
                      <w:szCs w:val="21"/>
                      <w:highlight w:val="none"/>
                      <w:lang w:val="en-US" w:eastAsia="zh-CN"/>
                    </w:rPr>
                    <w:t>2025</w:t>
                  </w:r>
                  <w:r>
                    <w:rPr>
                      <w:rFonts w:hint="eastAsia" w:ascii="Times New Roman" w:hAnsi="Times New Roman" w:eastAsia="宋体" w:cs="Times New Roman"/>
                      <w:color w:val="auto"/>
                      <w:kern w:val="0"/>
                      <w:sz w:val="21"/>
                      <w:szCs w:val="21"/>
                      <w:highlight w:val="none"/>
                      <w:lang w:val="en-US" w:eastAsia="zh-CN"/>
                    </w:rPr>
                    <w:t>年，全市用水总量控制在</w:t>
                  </w:r>
                  <w:r>
                    <w:rPr>
                      <w:rFonts w:hint="default" w:ascii="Times New Roman" w:hAnsi="Times New Roman" w:eastAsia="宋体" w:cs="Times New Roman"/>
                      <w:color w:val="auto"/>
                      <w:kern w:val="0"/>
                      <w:sz w:val="21"/>
                      <w:szCs w:val="21"/>
                      <w:highlight w:val="none"/>
                      <w:lang w:val="en-US" w:eastAsia="zh-CN"/>
                    </w:rPr>
                    <w:t>19.71</w:t>
                  </w:r>
                  <w:r>
                    <w:rPr>
                      <w:rFonts w:hint="eastAsia" w:ascii="Times New Roman" w:hAnsi="Times New Roman" w:eastAsia="宋体" w:cs="Times New Roman"/>
                      <w:color w:val="auto"/>
                      <w:kern w:val="0"/>
                      <w:sz w:val="21"/>
                      <w:szCs w:val="21"/>
                      <w:highlight w:val="none"/>
                      <w:lang w:val="en-US" w:eastAsia="zh-CN"/>
                    </w:rPr>
                    <w:t>亿立方米以内，万元地区生产总值用水量较</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年降幅不低于</w:t>
                  </w:r>
                  <w:r>
                    <w:rPr>
                      <w:rFonts w:hint="default" w:ascii="Times New Roman" w:hAnsi="Times New Roman" w:eastAsia="宋体" w:cs="Times New Roman"/>
                      <w:color w:val="auto"/>
                      <w:kern w:val="0"/>
                      <w:sz w:val="21"/>
                      <w:szCs w:val="21"/>
                      <w:highlight w:val="none"/>
                      <w:lang w:val="en-US" w:eastAsia="zh-CN"/>
                    </w:rPr>
                    <w:t>24%</w:t>
                  </w:r>
                  <w:r>
                    <w:rPr>
                      <w:rFonts w:hint="eastAsia" w:ascii="Times New Roman" w:hAnsi="Times New Roman" w:eastAsia="宋体" w:cs="Times New Roman"/>
                      <w:color w:val="auto"/>
                      <w:kern w:val="0"/>
                      <w:sz w:val="21"/>
                      <w:szCs w:val="21"/>
                      <w:highlight w:val="none"/>
                      <w:lang w:val="en-US" w:eastAsia="zh-CN"/>
                    </w:rPr>
                    <w:t>，万元工业增加值用水量较</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年降幅不低于</w:t>
                  </w:r>
                  <w:r>
                    <w:rPr>
                      <w:rFonts w:hint="default" w:ascii="Times New Roman" w:hAnsi="Times New Roman" w:eastAsia="宋体" w:cs="Times New Roman"/>
                      <w:color w:val="auto"/>
                      <w:kern w:val="0"/>
                      <w:sz w:val="21"/>
                      <w:szCs w:val="21"/>
                      <w:highlight w:val="none"/>
                      <w:lang w:val="en-US" w:eastAsia="zh-CN"/>
                    </w:rPr>
                    <w:t>20%</w:t>
                  </w:r>
                  <w:r>
                    <w:rPr>
                      <w:rFonts w:hint="eastAsia" w:ascii="Times New Roman" w:hAnsi="Times New Roman" w:eastAsia="宋体" w:cs="Times New Roman"/>
                      <w:color w:val="auto"/>
                      <w:kern w:val="0"/>
                      <w:sz w:val="21"/>
                      <w:szCs w:val="21"/>
                      <w:highlight w:val="none"/>
                      <w:lang w:val="en-US" w:eastAsia="zh-CN"/>
                    </w:rPr>
                    <w:t>。</w:t>
                  </w:r>
                </w:p>
                <w:p w14:paraId="3EA42B85">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土地资源集约化利用水平不断提升。耕地保有量、永久基本农田保护面积、建设用地总规模、城乡建设用地规模等严格落实国家和省下达的总量和强度控制指标。</w:t>
                  </w:r>
                </w:p>
                <w:p w14:paraId="186B249F">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岸线资源得到有效保护。自然岸线保有率达到省级考核要求。</w:t>
                  </w:r>
                </w:p>
                <w:p w14:paraId="31FCA7E1">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能源利用效率持续提升，能源结构不断优化。到</w:t>
                  </w:r>
                  <w:r>
                    <w:rPr>
                      <w:rFonts w:hint="default" w:ascii="Times New Roman" w:hAnsi="Times New Roman" w:eastAsia="宋体" w:cs="Times New Roman"/>
                      <w:color w:val="auto"/>
                      <w:kern w:val="0"/>
                      <w:sz w:val="21"/>
                      <w:szCs w:val="21"/>
                      <w:highlight w:val="none"/>
                      <w:lang w:val="en-US" w:eastAsia="zh-CN"/>
                    </w:rPr>
                    <w:t>2025</w:t>
                  </w:r>
                  <w:r>
                    <w:rPr>
                      <w:rFonts w:hint="eastAsia" w:ascii="Times New Roman" w:hAnsi="Times New Roman" w:eastAsia="宋体" w:cs="Times New Roman"/>
                      <w:color w:val="auto"/>
                      <w:kern w:val="0"/>
                      <w:sz w:val="21"/>
                      <w:szCs w:val="21"/>
                      <w:highlight w:val="none"/>
                      <w:lang w:val="en-US" w:eastAsia="zh-CN"/>
                    </w:rPr>
                    <w:t>年，全市单位地区生产总值能源消耗比</w:t>
                  </w:r>
                  <w:r>
                    <w:rPr>
                      <w:rFonts w:hint="default" w:ascii="Times New Roman" w:hAnsi="Times New Roman" w:eastAsia="宋体" w:cs="Times New Roman"/>
                      <w:color w:val="auto"/>
                      <w:kern w:val="0"/>
                      <w:sz w:val="21"/>
                      <w:szCs w:val="21"/>
                      <w:highlight w:val="none"/>
                      <w:lang w:val="en-US" w:eastAsia="zh-CN"/>
                    </w:rPr>
                    <w:t>2020</w:t>
                  </w:r>
                  <w:r>
                    <w:rPr>
                      <w:rFonts w:hint="eastAsia" w:ascii="Times New Roman" w:hAnsi="Times New Roman" w:eastAsia="宋体" w:cs="Times New Roman"/>
                      <w:color w:val="auto"/>
                      <w:kern w:val="0"/>
                      <w:sz w:val="21"/>
                      <w:szCs w:val="21"/>
                      <w:highlight w:val="none"/>
                      <w:lang w:val="en-US" w:eastAsia="zh-CN"/>
                    </w:rPr>
                    <w:t>年下降</w:t>
                  </w:r>
                  <w:r>
                    <w:rPr>
                      <w:rFonts w:hint="default" w:ascii="Times New Roman" w:hAnsi="Times New Roman" w:eastAsia="宋体" w:cs="Times New Roman"/>
                      <w:color w:val="auto"/>
                      <w:kern w:val="0"/>
                      <w:sz w:val="21"/>
                      <w:szCs w:val="21"/>
                      <w:highlight w:val="none"/>
                      <w:lang w:val="en-US" w:eastAsia="zh-CN"/>
                    </w:rPr>
                    <w:t>15.5%</w:t>
                  </w:r>
                  <w:r>
                    <w:rPr>
                      <w:rFonts w:hint="eastAsia" w:ascii="Times New Roman" w:hAnsi="Times New Roman" w:eastAsia="宋体" w:cs="Times New Roman"/>
                      <w:color w:val="auto"/>
                      <w:kern w:val="0"/>
                      <w:sz w:val="21"/>
                      <w:szCs w:val="21"/>
                      <w:highlight w:val="none"/>
                      <w:lang w:val="en-US" w:eastAsia="zh-CN"/>
                    </w:rPr>
                    <w:t>。碳排放控制步伐加快推进，与全省同步达峰。</w:t>
                  </w:r>
                </w:p>
              </w:tc>
              <w:tc>
                <w:tcPr>
                  <w:tcW w:w="2093" w:type="pct"/>
                  <w:vAlign w:val="center"/>
                </w:tcPr>
                <w:p w14:paraId="11529018">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both"/>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本项目营运过程中消耗一定量的电能</w:t>
                  </w:r>
                  <w:r>
                    <w:rPr>
                      <w:rFonts w:hint="eastAsia" w:ascii="Times New Roman" w:hAnsi="Times New Roman"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天然气</w:t>
                  </w:r>
                  <w:r>
                    <w:rPr>
                      <w:rFonts w:hint="default" w:ascii="Times New Roman" w:hAnsi="Times New Roman" w:cs="Times New Roman"/>
                      <w:color w:val="auto"/>
                      <w:kern w:val="0"/>
                      <w:sz w:val="21"/>
                      <w:szCs w:val="21"/>
                      <w:highlight w:val="none"/>
                    </w:rPr>
                    <w:t>、水资源，项目资源消耗量相对区域资料利用总量较少，符合资源利用上限的要求。</w:t>
                  </w:r>
                </w:p>
              </w:tc>
              <w:tc>
                <w:tcPr>
                  <w:tcW w:w="378" w:type="pct"/>
                  <w:vAlign w:val="center"/>
                </w:tcPr>
                <w:p w14:paraId="515D2880">
                  <w:pPr>
                    <w:keepNext w:val="0"/>
                    <w:keepLines w:val="0"/>
                    <w:pageBreakBefore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符合</w:t>
                  </w:r>
                </w:p>
              </w:tc>
            </w:tr>
          </w:tbl>
          <w:p w14:paraId="2FC5151B">
            <w:pPr>
              <w:pStyle w:val="98"/>
              <w:keepNext w:val="0"/>
              <w:keepLines w:val="0"/>
              <w:numPr>
                <w:ilvl w:val="0"/>
                <w:numId w:val="0"/>
              </w:numPr>
              <w:suppressLineNumbers w:val="0"/>
              <w:bidi w:val="0"/>
              <w:spacing w:before="0" w:beforeAutospacing="0" w:after="0" w:afterAutospacing="0"/>
              <w:ind w:left="0" w:leftChars="0" w:right="0"/>
              <w:jc w:val="both"/>
              <w:rPr>
                <w:rFonts w:hint="eastAsia"/>
                <w:color w:val="auto"/>
                <w:sz w:val="21"/>
                <w:szCs w:val="21"/>
                <w:highlight w:val="none"/>
              </w:rPr>
            </w:pPr>
          </w:p>
          <w:p w14:paraId="2B8DCAD8">
            <w:pPr>
              <w:pStyle w:val="98"/>
              <w:keepNext w:val="0"/>
              <w:keepLines w:val="0"/>
              <w:numPr>
                <w:ilvl w:val="0"/>
                <w:numId w:val="0"/>
              </w:numPr>
              <w:suppressLineNumbers w:val="0"/>
              <w:bidi w:val="0"/>
              <w:spacing w:before="0" w:beforeAutospacing="0" w:after="0" w:afterAutospacing="0"/>
              <w:ind w:left="0" w:leftChars="0" w:right="0"/>
              <w:jc w:val="both"/>
              <w:rPr>
                <w:rFonts w:hint="eastAsia"/>
                <w:color w:val="auto"/>
                <w:sz w:val="21"/>
                <w:szCs w:val="21"/>
                <w:highlight w:val="none"/>
              </w:rPr>
            </w:pPr>
          </w:p>
          <w:p w14:paraId="1DBEABA5">
            <w:pPr>
              <w:pStyle w:val="98"/>
              <w:keepNext w:val="0"/>
              <w:keepLines w:val="0"/>
              <w:numPr>
                <w:ilvl w:val="0"/>
                <w:numId w:val="0"/>
              </w:numPr>
              <w:suppressLineNumbers w:val="0"/>
              <w:bidi w:val="0"/>
              <w:spacing w:before="0" w:beforeAutospacing="0" w:after="0" w:afterAutospacing="0"/>
              <w:ind w:left="0" w:leftChars="0" w:right="0" w:firstLine="480" w:firstLineChars="200"/>
              <w:jc w:val="both"/>
              <w:rPr>
                <w:rFonts w:hint="default" w:eastAsia="宋体"/>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rPr>
              <w:t>本项目与</w:t>
            </w:r>
            <w:r>
              <w:rPr>
                <w:rFonts w:hint="eastAsia" w:ascii="Times New Roman" w:hAnsi="Times New Roman" w:cs="Times New Roman"/>
                <w:b w:val="0"/>
                <w:bCs w:val="0"/>
                <w:color w:val="auto"/>
                <w:sz w:val="24"/>
                <w:szCs w:val="24"/>
                <w:highlight w:val="none"/>
                <w:lang w:val="en-US" w:eastAsia="zh-CN"/>
              </w:rPr>
              <w:t>韶关市</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三线一单</w:t>
            </w:r>
            <w:r>
              <w:rPr>
                <w:rFonts w:hint="eastAsia"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val="en-US" w:eastAsia="zh-CN"/>
              </w:rPr>
              <w:t>全市管控要求如下表所示：</w:t>
            </w:r>
          </w:p>
          <w:p w14:paraId="16F3ABE0">
            <w:pPr>
              <w:pStyle w:val="98"/>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与“三线一单”全市管控要求相符性分析</w:t>
            </w:r>
          </w:p>
          <w:tbl>
            <w:tblPr>
              <w:tblStyle w:val="39"/>
              <w:tblW w:w="501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865"/>
              <w:gridCol w:w="8125"/>
              <w:gridCol w:w="3151"/>
              <w:gridCol w:w="855"/>
            </w:tblGrid>
            <w:tr w14:paraId="1301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13" w:type="pct"/>
                  <w:gridSpan w:val="2"/>
                  <w:tcBorders>
                    <w:tl2br w:val="nil"/>
                    <w:tr2bl w:val="nil"/>
                  </w:tcBorders>
                  <w:vAlign w:val="center"/>
                </w:tcPr>
                <w:p w14:paraId="239738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内容</w:t>
                  </w:r>
                </w:p>
              </w:tc>
              <w:tc>
                <w:tcPr>
                  <w:tcW w:w="3004" w:type="pct"/>
                  <w:tcBorders>
                    <w:tl2br w:val="nil"/>
                    <w:tr2bl w:val="nil"/>
                  </w:tcBorders>
                  <w:vAlign w:val="center"/>
                </w:tcPr>
                <w:p w14:paraId="2D91F57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要求</w:t>
                  </w:r>
                </w:p>
              </w:tc>
              <w:tc>
                <w:tcPr>
                  <w:tcW w:w="1165" w:type="pct"/>
                  <w:tcBorders>
                    <w:tl2br w:val="nil"/>
                    <w:tr2bl w:val="nil"/>
                  </w:tcBorders>
                  <w:vAlign w:val="center"/>
                </w:tcPr>
                <w:p w14:paraId="20EF5BD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相符性分析</w:t>
                  </w:r>
                </w:p>
              </w:tc>
              <w:tc>
                <w:tcPr>
                  <w:tcW w:w="316" w:type="pct"/>
                  <w:tcBorders>
                    <w:tl2br w:val="nil"/>
                    <w:tr2bl w:val="nil"/>
                  </w:tcBorders>
                  <w:vAlign w:val="center"/>
                </w:tcPr>
                <w:p w14:paraId="63DD282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结论</w:t>
                  </w:r>
                </w:p>
              </w:tc>
            </w:tr>
            <w:tr w14:paraId="457C9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93" w:type="pct"/>
                  <w:vMerge w:val="restart"/>
                  <w:tcBorders>
                    <w:tl2br w:val="nil"/>
                    <w:tr2bl w:val="nil"/>
                  </w:tcBorders>
                  <w:vAlign w:val="center"/>
                </w:tcPr>
                <w:p w14:paraId="7DFEDA2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全市总体管控</w:t>
                  </w:r>
                </w:p>
              </w:tc>
              <w:tc>
                <w:tcPr>
                  <w:tcW w:w="319" w:type="pct"/>
                  <w:tcBorders>
                    <w:tl2br w:val="nil"/>
                    <w:tr2bl w:val="nil"/>
                  </w:tcBorders>
                  <w:vAlign w:val="center"/>
                </w:tcPr>
                <w:p w14:paraId="61EEACF7">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kern w:val="0"/>
                      <w:sz w:val="21"/>
                      <w:szCs w:val="21"/>
                      <w:highlight w:val="none"/>
                      <w:lang w:bidi="ar"/>
                    </w:rPr>
                    <w:t>区域布局管控</w:t>
                  </w:r>
                </w:p>
              </w:tc>
              <w:tc>
                <w:tcPr>
                  <w:tcW w:w="3004" w:type="pct"/>
                  <w:tcBorders>
                    <w:tl2br w:val="nil"/>
                    <w:tr2bl w:val="nil"/>
                  </w:tcBorders>
                  <w:vAlign w:val="center"/>
                </w:tcPr>
                <w:p w14:paraId="486F9D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b/>
                      <w:bCs/>
                      <w:color w:val="auto"/>
                      <w:sz w:val="21"/>
                      <w:szCs w:val="21"/>
                      <w:highlight w:val="none"/>
                    </w:rPr>
                  </w:pPr>
                  <w:r>
                    <w:rPr>
                      <w:rFonts w:hint="eastAsia"/>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165" w:type="pct"/>
                  <w:tcBorders>
                    <w:tl2br w:val="nil"/>
                    <w:tr2bl w:val="nil"/>
                  </w:tcBorders>
                  <w:vAlign w:val="center"/>
                </w:tcPr>
                <w:p w14:paraId="03F4ACF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主要从事金属表面处理及热处理加工行业，不涉重金属，不属于高污染高耗能行业，项目位于乐昌产业转移工业园，园区已开展规划环境评价，项目符合园区准入条件。项目所在地属于环境功能二类区、水环境质量达标区。</w:t>
                  </w:r>
                </w:p>
              </w:tc>
              <w:tc>
                <w:tcPr>
                  <w:tcW w:w="316" w:type="pct"/>
                  <w:tcBorders>
                    <w:tl2br w:val="nil"/>
                    <w:tr2bl w:val="nil"/>
                  </w:tcBorders>
                  <w:vAlign w:val="center"/>
                </w:tcPr>
                <w:p w14:paraId="264613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10A4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93" w:type="pct"/>
                  <w:vMerge w:val="continue"/>
                  <w:tcBorders>
                    <w:tl2br w:val="nil"/>
                    <w:tr2bl w:val="nil"/>
                  </w:tcBorders>
                  <w:vAlign w:val="center"/>
                </w:tcPr>
                <w:p w14:paraId="3C0DFBE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725E5E9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能源资源利用</w:t>
                  </w:r>
                </w:p>
              </w:tc>
              <w:tc>
                <w:tcPr>
                  <w:tcW w:w="3004" w:type="pct"/>
                  <w:tcBorders>
                    <w:tl2br w:val="nil"/>
                    <w:tr2bl w:val="nil"/>
                  </w:tcBorders>
                  <w:vAlign w:val="center"/>
                </w:tcPr>
                <w:p w14:paraId="1A20D56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165" w:type="pct"/>
                  <w:tcBorders>
                    <w:tl2br w:val="nil"/>
                    <w:tr2bl w:val="nil"/>
                  </w:tcBorders>
                  <w:vAlign w:val="center"/>
                </w:tcPr>
                <w:p w14:paraId="5104A64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w:t>
                  </w:r>
                  <w:r>
                    <w:rPr>
                      <w:rFonts w:hint="eastAsia"/>
                      <w:color w:val="auto"/>
                      <w:sz w:val="21"/>
                      <w:szCs w:val="21"/>
                      <w:highlight w:val="none"/>
                      <w:lang w:eastAsia="zh-CN"/>
                    </w:rPr>
                    <w:t>属于</w:t>
                  </w:r>
                  <w:r>
                    <w:rPr>
                      <w:rFonts w:hint="eastAsia"/>
                      <w:color w:val="auto"/>
                      <w:sz w:val="21"/>
                      <w:szCs w:val="21"/>
                      <w:highlight w:val="none"/>
                    </w:rPr>
                    <w:t>金属表面处理及热处理加工行业，不属于电力、建材、冶炼等重点耗能行业，不涉及水电、风电、矿产资源开发。项目烘水炉能源使用天然气，天然气属于清洁能源。</w:t>
                  </w:r>
                </w:p>
              </w:tc>
              <w:tc>
                <w:tcPr>
                  <w:tcW w:w="316" w:type="pct"/>
                  <w:tcBorders>
                    <w:tl2br w:val="nil"/>
                    <w:tr2bl w:val="nil"/>
                  </w:tcBorders>
                  <w:vAlign w:val="center"/>
                </w:tcPr>
                <w:p w14:paraId="11DC7E7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096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93" w:type="pct"/>
                  <w:vMerge w:val="continue"/>
                  <w:tcBorders>
                    <w:tl2br w:val="nil"/>
                    <w:tr2bl w:val="nil"/>
                  </w:tcBorders>
                  <w:vAlign w:val="center"/>
                </w:tcPr>
                <w:p w14:paraId="7207B0F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p>
              </w:tc>
              <w:tc>
                <w:tcPr>
                  <w:tcW w:w="319" w:type="pct"/>
                  <w:tcBorders>
                    <w:tl2br w:val="nil"/>
                    <w:tr2bl w:val="nil"/>
                  </w:tcBorders>
                  <w:vAlign w:val="center"/>
                </w:tcPr>
                <w:p w14:paraId="793CE60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污染物排放管控</w:t>
                  </w:r>
                </w:p>
              </w:tc>
              <w:tc>
                <w:tcPr>
                  <w:tcW w:w="3004" w:type="pct"/>
                  <w:tcBorders>
                    <w:tl2br w:val="nil"/>
                    <w:tr2bl w:val="nil"/>
                  </w:tcBorders>
                  <w:vAlign w:val="center"/>
                </w:tcPr>
                <w:p w14:paraId="3DEFB6F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78369EB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56C8A7A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3ED7C0F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b/>
                      <w:bCs/>
                      <w:color w:val="auto"/>
                      <w:sz w:val="21"/>
                      <w:szCs w:val="21"/>
                      <w:highlight w:val="none"/>
                    </w:rPr>
                  </w:pPr>
                  <w:r>
                    <w:rPr>
                      <w:rFonts w:hint="eastAsia"/>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165" w:type="pct"/>
                  <w:tcBorders>
                    <w:tl2br w:val="nil"/>
                    <w:tr2bl w:val="nil"/>
                  </w:tcBorders>
                  <w:vAlign w:val="center"/>
                </w:tcPr>
                <w:p w14:paraId="1E5108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为金属表面处理及热处理加工行业，不属于造纸、焦化、有色金属、印染、农副食品加工、原料药制造、制革、农药、电镀等行业，不属于“两高”项目。氮氧化物实行总量控制，项目不使用含VOCs物料。项目所在地不涉及饮用水水源保护区，生产废水经自建污水处理站处理后</w:t>
                  </w:r>
                  <w:r>
                    <w:rPr>
                      <w:rFonts w:hint="eastAsia"/>
                      <w:color w:val="auto"/>
                      <w:sz w:val="21"/>
                      <w:szCs w:val="21"/>
                      <w:highlight w:val="none"/>
                      <w:lang w:eastAsia="zh-CN"/>
                    </w:rPr>
                    <w:t>，</w:t>
                  </w:r>
                  <w:r>
                    <w:rPr>
                      <w:rFonts w:hint="eastAsia"/>
                      <w:color w:val="auto"/>
                      <w:sz w:val="21"/>
                      <w:szCs w:val="21"/>
                      <w:highlight w:val="none"/>
                    </w:rPr>
                    <w:t>排入园区污水处理厂</w:t>
                  </w:r>
                  <w:r>
                    <w:rPr>
                      <w:rFonts w:hint="eastAsia"/>
                      <w:color w:val="auto"/>
                      <w:sz w:val="21"/>
                      <w:szCs w:val="21"/>
                      <w:highlight w:val="none"/>
                      <w:lang w:val="en-US" w:eastAsia="zh-CN"/>
                    </w:rPr>
                    <w:t>深度处理</w:t>
                  </w:r>
                  <w:r>
                    <w:rPr>
                      <w:rFonts w:hint="eastAsia"/>
                      <w:color w:val="auto"/>
                      <w:sz w:val="21"/>
                      <w:szCs w:val="21"/>
                      <w:highlight w:val="none"/>
                    </w:rPr>
                    <w:t>，</w:t>
                  </w:r>
                  <w:r>
                    <w:rPr>
                      <w:rFonts w:hint="eastAsia"/>
                      <w:color w:val="auto"/>
                      <w:sz w:val="21"/>
                      <w:szCs w:val="21"/>
                      <w:highlight w:val="none"/>
                      <w:lang w:val="en-US" w:eastAsia="zh-CN"/>
                    </w:rPr>
                    <w:t>处理</w:t>
                  </w:r>
                  <w:r>
                    <w:rPr>
                      <w:rFonts w:hint="eastAsia"/>
                      <w:color w:val="auto"/>
                      <w:sz w:val="21"/>
                      <w:szCs w:val="21"/>
                      <w:highlight w:val="none"/>
                    </w:rPr>
                    <w:t>达标后通过出水管道输送</w:t>
                  </w:r>
                  <w:r>
                    <w:rPr>
                      <w:rFonts w:hint="eastAsia"/>
                      <w:color w:val="auto"/>
                      <w:sz w:val="21"/>
                      <w:szCs w:val="21"/>
                      <w:highlight w:val="none"/>
                      <w:lang w:val="en-US" w:eastAsia="zh-CN"/>
                    </w:rPr>
                    <w:t>尾水</w:t>
                  </w:r>
                  <w:r>
                    <w:rPr>
                      <w:rFonts w:hint="eastAsia"/>
                      <w:color w:val="auto"/>
                      <w:sz w:val="21"/>
                      <w:szCs w:val="21"/>
                      <w:highlight w:val="none"/>
                      <w:lang w:eastAsia="zh-CN"/>
                    </w:rPr>
                    <w:t>，</w:t>
                  </w:r>
                  <w:r>
                    <w:rPr>
                      <w:rFonts w:hint="eastAsia"/>
                      <w:color w:val="auto"/>
                      <w:sz w:val="21"/>
                      <w:szCs w:val="21"/>
                      <w:highlight w:val="none"/>
                      <w:lang w:val="en-US" w:eastAsia="zh-CN"/>
                    </w:rPr>
                    <w:t>经</w:t>
                  </w:r>
                  <w:r>
                    <w:rPr>
                      <w:rFonts w:hint="eastAsia"/>
                      <w:color w:val="auto"/>
                      <w:sz w:val="21"/>
                      <w:szCs w:val="21"/>
                      <w:highlight w:val="none"/>
                    </w:rPr>
                    <w:t>废水排放口</w:t>
                  </w:r>
                  <w:r>
                    <w:rPr>
                      <w:rFonts w:hint="eastAsia"/>
                      <w:color w:val="auto"/>
                      <w:sz w:val="21"/>
                      <w:szCs w:val="21"/>
                      <w:highlight w:val="none"/>
                      <w:lang w:eastAsia="zh-CN"/>
                    </w:rPr>
                    <w:t>（</w:t>
                  </w:r>
                  <w:r>
                    <w:rPr>
                      <w:rFonts w:hint="eastAsia"/>
                      <w:color w:val="auto"/>
                      <w:sz w:val="21"/>
                      <w:szCs w:val="21"/>
                      <w:highlight w:val="none"/>
                    </w:rPr>
                    <w:t>WS-LC005001</w:t>
                  </w:r>
                  <w:r>
                    <w:rPr>
                      <w:rFonts w:hint="eastAsia"/>
                      <w:color w:val="auto"/>
                      <w:sz w:val="21"/>
                      <w:szCs w:val="21"/>
                      <w:highlight w:val="none"/>
                      <w:lang w:eastAsia="zh-CN"/>
                    </w:rPr>
                    <w:t>）</w:t>
                  </w:r>
                  <w:r>
                    <w:rPr>
                      <w:rFonts w:hint="eastAsia"/>
                      <w:color w:val="auto"/>
                      <w:sz w:val="21"/>
                      <w:szCs w:val="21"/>
                      <w:highlight w:val="none"/>
                      <w:lang w:val="en-US" w:eastAsia="zh-CN"/>
                    </w:rPr>
                    <w:t>排放至</w:t>
                  </w:r>
                  <w:r>
                    <w:rPr>
                      <w:rFonts w:hint="eastAsia"/>
                      <w:color w:val="auto"/>
                      <w:sz w:val="21"/>
                      <w:szCs w:val="21"/>
                      <w:highlight w:val="none"/>
                    </w:rPr>
                    <w:t>榴村霜降坑河</w:t>
                  </w:r>
                  <w:r>
                    <w:rPr>
                      <w:rFonts w:hint="eastAsia"/>
                      <w:color w:val="auto"/>
                      <w:sz w:val="21"/>
                      <w:szCs w:val="21"/>
                      <w:highlight w:val="none"/>
                      <w:lang w:eastAsia="zh-CN"/>
                    </w:rPr>
                    <w:t>，</w:t>
                  </w:r>
                  <w:r>
                    <w:rPr>
                      <w:rFonts w:hint="eastAsia"/>
                      <w:color w:val="auto"/>
                      <w:sz w:val="21"/>
                      <w:szCs w:val="21"/>
                      <w:highlight w:val="none"/>
                      <w:lang w:val="en-US" w:eastAsia="zh-CN"/>
                    </w:rPr>
                    <w:t>最终</w:t>
                  </w:r>
                  <w:r>
                    <w:rPr>
                      <w:rFonts w:hint="eastAsia"/>
                      <w:color w:val="auto"/>
                      <w:sz w:val="21"/>
                      <w:szCs w:val="21"/>
                      <w:highlight w:val="none"/>
                    </w:rPr>
                    <w:t>流入武江；生活污水经三级化粪池处理后排入园区污水处理厂，园区污水处理厂执行《城镇污水处理厂污染物排放标准》(GB18918-2002)中一级B标准和广东省《水污染物排放限值</w:t>
                  </w:r>
                  <w:r>
                    <w:rPr>
                      <w:rFonts w:hint="eastAsia"/>
                      <w:color w:val="auto"/>
                      <w:sz w:val="21"/>
                      <w:szCs w:val="21"/>
                      <w:highlight w:val="none"/>
                      <w:lang w:eastAsia="zh-CN"/>
                    </w:rPr>
                    <w:t>》</w:t>
                  </w:r>
                  <w:r>
                    <w:rPr>
                      <w:rFonts w:hint="eastAsia"/>
                      <w:color w:val="auto"/>
                      <w:sz w:val="21"/>
                      <w:szCs w:val="21"/>
                      <w:highlight w:val="none"/>
                    </w:rPr>
                    <w:t>（DB44/26-2001）中的第二时段一级排放标准中严者。</w:t>
                  </w:r>
                </w:p>
              </w:tc>
              <w:tc>
                <w:tcPr>
                  <w:tcW w:w="316" w:type="pct"/>
                  <w:tcBorders>
                    <w:tl2br w:val="nil"/>
                    <w:tr2bl w:val="nil"/>
                  </w:tcBorders>
                  <w:vAlign w:val="center"/>
                </w:tcPr>
                <w:p w14:paraId="5FFE870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color w:val="auto"/>
                      <w:sz w:val="21"/>
                      <w:szCs w:val="21"/>
                      <w:highlight w:val="none"/>
                    </w:rPr>
                    <w:t>符合</w:t>
                  </w:r>
                </w:p>
              </w:tc>
            </w:tr>
            <w:tr w14:paraId="004C6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93" w:type="pct"/>
                  <w:vMerge w:val="continue"/>
                  <w:tcBorders>
                    <w:tl2br w:val="nil"/>
                    <w:tr2bl w:val="nil"/>
                  </w:tcBorders>
                  <w:vAlign w:val="center"/>
                </w:tcPr>
                <w:p w14:paraId="016E2B2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19" w:type="pct"/>
                  <w:tcBorders>
                    <w:tl2br w:val="nil"/>
                    <w:tr2bl w:val="nil"/>
                  </w:tcBorders>
                  <w:vAlign w:val="center"/>
                </w:tcPr>
                <w:p w14:paraId="4366016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环境风险管控</w:t>
                  </w:r>
                </w:p>
              </w:tc>
              <w:tc>
                <w:tcPr>
                  <w:tcW w:w="3004" w:type="pct"/>
                  <w:tcBorders>
                    <w:tl2br w:val="nil"/>
                    <w:tr2bl w:val="nil"/>
                  </w:tcBorders>
                  <w:vAlign w:val="center"/>
                </w:tcPr>
                <w:p w14:paraId="15C32CE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165" w:type="pct"/>
                  <w:tcBorders>
                    <w:tl2br w:val="nil"/>
                    <w:tr2bl w:val="nil"/>
                  </w:tcBorders>
                  <w:vAlign w:val="center"/>
                </w:tcPr>
                <w:p w14:paraId="2DF61CF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6" w:type="pct"/>
                  <w:tcBorders>
                    <w:tl2br w:val="nil"/>
                    <w:tr2bl w:val="nil"/>
                  </w:tcBorders>
                  <w:vAlign w:val="center"/>
                </w:tcPr>
                <w:p w14:paraId="4B8674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bl>
          <w:p w14:paraId="33B7F6F2">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本项目位于</w:t>
            </w:r>
            <w:r>
              <w:rPr>
                <w:rFonts w:hint="eastAsia" w:cs="Times New Roman"/>
                <w:color w:val="auto"/>
                <w:highlight w:val="none"/>
                <w:lang w:val="en-US" w:eastAsia="zh-CN"/>
              </w:rPr>
              <w:t>韶关市乐昌市乐昌产业转移工业园GL-01-15-02地块</w:t>
            </w:r>
            <w:r>
              <w:rPr>
                <w:rFonts w:hint="eastAsia" w:ascii="Times New Roman" w:hAnsi="Times New Roman" w:eastAsia="宋体" w:cs="Times New Roman"/>
                <w:color w:val="auto"/>
                <w:highlight w:val="none"/>
                <w:lang w:val="en-US" w:eastAsia="zh-CN"/>
              </w:rPr>
              <w:t>，根据广东省</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三线一单</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应用平台的查询结果，涉及5个单元，根据单元准入要求分析，总计发现需关注的准入要求16条，其他准入要求22条。其中：</w:t>
            </w:r>
          </w:p>
          <w:p w14:paraId="1A24DBEF">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（1）本项目</w:t>
            </w:r>
            <w:r>
              <w:rPr>
                <w:rFonts w:hint="eastAsia" w:ascii="Times New Roman" w:hAnsi="Times New Roman" w:eastAsia="宋体" w:cs="Times New Roman"/>
                <w:b w:val="0"/>
                <w:bCs w:val="0"/>
                <w:color w:val="auto"/>
                <w:kern w:val="0"/>
                <w:sz w:val="24"/>
                <w:szCs w:val="24"/>
                <w:highlight w:val="none"/>
                <w:lang w:val="en-US" w:eastAsia="zh-CN" w:bidi="ar"/>
              </w:rPr>
              <w:t>陆域环境管控单元为</w:t>
            </w:r>
            <w:r>
              <w:rPr>
                <w:rFonts w:hint="default" w:ascii="Times New Roman" w:hAnsi="Times New Roman" w:eastAsia="宋体" w:cs="Times New Roman"/>
                <w:b w:val="0"/>
                <w:bCs w:val="0"/>
                <w:color w:val="auto"/>
                <w:kern w:val="0"/>
                <w:sz w:val="24"/>
                <w:szCs w:val="24"/>
                <w:highlight w:val="none"/>
                <w:lang w:val="en-US" w:eastAsia="zh-CN" w:bidi="ar"/>
              </w:rPr>
              <w:t>ZH44028120003(乐昌经济开发区重点管控单元)（见附图</w:t>
            </w:r>
            <w:r>
              <w:rPr>
                <w:rFonts w:hint="eastAsia" w:ascii="Times New Roman" w:hAnsi="Times New Roman" w:eastAsia="宋体" w:cs="Times New Roman"/>
                <w:b w:val="0"/>
                <w:bCs w:val="0"/>
                <w:color w:val="auto"/>
                <w:kern w:val="0"/>
                <w:sz w:val="24"/>
                <w:szCs w:val="24"/>
                <w:highlight w:val="none"/>
                <w:lang w:val="en-US" w:eastAsia="zh-CN" w:bidi="ar"/>
              </w:rPr>
              <w:t>13-1</w:t>
            </w:r>
            <w:r>
              <w:rPr>
                <w:rFonts w:hint="default" w:ascii="Times New Roman" w:hAnsi="Times New Roman" w:eastAsia="宋体" w:cs="Times New Roman"/>
                <w:b w:val="0"/>
                <w:bCs w:val="0"/>
                <w:color w:val="auto"/>
                <w:kern w:val="0"/>
                <w:sz w:val="24"/>
                <w:szCs w:val="24"/>
                <w:highlight w:val="none"/>
                <w:lang w:val="en-US" w:eastAsia="zh-CN" w:bidi="ar"/>
              </w:rPr>
              <w:t>）。</w:t>
            </w:r>
          </w:p>
          <w:p w14:paraId="40F5FF30">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eastAsia="宋体" w:cs="Times New Roman"/>
                <w:b w:val="0"/>
                <w:bCs w:val="0"/>
                <w:color w:val="auto"/>
                <w:kern w:val="0"/>
                <w:sz w:val="24"/>
                <w:szCs w:val="24"/>
                <w:highlight w:val="none"/>
                <w:lang w:val="en-US" w:eastAsia="zh-CN" w:bidi="ar"/>
              </w:rPr>
              <w:t>2</w:t>
            </w:r>
            <w:r>
              <w:rPr>
                <w:rFonts w:hint="default" w:ascii="Times New Roman" w:hAnsi="Times New Roman" w:eastAsia="宋体" w:cs="Times New Roman"/>
                <w:b w:val="0"/>
                <w:bCs w:val="0"/>
                <w:color w:val="auto"/>
                <w:kern w:val="0"/>
                <w:sz w:val="24"/>
                <w:szCs w:val="24"/>
                <w:highlight w:val="none"/>
                <w:lang w:val="en-US" w:eastAsia="zh-CN" w:bidi="ar"/>
              </w:rPr>
              <w:t>）本项目</w:t>
            </w:r>
            <w:r>
              <w:rPr>
                <w:rFonts w:hint="eastAsia" w:ascii="Times New Roman" w:hAnsi="Times New Roman" w:eastAsia="宋体" w:cs="Times New Roman"/>
                <w:b w:val="0"/>
                <w:bCs w:val="0"/>
                <w:color w:val="auto"/>
                <w:kern w:val="0"/>
                <w:sz w:val="24"/>
                <w:szCs w:val="24"/>
                <w:highlight w:val="none"/>
                <w:lang w:val="en-US" w:eastAsia="zh-CN" w:bidi="ar"/>
              </w:rPr>
              <w:t>生态空间分区为YS4402813110001(乐昌市生态空间一般管控区)</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eastAsia" w:ascii="Times New Roman" w:hAnsi="Times New Roman" w:eastAsia="宋体" w:cs="Times New Roman"/>
                <w:b w:val="0"/>
                <w:bCs w:val="0"/>
                <w:color w:val="auto"/>
                <w:kern w:val="0"/>
                <w:sz w:val="24"/>
                <w:szCs w:val="24"/>
                <w:highlight w:val="none"/>
                <w:lang w:val="en-US" w:eastAsia="zh-CN" w:bidi="ar"/>
              </w:rPr>
              <w:t>13-2</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eastAsia="宋体" w:cs="Times New Roman"/>
                <w:b w:val="0"/>
                <w:bCs w:val="0"/>
                <w:color w:val="auto"/>
                <w:kern w:val="0"/>
                <w:sz w:val="24"/>
                <w:szCs w:val="24"/>
                <w:highlight w:val="none"/>
                <w:lang w:val="en-US" w:eastAsia="zh-CN" w:bidi="ar"/>
              </w:rPr>
              <w:t>。</w:t>
            </w:r>
          </w:p>
          <w:p w14:paraId="6296CE56">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eastAsia="宋体" w:cs="Times New Roman"/>
                <w:b w:val="0"/>
                <w:bCs w:val="0"/>
                <w:color w:val="auto"/>
                <w:kern w:val="0"/>
                <w:sz w:val="24"/>
                <w:szCs w:val="24"/>
                <w:highlight w:val="none"/>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）本项目</w:t>
            </w:r>
            <w:r>
              <w:rPr>
                <w:rFonts w:hint="eastAsia" w:ascii="Times New Roman" w:cs="Times New Roman"/>
                <w:b w:val="0"/>
                <w:bCs w:val="0"/>
                <w:color w:val="auto"/>
                <w:highlight w:val="none"/>
                <w:lang w:val="en-US" w:eastAsia="zh-CN"/>
              </w:rPr>
              <w:t>水环境管控分区为YS4402813210014(武水韶关市长来-廊田镇控制单元)</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eastAsia" w:ascii="Times New Roman" w:hAnsi="Times New Roman" w:eastAsia="宋体" w:cs="Times New Roman"/>
                <w:b w:val="0"/>
                <w:bCs w:val="0"/>
                <w:color w:val="auto"/>
                <w:kern w:val="0"/>
                <w:sz w:val="24"/>
                <w:szCs w:val="24"/>
                <w:highlight w:val="none"/>
                <w:lang w:val="en-US" w:eastAsia="zh-CN" w:bidi="ar"/>
              </w:rPr>
              <w:t>13-3</w:t>
            </w:r>
            <w:r>
              <w:rPr>
                <w:rFonts w:hint="default" w:ascii="Times New Roman" w:hAnsi="Times New Roman" w:eastAsia="宋体" w:cs="Times New Roman"/>
                <w:b w:val="0"/>
                <w:bCs w:val="0"/>
                <w:color w:val="auto"/>
                <w:kern w:val="0"/>
                <w:sz w:val="24"/>
                <w:szCs w:val="24"/>
                <w:highlight w:val="none"/>
                <w:lang w:val="en-US" w:eastAsia="zh-CN" w:bidi="ar"/>
              </w:rPr>
              <w:t>）。</w:t>
            </w:r>
          </w:p>
          <w:p w14:paraId="244EF526">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eastAsia="宋体" w:cs="Times New Roman"/>
                <w:b w:val="0"/>
                <w:bCs w:val="0"/>
                <w:color w:val="auto"/>
                <w:kern w:val="0"/>
                <w:sz w:val="24"/>
                <w:szCs w:val="24"/>
                <w:highlight w:val="none"/>
                <w:lang w:val="en-US" w:eastAsia="zh-CN" w:bidi="ar"/>
              </w:rPr>
              <w:t>4</w:t>
            </w:r>
            <w:r>
              <w:rPr>
                <w:rFonts w:hint="default" w:ascii="Times New Roman" w:hAnsi="Times New Roman" w:eastAsia="宋体" w:cs="Times New Roman"/>
                <w:b w:val="0"/>
                <w:bCs w:val="0"/>
                <w:color w:val="auto"/>
                <w:kern w:val="0"/>
                <w:sz w:val="24"/>
                <w:szCs w:val="24"/>
                <w:highlight w:val="none"/>
                <w:lang w:val="en-US" w:eastAsia="zh-CN" w:bidi="ar"/>
              </w:rPr>
              <w:t>）本项目</w:t>
            </w:r>
            <w:r>
              <w:rPr>
                <w:rFonts w:hint="eastAsia" w:ascii="Times New Roman" w:cs="Times New Roman"/>
                <w:b w:val="0"/>
                <w:bCs w:val="0"/>
                <w:color w:val="auto"/>
                <w:highlight w:val="none"/>
                <w:lang w:val="en-US" w:eastAsia="zh-CN"/>
              </w:rPr>
              <w:t>大气环境管控分区为YS4402812310002(大气环境高排放重点管控区）</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eastAsia" w:ascii="Times New Roman" w:hAnsi="Times New Roman" w:eastAsia="宋体" w:cs="Times New Roman"/>
                <w:b w:val="0"/>
                <w:bCs w:val="0"/>
                <w:color w:val="auto"/>
                <w:kern w:val="0"/>
                <w:sz w:val="24"/>
                <w:szCs w:val="24"/>
                <w:highlight w:val="none"/>
                <w:lang w:val="en-US" w:eastAsia="zh-CN" w:bidi="ar"/>
              </w:rPr>
              <w:t>13-4</w:t>
            </w:r>
            <w:r>
              <w:rPr>
                <w:rFonts w:hint="default" w:ascii="Times New Roman" w:hAnsi="Times New Roman" w:eastAsia="宋体" w:cs="Times New Roman"/>
                <w:b w:val="0"/>
                <w:bCs w:val="0"/>
                <w:color w:val="auto"/>
                <w:kern w:val="0"/>
                <w:sz w:val="24"/>
                <w:szCs w:val="24"/>
                <w:highlight w:val="none"/>
                <w:lang w:val="en-US" w:eastAsia="zh-CN" w:bidi="ar"/>
              </w:rPr>
              <w:t>）。</w:t>
            </w:r>
          </w:p>
          <w:p w14:paraId="570E448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eastAsia="宋体" w:cs="Times New Roman"/>
                <w:b w:val="0"/>
                <w:bCs w:val="0"/>
                <w:color w:val="auto"/>
                <w:kern w:val="0"/>
                <w:sz w:val="24"/>
                <w:szCs w:val="24"/>
                <w:highlight w:val="none"/>
                <w:lang w:val="en-US" w:eastAsia="zh-CN" w:bidi="ar"/>
              </w:rPr>
              <w:t>5</w:t>
            </w:r>
            <w:r>
              <w:rPr>
                <w:rFonts w:hint="default" w:ascii="Times New Roman" w:hAnsi="Times New Roman" w:eastAsia="宋体" w:cs="Times New Roman"/>
                <w:b w:val="0"/>
                <w:bCs w:val="0"/>
                <w:color w:val="auto"/>
                <w:kern w:val="0"/>
                <w:sz w:val="24"/>
                <w:szCs w:val="24"/>
                <w:highlight w:val="none"/>
                <w:lang w:val="en-US" w:eastAsia="zh-CN" w:bidi="ar"/>
              </w:rPr>
              <w:t>）本项目</w:t>
            </w:r>
            <w:r>
              <w:rPr>
                <w:rFonts w:hint="eastAsia" w:ascii="Times New Roman" w:cs="Times New Roman"/>
                <w:b w:val="0"/>
                <w:bCs w:val="0"/>
                <w:color w:val="auto"/>
                <w:highlight w:val="none"/>
                <w:lang w:val="en-US" w:eastAsia="zh-CN"/>
              </w:rPr>
              <w:t>自然资源管控分区为YS4402812540001(乐昌市高污染燃料禁燃区)</w:t>
            </w:r>
            <w:r>
              <w:rPr>
                <w:rFonts w:hint="default" w:ascii="Times New Roman" w:hAnsi="Times New Roman" w:eastAsia="宋体" w:cs="Times New Roman"/>
                <w:b w:val="0"/>
                <w:bCs w:val="0"/>
                <w:color w:val="auto"/>
                <w:kern w:val="0"/>
                <w:sz w:val="24"/>
                <w:szCs w:val="24"/>
                <w:highlight w:val="none"/>
                <w:lang w:val="en-US" w:eastAsia="zh-CN" w:bidi="ar"/>
              </w:rPr>
              <w:t>（见附图</w:t>
            </w:r>
            <w:r>
              <w:rPr>
                <w:rFonts w:hint="eastAsia" w:ascii="Times New Roman" w:hAnsi="Times New Roman" w:eastAsia="宋体" w:cs="Times New Roman"/>
                <w:b w:val="0"/>
                <w:bCs w:val="0"/>
                <w:color w:val="auto"/>
                <w:kern w:val="0"/>
                <w:sz w:val="24"/>
                <w:szCs w:val="24"/>
                <w:highlight w:val="none"/>
                <w:lang w:val="en-US" w:eastAsia="zh-CN" w:bidi="ar"/>
              </w:rPr>
              <w:t>13-5</w:t>
            </w:r>
            <w:r>
              <w:rPr>
                <w:rFonts w:hint="default" w:ascii="Times New Roman" w:hAnsi="Times New Roman" w:eastAsia="宋体" w:cs="Times New Roman"/>
                <w:b w:val="0"/>
                <w:bCs w:val="0"/>
                <w:color w:val="auto"/>
                <w:kern w:val="0"/>
                <w:sz w:val="24"/>
                <w:szCs w:val="24"/>
                <w:highlight w:val="none"/>
                <w:lang w:val="en-US" w:eastAsia="zh-CN" w:bidi="ar"/>
              </w:rPr>
              <w:t>）。</w:t>
            </w:r>
          </w:p>
          <w:p w14:paraId="016A7A35">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其具体管控要求相符性分析详见下表。</w:t>
            </w:r>
          </w:p>
          <w:p w14:paraId="3D7FCA0A">
            <w:pPr>
              <w:pStyle w:val="98"/>
              <w:keepNext w:val="0"/>
              <w:keepLines w:val="0"/>
              <w:suppressLineNumbers w:val="0"/>
              <w:bidi w:val="0"/>
              <w:spacing w:before="0" w:beforeAutospacing="0" w:after="0" w:afterAutospacing="0"/>
              <w:ind w:left="0" w:leftChars="0" w:right="0" w:firstLine="0" w:firstLineChars="0"/>
              <w:rPr>
                <w:rFonts w:hint="eastAsia"/>
                <w:color w:val="auto"/>
                <w:sz w:val="21"/>
                <w:szCs w:val="21"/>
                <w:highlight w:val="none"/>
              </w:rPr>
            </w:pPr>
            <w:r>
              <w:rPr>
                <w:rFonts w:hint="eastAsia"/>
                <w:color w:val="auto"/>
                <w:sz w:val="21"/>
                <w:szCs w:val="21"/>
                <w:highlight w:val="none"/>
                <w:lang w:val="en-US" w:eastAsia="zh-CN"/>
              </w:rPr>
              <w:t>与</w:t>
            </w:r>
            <w:r>
              <w:rPr>
                <w:rFonts w:hint="eastAsia"/>
                <w:b/>
                <w:bCs/>
                <w:color w:val="auto"/>
                <w:sz w:val="21"/>
                <w:szCs w:val="21"/>
                <w:highlight w:val="none"/>
              </w:rPr>
              <w:t>生态环境准入清单</w:t>
            </w:r>
            <w:r>
              <w:rPr>
                <w:rFonts w:hint="eastAsia"/>
                <w:color w:val="auto"/>
                <w:sz w:val="21"/>
                <w:szCs w:val="21"/>
                <w:highlight w:val="none"/>
                <w:lang w:val="en-US" w:eastAsia="zh-CN"/>
              </w:rPr>
              <w:t>相符性分析</w:t>
            </w:r>
          </w:p>
          <w:tbl>
            <w:tblPr>
              <w:tblStyle w:val="39"/>
              <w:tblW w:w="13518"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922"/>
              <w:gridCol w:w="1052"/>
              <w:gridCol w:w="6467"/>
              <w:gridCol w:w="3517"/>
              <w:gridCol w:w="54"/>
              <w:gridCol w:w="41"/>
              <w:gridCol w:w="965"/>
            </w:tblGrid>
            <w:tr w14:paraId="3626B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8"/>
                  <w:tcBorders>
                    <w:tl2br w:val="nil"/>
                    <w:tr2bl w:val="nil"/>
                  </w:tcBorders>
                  <w:vAlign w:val="center"/>
                </w:tcPr>
                <w:p w14:paraId="7BC8D6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eastAsia="宋体"/>
                      <w:color w:val="auto"/>
                      <w:sz w:val="21"/>
                      <w:szCs w:val="21"/>
                      <w:highlight w:val="none"/>
                      <w:lang w:val="en-US" w:eastAsia="zh-CN"/>
                    </w:rPr>
                  </w:pPr>
                  <w:r>
                    <w:rPr>
                      <w:rFonts w:hint="eastAsia"/>
                      <w:b/>
                      <w:bCs/>
                      <w:color w:val="auto"/>
                      <w:sz w:val="21"/>
                      <w:szCs w:val="21"/>
                      <w:highlight w:val="none"/>
                      <w:lang w:val="en-US" w:eastAsia="zh-CN"/>
                    </w:rPr>
                    <w:t>与</w:t>
                  </w:r>
                  <w:r>
                    <w:rPr>
                      <w:rFonts w:hint="eastAsia" w:ascii="Times New Roman" w:hAnsi="Times New Roman" w:cs="Times New Roman"/>
                      <w:b/>
                      <w:bCs/>
                      <w:color w:val="auto"/>
                      <w:kern w:val="0"/>
                      <w:sz w:val="21"/>
                      <w:szCs w:val="21"/>
                      <w:highlight w:val="none"/>
                      <w:lang w:val="en-US" w:eastAsia="zh-CN"/>
                    </w:rPr>
                    <w:t>乐昌经济开发区重点管控单元（ZH44028120003）要求相符性分析</w:t>
                  </w:r>
                </w:p>
              </w:tc>
            </w:tr>
            <w:tr w14:paraId="4A6B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85" w:type="pct"/>
                  <w:vMerge w:val="restart"/>
                  <w:tcBorders>
                    <w:tl2br w:val="nil"/>
                    <w:tr2bl w:val="nil"/>
                  </w:tcBorders>
                  <w:vAlign w:val="center"/>
                </w:tcPr>
                <w:p w14:paraId="5C4C76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b/>
                      <w:bCs/>
                      <w:color w:val="auto"/>
                      <w:sz w:val="21"/>
                      <w:szCs w:val="21"/>
                      <w:highlight w:val="none"/>
                    </w:rPr>
                    <w:t>生态环境准入清单</w:t>
                  </w:r>
                </w:p>
              </w:tc>
              <w:tc>
                <w:tcPr>
                  <w:tcW w:w="341" w:type="pct"/>
                  <w:tcBorders>
                    <w:tl2br w:val="nil"/>
                    <w:tr2bl w:val="nil"/>
                  </w:tcBorders>
                  <w:vAlign w:val="center"/>
                </w:tcPr>
                <w:p w14:paraId="469843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auto"/>
                    <w:rPr>
                      <w:rFonts w:hint="eastAsia"/>
                      <w:color w:val="auto"/>
                      <w:sz w:val="21"/>
                      <w:szCs w:val="21"/>
                      <w:highlight w:val="none"/>
                    </w:rPr>
                  </w:pPr>
                  <w:r>
                    <w:rPr>
                      <w:rFonts w:hint="eastAsia"/>
                      <w:color w:val="auto"/>
                      <w:sz w:val="21"/>
                      <w:szCs w:val="21"/>
                      <w:highlight w:val="none"/>
                    </w:rPr>
                    <w:t>区域布局管控</w:t>
                  </w:r>
                </w:p>
              </w:tc>
              <w:tc>
                <w:tcPr>
                  <w:tcW w:w="2781" w:type="pct"/>
                  <w:gridSpan w:val="2"/>
                  <w:tcBorders>
                    <w:tl2br w:val="nil"/>
                    <w:tr2bl w:val="nil"/>
                  </w:tcBorders>
                  <w:vAlign w:val="center"/>
                </w:tcPr>
                <w:p w14:paraId="25432C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1-1.【产业/鼓励引导类】重点发展现代轻工产业（消费电子等）、先进装备制造业等产业，优先引进无污染物或轻污染项目。</w:t>
                  </w:r>
                </w:p>
                <w:p w14:paraId="165465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1-2.【产业/禁止类】园区禁止引入专业电镀、化学制浆、鞣革等水污染物排放量大或排放一类污染物、持久性有机污染物的项目。</w:t>
                  </w:r>
                </w:p>
                <w:p w14:paraId="2DC300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1-3.【产业/限制类】严格限制不符合园区发展定位的项目入驻。</w:t>
                  </w:r>
                </w:p>
                <w:p w14:paraId="2D3835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1-4.【产业/综合类】居民区、学校等环境敏感点邻近地块优先布局废气排放量小、工业噪声影响小的产业。</w:t>
                  </w:r>
                </w:p>
              </w:tc>
              <w:tc>
                <w:tcPr>
                  <w:tcW w:w="1321" w:type="pct"/>
                  <w:gridSpan w:val="2"/>
                  <w:tcBorders>
                    <w:tl2br w:val="nil"/>
                    <w:tr2bl w:val="nil"/>
                  </w:tcBorders>
                  <w:vAlign w:val="center"/>
                </w:tcPr>
                <w:p w14:paraId="04D77F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本项目为金属表面处理及热处理加工行业，不属于专业电镀、化学制浆、鞣革等水污染物排放量大或排放一类污染物、持久性有机污染物的项目；项目符合园区发展定位；</w:t>
                  </w:r>
                  <w:r>
                    <w:rPr>
                      <w:rFonts w:hint="eastAsia"/>
                      <w:color w:val="auto"/>
                      <w:sz w:val="21"/>
                      <w:szCs w:val="21"/>
                      <w:highlight w:val="none"/>
                      <w:lang w:val="en-US" w:eastAsia="zh-CN"/>
                    </w:rPr>
                    <w:t>本项目废气排放量较小，涉及环境敏感点为居民区，符合布局要求</w:t>
                  </w:r>
                  <w:r>
                    <w:rPr>
                      <w:rFonts w:hint="eastAsia"/>
                      <w:color w:val="auto"/>
                      <w:sz w:val="21"/>
                      <w:szCs w:val="21"/>
                      <w:highlight w:val="none"/>
                    </w:rPr>
                    <w:t>。</w:t>
                  </w:r>
                </w:p>
              </w:tc>
              <w:tc>
                <w:tcPr>
                  <w:tcW w:w="370" w:type="pct"/>
                  <w:gridSpan w:val="2"/>
                  <w:tcBorders>
                    <w:tl2br w:val="nil"/>
                    <w:tr2bl w:val="nil"/>
                  </w:tcBorders>
                  <w:vAlign w:val="center"/>
                </w:tcPr>
                <w:p w14:paraId="36F484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color w:val="auto"/>
                      <w:sz w:val="21"/>
                      <w:szCs w:val="21"/>
                      <w:highlight w:val="none"/>
                    </w:rPr>
                    <w:t>符合</w:t>
                  </w:r>
                </w:p>
              </w:tc>
            </w:tr>
            <w:tr w14:paraId="32D6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185" w:type="pct"/>
                  <w:vMerge w:val="continue"/>
                  <w:tcBorders>
                    <w:tl2br w:val="nil"/>
                    <w:tr2bl w:val="nil"/>
                  </w:tcBorders>
                  <w:vAlign w:val="center"/>
                </w:tcPr>
                <w:p w14:paraId="2B8EA3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41" w:type="pct"/>
                  <w:tcBorders>
                    <w:tl2br w:val="nil"/>
                    <w:tr2bl w:val="nil"/>
                  </w:tcBorders>
                  <w:vAlign w:val="center"/>
                </w:tcPr>
                <w:p w14:paraId="270082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能源资源利用</w:t>
                  </w:r>
                </w:p>
              </w:tc>
              <w:tc>
                <w:tcPr>
                  <w:tcW w:w="2781" w:type="pct"/>
                  <w:gridSpan w:val="2"/>
                  <w:tcBorders>
                    <w:tl2br w:val="nil"/>
                    <w:tr2bl w:val="nil"/>
                  </w:tcBorders>
                  <w:vAlign w:val="center"/>
                </w:tcPr>
                <w:p w14:paraId="6E10AC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2-1.【能源/鼓励引导类】园区内能源结构应以电能、燃气等清洁能源为主。</w:t>
                  </w:r>
                </w:p>
                <w:p w14:paraId="1BC239C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2-2.【水资源/综合类】提高园区水资源利用效率，加快中水回用系统建设。</w:t>
                  </w:r>
                </w:p>
                <w:p w14:paraId="1B5D36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2-3.【其他/综合类】有行业清洁生产标准的新引进项目清洁生产水平须达到本行业国内先进水平。</w:t>
                  </w:r>
                </w:p>
              </w:tc>
              <w:tc>
                <w:tcPr>
                  <w:tcW w:w="1321" w:type="pct"/>
                  <w:gridSpan w:val="2"/>
                  <w:tcBorders>
                    <w:tl2br w:val="nil"/>
                    <w:tr2bl w:val="nil"/>
                  </w:tcBorders>
                  <w:vAlign w:val="center"/>
                </w:tcPr>
                <w:p w14:paraId="35D561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项目以主要电能、天然气作为生产能源，属于清洁能源；项目生产废水经自建污水处理站处理后排入园区污水处理厂。</w:t>
                  </w:r>
                </w:p>
              </w:tc>
              <w:tc>
                <w:tcPr>
                  <w:tcW w:w="370" w:type="pct"/>
                  <w:gridSpan w:val="2"/>
                  <w:tcBorders>
                    <w:tl2br w:val="nil"/>
                    <w:tr2bl w:val="nil"/>
                  </w:tcBorders>
                  <w:vAlign w:val="center"/>
                </w:tcPr>
                <w:p w14:paraId="13BF35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65D9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85" w:type="pct"/>
                  <w:vMerge w:val="continue"/>
                  <w:tcBorders>
                    <w:tl2br w:val="nil"/>
                    <w:tr2bl w:val="nil"/>
                  </w:tcBorders>
                  <w:vAlign w:val="center"/>
                </w:tcPr>
                <w:p w14:paraId="009A0D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p>
              </w:tc>
              <w:tc>
                <w:tcPr>
                  <w:tcW w:w="341" w:type="pct"/>
                  <w:tcBorders>
                    <w:tl2br w:val="nil"/>
                    <w:tr2bl w:val="nil"/>
                  </w:tcBorders>
                  <w:vAlign w:val="center"/>
                </w:tcPr>
                <w:p w14:paraId="7AC122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污染物排放管控</w:t>
                  </w:r>
                </w:p>
              </w:tc>
              <w:tc>
                <w:tcPr>
                  <w:tcW w:w="2781" w:type="pct"/>
                  <w:gridSpan w:val="2"/>
                  <w:tcBorders>
                    <w:tl2br w:val="nil"/>
                    <w:tr2bl w:val="nil"/>
                  </w:tcBorders>
                  <w:vAlign w:val="center"/>
                </w:tcPr>
                <w:p w14:paraId="36AA78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3-1.【水、大气/限制类】园区各项污染物排放总量不得突破园区规划环评核定的污染物排放总量管控要求。</w:t>
                  </w:r>
                </w:p>
                <w:p w14:paraId="7239947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26FD8B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3-4.【其它/鼓励引导类】支持危险废物专业收集转运和利用处置单位建设区域性收集网点和贮存设施。</w:t>
                  </w:r>
                </w:p>
              </w:tc>
              <w:tc>
                <w:tcPr>
                  <w:tcW w:w="1321" w:type="pct"/>
                  <w:gridSpan w:val="2"/>
                  <w:tcBorders>
                    <w:tl2br w:val="nil"/>
                    <w:tr2bl w:val="nil"/>
                  </w:tcBorders>
                  <w:vAlign w:val="center"/>
                </w:tcPr>
                <w:p w14:paraId="4F97A25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项目生产过程产生</w:t>
                  </w:r>
                  <w:r>
                    <w:rPr>
                      <w:rFonts w:hint="eastAsia"/>
                      <w:color w:val="auto"/>
                      <w:sz w:val="21"/>
                      <w:szCs w:val="21"/>
                      <w:highlight w:val="none"/>
                      <w:lang w:eastAsia="zh-CN"/>
                    </w:rPr>
                    <w:t>的</w:t>
                  </w:r>
                  <w:r>
                    <w:rPr>
                      <w:rFonts w:hint="eastAsia"/>
                      <w:color w:val="auto"/>
                      <w:sz w:val="21"/>
                      <w:szCs w:val="21"/>
                      <w:highlight w:val="none"/>
                    </w:rPr>
                    <w:t>氮氧化物没有突破园区规划环评核定的污染物排放总量，需向韶关市生态环境局乐昌分局申请分配实行等量代替，项目不涉及重金属污染物，危险废物贮存在厂区危险废物暂存间，统一收集后交有资质的单位处理。</w:t>
                  </w:r>
                </w:p>
              </w:tc>
              <w:tc>
                <w:tcPr>
                  <w:tcW w:w="370" w:type="pct"/>
                  <w:gridSpan w:val="2"/>
                  <w:tcBorders>
                    <w:tl2br w:val="nil"/>
                    <w:tr2bl w:val="nil"/>
                  </w:tcBorders>
                  <w:vAlign w:val="center"/>
                </w:tcPr>
                <w:p w14:paraId="6DABE6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5B6E0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185" w:type="pct"/>
                  <w:vMerge w:val="continue"/>
                  <w:tcBorders>
                    <w:tl2br w:val="nil"/>
                    <w:tr2bl w:val="nil"/>
                  </w:tcBorders>
                  <w:vAlign w:val="center"/>
                </w:tcPr>
                <w:p w14:paraId="628A80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p>
              </w:tc>
              <w:tc>
                <w:tcPr>
                  <w:tcW w:w="341" w:type="pct"/>
                  <w:tcBorders>
                    <w:tl2br w:val="nil"/>
                    <w:tr2bl w:val="nil"/>
                  </w:tcBorders>
                  <w:vAlign w:val="center"/>
                </w:tcPr>
                <w:p w14:paraId="70A8135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color w:val="auto"/>
                      <w:sz w:val="21"/>
                      <w:szCs w:val="21"/>
                      <w:highlight w:val="none"/>
                    </w:rPr>
                    <w:t>环境风险防控</w:t>
                  </w:r>
                </w:p>
              </w:tc>
              <w:tc>
                <w:tcPr>
                  <w:tcW w:w="2781" w:type="pct"/>
                  <w:gridSpan w:val="2"/>
                  <w:tcBorders>
                    <w:tl2br w:val="nil"/>
                    <w:tr2bl w:val="nil"/>
                  </w:tcBorders>
                  <w:vAlign w:val="center"/>
                </w:tcPr>
                <w:p w14:paraId="5B705B3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eastAsia"/>
                      <w:color w:val="auto"/>
                      <w:sz w:val="21"/>
                      <w:szCs w:val="21"/>
                      <w:highlight w:val="none"/>
                      <w:lang w:eastAsia="zh-CN"/>
                    </w:rPr>
                    <w:t>水</w:t>
                  </w:r>
                  <w:r>
                    <w:rPr>
                      <w:rFonts w:hint="eastAsia"/>
                      <w:color w:val="auto"/>
                      <w:sz w:val="21"/>
                      <w:szCs w:val="21"/>
                      <w:highlight w:val="none"/>
                    </w:rPr>
                    <w:t>处理厂设置足够容积的事故应急池，纳污水体设置水质监控断面，发现问题，及时采取限制废水排放等措施。</w:t>
                  </w:r>
                </w:p>
              </w:tc>
              <w:tc>
                <w:tcPr>
                  <w:tcW w:w="1321" w:type="pct"/>
                  <w:gridSpan w:val="2"/>
                  <w:tcBorders>
                    <w:tl2br w:val="nil"/>
                    <w:tr2bl w:val="nil"/>
                  </w:tcBorders>
                  <w:vAlign w:val="center"/>
                </w:tcPr>
                <w:p w14:paraId="601BD7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eastAsia"/>
                      <w:color w:val="auto"/>
                      <w:sz w:val="21"/>
                      <w:szCs w:val="21"/>
                      <w:highlight w:val="none"/>
                    </w:rPr>
                  </w:pPr>
                  <w:r>
                    <w:rPr>
                      <w:rFonts w:hint="eastAsia"/>
                      <w:color w:val="auto"/>
                      <w:sz w:val="21"/>
                      <w:szCs w:val="21"/>
                      <w:highlight w:val="none"/>
                    </w:rPr>
                    <w:t>项目位于</w:t>
                  </w:r>
                  <w:r>
                    <w:rPr>
                      <w:rFonts w:hint="eastAsia"/>
                      <w:color w:val="auto"/>
                      <w:sz w:val="21"/>
                      <w:szCs w:val="21"/>
                      <w:highlight w:val="none"/>
                      <w:lang w:eastAsia="zh-CN"/>
                    </w:rPr>
                    <w:t>乐昌产业转移工业园</w:t>
                  </w:r>
                  <w:r>
                    <w:rPr>
                      <w:rFonts w:hint="eastAsia"/>
                      <w:color w:val="auto"/>
                      <w:sz w:val="21"/>
                      <w:szCs w:val="21"/>
                      <w:highlight w:val="none"/>
                    </w:rPr>
                    <w:t>内，</w:t>
                  </w:r>
                  <w:r>
                    <w:rPr>
                      <w:rFonts w:hint="eastAsia"/>
                      <w:color w:val="auto"/>
                      <w:sz w:val="21"/>
                      <w:szCs w:val="21"/>
                      <w:highlight w:val="none"/>
                      <w:lang w:eastAsia="zh-CN"/>
                    </w:rPr>
                    <w:t>乐昌产业转移工业园</w:t>
                  </w:r>
                  <w:r>
                    <w:rPr>
                      <w:rFonts w:hint="eastAsia"/>
                      <w:color w:val="auto"/>
                      <w:sz w:val="21"/>
                      <w:szCs w:val="21"/>
                      <w:highlight w:val="none"/>
                    </w:rPr>
                    <w:t>已完善相关环保手续，并制定了事故风险防范和应急措施，能够满足项目环境风险防控的要求。</w:t>
                  </w:r>
                </w:p>
              </w:tc>
              <w:tc>
                <w:tcPr>
                  <w:tcW w:w="370" w:type="pct"/>
                  <w:gridSpan w:val="2"/>
                  <w:tcBorders>
                    <w:tl2br w:val="nil"/>
                    <w:tr2bl w:val="nil"/>
                  </w:tcBorders>
                  <w:vAlign w:val="center"/>
                </w:tcPr>
                <w:p w14:paraId="563619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6163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D97FD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b/>
                      <w:bCs/>
                      <w:color w:val="auto"/>
                      <w:sz w:val="21"/>
                      <w:szCs w:val="21"/>
                      <w:highlight w:val="none"/>
                    </w:rPr>
                  </w:pPr>
                  <w:r>
                    <w:rPr>
                      <w:rFonts w:hint="eastAsia"/>
                      <w:b/>
                      <w:bCs/>
                      <w:color w:val="auto"/>
                      <w:sz w:val="21"/>
                      <w:szCs w:val="21"/>
                      <w:highlight w:val="none"/>
                    </w:rPr>
                    <w:t>环境管控单元编码</w:t>
                  </w:r>
                </w:p>
              </w:tc>
              <w:tc>
                <w:tcPr>
                  <w:tcW w:w="2392" w:type="pct"/>
                  <w:tcBorders>
                    <w:tl2br w:val="nil"/>
                    <w:tr2bl w:val="nil"/>
                  </w:tcBorders>
                  <w:vAlign w:val="center"/>
                </w:tcPr>
                <w:p w14:paraId="0B4CBD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环境管控单元名称</w:t>
                  </w:r>
                </w:p>
              </w:tc>
              <w:tc>
                <w:tcPr>
                  <w:tcW w:w="1691" w:type="pct"/>
                  <w:gridSpan w:val="4"/>
                  <w:tcBorders>
                    <w:tl2br w:val="nil"/>
                    <w:tr2bl w:val="nil"/>
                  </w:tcBorders>
                  <w:vAlign w:val="center"/>
                </w:tcPr>
                <w:p w14:paraId="280BE6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管控单元分类</w:t>
                  </w:r>
                </w:p>
              </w:tc>
            </w:tr>
            <w:tr w14:paraId="2C614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FC52A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color w:val="auto"/>
                      <w:sz w:val="21"/>
                      <w:szCs w:val="21"/>
                      <w:highlight w:val="none"/>
                    </w:rPr>
                  </w:pPr>
                  <w:r>
                    <w:rPr>
                      <w:rFonts w:hint="eastAsia" w:ascii="Times New Roman" w:hAnsi="Times New Roman" w:eastAsia="宋体" w:cs="Times New Roman"/>
                      <w:b w:val="0"/>
                      <w:bCs w:val="0"/>
                      <w:color w:val="auto"/>
                      <w:kern w:val="0"/>
                      <w:sz w:val="21"/>
                      <w:szCs w:val="21"/>
                      <w:highlight w:val="none"/>
                      <w:lang w:val="en-US" w:eastAsia="zh-CN" w:bidi="ar"/>
                    </w:rPr>
                    <w:t>YS4402813110001</w:t>
                  </w:r>
                </w:p>
              </w:tc>
              <w:tc>
                <w:tcPr>
                  <w:tcW w:w="2392" w:type="pct"/>
                  <w:tcBorders>
                    <w:tl2br w:val="nil"/>
                    <w:tr2bl w:val="nil"/>
                  </w:tcBorders>
                  <w:vAlign w:val="center"/>
                </w:tcPr>
                <w:p w14:paraId="0A277D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ascii="Times New Roman" w:hAnsi="Times New Roman" w:eastAsia="宋体" w:cs="Times New Roman"/>
                      <w:b w:val="0"/>
                      <w:bCs w:val="0"/>
                      <w:color w:val="auto"/>
                      <w:kern w:val="0"/>
                      <w:sz w:val="21"/>
                      <w:szCs w:val="21"/>
                      <w:highlight w:val="none"/>
                      <w:lang w:val="en-US" w:eastAsia="zh-CN" w:bidi="ar"/>
                    </w:rPr>
                    <w:t>乐昌市生态空间一般管控区</w:t>
                  </w:r>
                </w:p>
              </w:tc>
              <w:tc>
                <w:tcPr>
                  <w:tcW w:w="1691" w:type="pct"/>
                  <w:gridSpan w:val="4"/>
                  <w:tcBorders>
                    <w:tl2br w:val="nil"/>
                    <w:tr2bl w:val="nil"/>
                  </w:tcBorders>
                  <w:vAlign w:val="center"/>
                </w:tcPr>
                <w:p w14:paraId="08BA0D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生态空间一般管控区</w:t>
                  </w:r>
                </w:p>
              </w:tc>
            </w:tr>
            <w:tr w14:paraId="28BC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2091B9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管控维度</w:t>
                  </w:r>
                </w:p>
              </w:tc>
              <w:tc>
                <w:tcPr>
                  <w:tcW w:w="2392" w:type="pct"/>
                  <w:tcBorders>
                    <w:tl2br w:val="nil"/>
                    <w:tr2bl w:val="nil"/>
                  </w:tcBorders>
                  <w:vAlign w:val="center"/>
                </w:tcPr>
                <w:p w14:paraId="604CE1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kern w:val="0"/>
                      <w:sz w:val="21"/>
                      <w:szCs w:val="21"/>
                      <w:highlight w:val="none"/>
                      <w:lang w:val="en-US" w:eastAsia="zh-CN" w:bidi="ar"/>
                    </w:rPr>
                  </w:pPr>
                  <w:r>
                    <w:rPr>
                      <w:rFonts w:hint="eastAsia" w:ascii="Times New Roman" w:hAnsi="Times New Roman" w:eastAsia="宋体" w:cs="Times New Roman"/>
                      <w:b/>
                      <w:bCs/>
                      <w:color w:val="auto"/>
                      <w:kern w:val="0"/>
                      <w:sz w:val="21"/>
                      <w:szCs w:val="21"/>
                      <w:highlight w:val="none"/>
                      <w:lang w:val="en-US" w:eastAsia="zh-CN" w:bidi="ar"/>
                    </w:rPr>
                    <w:t>管控要求</w:t>
                  </w:r>
                </w:p>
              </w:tc>
              <w:tc>
                <w:tcPr>
                  <w:tcW w:w="1301" w:type="pct"/>
                  <w:tcBorders>
                    <w:tl2br w:val="nil"/>
                    <w:tr2bl w:val="nil"/>
                  </w:tcBorders>
                  <w:vAlign w:val="center"/>
                </w:tcPr>
                <w:p w14:paraId="3FB618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项目情况</w:t>
                  </w:r>
                </w:p>
              </w:tc>
              <w:tc>
                <w:tcPr>
                  <w:tcW w:w="390" w:type="pct"/>
                  <w:gridSpan w:val="3"/>
                  <w:tcBorders>
                    <w:tl2br w:val="nil"/>
                    <w:tr2bl w:val="nil"/>
                  </w:tcBorders>
                  <w:vAlign w:val="center"/>
                </w:tcPr>
                <w:p w14:paraId="0E29E5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b/>
                      <w:bCs/>
                      <w:color w:val="auto"/>
                      <w:sz w:val="21"/>
                      <w:szCs w:val="21"/>
                      <w:highlight w:val="none"/>
                    </w:rPr>
                  </w:pPr>
                  <w:r>
                    <w:rPr>
                      <w:rFonts w:hint="eastAsia"/>
                      <w:b/>
                      <w:bCs/>
                      <w:color w:val="auto"/>
                      <w:sz w:val="21"/>
                      <w:szCs w:val="21"/>
                      <w:highlight w:val="none"/>
                    </w:rPr>
                    <w:t>相符性</w:t>
                  </w:r>
                </w:p>
              </w:tc>
            </w:tr>
            <w:tr w14:paraId="7AB7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2EB44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区域布局管控</w:t>
                  </w:r>
                </w:p>
              </w:tc>
              <w:tc>
                <w:tcPr>
                  <w:tcW w:w="2392" w:type="pct"/>
                  <w:tcBorders>
                    <w:tl2br w:val="nil"/>
                    <w:tr2bl w:val="nil"/>
                  </w:tcBorders>
                  <w:vAlign w:val="center"/>
                </w:tcPr>
                <w:p w14:paraId="7120B0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按国家和省统一要求管理。</w:t>
                  </w:r>
                </w:p>
              </w:tc>
              <w:tc>
                <w:tcPr>
                  <w:tcW w:w="1301" w:type="pct"/>
                  <w:tcBorders>
                    <w:tl2br w:val="nil"/>
                    <w:tr2bl w:val="nil"/>
                  </w:tcBorders>
                  <w:vAlign w:val="center"/>
                </w:tcPr>
                <w:p w14:paraId="5B9855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项目不涉及自然生态用地，合理开发，符合城市规划</w:t>
                  </w:r>
                </w:p>
              </w:tc>
              <w:tc>
                <w:tcPr>
                  <w:tcW w:w="390" w:type="pct"/>
                  <w:gridSpan w:val="3"/>
                  <w:tcBorders>
                    <w:tl2br w:val="nil"/>
                    <w:tr2bl w:val="nil"/>
                  </w:tcBorders>
                  <w:vAlign w:val="center"/>
                </w:tcPr>
                <w:p w14:paraId="463A4C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3481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3E7D843">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30D0F435">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0A2167D5">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管控单元分类</w:t>
                  </w:r>
                </w:p>
              </w:tc>
            </w:tr>
            <w:tr w14:paraId="50463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857C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color w:val="auto"/>
                      <w:sz w:val="21"/>
                      <w:szCs w:val="21"/>
                      <w:highlight w:val="none"/>
                    </w:rPr>
                    <w:t>YS4402813210014</w:t>
                  </w:r>
                </w:p>
              </w:tc>
              <w:tc>
                <w:tcPr>
                  <w:tcW w:w="2392" w:type="pct"/>
                  <w:tcBorders>
                    <w:tl2br w:val="nil"/>
                    <w:tr2bl w:val="nil"/>
                  </w:tcBorders>
                  <w:vAlign w:val="center"/>
                </w:tcPr>
                <w:p w14:paraId="6010C7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color w:val="auto"/>
                      <w:sz w:val="21"/>
                      <w:szCs w:val="21"/>
                      <w:highlight w:val="none"/>
                    </w:rPr>
                    <w:t>武水韶关市长来-廊田镇控制单元</w:t>
                  </w:r>
                </w:p>
              </w:tc>
              <w:tc>
                <w:tcPr>
                  <w:tcW w:w="1691" w:type="pct"/>
                  <w:gridSpan w:val="4"/>
                  <w:tcBorders>
                    <w:tl2br w:val="nil"/>
                    <w:tr2bl w:val="nil"/>
                  </w:tcBorders>
                  <w:vAlign w:val="center"/>
                </w:tcPr>
                <w:p w14:paraId="50AD5C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水环境一般管控区</w:t>
                  </w:r>
                </w:p>
              </w:tc>
            </w:tr>
            <w:tr w14:paraId="74745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DF80DE2">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管控维度</w:t>
                  </w:r>
                </w:p>
              </w:tc>
              <w:tc>
                <w:tcPr>
                  <w:tcW w:w="2392" w:type="pct"/>
                  <w:tcBorders>
                    <w:tl2br w:val="nil"/>
                    <w:tr2bl w:val="nil"/>
                  </w:tcBorders>
                  <w:vAlign w:val="center"/>
                </w:tcPr>
                <w:p w14:paraId="79F03E4F">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管控要求</w:t>
                  </w:r>
                </w:p>
              </w:tc>
              <w:tc>
                <w:tcPr>
                  <w:tcW w:w="1301" w:type="pct"/>
                  <w:tcBorders>
                    <w:tl2br w:val="nil"/>
                    <w:tr2bl w:val="nil"/>
                  </w:tcBorders>
                  <w:vAlign w:val="center"/>
                </w:tcPr>
                <w:p w14:paraId="2B9B94D0">
                  <w:pPr>
                    <w:keepNext w:val="0"/>
                    <w:keepLines w:val="0"/>
                    <w:widowControl/>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eastAsia" w:ascii="宋体" w:hAnsi="宋体" w:eastAsia="宋体" w:cs="宋体"/>
                      <w:b/>
                      <w:bCs/>
                      <w:color w:val="auto"/>
                      <w:kern w:val="0"/>
                      <w:sz w:val="21"/>
                      <w:szCs w:val="21"/>
                      <w:highlight w:val="none"/>
                      <w:lang w:val="en-US" w:eastAsia="zh-CN" w:bidi="ar"/>
                    </w:rPr>
                    <w:t>项目情况</w:t>
                  </w:r>
                </w:p>
              </w:tc>
              <w:tc>
                <w:tcPr>
                  <w:tcW w:w="390" w:type="pct"/>
                  <w:gridSpan w:val="3"/>
                  <w:tcBorders>
                    <w:tl2br w:val="nil"/>
                    <w:tr2bl w:val="nil"/>
                  </w:tcBorders>
                  <w:vAlign w:val="center"/>
                </w:tcPr>
                <w:p w14:paraId="410374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63AE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3D2530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color w:val="auto"/>
                      <w:sz w:val="21"/>
                      <w:szCs w:val="21"/>
                      <w:highlight w:val="none"/>
                    </w:rPr>
                    <w:t>区域布局管控</w:t>
                  </w:r>
                </w:p>
              </w:tc>
              <w:tc>
                <w:tcPr>
                  <w:tcW w:w="2392" w:type="pct"/>
                  <w:tcBorders>
                    <w:tl2br w:val="nil"/>
                    <w:tr2bl w:val="nil"/>
                  </w:tcBorders>
                  <w:vAlign w:val="center"/>
                </w:tcPr>
                <w:p w14:paraId="5EB74E5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宋体" w:hAnsi="宋体" w:eastAsia="宋体" w:cs="宋体"/>
                      <w:color w:val="auto"/>
                      <w:sz w:val="21"/>
                      <w:szCs w:val="21"/>
                      <w:highlight w:val="none"/>
                    </w:rPr>
                    <w:t>严格执行畜禽养殖禁养区管理要求，畜禽养殖禁养区内严禁建设规模化畜禽养殖场和规模化畜禽养殖小区，禁养区外的养殖场应配套污染防治设施</w:t>
                  </w:r>
                </w:p>
              </w:tc>
              <w:tc>
                <w:tcPr>
                  <w:tcW w:w="1301" w:type="pct"/>
                  <w:tcBorders>
                    <w:tl2br w:val="nil"/>
                    <w:tr2bl w:val="nil"/>
                  </w:tcBorders>
                  <w:vAlign w:val="center"/>
                </w:tcPr>
                <w:p w14:paraId="2F8F94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本项目不涉及畜禽养殖。</w:t>
                  </w:r>
                </w:p>
              </w:tc>
              <w:tc>
                <w:tcPr>
                  <w:tcW w:w="390" w:type="pct"/>
                  <w:gridSpan w:val="3"/>
                  <w:tcBorders>
                    <w:tl2br w:val="nil"/>
                    <w:tr2bl w:val="nil"/>
                  </w:tcBorders>
                  <w:vAlign w:val="center"/>
                </w:tcPr>
                <w:p w14:paraId="0EBC39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49108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0B2F4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环境风险防控</w:t>
                  </w:r>
                </w:p>
              </w:tc>
              <w:tc>
                <w:tcPr>
                  <w:tcW w:w="2392" w:type="pct"/>
                  <w:tcBorders>
                    <w:tl2br w:val="nil"/>
                    <w:tr2bl w:val="nil"/>
                  </w:tcBorders>
                  <w:vAlign w:val="center"/>
                </w:tcPr>
                <w:p w14:paraId="08320FA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集中式污水处理厂应采取有效措施，防止事故废水直接排入水体</w:t>
                  </w:r>
                </w:p>
              </w:tc>
              <w:tc>
                <w:tcPr>
                  <w:tcW w:w="1301" w:type="pct"/>
                  <w:tcBorders>
                    <w:tl2br w:val="nil"/>
                    <w:tr2bl w:val="nil"/>
                  </w:tcBorders>
                  <w:vAlign w:val="center"/>
                </w:tcPr>
                <w:p w14:paraId="6CF483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本项目不属于集中式污水处理厂建设，依托的园区污水处理厂设有应急措施。</w:t>
                  </w:r>
                </w:p>
              </w:tc>
              <w:tc>
                <w:tcPr>
                  <w:tcW w:w="390" w:type="pct"/>
                  <w:gridSpan w:val="3"/>
                  <w:tcBorders>
                    <w:tl2br w:val="nil"/>
                    <w:tr2bl w:val="nil"/>
                  </w:tcBorders>
                  <w:vAlign w:val="center"/>
                </w:tcPr>
                <w:p w14:paraId="2D1F04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color w:val="auto"/>
                      <w:sz w:val="21"/>
                      <w:szCs w:val="21"/>
                      <w:highlight w:val="none"/>
                    </w:rPr>
                    <w:t>符合</w:t>
                  </w:r>
                </w:p>
              </w:tc>
            </w:tr>
            <w:tr w14:paraId="70392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6F0E045">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0C0F6C23">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4E45ACD7">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管控单元分类</w:t>
                  </w:r>
                </w:p>
              </w:tc>
            </w:tr>
            <w:tr w14:paraId="2A9D2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7F1CBE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86" w:rightChars="36"/>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YS4402812310002</w:t>
                  </w:r>
                </w:p>
              </w:tc>
              <w:tc>
                <w:tcPr>
                  <w:tcW w:w="2392" w:type="pct"/>
                  <w:tcBorders>
                    <w:tl2br w:val="nil"/>
                    <w:tr2bl w:val="nil"/>
                  </w:tcBorders>
                  <w:vAlign w:val="center"/>
                </w:tcPr>
                <w:p w14:paraId="44E061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大气环境高排放重点管控区</w:t>
                  </w:r>
                </w:p>
              </w:tc>
              <w:tc>
                <w:tcPr>
                  <w:tcW w:w="1691" w:type="pct"/>
                  <w:gridSpan w:val="4"/>
                  <w:tcBorders>
                    <w:tl2br w:val="nil"/>
                    <w:tr2bl w:val="nil"/>
                  </w:tcBorders>
                  <w:vAlign w:val="center"/>
                </w:tcPr>
                <w:p w14:paraId="225933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olor w:val="auto"/>
                      <w:sz w:val="21"/>
                      <w:szCs w:val="21"/>
                      <w:highlight w:val="none"/>
                    </w:rPr>
                  </w:pPr>
                  <w:r>
                    <w:rPr>
                      <w:rFonts w:hint="eastAsia" w:ascii="宋体" w:hAnsi="宋体" w:eastAsia="宋体" w:cs="宋体"/>
                      <w:color w:val="auto"/>
                      <w:sz w:val="21"/>
                      <w:szCs w:val="21"/>
                      <w:highlight w:val="none"/>
                    </w:rPr>
                    <w:t>重点管控区</w:t>
                  </w:r>
                </w:p>
              </w:tc>
            </w:tr>
            <w:tr w14:paraId="47810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23970CF">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管控维度</w:t>
                  </w:r>
                </w:p>
              </w:tc>
              <w:tc>
                <w:tcPr>
                  <w:tcW w:w="2392" w:type="pct"/>
                  <w:tcBorders>
                    <w:tl2br w:val="nil"/>
                    <w:tr2bl w:val="nil"/>
                  </w:tcBorders>
                  <w:vAlign w:val="center"/>
                </w:tcPr>
                <w:p w14:paraId="6541F609">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管控要求</w:t>
                  </w:r>
                </w:p>
              </w:tc>
              <w:tc>
                <w:tcPr>
                  <w:tcW w:w="1336" w:type="pct"/>
                  <w:gridSpan w:val="3"/>
                  <w:tcBorders>
                    <w:tl2br w:val="nil"/>
                    <w:tr2bl w:val="nil"/>
                  </w:tcBorders>
                  <w:vAlign w:val="center"/>
                </w:tcPr>
                <w:p w14:paraId="06F2390A">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rPr>
                  </w:pPr>
                  <w:r>
                    <w:rPr>
                      <w:rFonts w:hint="eastAsia" w:ascii="宋体" w:hAnsi="宋体" w:eastAsia="宋体" w:cs="宋体"/>
                      <w:b/>
                      <w:bCs/>
                      <w:color w:val="auto"/>
                      <w:kern w:val="0"/>
                      <w:sz w:val="21"/>
                      <w:szCs w:val="21"/>
                      <w:highlight w:val="none"/>
                      <w:lang w:val="en-US" w:eastAsia="zh-CN" w:bidi="ar"/>
                    </w:rPr>
                    <w:t>项目情况</w:t>
                  </w:r>
                </w:p>
              </w:tc>
              <w:tc>
                <w:tcPr>
                  <w:tcW w:w="355" w:type="pct"/>
                  <w:tcBorders>
                    <w:tl2br w:val="nil"/>
                    <w:tr2bl w:val="nil"/>
                  </w:tcBorders>
                  <w:vAlign w:val="center"/>
                </w:tcPr>
                <w:p w14:paraId="0BF4A0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ascii="宋体" w:hAnsi="宋体" w:eastAsia="宋体" w:cs="宋体"/>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34250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7828B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区域布局管控</w:t>
                  </w:r>
                </w:p>
              </w:tc>
              <w:tc>
                <w:tcPr>
                  <w:tcW w:w="2392" w:type="pct"/>
                  <w:tcBorders>
                    <w:tl2br w:val="nil"/>
                    <w:tr2bl w:val="nil"/>
                  </w:tcBorders>
                  <w:vAlign w:val="center"/>
                </w:tcPr>
                <w:p w14:paraId="68892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1-1.引导工业项目科学布局，新建项目原则上入园管理，推动现有工业项目集中进园。</w:t>
                  </w:r>
                </w:p>
                <w:p w14:paraId="4E6D3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1-2.严格控制涉重金属及有毒有害污染物排放的项目建设，新建、改建、扩建涉重金属重点行业的项目应明确重金属污染物总量来源。</w:t>
                  </w:r>
                </w:p>
                <w:p w14:paraId="0E0E0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1-3.严格限制新建除热电联产以外的煤电项目；严格限制新（改、扩）建钢铁、建材（水泥、平板玻璃）、焦化、有色金属冶炼、石化等高污染行业项目。</w:t>
                  </w:r>
                </w:p>
                <w:p w14:paraId="6E913B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1-4.禁止违法露天焚烧秸秆等产生烟尘污染物质以及焚烧垃圾等产生有毒有害烟尘、恶臭气体物质的行为。</w:t>
                  </w:r>
                </w:p>
              </w:tc>
              <w:tc>
                <w:tcPr>
                  <w:tcW w:w="1336" w:type="pct"/>
                  <w:gridSpan w:val="3"/>
                  <w:tcBorders>
                    <w:tl2br w:val="nil"/>
                    <w:tr2bl w:val="nil"/>
                  </w:tcBorders>
                  <w:vAlign w:val="center"/>
                </w:tcPr>
                <w:p w14:paraId="65D12F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本项目选址位于乐昌产业转移工业园，属于入园管理项目；</w:t>
                  </w:r>
                </w:p>
                <w:p w14:paraId="27073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b/>
                      <w:bCs/>
                      <w:color w:val="auto"/>
                      <w:kern w:val="0"/>
                      <w:sz w:val="21"/>
                      <w:szCs w:val="21"/>
                      <w:highlight w:val="none"/>
                      <w:lang w:val="en-US" w:eastAsia="zh-CN" w:bidi="ar"/>
                    </w:rPr>
                  </w:pPr>
                  <w:r>
                    <w:rPr>
                      <w:rFonts w:hint="eastAsia"/>
                      <w:color w:val="auto"/>
                      <w:sz w:val="21"/>
                      <w:szCs w:val="21"/>
                      <w:highlight w:val="none"/>
                    </w:rPr>
                    <w:t>本项目为金属表面处理及热处理加工行业</w:t>
                  </w:r>
                  <w:r>
                    <w:rPr>
                      <w:rFonts w:hint="eastAsia"/>
                      <w:color w:val="auto"/>
                      <w:sz w:val="21"/>
                      <w:szCs w:val="21"/>
                      <w:highlight w:val="none"/>
                      <w:lang w:eastAsia="zh-CN"/>
                    </w:rPr>
                    <w:t>，</w:t>
                  </w:r>
                  <w:r>
                    <w:rPr>
                      <w:rFonts w:hint="eastAsia"/>
                      <w:color w:val="auto"/>
                      <w:sz w:val="21"/>
                      <w:szCs w:val="21"/>
                      <w:highlight w:val="none"/>
                      <w:lang w:val="en-US" w:eastAsia="zh-CN"/>
                    </w:rPr>
                    <w:t>不属于严格限制的项目</w:t>
                  </w:r>
                  <w:r>
                    <w:rPr>
                      <w:rFonts w:hint="eastAsia"/>
                      <w:color w:val="auto"/>
                      <w:sz w:val="21"/>
                      <w:szCs w:val="21"/>
                      <w:highlight w:val="none"/>
                    </w:rPr>
                    <w:t>，</w:t>
                  </w:r>
                  <w:r>
                    <w:rPr>
                      <w:rFonts w:hint="eastAsia"/>
                      <w:color w:val="auto"/>
                      <w:sz w:val="21"/>
                      <w:szCs w:val="21"/>
                      <w:highlight w:val="none"/>
                      <w:lang w:val="en-US" w:eastAsia="zh-CN"/>
                    </w:rPr>
                    <w:t>且废气排放不涉及</w:t>
                  </w:r>
                  <w:r>
                    <w:rPr>
                      <w:rFonts w:hint="default" w:ascii="Times New Roman" w:hAnsi="Times New Roman" w:eastAsia="宋体" w:cs="Times New Roman"/>
                      <w:color w:val="auto"/>
                      <w:sz w:val="21"/>
                      <w:szCs w:val="21"/>
                      <w:highlight w:val="none"/>
                    </w:rPr>
                    <w:t>重金属及有毒有害污染物</w:t>
                  </w:r>
                  <w:r>
                    <w:rPr>
                      <w:rFonts w:hint="eastAsia" w:cs="Times New Roman"/>
                      <w:color w:val="auto"/>
                      <w:sz w:val="21"/>
                      <w:szCs w:val="21"/>
                      <w:highlight w:val="none"/>
                      <w:lang w:eastAsia="zh-CN"/>
                    </w:rPr>
                    <w:t>。</w:t>
                  </w:r>
                </w:p>
              </w:tc>
              <w:tc>
                <w:tcPr>
                  <w:tcW w:w="355" w:type="pct"/>
                  <w:tcBorders>
                    <w:tl2br w:val="nil"/>
                    <w:tr2bl w:val="nil"/>
                  </w:tcBorders>
                  <w:vAlign w:val="center"/>
                </w:tcPr>
                <w:p w14:paraId="0307AB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15D2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554A7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能源资源利用</w:t>
                  </w:r>
                </w:p>
              </w:tc>
              <w:tc>
                <w:tcPr>
                  <w:tcW w:w="2392" w:type="pct"/>
                  <w:tcBorders>
                    <w:tl2br w:val="nil"/>
                    <w:tr2bl w:val="nil"/>
                  </w:tcBorders>
                  <w:vAlign w:val="center"/>
                </w:tcPr>
                <w:p w14:paraId="27689A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4-1.推广节能技术，加快发展绿色货运与现代物流。</w:t>
                  </w:r>
                </w:p>
                <w:p w14:paraId="5CFFD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4-2.禁燃区内，禁止新建、扩建燃用高污染燃料的设施；已有使用高污染燃料设施改用清洁能源。</w:t>
                  </w:r>
                </w:p>
                <w:p w14:paraId="00909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4-3.科学实施能源消费总量和强度“双控”，新建高能耗项目单位产品(产值)能耗达到国际国内先进水平。</w:t>
                  </w:r>
                </w:p>
              </w:tc>
              <w:tc>
                <w:tcPr>
                  <w:tcW w:w="1336" w:type="pct"/>
                  <w:gridSpan w:val="3"/>
                  <w:tcBorders>
                    <w:tl2br w:val="nil"/>
                    <w:tr2bl w:val="nil"/>
                  </w:tcBorders>
                  <w:vAlign w:val="center"/>
                </w:tcPr>
                <w:p w14:paraId="5DCAEC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eastAsia"/>
                      <w:color w:val="auto"/>
                      <w:sz w:val="21"/>
                      <w:szCs w:val="21"/>
                      <w:highlight w:val="none"/>
                      <w:lang w:val="en-US" w:eastAsia="zh-CN"/>
                    </w:rPr>
                    <w:t>本项目主要能源使用为天然气和电能，不涉及高污染燃料且项目不属于高能耗类型项目</w:t>
                  </w:r>
                </w:p>
              </w:tc>
              <w:tc>
                <w:tcPr>
                  <w:tcW w:w="355" w:type="pct"/>
                  <w:tcBorders>
                    <w:tl2br w:val="nil"/>
                    <w:tr2bl w:val="nil"/>
                  </w:tcBorders>
                  <w:vAlign w:val="center"/>
                </w:tcPr>
                <w:p w14:paraId="61C499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3F63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37F0D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2392" w:type="pct"/>
                  <w:tcBorders>
                    <w:tl2br w:val="nil"/>
                    <w:tr2bl w:val="nil"/>
                  </w:tcBorders>
                  <w:vAlign w:val="center"/>
                </w:tcPr>
                <w:p w14:paraId="2FB6A2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2-1.园区各项污染物排放总量不得突破园区规划环评核定的污染物排放总量管控要求。</w:t>
                  </w:r>
                </w:p>
                <w:p w14:paraId="2553C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2-2.实行重点重金属污染物（铅、砷、汞、镉、铬）等量替代。严格控制涉重金属及有毒有害污染物排放的项目建设，新建、改建、扩建涉重金属重点行业的项目应明确重金属污染物总量来源。</w:t>
                  </w:r>
                </w:p>
                <w:p w14:paraId="1AB7F8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2-3.新建项目原则上实施氮氧化物、挥发性有机物排放量等量替代。</w:t>
                  </w:r>
                </w:p>
                <w:p w14:paraId="6AFB7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2-4.支持危险废物专业收集转运和利用处置单位建设区域性收集网点和贮存设施。</w:t>
                  </w:r>
                </w:p>
                <w:p w14:paraId="02739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2-5.积极实行集中供热，应尽快关停现有企业小锅炉。</w:t>
                  </w:r>
                </w:p>
              </w:tc>
              <w:tc>
                <w:tcPr>
                  <w:tcW w:w="1336" w:type="pct"/>
                  <w:gridSpan w:val="3"/>
                  <w:tcBorders>
                    <w:tl2br w:val="nil"/>
                    <w:tr2bl w:val="nil"/>
                  </w:tcBorders>
                  <w:vAlign w:val="center"/>
                </w:tcPr>
                <w:p w14:paraId="51BF72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本项目所在园区污染物排放总量未超过核定总量。本项目不涉及重金属污染物排放。本项目不涉及危险废物专业收集转运和利用处置。</w:t>
                  </w:r>
                </w:p>
              </w:tc>
              <w:tc>
                <w:tcPr>
                  <w:tcW w:w="355" w:type="pct"/>
                  <w:tcBorders>
                    <w:tl2br w:val="nil"/>
                    <w:tr2bl w:val="nil"/>
                  </w:tcBorders>
                  <w:vAlign w:val="center"/>
                </w:tcPr>
                <w:p w14:paraId="188802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1055C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CB4E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2392" w:type="pct"/>
                  <w:tcBorders>
                    <w:tl2br w:val="nil"/>
                    <w:tr2bl w:val="nil"/>
                  </w:tcBorders>
                  <w:vAlign w:val="center"/>
                </w:tcPr>
                <w:p w14:paraId="08F6A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4-1.集中式污水处理厂应采取有效措施，防止事故废水直接排入水体。</w:t>
                  </w:r>
                </w:p>
                <w:p w14:paraId="6F7C9D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有水环境污染风险的企事业单位，应当制定有关水污染事故的应急方案，做好应急准备，并定期进行演练，做好突发水污染事故应急处置和事后恢复等工作。有水环境污染风险的企事业单位，生产、储存危险化学品的企事业单位，应当采取措施，防止在应急处置过程中产生的消防废水、废液直接排入水体。</w:t>
                  </w:r>
                </w:p>
              </w:tc>
              <w:tc>
                <w:tcPr>
                  <w:tcW w:w="1336" w:type="pct"/>
                  <w:gridSpan w:val="3"/>
                  <w:tcBorders>
                    <w:tl2br w:val="nil"/>
                    <w:tr2bl w:val="nil"/>
                  </w:tcBorders>
                  <w:vAlign w:val="center"/>
                </w:tcPr>
                <w:p w14:paraId="5A0A79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项目建设完成后</w:t>
                  </w:r>
                  <w:r>
                    <w:rPr>
                      <w:rFonts w:hint="eastAsia" w:cs="Times New Roman"/>
                      <w:color w:val="auto"/>
                      <w:sz w:val="21"/>
                      <w:szCs w:val="21"/>
                      <w:highlight w:val="none"/>
                      <w:lang w:val="en-US" w:eastAsia="zh-CN"/>
                    </w:rPr>
                    <w:t>按照相关规定完善环境风险应急措施</w:t>
                  </w:r>
                  <w:r>
                    <w:rPr>
                      <w:rFonts w:hint="default" w:ascii="Times New Roman" w:hAnsi="Times New Roman" w:eastAsia="宋体" w:cs="Times New Roman"/>
                      <w:color w:val="auto"/>
                      <w:sz w:val="21"/>
                      <w:szCs w:val="21"/>
                      <w:highlight w:val="none"/>
                      <w:lang w:val="en-US" w:eastAsia="zh-CN"/>
                    </w:rPr>
                    <w:t>，与园区、政府构成三级环境风险防控体系</w:t>
                  </w:r>
                </w:p>
              </w:tc>
              <w:tc>
                <w:tcPr>
                  <w:tcW w:w="355" w:type="pct"/>
                  <w:tcBorders>
                    <w:tl2br w:val="nil"/>
                    <w:tr2bl w:val="nil"/>
                  </w:tcBorders>
                  <w:vAlign w:val="center"/>
                </w:tcPr>
                <w:p w14:paraId="728E62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cs="Times New Roman"/>
                      <w:b/>
                      <w:bCs/>
                      <w:color w:val="auto"/>
                      <w:sz w:val="21"/>
                      <w:szCs w:val="21"/>
                      <w:highlight w:val="none"/>
                    </w:rPr>
                  </w:pPr>
                  <w:r>
                    <w:rPr>
                      <w:rFonts w:hint="eastAsia"/>
                      <w:color w:val="auto"/>
                      <w:sz w:val="21"/>
                      <w:szCs w:val="21"/>
                      <w:highlight w:val="none"/>
                    </w:rPr>
                    <w:t>符合</w:t>
                  </w:r>
                </w:p>
              </w:tc>
            </w:tr>
            <w:tr w14:paraId="2A596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17CC2D1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bidi="ar"/>
                    </w:rPr>
                    <w:t>环境管控单元编码</w:t>
                  </w:r>
                </w:p>
              </w:tc>
              <w:tc>
                <w:tcPr>
                  <w:tcW w:w="2392" w:type="pct"/>
                  <w:tcBorders>
                    <w:tl2br w:val="nil"/>
                    <w:tr2bl w:val="nil"/>
                  </w:tcBorders>
                  <w:vAlign w:val="center"/>
                </w:tcPr>
                <w:p w14:paraId="3B4C50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bidi="ar"/>
                    </w:rPr>
                    <w:t>环境管控单元名称</w:t>
                  </w:r>
                </w:p>
              </w:tc>
              <w:tc>
                <w:tcPr>
                  <w:tcW w:w="1691" w:type="pct"/>
                  <w:gridSpan w:val="4"/>
                  <w:tcBorders>
                    <w:tl2br w:val="nil"/>
                    <w:tr2bl w:val="nil"/>
                  </w:tcBorders>
                  <w:vAlign w:val="center"/>
                </w:tcPr>
                <w:p w14:paraId="4A11C477">
                  <w:pPr>
                    <w:keepNext w:val="0"/>
                    <w:keepLines w:val="0"/>
                    <w:widowControl/>
                    <w:suppressLineNumbers w:val="0"/>
                    <w:spacing w:before="0" w:beforeAutospacing="0" w:after="0" w:afterAutospacing="0"/>
                    <w:ind w:left="0" w:right="0"/>
                    <w:jc w:val="center"/>
                    <w:rPr>
                      <w:rFonts w:hint="eastAsia"/>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管控单元分类</w:t>
                  </w:r>
                </w:p>
              </w:tc>
            </w:tr>
            <w:tr w14:paraId="5D75D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4E25AF38">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bidi="ar"/>
                    </w:rPr>
                  </w:pPr>
                  <w:r>
                    <w:rPr>
                      <w:rFonts w:hint="eastAsia" w:ascii="宋体" w:hAnsi="宋体" w:eastAsia="宋体" w:cs="宋体"/>
                      <w:color w:val="auto"/>
                      <w:sz w:val="24"/>
                      <w:szCs w:val="24"/>
                      <w:highlight w:val="none"/>
                    </w:rPr>
                    <w:t>YS4402812540001</w:t>
                  </w:r>
                </w:p>
              </w:tc>
              <w:tc>
                <w:tcPr>
                  <w:tcW w:w="2392" w:type="pct"/>
                  <w:tcBorders>
                    <w:tl2br w:val="nil"/>
                    <w:tr2bl w:val="nil"/>
                  </w:tcBorders>
                  <w:vAlign w:val="center"/>
                </w:tcPr>
                <w:p w14:paraId="387468D3">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bidi="ar"/>
                    </w:rPr>
                  </w:pPr>
                  <w:r>
                    <w:rPr>
                      <w:rFonts w:hint="eastAsia" w:ascii="宋体" w:hAnsi="宋体" w:eastAsia="宋体" w:cs="宋体"/>
                      <w:color w:val="auto"/>
                      <w:sz w:val="24"/>
                      <w:szCs w:val="24"/>
                      <w:highlight w:val="none"/>
                    </w:rPr>
                    <w:t>乐昌市高污染燃料禁燃区</w:t>
                  </w:r>
                </w:p>
              </w:tc>
              <w:tc>
                <w:tcPr>
                  <w:tcW w:w="1691" w:type="pct"/>
                  <w:gridSpan w:val="4"/>
                  <w:tcBorders>
                    <w:tl2br w:val="nil"/>
                    <w:tr2bl w:val="nil"/>
                  </w:tcBorders>
                  <w:vAlign w:val="center"/>
                </w:tcPr>
                <w:p w14:paraId="7DD96F7C">
                  <w:pPr>
                    <w:keepNext w:val="0"/>
                    <w:keepLines w:val="0"/>
                    <w:widowControl/>
                    <w:suppressLineNumbers w:val="0"/>
                    <w:spacing w:before="0" w:beforeAutospacing="0" w:after="0" w:afterAutospacing="0"/>
                    <w:ind w:left="0" w:right="0"/>
                    <w:jc w:val="center"/>
                    <w:rPr>
                      <w:rFonts w:hint="eastAsia" w:ascii="宋体" w:hAnsi="宋体" w:eastAsia="宋体" w:cs="宋体"/>
                      <w:b/>
                      <w:bCs/>
                      <w:color w:val="auto"/>
                      <w:kern w:val="0"/>
                      <w:sz w:val="21"/>
                      <w:szCs w:val="21"/>
                      <w:highlight w:val="none"/>
                      <w:lang w:val="en-US" w:eastAsia="zh-CN" w:bidi="ar"/>
                    </w:rPr>
                  </w:pPr>
                  <w:r>
                    <w:rPr>
                      <w:rFonts w:hint="eastAsia" w:ascii="宋体" w:hAnsi="宋体" w:eastAsia="宋体" w:cs="宋体"/>
                      <w:color w:val="auto"/>
                      <w:sz w:val="24"/>
                      <w:szCs w:val="24"/>
                      <w:highlight w:val="none"/>
                    </w:rPr>
                    <w:t>重点管控区</w:t>
                  </w:r>
                </w:p>
              </w:tc>
            </w:tr>
            <w:tr w14:paraId="779B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978BCF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管控维度</w:t>
                  </w:r>
                </w:p>
              </w:tc>
              <w:tc>
                <w:tcPr>
                  <w:tcW w:w="2392" w:type="pct"/>
                  <w:tcBorders>
                    <w:tl2br w:val="nil"/>
                    <w:tr2bl w:val="nil"/>
                  </w:tcBorders>
                  <w:vAlign w:val="center"/>
                </w:tcPr>
                <w:p w14:paraId="6519CB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宋体" w:hAnsi="宋体" w:eastAsia="宋体" w:cs="宋体"/>
                      <w:b/>
                      <w:bCs/>
                      <w:color w:val="auto"/>
                      <w:kern w:val="0"/>
                      <w:sz w:val="21"/>
                      <w:szCs w:val="21"/>
                      <w:highlight w:val="none"/>
                      <w:lang w:val="en-US" w:eastAsia="zh-CN" w:bidi="ar"/>
                    </w:rPr>
                    <w:t>管控要求</w:t>
                  </w:r>
                </w:p>
              </w:tc>
              <w:tc>
                <w:tcPr>
                  <w:tcW w:w="1336" w:type="pct"/>
                  <w:gridSpan w:val="3"/>
                  <w:tcBorders>
                    <w:tl2br w:val="nil"/>
                    <w:tr2bl w:val="nil"/>
                  </w:tcBorders>
                  <w:vAlign w:val="center"/>
                </w:tcPr>
                <w:p w14:paraId="3E783C1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b/>
                      <w:bCs/>
                      <w:color w:val="auto"/>
                      <w:kern w:val="0"/>
                      <w:sz w:val="21"/>
                      <w:szCs w:val="21"/>
                      <w:highlight w:val="none"/>
                      <w:lang w:val="en-US" w:eastAsia="zh-CN" w:bidi="ar"/>
                    </w:rPr>
                    <w:t>项目情况</w:t>
                  </w:r>
                </w:p>
              </w:tc>
              <w:tc>
                <w:tcPr>
                  <w:tcW w:w="355" w:type="pct"/>
                  <w:tcBorders>
                    <w:tl2br w:val="nil"/>
                    <w:tr2bl w:val="nil"/>
                  </w:tcBorders>
                  <w:vAlign w:val="center"/>
                </w:tcPr>
                <w:p w14:paraId="3A4FB2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b/>
                      <w:bCs/>
                      <w:color w:val="auto"/>
                      <w:sz w:val="21"/>
                      <w:szCs w:val="21"/>
                      <w:highlight w:val="none"/>
                      <w:lang w:val="en-US" w:eastAsia="zh-CN"/>
                    </w:rPr>
                    <w:t>相</w:t>
                  </w:r>
                  <w:r>
                    <w:rPr>
                      <w:rFonts w:hint="eastAsia"/>
                      <w:b/>
                      <w:bCs/>
                      <w:color w:val="auto"/>
                      <w:sz w:val="21"/>
                      <w:szCs w:val="21"/>
                      <w:highlight w:val="none"/>
                    </w:rPr>
                    <w:t>符性</w:t>
                  </w:r>
                </w:p>
              </w:tc>
            </w:tr>
            <w:tr w14:paraId="3B950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A2C7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区域布局管控</w:t>
                  </w:r>
                </w:p>
              </w:tc>
              <w:tc>
                <w:tcPr>
                  <w:tcW w:w="2392" w:type="pct"/>
                  <w:tcBorders>
                    <w:tl2br w:val="nil"/>
                    <w:tr2bl w:val="nil"/>
                  </w:tcBorders>
                  <w:vAlign w:val="center"/>
                </w:tcPr>
                <w:p w14:paraId="05B73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禁止新、扩建燃用高污染燃料的设施</w:t>
                  </w:r>
                </w:p>
              </w:tc>
              <w:tc>
                <w:tcPr>
                  <w:tcW w:w="1336" w:type="pct"/>
                  <w:gridSpan w:val="3"/>
                  <w:tcBorders>
                    <w:tl2br w:val="nil"/>
                    <w:tr2bl w:val="nil"/>
                  </w:tcBorders>
                  <w:vAlign w:val="center"/>
                </w:tcPr>
                <w:p w14:paraId="4F386C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本项目使用电能、天然气，不使用高污染燃料。</w:t>
                  </w:r>
                </w:p>
              </w:tc>
              <w:tc>
                <w:tcPr>
                  <w:tcW w:w="355" w:type="pct"/>
                  <w:tcBorders>
                    <w:tl2br w:val="nil"/>
                    <w:tr2bl w:val="nil"/>
                  </w:tcBorders>
                  <w:vAlign w:val="center"/>
                </w:tcPr>
                <w:p w14:paraId="6EF7D89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r w14:paraId="49516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66CDF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能源资源利用</w:t>
                  </w:r>
                </w:p>
              </w:tc>
              <w:tc>
                <w:tcPr>
                  <w:tcW w:w="2392" w:type="pct"/>
                  <w:tcBorders>
                    <w:tl2br w:val="nil"/>
                    <w:tr2bl w:val="nil"/>
                  </w:tcBorders>
                  <w:vAlign w:val="center"/>
                </w:tcPr>
                <w:p w14:paraId="4FBB1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rPr>
                    <w:t>在禁燃区内，禁止销售、燃用高污染燃料；已建成的高污染燃料设施应当改用天然气、页岩气、液化石油气、电等清洁能源。</w:t>
                  </w:r>
                </w:p>
              </w:tc>
              <w:tc>
                <w:tcPr>
                  <w:tcW w:w="1336" w:type="pct"/>
                  <w:gridSpan w:val="3"/>
                  <w:tcBorders>
                    <w:tl2br w:val="nil"/>
                    <w:tr2bl w:val="nil"/>
                  </w:tcBorders>
                  <w:vAlign w:val="center"/>
                </w:tcPr>
                <w:p w14:paraId="5CCB1D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本项目使用电能和天然气，不销售、不使用高污染燃料。</w:t>
                  </w:r>
                </w:p>
              </w:tc>
              <w:tc>
                <w:tcPr>
                  <w:tcW w:w="355" w:type="pct"/>
                  <w:tcBorders>
                    <w:tl2br w:val="nil"/>
                    <w:tr2bl w:val="nil"/>
                  </w:tcBorders>
                  <w:vAlign w:val="center"/>
                </w:tcPr>
                <w:p w14:paraId="2CC4BB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r w14:paraId="3A36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15" w:type="pct"/>
                  <w:gridSpan w:val="3"/>
                  <w:tcBorders>
                    <w:tl2br w:val="nil"/>
                    <w:tr2bl w:val="nil"/>
                  </w:tcBorders>
                  <w:vAlign w:val="center"/>
                </w:tcPr>
                <w:p w14:paraId="02946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污染物排放管控</w:t>
                  </w:r>
                </w:p>
              </w:tc>
              <w:tc>
                <w:tcPr>
                  <w:tcW w:w="2392" w:type="pct"/>
                  <w:tcBorders>
                    <w:tl2br w:val="nil"/>
                    <w:tr2bl w:val="nil"/>
                  </w:tcBorders>
                  <w:vAlign w:val="center"/>
                </w:tcPr>
                <w:p w14:paraId="0EA1C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燃区内使用生物质成型燃料锅炉和气化供热项目的，污染物排放浓度要达到或优于天燃气锅炉对应的大气污染物排放标准（折算基准氧含量排放浓度时，生物质成型燃料锅炉按9%执行，生物质气化供热项目按3.5%执行）。</w:t>
                  </w:r>
                </w:p>
              </w:tc>
              <w:tc>
                <w:tcPr>
                  <w:tcW w:w="1336" w:type="pct"/>
                  <w:gridSpan w:val="3"/>
                  <w:tcBorders>
                    <w:tl2br w:val="nil"/>
                    <w:tr2bl w:val="nil"/>
                  </w:tcBorders>
                  <w:vAlign w:val="center"/>
                </w:tcPr>
                <w:p w14:paraId="229616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本项目不涉及</w:t>
                  </w:r>
                </w:p>
              </w:tc>
              <w:tc>
                <w:tcPr>
                  <w:tcW w:w="355" w:type="pct"/>
                  <w:tcBorders>
                    <w:tl2br w:val="nil"/>
                    <w:tr2bl w:val="nil"/>
                  </w:tcBorders>
                  <w:vAlign w:val="center"/>
                </w:tcPr>
                <w:p w14:paraId="4BE46D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auto"/>
                    <w:rPr>
                      <w:rFonts w:hint="eastAsia"/>
                      <w:color w:val="auto"/>
                      <w:sz w:val="21"/>
                      <w:szCs w:val="21"/>
                      <w:highlight w:val="none"/>
                    </w:rPr>
                  </w:pPr>
                  <w:r>
                    <w:rPr>
                      <w:rFonts w:hint="eastAsia"/>
                      <w:color w:val="auto"/>
                      <w:sz w:val="21"/>
                      <w:szCs w:val="21"/>
                      <w:highlight w:val="none"/>
                    </w:rPr>
                    <w:t>符合</w:t>
                  </w:r>
                </w:p>
              </w:tc>
            </w:tr>
          </w:tbl>
          <w:p w14:paraId="201B4A36">
            <w:pPr>
              <w:pStyle w:val="15"/>
              <w:keepNext w:val="0"/>
              <w:keepLines w:val="0"/>
              <w:pageBreakBefore w:val="0"/>
              <w:suppressLineNumbers w:val="0"/>
              <w:kinsoku/>
              <w:overflowPunct/>
              <w:topLinePunct w:val="0"/>
              <w:bidi w:val="0"/>
              <w:snapToGrid/>
              <w:spacing w:before="0" w:beforeAutospacing="0" w:after="0" w:afterAutospacing="0"/>
              <w:ind w:left="0" w:right="0" w:firstLine="480" w:firstLineChars="200"/>
              <w:jc w:val="left"/>
              <w:rPr>
                <w:rFonts w:hint="eastAsia" w:eastAsia="宋体"/>
                <w:color w:val="auto"/>
                <w:highlight w:val="none"/>
                <w:lang w:val="en-US" w:eastAsia="zh-CN"/>
              </w:rPr>
            </w:pPr>
            <w:r>
              <w:rPr>
                <w:rFonts w:hint="eastAsia"/>
                <w:b w:val="0"/>
                <w:bCs w:val="0"/>
                <w:color w:val="auto"/>
                <w:sz w:val="24"/>
                <w:highlight w:val="none"/>
              </w:rPr>
              <w:t>综上，项目符合韶关市人民政府关于印发《韶关市“三线一单”生态环境分区管控方案的通知》的通知（韶府〔2021〕10号）的相关要求。</w:t>
            </w:r>
          </w:p>
        </w:tc>
      </w:tr>
    </w:tbl>
    <w:p w14:paraId="2856F711">
      <w:pPr>
        <w:pStyle w:val="2"/>
        <w:numPr>
          <w:ilvl w:val="0"/>
          <w:numId w:val="0"/>
        </w:numPr>
        <w:rPr>
          <w:rFonts w:cs="Times New Roman"/>
          <w:color w:val="auto"/>
          <w:highlight w:val="none"/>
        </w:rPr>
        <w:sectPr>
          <w:pgSz w:w="16838" w:h="11906" w:orient="landscape"/>
          <w:pgMar w:top="1083" w:right="1440" w:bottom="1083"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5" w:charSpace="0"/>
        </w:sectPr>
      </w:pP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9480"/>
      </w:tblGrid>
      <w:tr w14:paraId="3ADE4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2" w:type="pct"/>
            <w:vAlign w:val="center"/>
          </w:tcPr>
          <w:p w14:paraId="2E56A98B">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eastAsia"/>
                <w:color w:val="auto"/>
                <w:highlight w:val="none"/>
              </w:rPr>
            </w:pPr>
            <w:r>
              <w:rPr>
                <w:rFonts w:hint="eastAsia"/>
                <w:color w:val="auto"/>
                <w:highlight w:val="none"/>
              </w:rPr>
              <w:t>其他符合性分析</w:t>
            </w:r>
          </w:p>
        </w:tc>
        <w:tc>
          <w:tcPr>
            <w:tcW w:w="4757" w:type="pct"/>
            <w:vAlign w:val="center"/>
          </w:tcPr>
          <w:p w14:paraId="3CF9E13F">
            <w:pPr>
              <w:keepNext/>
              <w:keepLines/>
              <w:pageBreakBefore w:val="0"/>
              <w:suppressLineNumbers w:val="0"/>
              <w:tabs>
                <w:tab w:val="left" w:pos="0"/>
              </w:tabs>
              <w:kinsoku/>
              <w:overflowPunct/>
              <w:topLinePunct w:val="0"/>
              <w:bidi w:val="0"/>
              <w:snapToGrid/>
              <w:spacing w:before="0" w:beforeAutospacing="0" w:after="0" w:afterAutospacing="0"/>
              <w:ind w:left="-2" w:right="0" w:firstLine="480" w:firstLineChars="200"/>
              <w:outlineLvl w:val="2"/>
              <w:rPr>
                <w:rFonts w:hint="eastAsia"/>
                <w:color w:val="auto"/>
                <w:highlight w:val="none"/>
              </w:rPr>
            </w:pPr>
            <w:r>
              <w:rPr>
                <w:rFonts w:hint="eastAsia"/>
                <w:b/>
                <w:bCs/>
                <w:color w:val="auto"/>
                <w:highlight w:val="none"/>
              </w:rPr>
              <w:t>六、相关规划相符性分析</w:t>
            </w:r>
          </w:p>
          <w:p w14:paraId="0CBC9253">
            <w:pPr>
              <w:keepNext/>
              <w:keepLines/>
              <w:pageBreakBefore w:val="0"/>
              <w:suppressLineNumbers w:val="0"/>
              <w:tabs>
                <w:tab w:val="left" w:pos="0"/>
              </w:tabs>
              <w:kinsoku/>
              <w:overflowPunct/>
              <w:topLinePunct w:val="0"/>
              <w:bidi w:val="0"/>
              <w:snapToGrid/>
              <w:spacing w:before="0" w:beforeAutospacing="0" w:after="0" w:afterAutospacing="0"/>
              <w:ind w:left="0" w:right="0" w:firstLine="480" w:firstLineChars="200"/>
              <w:outlineLvl w:val="3"/>
              <w:rPr>
                <w:rFonts w:hint="eastAsia"/>
                <w:b/>
                <w:bCs/>
                <w:color w:val="auto"/>
                <w:highlight w:val="none"/>
              </w:rPr>
            </w:pPr>
            <w:r>
              <w:rPr>
                <w:rFonts w:hint="eastAsia"/>
                <w:b/>
                <w:bCs/>
                <w:color w:val="auto"/>
                <w:highlight w:val="none"/>
              </w:rPr>
              <w:t>1、《关于印发&lt;广东省生态环境保护“十四五”规划&gt;的通知》（粤环〔2021〕10号）</w:t>
            </w:r>
          </w:p>
          <w:p w14:paraId="7BFA8D9B">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p>
          <w:p w14:paraId="0EC2FDE6">
            <w:pPr>
              <w:pStyle w:val="14"/>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highlight w:val="none"/>
              </w:rPr>
            </w:pPr>
            <w:r>
              <w:rPr>
                <w:rFonts w:hint="eastAsia"/>
                <w:color w:val="auto"/>
                <w:sz w:val="24"/>
                <w:highlight w:val="none"/>
              </w:rPr>
              <w:t>项目不使用高VOCs含量的溶剂型涂料、油墨、胶粘剂等。烘干工序采用天然气加热，产生的污染物主要有颗粒物、二氧化硫、氮氧化物。氮氧化物等量替代，燃烧废气收集后经排气筒DA001高空排放，排放高度</w:t>
            </w:r>
            <w:r>
              <w:rPr>
                <w:rFonts w:hint="eastAsia"/>
                <w:color w:val="auto"/>
                <w:sz w:val="24"/>
                <w:highlight w:val="none"/>
                <w:lang w:val="en-US" w:eastAsia="zh-CN"/>
              </w:rPr>
              <w:t>不低于15</w:t>
            </w:r>
            <w:r>
              <w:rPr>
                <w:rFonts w:hint="eastAsia"/>
                <w:color w:val="auto"/>
                <w:sz w:val="24"/>
                <w:highlight w:val="none"/>
              </w:rPr>
              <w:t>m。</w:t>
            </w:r>
          </w:p>
          <w:p w14:paraId="565D4AEC">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综上所述，本项目与《关于印发&lt;广东省生态环境保护“十四五”规划&gt;的通知》（粤环〔2021〕10号）相符。</w:t>
            </w:r>
          </w:p>
          <w:p w14:paraId="77A770AC">
            <w:pPr>
              <w:pStyle w:val="12"/>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highlight w:val="none"/>
              </w:rPr>
            </w:pPr>
            <w:r>
              <w:rPr>
                <w:rFonts w:hint="eastAsia"/>
                <w:b/>
                <w:bCs/>
                <w:color w:val="auto"/>
                <w:highlight w:val="none"/>
              </w:rPr>
              <w:t>2、韶关市人民政府办公室《关于印发&lt;韶关市生态环境保护“十四五”规划&gt;的通知》（韶府办〔2022〕1号）</w:t>
            </w:r>
          </w:p>
          <w:p w14:paraId="69D0EA5B">
            <w:pPr>
              <w:keepNext w:val="0"/>
              <w:keepLines w:val="0"/>
              <w:pageBreakBefore w:val="0"/>
              <w:widowControl/>
              <w:suppressLineNumbers w:val="0"/>
              <w:kinsoku/>
              <w:overflowPunct/>
              <w:topLinePunct w:val="0"/>
              <w:bidi w:val="0"/>
              <w:snapToGrid/>
              <w:spacing w:before="0" w:beforeAutospacing="0" w:after="0" w:afterAutospacing="0"/>
              <w:ind w:left="0" w:right="0" w:firstLine="480" w:firstLineChars="200"/>
              <w:jc w:val="both"/>
              <w:rPr>
                <w:rFonts w:hint="eastAsia"/>
                <w:color w:val="auto"/>
                <w:highlight w:val="none"/>
              </w:rPr>
            </w:pPr>
            <w:r>
              <w:rPr>
                <w:rFonts w:hint="eastAsia"/>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3D56B395">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highlight w:val="none"/>
              </w:rPr>
            </w:pPr>
            <w:r>
              <w:rPr>
                <w:rFonts w:hint="eastAsia"/>
                <w:color w:val="auto"/>
                <w:highlight w:val="none"/>
              </w:rPr>
              <w:t>项目不涉及锅炉。烘干工序采用天然气加热，产生的污染物主要有颗粒物、二氧化硫、氮氧化物。燃烧废气收集后经</w:t>
            </w:r>
            <w:r>
              <w:rPr>
                <w:rFonts w:hint="eastAsia"/>
                <w:color w:val="auto"/>
                <w:highlight w:val="none"/>
                <w:lang w:val="en-US" w:eastAsia="zh-CN"/>
              </w:rPr>
              <w:t>15m高</w:t>
            </w:r>
            <w:r>
              <w:rPr>
                <w:rFonts w:hint="eastAsia"/>
                <w:color w:val="auto"/>
                <w:highlight w:val="none"/>
              </w:rPr>
              <w:t>排气筒DA001高空排放。本项目产生的工业固体废物均得到妥善处置。故本项目与韶关市人民政府办公室《关于印发&lt;韶关市生态环境保护“十四五”规划&gt;的通知》（韶府办〔2022〕1号）相符。</w:t>
            </w:r>
          </w:p>
          <w:p w14:paraId="6A3CFD05">
            <w:pPr>
              <w:pStyle w:val="14"/>
              <w:keepNext w:val="0"/>
              <w:keepLines w:val="0"/>
              <w:pageBreakBefore w:val="0"/>
              <w:suppressLineNumbers w:val="0"/>
              <w:kinsoku/>
              <w:overflowPunct/>
              <w:topLinePunct w:val="0"/>
              <w:bidi w:val="0"/>
              <w:snapToGrid/>
              <w:spacing w:before="0" w:beforeAutospacing="0" w:after="0" w:afterAutospacing="0"/>
              <w:ind w:left="0" w:right="0" w:firstLine="482"/>
              <w:rPr>
                <w:rFonts w:hint="eastAsia"/>
                <w:b/>
                <w:bCs/>
                <w:color w:val="auto"/>
                <w:sz w:val="24"/>
                <w:highlight w:val="none"/>
              </w:rPr>
            </w:pPr>
            <w:r>
              <w:rPr>
                <w:rFonts w:hint="eastAsia"/>
                <w:b/>
                <w:bCs/>
                <w:color w:val="auto"/>
                <w:sz w:val="24"/>
                <w:highlight w:val="none"/>
              </w:rPr>
              <w:t>3、乐昌市人民政府办公室《关于印发&lt;乐昌市生态环境保护“十四五”规划的通知》（乐府办〔2022〕16号）</w:t>
            </w:r>
          </w:p>
          <w:p w14:paraId="58ED4FB7">
            <w:pPr>
              <w:pStyle w:val="47"/>
              <w:keepNext w:val="0"/>
              <w:keepLines w:val="0"/>
              <w:pageBreakBefore w:val="0"/>
              <w:suppressLineNumbers w:val="0"/>
              <w:kinsoku/>
              <w:overflowPunct/>
              <w:topLinePunct w:val="0"/>
              <w:bidi w:val="0"/>
              <w:snapToGrid/>
              <w:spacing w:before="0" w:beforeAutospacing="0" w:after="0" w:afterAutospacing="0"/>
              <w:ind w:left="0" w:right="0" w:firstLine="480" w:firstLineChars="200"/>
              <w:rPr>
                <w:rFonts w:hint="eastAsia"/>
                <w:color w:val="auto"/>
                <w:sz w:val="24"/>
                <w:szCs w:val="24"/>
                <w:highlight w:val="none"/>
              </w:rPr>
            </w:pPr>
            <w:r>
              <w:rPr>
                <w:rFonts w:hint="eastAsia"/>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eastAsia"/>
                <w:color w:val="auto"/>
                <w:sz w:val="24"/>
                <w:szCs w:val="24"/>
                <w:highlight w:val="none"/>
                <w:lang w:eastAsia="zh-CN"/>
              </w:rPr>
              <w:t>（</w:t>
            </w:r>
            <w:r>
              <w:rPr>
                <w:rFonts w:hint="eastAsia"/>
                <w:color w:val="auto"/>
                <w:sz w:val="24"/>
                <w:szCs w:val="24"/>
                <w:highlight w:val="none"/>
              </w:rPr>
              <w:t>熟料</w:t>
            </w:r>
            <w:r>
              <w:rPr>
                <w:rFonts w:hint="eastAsia"/>
                <w:color w:val="auto"/>
                <w:sz w:val="24"/>
                <w:szCs w:val="24"/>
                <w:highlight w:val="none"/>
                <w:lang w:eastAsia="zh-CN"/>
              </w:rPr>
              <w:t>）</w:t>
            </w:r>
            <w:r>
              <w:rPr>
                <w:rFonts w:hint="eastAsia"/>
                <w:color w:val="auto"/>
                <w:sz w:val="24"/>
                <w:szCs w:val="24"/>
                <w:highlight w:val="none"/>
              </w:rPr>
              <w:t>制造企业的水泥窑及窑尾余热利用系统烟气NOx排放浓度不高于100mg/m</w:t>
            </w:r>
            <w:r>
              <w:rPr>
                <w:rFonts w:hint="eastAsia"/>
                <w:color w:val="auto"/>
                <w:sz w:val="24"/>
                <w:szCs w:val="24"/>
                <w:highlight w:val="none"/>
                <w:vertAlign w:val="superscript"/>
              </w:rPr>
              <w:t>3</w:t>
            </w:r>
            <w:r>
              <w:rPr>
                <w:rFonts w:hint="eastAsia"/>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5A065537">
            <w:pPr>
              <w:pStyle w:val="14"/>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项目不涉及锅炉。</w:t>
            </w:r>
            <w:r>
              <w:rPr>
                <w:rFonts w:hint="eastAsia"/>
                <w:color w:val="auto"/>
                <w:sz w:val="24"/>
                <w:szCs w:val="24"/>
                <w:highlight w:val="none"/>
                <w:lang w:val="en-US" w:eastAsia="zh-CN"/>
              </w:rPr>
              <w:t>工业炉窑</w:t>
            </w:r>
            <w:r>
              <w:rPr>
                <w:rFonts w:hint="eastAsia"/>
                <w:color w:val="auto"/>
                <w:sz w:val="24"/>
                <w:szCs w:val="24"/>
                <w:highlight w:val="none"/>
              </w:rPr>
              <w:t>烘干工序采用天然气加热，产生的污染物主要有颗粒物、二氧化硫、氮氧化物。燃烧废气收集后经排气筒DA001高空排放。故本项目与乐昌市人民政府办公室《关于印发&lt;乐昌市生态环境保护“十四五”规划的通知》（乐府办〔2022〕16号）相符。</w:t>
            </w:r>
          </w:p>
          <w:p w14:paraId="51B77D3B">
            <w:pPr>
              <w:pStyle w:val="5"/>
              <w:pageBreakBefore w:val="0"/>
              <w:numPr>
                <w:ilvl w:val="3"/>
                <w:numId w:val="0"/>
              </w:numPr>
              <w:suppressLineNumbers w:val="0"/>
              <w:kinsoku/>
              <w:overflowPunct/>
              <w:topLinePunct w:val="0"/>
              <w:bidi w:val="0"/>
              <w:snapToGrid/>
              <w:spacing w:before="0" w:beforeAutospacing="0" w:after="0" w:afterAutospacing="0"/>
              <w:ind w:right="0" w:firstLine="480" w:firstLineChars="200"/>
              <w:rPr>
                <w:rFonts w:hint="eastAsia"/>
                <w:color w:val="auto"/>
                <w:sz w:val="24"/>
                <w:szCs w:val="24"/>
                <w:highlight w:val="none"/>
              </w:rPr>
            </w:pPr>
            <w:r>
              <w:rPr>
                <w:rFonts w:hint="eastAsia"/>
                <w:color w:val="auto"/>
                <w:sz w:val="24"/>
                <w:szCs w:val="24"/>
                <w:highlight w:val="none"/>
              </w:rPr>
              <w:t>七、环境保护部《关于印发&lt;重点行业挥发性有机物综合治理方案&gt;的通知》（环大气〔2019〕53号）</w:t>
            </w:r>
          </w:p>
          <w:p w14:paraId="6C0BDB73">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color w:val="auto"/>
                <w:sz w:val="24"/>
                <w:szCs w:val="24"/>
                <w:highlight w:val="none"/>
              </w:rPr>
            </w:pPr>
            <w:r>
              <w:rPr>
                <w:rFonts w:hint="eastAsia"/>
                <w:color w:val="auto"/>
                <w:sz w:val="24"/>
                <w:szCs w:val="24"/>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4B08DCC5">
            <w:pPr>
              <w:pStyle w:val="12"/>
              <w:keepNext w:val="0"/>
              <w:keepLines w:val="0"/>
              <w:pageBreakBefore w:val="0"/>
              <w:suppressLineNumbers w:val="0"/>
              <w:kinsoku/>
              <w:overflowPunct/>
              <w:topLinePunct w:val="0"/>
              <w:bidi w:val="0"/>
              <w:snapToGrid/>
              <w:spacing w:before="0" w:beforeAutospacing="0" w:after="0" w:afterAutospacing="0"/>
              <w:ind w:left="0" w:right="0" w:firstLine="480"/>
              <w:rPr>
                <w:rFonts w:hint="eastAsia" w:ascii="Times New Roman" w:cs="Times New Roman"/>
                <w:b/>
                <w:bCs/>
                <w:color w:val="auto"/>
                <w:highlight w:val="none"/>
              </w:rPr>
            </w:pPr>
            <w:r>
              <w:rPr>
                <w:rFonts w:hint="eastAsia"/>
                <w:color w:val="auto"/>
                <w:sz w:val="24"/>
                <w:szCs w:val="24"/>
                <w:highlight w:val="none"/>
              </w:rPr>
              <w:t>本项目原料不涉及VOCs物料，可从源头有效控制VOCs排放，烘干工序采用天然气加热，产生的污染物主要有颗粒物、二氧化硫、氮氧化物，收集后经排气筒DA001高空排放。综上，本项目与环境保护部《关于印发&lt;重点行业挥发性有机物综合治理方案&gt;的通知》（环大气〔2019〕53号）相符。</w:t>
            </w:r>
          </w:p>
          <w:p w14:paraId="05FD7657">
            <w:pPr>
              <w:pStyle w:val="100"/>
              <w:keepNext w:val="0"/>
              <w:keepLines w:val="0"/>
              <w:numPr>
                <w:ilvl w:val="0"/>
                <w:numId w:val="0"/>
              </w:numPr>
              <w:suppressLineNumbers w:val="0"/>
              <w:topLinePunct w:val="0"/>
              <w:autoSpaceDE/>
              <w:autoSpaceDN/>
              <w:bidi w:val="0"/>
              <w:spacing w:before="0" w:beforeAutospacing="0" w:after="0" w:afterAutospacing="0"/>
              <w:ind w:left="0" w:right="0" w:rightChars="0" w:firstLine="480" w:firstLineChars="200"/>
              <w:rPr>
                <w:rFonts w:hint="default" w:ascii="Times New Roman" w:hAnsi="Times New Roman" w:cs="Times New Roman"/>
                <w:color w:val="auto"/>
                <w:highlight w:val="none"/>
                <w:lang w:val="en-US"/>
              </w:rPr>
            </w:pPr>
            <w:r>
              <w:rPr>
                <w:rFonts w:hint="eastAsia" w:cs="Times New Roman"/>
                <w:color w:val="auto"/>
                <w:highlight w:val="none"/>
                <w:lang w:val="en-US" w:eastAsia="zh-CN"/>
              </w:rPr>
              <w:t>八、</w:t>
            </w:r>
            <w:r>
              <w:rPr>
                <w:rFonts w:hint="default" w:ascii="Times New Roman" w:hAnsi="Times New Roman" w:cs="Times New Roman"/>
                <w:color w:val="auto"/>
                <w:highlight w:val="none"/>
                <w:lang w:val="en-US" w:eastAsia="zh-CN"/>
              </w:rPr>
              <w:t>与《广东省2023年土壤与地下水污染防治工作方案》（粤环〔2023〕3号）的相符性</w:t>
            </w:r>
          </w:p>
          <w:p w14:paraId="7AA3769F">
            <w:pPr>
              <w:pStyle w:val="10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“方案要求：</w:t>
            </w:r>
          </w:p>
          <w:p w14:paraId="3C7098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三、系统推进土壤污染源头防控</w:t>
            </w:r>
          </w:p>
          <w:p w14:paraId="23A63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加强涉重金属行业污染防控。深化涉镉等重点行业企业污染源排查整治，动态更新污染源排查整治清单。韶关、阳江、清远市要督促有关涉重金属污染物排放企业严格执行特别排放限值相关规定。2023年底前，各地要督促纳入大气环境重点排污单位名录的涉镉等重金属排放企业实现大气污染物中的颗粒物自动监测、监控设备联网。（省生态环境厅牵头，省自然资源厅等按职责分工负责）</w:t>
            </w:r>
          </w:p>
          <w:p w14:paraId="2DCE25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二）严格监管土壤污染重点监管单位。更新并公布土壤污染重点监管单位名录，督促重点监管单位落实法定义务，原则上新纳入的重点监管单位应在当年完成隐患排查，所有重点监管单位完成一轮土壤和地下水自行监测。各地级以上市要组织对重点监管单位开展周边监测，完成比例不低于40%；督促50%已开展隐患排查的重点监管单位开展隐患排查“回头看”。省市两级对“回头看”工作开展质量控制抽查，省级抽查比例不低于10%，市级抽查比例不低于20%（省生态环境厅负责）</w:t>
            </w:r>
            <w:r>
              <w:rPr>
                <w:rFonts w:hint="eastAsia" w:cs="Times New Roman"/>
                <w:color w:val="auto"/>
                <w:sz w:val="24"/>
                <w:szCs w:val="24"/>
                <w:highlight w:val="none"/>
                <w:lang w:val="en-US" w:eastAsia="zh-CN"/>
              </w:rPr>
              <w:t>。</w:t>
            </w:r>
          </w:p>
          <w:p w14:paraId="1DEC41B5">
            <w:pPr>
              <w:pStyle w:val="101"/>
              <w:keepNext w:val="0"/>
              <w:keepLines w:val="0"/>
              <w:suppressLineNumbers w:val="0"/>
              <w:topLinePunct w:val="0"/>
              <w:autoSpaceDE/>
              <w:autoSpaceDN/>
              <w:bidi w:val="0"/>
              <w:spacing w:before="0" w:beforeAutospacing="0" w:after="0" w:afterAutospacing="0"/>
              <w:ind w:left="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六、有序推进地下水污染防治</w:t>
            </w:r>
          </w:p>
          <w:p w14:paraId="16E49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一）加强地下水环境质量目标管理和分区管理。各地级以上市加快印发并实施“十四五”国家地下水环境质量考核点位水质达标保持方案，省生态环境厅定期组织对各地级以上市达标保持方案重点工作实施情况开展评估。湛江等市开展地下水国考点位、地下水型农村“千吨万人”饮用水源环境背景值调查研究。实施地下水环境分区管理、分级防治，完成珠三角整体区域及佛山、韶关、河源、东莞、湛江、云浮等市地下水污染防治重点区划定工作。（省生态环境厅牵头，省发展改革委、自然资源厅、水利厅、地质局等按职责分工负责）</w:t>
            </w:r>
          </w:p>
          <w:p w14:paraId="5AC0CB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（三）加强地下水污染防治重点排污单位管理。各地级以上市建立并公布地下水污染防治重点排污单位名录，参照生态环境 </w:t>
            </w:r>
          </w:p>
          <w:p w14:paraId="4B2626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部制定的重点监管单位土壤污染隐患排查技术指南、地下水污染源防渗技术指南等，指导重点排污单位开展地下水污染渗漏排查，存在问题的单位应开展防渗改造。（省生态环境厅牵头，省住房城乡建设厅等按职责分工负责）”</w:t>
            </w:r>
          </w:p>
          <w:p w14:paraId="7DB9DFDD">
            <w:pPr>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eastAsia"/>
                <w:color w:val="auto"/>
                <w:highlight w:val="none"/>
              </w:rPr>
            </w:pPr>
            <w:r>
              <w:rPr>
                <w:rFonts w:hint="default" w:ascii="Times New Roman" w:hAnsi="Times New Roman" w:cs="Times New Roman"/>
                <w:b/>
                <w:bCs/>
                <w:color w:val="auto"/>
                <w:highlight w:val="none"/>
                <w:u w:val="none"/>
                <w:lang w:val="en-US" w:eastAsia="zh-CN"/>
              </w:rPr>
              <w:t>相符性分析：</w:t>
            </w:r>
            <w:r>
              <w:rPr>
                <w:rFonts w:hint="default" w:ascii="Times New Roman" w:hAnsi="Times New Roman" w:cs="Times New Roman"/>
                <w:color w:val="auto"/>
                <w:highlight w:val="none"/>
                <w:u w:val="none"/>
                <w:lang w:val="en-US" w:eastAsia="zh-CN"/>
              </w:rPr>
              <w:t>本项目生产运营过程不涉及重金属排放，生产废水经自建污水处理站处理后排入园区污水处理厂；生活污水经三级化粪池处理后排入园区污水处理厂。项目对危废仓进行防渗漏、防扬散、防流失等措施，防止危险废物暂存过程对土壤环境造成影响。因此，项目的建设符合《广东省2023年土壤与地下水污染防治工作方案》的相关要求。</w:t>
            </w:r>
          </w:p>
          <w:p w14:paraId="462A5AC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eastAsia"/>
                <w:bCs/>
                <w:color w:val="auto"/>
                <w:highlight w:val="none"/>
              </w:rPr>
            </w:pPr>
            <w:r>
              <w:rPr>
                <w:rFonts w:hint="eastAsia"/>
                <w:b/>
                <w:color w:val="auto"/>
                <w:highlight w:val="none"/>
                <w:lang w:val="en-US" w:eastAsia="zh-CN"/>
              </w:rPr>
              <w:t>九</w:t>
            </w:r>
            <w:r>
              <w:rPr>
                <w:rFonts w:hint="eastAsia"/>
                <w:b/>
                <w:color w:val="auto"/>
                <w:highlight w:val="none"/>
              </w:rPr>
              <w:t>、与《广东省生态环境厅关于2021年工业炉窑、锅炉综合整治重点工作的通知》（粤环函〔2021〕461号）的相符性分析</w:t>
            </w:r>
          </w:p>
          <w:p w14:paraId="52887A7B">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eastAsia"/>
                <w:bCs/>
                <w:color w:val="auto"/>
                <w:highlight w:val="none"/>
              </w:rPr>
            </w:pPr>
            <w:r>
              <w:rPr>
                <w:rFonts w:hint="eastAsia"/>
                <w:bCs/>
                <w:color w:val="auto"/>
                <w:highlight w:val="none"/>
              </w:rPr>
              <w:t>根据通知：珠三角各地应按照《广东省人民政府关于印发广东省“三线一单”生态环境分区管控方案的通知》：“一、推进钢铁行业超低排放改造</w:t>
            </w:r>
            <w:r>
              <w:rPr>
                <w:rFonts w:hint="eastAsia"/>
                <w:bCs/>
                <w:color w:val="auto"/>
                <w:highlight w:val="none"/>
                <w:lang w:eastAsia="zh-CN"/>
              </w:rPr>
              <w:t>；</w:t>
            </w:r>
            <w:r>
              <w:rPr>
                <w:rFonts w:hint="eastAsia"/>
                <w:bCs/>
                <w:color w:val="auto"/>
                <w:highlight w:val="none"/>
              </w:rPr>
              <w:t>二、鼓励水泥行业超低排放改造；三、推进钢压延、铝型材行业清洁能源改造；四、收严燃气锅炉大气污染物排放标准；五、珠三角地区逐步淘汰生物质锅炉；六、动态更新工业炉窑综合整治清单；七、完成70%以上涉工业炉窑企业综合整治工作；八、公开综合整治相关信息；九、加强监督执法；十、做好企业整治提升资金保障。”</w:t>
            </w:r>
          </w:p>
          <w:p w14:paraId="3F713C5F">
            <w:pPr>
              <w:keepNext w:val="0"/>
              <w:keepLines w:val="0"/>
              <w:pageBreakBefore w:val="0"/>
              <w:suppressLineNumbers w:val="0"/>
              <w:kinsoku/>
              <w:overflowPunct/>
              <w:topLinePunct w:val="0"/>
              <w:bidi w:val="0"/>
              <w:adjustRightInd w:val="0"/>
              <w:snapToGrid/>
              <w:spacing w:before="0" w:beforeAutospacing="0" w:after="0" w:afterAutospacing="0"/>
              <w:ind w:left="0" w:right="0" w:firstLine="480" w:firstLineChars="200"/>
              <w:rPr>
                <w:rFonts w:hint="eastAsia"/>
                <w:bCs/>
                <w:color w:val="auto"/>
                <w:highlight w:val="none"/>
              </w:rPr>
            </w:pPr>
            <w:r>
              <w:rPr>
                <w:rFonts w:hint="eastAsia"/>
                <w:bCs/>
                <w:color w:val="auto"/>
                <w:highlight w:val="none"/>
              </w:rPr>
              <w:t>项目使用天然气作为烘水炉的燃料。烘水炉天然气燃烧排放的污染物为颗粒物、SO</w:t>
            </w:r>
            <w:r>
              <w:rPr>
                <w:rFonts w:hint="eastAsia"/>
                <w:bCs/>
                <w:color w:val="auto"/>
                <w:highlight w:val="none"/>
                <w:vertAlign w:val="subscript"/>
              </w:rPr>
              <w:t>2</w:t>
            </w:r>
            <w:r>
              <w:rPr>
                <w:rFonts w:hint="eastAsia"/>
                <w:bCs/>
                <w:color w:val="auto"/>
                <w:highlight w:val="none"/>
              </w:rPr>
              <w:t>、NOx</w:t>
            </w:r>
            <w:r>
              <w:rPr>
                <w:rFonts w:hint="eastAsia"/>
                <w:bCs/>
                <w:color w:val="auto"/>
                <w:highlight w:val="none"/>
                <w:lang w:eastAsia="zh-CN"/>
              </w:rPr>
              <w:t>。天然气燃烧废气排放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bCs/>
                <w:color w:val="auto"/>
                <w:highlight w:val="none"/>
              </w:rPr>
              <w:t>要求。因此项目符合《广东省生态环境厅关于2021年工业炉窑、锅炉综合整治重点工作的通知》（粤环函〔2021〕461号）的相关要求。</w:t>
            </w:r>
          </w:p>
          <w:p w14:paraId="00B44297">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rPr>
            </w:pPr>
          </w:p>
          <w:p w14:paraId="4AC0F53E">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22A515DA">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FCBF59C">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E836A9F">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F3C31AB">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00EE571">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21465E5C">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B2C6B00">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33AF5FD9">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F17D5AA">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089117B5">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2F78CC74">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4480381E">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85D375E">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548A2A12">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3441D5A8">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46DBBF67">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0ABEDB4">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2E5AF90">
            <w:pPr>
              <w:keepNext w:val="0"/>
              <w:keepLines w:val="0"/>
              <w:pageBreakBefore w:val="0"/>
              <w:suppressLineNumbers w:val="0"/>
              <w:kinsoku/>
              <w:overflowPunct/>
              <w:topLinePunct w:val="0"/>
              <w:bidi w:val="0"/>
              <w:snapToGrid/>
              <w:spacing w:before="0" w:beforeAutospacing="0" w:after="0" w:afterAutospacing="0"/>
              <w:ind w:left="0" w:right="0"/>
              <w:rPr>
                <w:rFonts w:hint="eastAsia"/>
                <w:color w:val="auto"/>
                <w:highlight w:val="none"/>
                <w:lang w:val="en-US" w:eastAsia="zh-CN"/>
              </w:rPr>
            </w:pPr>
          </w:p>
          <w:p w14:paraId="7F29E79D">
            <w:pPr>
              <w:keepNext w:val="0"/>
              <w:keepLines w:val="0"/>
              <w:pageBreakBefore w:val="0"/>
              <w:suppressLineNumbers w:val="0"/>
              <w:kinsoku/>
              <w:overflowPunct/>
              <w:topLinePunct w:val="0"/>
              <w:bidi w:val="0"/>
              <w:snapToGrid/>
              <w:spacing w:before="0" w:beforeAutospacing="0" w:after="0" w:afterAutospacing="0"/>
              <w:ind w:left="0" w:right="0"/>
              <w:rPr>
                <w:rFonts w:hint="default" w:eastAsia="宋体"/>
                <w:color w:val="auto"/>
                <w:highlight w:val="none"/>
                <w:lang w:val="en-US" w:eastAsia="zh-CN"/>
              </w:rPr>
            </w:pPr>
          </w:p>
        </w:tc>
      </w:tr>
    </w:tbl>
    <w:p w14:paraId="49066F6B">
      <w:pPr>
        <w:pStyle w:val="2"/>
        <w:numPr>
          <w:ilvl w:val="0"/>
          <w:numId w:val="0"/>
        </w:numPr>
        <w:rPr>
          <w:rFonts w:cs="Times New Roman"/>
          <w:color w:val="auto"/>
          <w:highlight w:val="none"/>
        </w:rPr>
      </w:pPr>
      <w:r>
        <w:rPr>
          <w:rFonts w:cs="Times New Roman"/>
          <w:color w:val="auto"/>
          <w:highlight w:val="none"/>
        </w:rPr>
        <w:br w:type="page"/>
      </w:r>
      <w:bookmarkStart w:id="11" w:name="_Toc23884"/>
      <w:bookmarkStart w:id="12" w:name="_Toc17804"/>
      <w:bookmarkStart w:id="13" w:name="_Toc25936"/>
      <w:r>
        <w:rPr>
          <w:rFonts w:hint="eastAsia" w:cs="Times New Roman"/>
          <w:b/>
          <w:bCs/>
          <w:color w:val="auto"/>
          <w:highlight w:val="none"/>
        </w:rPr>
        <w:t>二、</w:t>
      </w:r>
      <w:r>
        <w:rPr>
          <w:rFonts w:cs="Times New Roman"/>
          <w:b/>
          <w:bCs/>
          <w:color w:val="auto"/>
          <w:highlight w:val="none"/>
        </w:rPr>
        <w:t>建设项目工程分析</w:t>
      </w:r>
      <w:bookmarkEnd w:id="11"/>
      <w:bookmarkEnd w:id="12"/>
      <w:bookmarkEnd w:id="13"/>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1"/>
        <w:gridCol w:w="9591"/>
      </w:tblGrid>
      <w:tr w14:paraId="34D5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241" w:type="pct"/>
            <w:vAlign w:val="center"/>
          </w:tcPr>
          <w:p w14:paraId="0F70D056">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276" w:lineRule="auto"/>
              <w:ind w:left="0" w:right="0"/>
              <w:textAlignment w:val="auto"/>
              <w:outlineLvl w:val="9"/>
              <w:rPr>
                <w:rFonts w:hint="default" w:ascii="Times New Roman" w:hAnsi="Times New Roman" w:cs="Times New Roman"/>
                <w:color w:val="auto"/>
                <w:highlight w:val="none"/>
              </w:rPr>
            </w:pPr>
            <w:bookmarkStart w:id="14" w:name="_Toc12660"/>
            <w:bookmarkStart w:id="15" w:name="_Toc23802"/>
            <w:bookmarkStart w:id="16" w:name="_Toc28166"/>
            <w:bookmarkStart w:id="17" w:name="_Toc1786"/>
            <w:bookmarkStart w:id="18" w:name="_Toc28930"/>
            <w:r>
              <w:rPr>
                <w:rFonts w:hint="default" w:ascii="Times New Roman" w:hAnsi="Times New Roman" w:cs="Times New Roman"/>
                <w:b/>
                <w:bCs/>
                <w:color w:val="auto"/>
                <w:highlight w:val="none"/>
              </w:rPr>
              <w:t>建设内容</w:t>
            </w:r>
            <w:bookmarkEnd w:id="14"/>
            <w:bookmarkEnd w:id="15"/>
            <w:bookmarkEnd w:id="16"/>
            <w:bookmarkEnd w:id="17"/>
            <w:bookmarkEnd w:id="18"/>
          </w:p>
        </w:tc>
        <w:tc>
          <w:tcPr>
            <w:tcW w:w="4758" w:type="pct"/>
          </w:tcPr>
          <w:p w14:paraId="044520B2">
            <w:pPr>
              <w:keepNext/>
              <w:keepLines/>
              <w:suppressLineNumbers w:val="0"/>
              <w:tabs>
                <w:tab w:val="left" w:pos="0"/>
              </w:tabs>
              <w:spacing w:before="0" w:beforeAutospacing="0" w:after="0" w:afterAutospacing="0"/>
              <w:ind w:left="-2" w:right="0"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6A879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i w:val="0"/>
                <w:iCs w:val="0"/>
                <w:caps w:val="0"/>
                <w:color w:val="auto"/>
                <w:spacing w:val="0"/>
                <w:sz w:val="24"/>
                <w:szCs w:val="24"/>
                <w:highlight w:val="none"/>
                <w:shd w:val="clear" w:fill="FFFFFF"/>
                <w:lang w:eastAsia="zh-CN"/>
              </w:rPr>
            </w:pPr>
            <w:r>
              <w:rPr>
                <w:rFonts w:hint="eastAsia" w:cs="Times New Roman"/>
                <w:i w:val="0"/>
                <w:iCs w:val="0"/>
                <w:caps w:val="0"/>
                <w:color w:val="auto"/>
                <w:spacing w:val="0"/>
                <w:sz w:val="24"/>
                <w:szCs w:val="24"/>
                <w:highlight w:val="none"/>
                <w:shd w:val="clear" w:fill="FFFFFF"/>
                <w:lang w:eastAsia="zh-CN"/>
              </w:rPr>
              <w:t>广东润昕新材料有限公司</w:t>
            </w:r>
            <w:r>
              <w:rPr>
                <w:rFonts w:hint="default" w:ascii="Times New Roman" w:hAnsi="Times New Roman" w:eastAsia="宋体" w:cs="Times New Roman"/>
                <w:i w:val="0"/>
                <w:iCs w:val="0"/>
                <w:caps w:val="0"/>
                <w:color w:val="auto"/>
                <w:spacing w:val="0"/>
                <w:sz w:val="24"/>
                <w:szCs w:val="24"/>
                <w:highlight w:val="none"/>
                <w:shd w:val="clear" w:fill="FFFFFF"/>
              </w:rPr>
              <w:t>（以下简称</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建设单位</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）拟在</w:t>
            </w:r>
            <w:r>
              <w:rPr>
                <w:rFonts w:hint="eastAsia" w:cs="Times New Roman"/>
                <w:i w:val="0"/>
                <w:iCs w:val="0"/>
                <w:caps w:val="0"/>
                <w:color w:val="auto"/>
                <w:spacing w:val="0"/>
                <w:sz w:val="24"/>
                <w:szCs w:val="24"/>
                <w:highlight w:val="none"/>
                <w:shd w:val="clear" w:fill="FFFFFF"/>
                <w:lang w:eastAsia="zh-CN"/>
              </w:rPr>
              <w:t>韶关市乐昌市乐昌产业转移工业园GL-01-15-02地块</w:t>
            </w:r>
            <w:r>
              <w:rPr>
                <w:rFonts w:hint="default" w:ascii="Times New Roman" w:hAnsi="Times New Roman" w:eastAsia="宋体" w:cs="Times New Roman"/>
                <w:i w:val="0"/>
                <w:iCs w:val="0"/>
                <w:caps w:val="0"/>
                <w:color w:val="auto"/>
                <w:spacing w:val="0"/>
                <w:sz w:val="24"/>
                <w:szCs w:val="24"/>
                <w:highlight w:val="none"/>
                <w:shd w:val="clear" w:fill="FFFFFF"/>
              </w:rPr>
              <w:t>投资建设"</w:t>
            </w:r>
            <w:r>
              <w:rPr>
                <w:rFonts w:hint="eastAsia" w:cs="Times New Roman"/>
                <w:i w:val="0"/>
                <w:iCs w:val="0"/>
                <w:caps w:val="0"/>
                <w:color w:val="auto"/>
                <w:spacing w:val="0"/>
                <w:sz w:val="24"/>
                <w:szCs w:val="24"/>
                <w:highlight w:val="none"/>
                <w:shd w:val="clear" w:fill="FFFFFF"/>
                <w:lang w:eastAsia="zh-CN"/>
              </w:rPr>
              <w:t>乐昌致远新材料项目</w:t>
            </w:r>
            <w:r>
              <w:rPr>
                <w:rFonts w:hint="default" w:ascii="Times New Roman" w:hAnsi="Times New Roman" w:eastAsia="宋体" w:cs="Times New Roman"/>
                <w:i w:val="0"/>
                <w:iCs w:val="0"/>
                <w:caps w:val="0"/>
                <w:color w:val="auto"/>
                <w:spacing w:val="0"/>
                <w:sz w:val="24"/>
                <w:szCs w:val="24"/>
                <w:highlight w:val="none"/>
                <w:shd w:val="clear" w:fill="FFFFFF"/>
              </w:rPr>
              <w:t>"。根据备案信息（附件4），</w:t>
            </w:r>
            <w:r>
              <w:rPr>
                <w:rFonts w:hint="eastAsia"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该项目主要从事铝单板、铝幕墙等产品的生产制造，计划配置铝钣金数控生产加工设备及数控全自动喷涂生产线。</w:t>
            </w:r>
            <w:r>
              <w:rPr>
                <w:rFonts w:hint="eastAsia"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项目采取分期建设模式，本次环评针对一期工程，主要包含钣金机加工、表面预处理等生产工序及配套厂房建设，即"</w:t>
            </w:r>
            <w:r>
              <w:rPr>
                <w:rFonts w:hint="eastAsia" w:cs="Times New Roman"/>
                <w:i w:val="0"/>
                <w:iCs w:val="0"/>
                <w:caps w:val="0"/>
                <w:color w:val="auto"/>
                <w:spacing w:val="0"/>
                <w:sz w:val="24"/>
                <w:szCs w:val="24"/>
                <w:highlight w:val="none"/>
                <w:shd w:val="clear" w:fill="FFFFFF"/>
                <w:lang w:eastAsia="zh-CN"/>
              </w:rPr>
              <w:t>乐昌致远新材料项目</w:t>
            </w:r>
            <w:r>
              <w:rPr>
                <w:rFonts w:hint="default" w:ascii="Times New Roman" w:hAnsi="Times New Roman" w:eastAsia="宋体" w:cs="Times New Roman"/>
                <w:i w:val="0"/>
                <w:iCs w:val="0"/>
                <w:caps w:val="0"/>
                <w:color w:val="auto"/>
                <w:spacing w:val="0"/>
                <w:sz w:val="24"/>
                <w:szCs w:val="24"/>
                <w:highlight w:val="none"/>
                <w:shd w:val="clear" w:fill="FFFFFF"/>
              </w:rPr>
              <w:t>"（以下简称</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本项目</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default" w:ascii="Times New Roman" w:hAnsi="Times New Roman" w:eastAsia="宋体" w:cs="Times New Roman"/>
                <w:i w:val="0"/>
                <w:iCs w:val="0"/>
                <w:caps w:val="0"/>
                <w:color w:val="auto"/>
                <w:spacing w:val="0"/>
                <w:sz w:val="24"/>
                <w:szCs w:val="24"/>
                <w:highlight w:val="none"/>
                <w:shd w:val="clear" w:fill="FFFFFF"/>
              </w:rPr>
              <w:t>）。喷涂生产线及其他配套设备纳入二期建设内容，其环评手续将在本项目建成后另行办理</w:t>
            </w:r>
            <w:r>
              <w:rPr>
                <w:rFonts w:hint="default" w:ascii="Times New Roman" w:hAnsi="Times New Roman" w:eastAsia="宋体" w:cs="Times New Roman"/>
                <w:i w:val="0"/>
                <w:iCs w:val="0"/>
                <w:caps w:val="0"/>
                <w:color w:val="auto"/>
                <w:spacing w:val="0"/>
                <w:sz w:val="24"/>
                <w:szCs w:val="24"/>
                <w:highlight w:val="none"/>
                <w:shd w:val="clear" w:fill="FFFFFF"/>
                <w:lang w:eastAsia="zh-CN"/>
              </w:rPr>
              <w:t>。</w:t>
            </w:r>
          </w:p>
          <w:p w14:paraId="4F5A9815">
            <w:pPr>
              <w:keepNext w:val="0"/>
              <w:keepLines w:val="0"/>
              <w:widowControl/>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本项目总占地面积约</w:t>
            </w:r>
            <w:r>
              <w:rPr>
                <w:rFonts w:hint="eastAsia" w:cs="Times New Roman"/>
                <w:color w:val="auto"/>
                <w:kern w:val="24"/>
                <w:highlight w:val="none"/>
                <w:lang w:val="en-US" w:eastAsia="zh-CN"/>
              </w:rPr>
              <w:t>34905.44</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eastAsia" w:cs="Times New Roman"/>
                <w:color w:val="auto"/>
                <w:highlight w:val="none"/>
                <w:lang w:val="en-US" w:eastAsia="zh-CN"/>
              </w:rPr>
              <w:t>约23974.73</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。项目总投资</w:t>
            </w:r>
            <w:r>
              <w:rPr>
                <w:rFonts w:hint="eastAsia" w:cs="Times New Roman"/>
                <w:color w:val="auto"/>
                <w:highlight w:val="none"/>
                <w:lang w:val="en-US" w:eastAsia="zh-CN"/>
              </w:rPr>
              <w:t>12</w:t>
            </w:r>
            <w:r>
              <w:rPr>
                <w:rFonts w:hint="default" w:ascii="Times New Roman" w:hAnsi="Times New Roman" w:cs="Times New Roman"/>
                <w:color w:val="auto"/>
                <w:highlight w:val="none"/>
                <w:lang w:val="en-US" w:eastAsia="zh-CN"/>
              </w:rPr>
              <w:t>000</w:t>
            </w:r>
            <w:r>
              <w:rPr>
                <w:rFonts w:hint="default" w:ascii="Times New Roman" w:hAnsi="Times New Roman" w:cs="Times New Roman"/>
                <w:color w:val="auto"/>
                <w:highlight w:val="none"/>
              </w:rPr>
              <w:t>万元，其中环保投资100万元。</w:t>
            </w:r>
            <w:r>
              <w:rPr>
                <w:rFonts w:hint="default" w:ascii="Times New Roman" w:hAnsi="Times New Roman" w:cs="Times New Roman"/>
                <w:color w:val="auto"/>
                <w:highlight w:val="none"/>
                <w:lang w:val="en-US" w:eastAsia="zh-CN"/>
              </w:rPr>
              <w:t>厂房建设钣金折弯加工车间进行冲压、折弯、钣金等机加工工序，设置</w:t>
            </w:r>
            <w:r>
              <w:rPr>
                <w:rFonts w:hint="eastAsia" w:cs="Times New Roman"/>
                <w:color w:val="auto"/>
                <w:highlight w:val="none"/>
                <w:lang w:val="en-US" w:eastAsia="zh-CN"/>
              </w:rPr>
              <w:t>1</w:t>
            </w:r>
            <w:r>
              <w:rPr>
                <w:rFonts w:hint="default" w:ascii="Times New Roman" w:hAnsi="Times New Roman" w:cs="Times New Roman"/>
                <w:color w:val="auto"/>
                <w:highlight w:val="none"/>
              </w:rPr>
              <w:t>条铝卷表面预处理生产线，主要工艺为除油清洗、钝化、烘干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本项目设计年加工铝卷原料</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00万平方米（折算重量为</w:t>
            </w:r>
            <w:r>
              <w:rPr>
                <w:rFonts w:hint="eastAsia" w:cs="Times New Roman"/>
                <w:color w:val="auto"/>
                <w:highlight w:val="none"/>
                <w:lang w:val="en-US" w:eastAsia="zh-CN"/>
              </w:rPr>
              <w:t>4050</w:t>
            </w:r>
            <w:r>
              <w:rPr>
                <w:rFonts w:hint="default" w:ascii="Times New Roman" w:hAnsi="Times New Roman" w:cs="Times New Roman"/>
                <w:color w:val="auto"/>
                <w:highlight w:val="none"/>
                <w:lang w:val="en-US" w:eastAsia="zh-CN"/>
              </w:rPr>
              <w:t>吨/年）</w:t>
            </w:r>
            <w:r>
              <w:rPr>
                <w:rFonts w:hint="default" w:ascii="Times New Roman" w:hAnsi="Times New Roman" w:cs="Times New Roman"/>
                <w:color w:val="auto"/>
                <w:highlight w:val="none"/>
                <w:lang w:eastAsia="zh-CN"/>
              </w:rPr>
              <w:t>。</w:t>
            </w:r>
          </w:p>
          <w:p w14:paraId="4E4389D7">
            <w:pPr>
              <w:pStyle w:val="19"/>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w:t>
            </w:r>
            <w:r>
              <w:rPr>
                <w:rFonts w:hint="default" w:ascii="Times New Roman" w:hAnsi="Times New Roman" w:cs="Times New Roman"/>
                <w:color w:val="auto"/>
                <w:highlight w:val="none"/>
                <w:lang w:val="en-US" w:eastAsia="zh-CN"/>
              </w:rPr>
              <w:t>《广东省环境保护条例》（2022年11月30日修正）</w:t>
            </w:r>
            <w:r>
              <w:rPr>
                <w:rFonts w:hint="default" w:ascii="Times New Roman" w:hAnsi="Times New Roman" w:cs="Times New Roman"/>
                <w:color w:val="auto"/>
                <w:szCs w:val="24"/>
                <w:highlight w:val="none"/>
              </w:rPr>
              <w:t>等有关规定，建设过程中或者建成投产后可能对环境产生影响的新建、扩建、改建、迁建、技术改造项目及区域开发建设项目，必须执行环境影响评价制度。对照</w:t>
            </w:r>
            <w:r>
              <w:rPr>
                <w:rFonts w:hint="default" w:ascii="Times New Roman" w:hAnsi="Times New Roman" w:cs="Times New Roman"/>
                <w:color w:val="auto"/>
                <w:highlight w:val="none"/>
              </w:rPr>
              <w:t>《国民经济行业分类》（GB/T 4754-2017，按第1号修改单修订）</w:t>
            </w:r>
            <w:r>
              <w:rPr>
                <w:rFonts w:hint="default" w:ascii="Times New Roman" w:hAnsi="Times New Roman" w:cs="Times New Roman"/>
                <w:color w:val="auto"/>
                <w:szCs w:val="24"/>
                <w:highlight w:val="none"/>
              </w:rPr>
              <w:t>，本项目属于C3360金属表面处理及热处理加工；对照国家环保部《建设项目环境影响评价分类管理名录》（2021年版），该项目属于“三十、33金属制品业67金属表面处理及热处理加工其他（年用非溶剂型低VOCs含量涂料10吨以下的除外）”，按要求需要编制环境影响报告表。</w:t>
            </w:r>
          </w:p>
          <w:p w14:paraId="433E926F">
            <w:pPr>
              <w:pStyle w:val="19"/>
              <w:keepNext w:val="0"/>
              <w:keepLines w:val="0"/>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因此，受</w:t>
            </w:r>
            <w:r>
              <w:rPr>
                <w:rFonts w:hint="eastAsia" w:cs="Times New Roman"/>
                <w:color w:val="auto"/>
                <w:szCs w:val="24"/>
                <w:highlight w:val="none"/>
                <w:lang w:eastAsia="zh-CN"/>
              </w:rPr>
              <w:t>广东润昕新材料有限公司</w:t>
            </w:r>
            <w:r>
              <w:rPr>
                <w:rFonts w:hint="default" w:ascii="Times New Roman" w:hAnsi="Times New Roman" w:cs="Times New Roman"/>
                <w:color w:val="auto"/>
                <w:szCs w:val="24"/>
                <w:highlight w:val="none"/>
              </w:rPr>
              <w:t>委托</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我</w:t>
            </w:r>
            <w:r>
              <w:rPr>
                <w:rFonts w:hint="default" w:ascii="Times New Roman" w:hAnsi="Times New Roman" w:cs="Times New Roman"/>
                <w:color w:val="auto"/>
                <w:highlight w:val="none"/>
                <w:lang w:val="en-US" w:eastAsia="zh-CN"/>
              </w:rPr>
              <w:t>公司承担了该项目的环境影响评价工作。接受委托后，在现场踏勘和资料收集等的基础上，根据环境影响评价技术导则及其它有关文件，编制了《</w:t>
            </w:r>
            <w:r>
              <w:rPr>
                <w:rFonts w:hint="eastAsia" w:cs="Times New Roman"/>
                <w:color w:val="auto"/>
                <w:highlight w:val="none"/>
                <w:lang w:eastAsia="zh-CN"/>
              </w:rPr>
              <w:t>乐昌致远新材料项目</w:t>
            </w:r>
            <w:r>
              <w:rPr>
                <w:rFonts w:hint="default" w:ascii="Times New Roman" w:hAnsi="Times New Roman" w:cs="Times New Roman"/>
                <w:color w:val="auto"/>
                <w:highlight w:val="none"/>
                <w:lang w:val="en-US" w:eastAsia="zh-CN"/>
              </w:rPr>
              <w:t>环境影响报告表》</w:t>
            </w:r>
            <w:r>
              <w:rPr>
                <w:rFonts w:hint="default" w:ascii="Times New Roman" w:hAnsi="Times New Roman" w:cs="Times New Roman"/>
                <w:color w:val="auto"/>
                <w:szCs w:val="24"/>
                <w:highlight w:val="none"/>
              </w:rPr>
              <w:t>。</w:t>
            </w:r>
          </w:p>
          <w:p w14:paraId="054C5E85">
            <w:pPr>
              <w:pStyle w:val="4"/>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7392DB27">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DE5CFB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val="en-US" w:eastAsia="zh-CN"/>
              </w:rPr>
              <w:t>拟</w:t>
            </w:r>
            <w:r>
              <w:rPr>
                <w:rFonts w:hint="default" w:ascii="Times New Roman" w:hAnsi="Times New Roman" w:cs="Times New Roman"/>
                <w:color w:val="auto"/>
                <w:highlight w:val="none"/>
              </w:rPr>
              <w:t>于</w:t>
            </w:r>
            <w:r>
              <w:rPr>
                <w:rFonts w:hint="eastAsia" w:cs="Times New Roman"/>
                <w:color w:val="auto"/>
                <w:highlight w:val="none"/>
                <w:lang w:eastAsia="zh-CN"/>
              </w:rPr>
              <w:t>韶关市乐昌市乐昌产业转移工业园GL-01-15-02地块</w:t>
            </w:r>
            <w:r>
              <w:rPr>
                <w:rFonts w:hint="default" w:ascii="Times New Roman" w:hAnsi="Times New Roman" w:cs="Times New Roman"/>
                <w:color w:val="auto"/>
                <w:highlight w:val="none"/>
              </w:rPr>
              <w:t>，本项目总占地面积</w:t>
            </w:r>
            <w:r>
              <w:rPr>
                <w:rFonts w:hint="eastAsia" w:cs="Times New Roman"/>
                <w:color w:val="auto"/>
                <w:kern w:val="24"/>
                <w:highlight w:val="none"/>
                <w:lang w:val="en-US" w:eastAsia="zh-CN"/>
              </w:rPr>
              <w:t>34905.44</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，总建筑面积</w:t>
            </w:r>
            <w:r>
              <w:rPr>
                <w:rFonts w:hint="eastAsia" w:ascii="Times New Roman" w:hAnsi="Times New Roman" w:eastAsia="宋体" w:cs="Times New Roman"/>
                <w:color w:val="auto"/>
                <w:sz w:val="24"/>
                <w:szCs w:val="24"/>
                <w:highlight w:val="none"/>
                <w:lang w:val="en-US" w:eastAsia="zh-CN"/>
              </w:rPr>
              <w:t>23974.73</w:t>
            </w:r>
            <w:r>
              <w:rPr>
                <w:rFonts w:hint="default" w:ascii="Times New Roman" w:hAnsi="Times New Roman" w:cs="Times New Roman"/>
                <w:color w:val="auto"/>
                <w:kern w:val="24"/>
                <w:highlight w:val="none"/>
              </w:rPr>
              <w:t>m²</w:t>
            </w:r>
            <w:r>
              <w:rPr>
                <w:rFonts w:hint="default" w:ascii="Times New Roman" w:hAnsi="Times New Roman" w:cs="Times New Roman"/>
                <w:color w:val="auto"/>
                <w:highlight w:val="none"/>
              </w:rPr>
              <w:t>，</w:t>
            </w:r>
            <w:r>
              <w:rPr>
                <w:rFonts w:hint="default" w:ascii="Times New Roman" w:hAnsi="Times New Roman" w:cs="Times New Roman"/>
                <w:color w:val="auto"/>
                <w:kern w:val="24"/>
                <w:highlight w:val="none"/>
                <w:lang w:eastAsia="zh-CN"/>
              </w:rPr>
              <w:t>本项目</w:t>
            </w:r>
            <w:r>
              <w:rPr>
                <w:rFonts w:hint="default" w:ascii="Times New Roman" w:hAnsi="Times New Roman" w:cs="Times New Roman"/>
                <w:color w:val="auto"/>
                <w:highlight w:val="none"/>
              </w:rPr>
              <w:t>主要建设内容包括</w:t>
            </w:r>
            <w:r>
              <w:rPr>
                <w:rFonts w:hint="default" w:ascii="Times New Roman" w:hAnsi="Times New Roman" w:cs="Times New Roman"/>
                <w:color w:val="auto"/>
                <w:highlight w:val="none"/>
                <w:lang w:val="en-US" w:eastAsia="zh-CN"/>
              </w:rPr>
              <w:t>物料仓库</w:t>
            </w:r>
            <w:r>
              <w:rPr>
                <w:rFonts w:hint="default" w:ascii="Times New Roman" w:hAnsi="Times New Roman" w:cs="Times New Roman"/>
                <w:color w:val="auto"/>
                <w:highlight w:val="none"/>
              </w:rPr>
              <w:t>、钣金折弯加工车间、铝卷表面预处理生产线等。</w:t>
            </w:r>
            <w:r>
              <w:rPr>
                <w:rFonts w:hint="default" w:ascii="Times New Roman" w:hAnsi="Times New Roman" w:cs="Times New Roman"/>
                <w:bCs/>
                <w:color w:val="auto"/>
                <w:kern w:val="0"/>
                <w:szCs w:val="28"/>
                <w:highlight w:val="none"/>
              </w:rPr>
              <w:t>建筑物情况和</w:t>
            </w:r>
            <w:r>
              <w:rPr>
                <w:rFonts w:hint="default" w:ascii="Times New Roman" w:hAnsi="Times New Roman" w:cs="Times New Roman"/>
                <w:color w:val="auto"/>
                <w:highlight w:val="none"/>
              </w:rPr>
              <w:t>工程组成内容见表2-1，平面布置图见附图3，</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2-2</w:t>
            </w:r>
            <w:r>
              <w:rPr>
                <w:rFonts w:hint="default" w:ascii="Times New Roman" w:hAnsi="Times New Roman" w:cs="Times New Roman"/>
                <w:color w:val="auto"/>
                <w:highlight w:val="none"/>
                <w:lang w:val="zh-CN"/>
              </w:rPr>
              <w:t>。</w:t>
            </w:r>
          </w:p>
          <w:p w14:paraId="0DC2C948">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主要建筑物</w:t>
            </w:r>
            <w:r>
              <w:rPr>
                <w:rFonts w:hint="default" w:ascii="Times New Roman" w:hAnsi="Times New Roman" w:cs="Times New Roman"/>
                <w:b/>
                <w:bCs/>
                <w:color w:val="auto"/>
                <w:sz w:val="21"/>
                <w:szCs w:val="21"/>
                <w:highlight w:val="none"/>
                <w:lang w:val="en-US" w:eastAsia="zh-CN"/>
              </w:rPr>
              <w:t>面积</w:t>
            </w:r>
            <w:r>
              <w:rPr>
                <w:rFonts w:hint="default" w:ascii="Times New Roman" w:hAnsi="Times New Roman" w:cs="Times New Roman"/>
                <w:b/>
                <w:bCs/>
                <w:color w:val="auto"/>
                <w:sz w:val="21"/>
                <w:szCs w:val="21"/>
                <w:highlight w:val="none"/>
              </w:rPr>
              <w:t>一览表</w:t>
            </w:r>
          </w:p>
          <w:tbl>
            <w:tblPr>
              <w:tblStyle w:val="38"/>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265"/>
              <w:gridCol w:w="2544"/>
              <w:gridCol w:w="2514"/>
              <w:gridCol w:w="2045"/>
            </w:tblGrid>
            <w:tr w14:paraId="3ED796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C2004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13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BC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计算单位</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7AB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数值</w:t>
                  </w:r>
                </w:p>
              </w:tc>
            </w:tr>
            <w:tr w14:paraId="41CA0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D7B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规划建设用地面积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BEC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7B2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34905.44</w:t>
                  </w:r>
                </w:p>
              </w:tc>
            </w:tr>
            <w:tr w14:paraId="245913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256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683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总建筑面积</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B4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AE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23974.73</w:t>
                  </w:r>
                </w:p>
              </w:tc>
            </w:tr>
            <w:tr w14:paraId="26D6B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9824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其中</w:t>
                  </w: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10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1#研发楼</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455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98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1867.48</w:t>
                  </w:r>
                </w:p>
              </w:tc>
            </w:tr>
            <w:tr w14:paraId="13FB03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4DC3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391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2#宿舍</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E20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33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1662.52</w:t>
                  </w:r>
                </w:p>
              </w:tc>
            </w:tr>
            <w:tr w14:paraId="28A888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9B3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78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3#厂房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FE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84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8960</w:t>
                  </w:r>
                </w:p>
              </w:tc>
            </w:tr>
            <w:tr w14:paraId="0D29F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6F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65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4#厂房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DF4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F76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5376</w:t>
                  </w:r>
                </w:p>
              </w:tc>
            </w:tr>
            <w:tr w14:paraId="67ABF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1D4F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F83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5#厂房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458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BC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5888</w:t>
                  </w:r>
                </w:p>
              </w:tc>
            </w:tr>
            <w:tr w14:paraId="2854C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 w:hRule="atLeast"/>
                <w:jc w:val="center"/>
              </w:trPr>
              <w:tc>
                <w:tcPr>
                  <w:tcW w:w="12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737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5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5A6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消防水池及泵房</w:t>
                  </w:r>
                </w:p>
              </w:tc>
              <w:tc>
                <w:tcPr>
                  <w:tcW w:w="13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820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平方米</w:t>
                  </w:r>
                </w:p>
              </w:tc>
              <w:tc>
                <w:tcPr>
                  <w:tcW w:w="10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16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220.73</w:t>
                  </w:r>
                </w:p>
              </w:tc>
            </w:tr>
          </w:tbl>
          <w:p w14:paraId="6A86C1E1">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工程组成一览表</w:t>
            </w:r>
          </w:p>
          <w:tbl>
            <w:tblPr>
              <w:tblStyle w:val="38"/>
              <w:tblW w:w="92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4"/>
              <w:gridCol w:w="645"/>
              <w:gridCol w:w="1697"/>
              <w:gridCol w:w="6241"/>
            </w:tblGrid>
            <w:tr w14:paraId="03D2E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AAFC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C4B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项目类别</w:t>
                  </w: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F7FE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建设内容</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1E79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位置、用途、占地面积</w:t>
                  </w:r>
                </w:p>
              </w:tc>
            </w:tr>
            <w:tr w14:paraId="62DBB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F2FE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857F9A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主体工程</w:t>
                  </w: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021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钣金</w:t>
                  </w:r>
                  <w:r>
                    <w:rPr>
                      <w:rFonts w:hint="eastAsia" w:cs="Times New Roman"/>
                      <w:i w:val="0"/>
                      <w:iCs w:val="0"/>
                      <w:color w:val="auto"/>
                      <w:kern w:val="0"/>
                      <w:sz w:val="21"/>
                      <w:szCs w:val="21"/>
                      <w:highlight w:val="none"/>
                      <w:u w:val="none"/>
                      <w:lang w:val="en-US" w:eastAsia="zh-CN" w:bidi="ar"/>
                    </w:rPr>
                    <w:t>机</w:t>
                  </w:r>
                  <w:r>
                    <w:rPr>
                      <w:rFonts w:hint="default" w:ascii="Times New Roman" w:hAnsi="Times New Roman" w:eastAsia="宋体" w:cs="Times New Roman"/>
                      <w:i w:val="0"/>
                      <w:iCs w:val="0"/>
                      <w:color w:val="auto"/>
                      <w:kern w:val="0"/>
                      <w:sz w:val="21"/>
                      <w:szCs w:val="21"/>
                      <w:highlight w:val="none"/>
                      <w:u w:val="none"/>
                      <w:lang w:val="en-US" w:eastAsia="zh-CN" w:bidi="ar"/>
                    </w:rPr>
                    <w:t>加工</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铝卷表面预处理生产线车间</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9265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w:t>
                  </w: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#厂房，为1层建筑</w:t>
                  </w:r>
                  <w:r>
                    <w:rPr>
                      <w:rFonts w:hint="eastAsia" w:cs="Times New Roman"/>
                      <w:i w:val="0"/>
                      <w:iCs w:val="0"/>
                      <w:color w:val="auto"/>
                      <w:kern w:val="0"/>
                      <w:sz w:val="21"/>
                      <w:szCs w:val="21"/>
                      <w:highlight w:val="none"/>
                      <w:u w:val="none"/>
                      <w:lang w:val="en-US" w:eastAsia="zh-CN" w:bidi="ar"/>
                    </w:rPr>
                    <w:t>，总高度为13.65米</w:t>
                  </w:r>
                  <w:r>
                    <w:rPr>
                      <w:rFonts w:hint="default" w:ascii="Times New Roman" w:hAnsi="Times New Roman" w:eastAsia="宋体" w:cs="Times New Roman"/>
                      <w:i w:val="0"/>
                      <w:iCs w:val="0"/>
                      <w:color w:val="auto"/>
                      <w:kern w:val="0"/>
                      <w:sz w:val="21"/>
                      <w:szCs w:val="21"/>
                      <w:highlight w:val="none"/>
                      <w:u w:val="none"/>
                      <w:lang w:val="en-US" w:eastAsia="zh-CN" w:bidi="ar"/>
                    </w:rPr>
                    <w:t>，占地面积为</w:t>
                  </w:r>
                  <w:r>
                    <w:rPr>
                      <w:rFonts w:hint="eastAsia"/>
                      <w:color w:val="auto"/>
                      <w:kern w:val="2"/>
                      <w:sz w:val="21"/>
                      <w:szCs w:val="20"/>
                      <w:highlight w:val="none"/>
                      <w:lang w:val="en-US" w:eastAsia="zh-CN" w:bidi="ar-SA"/>
                    </w:rPr>
                    <w:t>8960</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w:t>
                  </w:r>
                  <w:r>
                    <w:rPr>
                      <w:rFonts w:hint="eastAsia"/>
                      <w:color w:val="auto"/>
                      <w:kern w:val="2"/>
                      <w:sz w:val="21"/>
                      <w:szCs w:val="20"/>
                      <w:highlight w:val="none"/>
                      <w:lang w:val="en-US" w:eastAsia="zh-CN" w:bidi="ar-SA"/>
                    </w:rPr>
                    <w:t>8960</w:t>
                  </w:r>
                  <w:r>
                    <w:rPr>
                      <w:rFonts w:hint="default" w:ascii="Times New Roman" w:hAnsi="Times New Roman" w:eastAsia="宋体" w:cs="Times New Roman"/>
                      <w:i w:val="0"/>
                      <w:iCs w:val="0"/>
                      <w:color w:val="auto"/>
                      <w:kern w:val="0"/>
                      <w:sz w:val="21"/>
                      <w:szCs w:val="21"/>
                      <w:highlight w:val="none"/>
                      <w:u w:val="none"/>
                      <w:lang w:val="en-US" w:eastAsia="zh-CN" w:bidi="ar"/>
                    </w:rPr>
                    <w:t>平方米，设置在项目中心北侧。钣金</w:t>
                  </w:r>
                  <w:r>
                    <w:rPr>
                      <w:rFonts w:hint="eastAsia" w:cs="Times New Roman"/>
                      <w:i w:val="0"/>
                      <w:iCs w:val="0"/>
                      <w:color w:val="auto"/>
                      <w:kern w:val="0"/>
                      <w:sz w:val="21"/>
                      <w:szCs w:val="21"/>
                      <w:highlight w:val="none"/>
                      <w:u w:val="none"/>
                      <w:lang w:val="en-US" w:eastAsia="zh-CN" w:bidi="ar"/>
                    </w:rPr>
                    <w:t>机</w:t>
                  </w:r>
                  <w:r>
                    <w:rPr>
                      <w:rFonts w:hint="default" w:ascii="Times New Roman" w:hAnsi="Times New Roman" w:eastAsia="宋体" w:cs="Times New Roman"/>
                      <w:i w:val="0"/>
                      <w:iCs w:val="0"/>
                      <w:color w:val="auto"/>
                      <w:kern w:val="0"/>
                      <w:sz w:val="21"/>
                      <w:szCs w:val="21"/>
                      <w:highlight w:val="none"/>
                      <w:u w:val="none"/>
                      <w:lang w:val="en-US" w:eastAsia="zh-CN" w:bidi="ar"/>
                    </w:rPr>
                    <w:t>加工主要工序为：冲压、折弯、钣金等机加工工序。项目设有</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条铝卷表面预处理生产线，主要工序为：对铝卷原料进行碱性除油、清水喷淋、钝化、烘干。</w:t>
                  </w:r>
                </w:p>
              </w:tc>
            </w:tr>
            <w:tr w14:paraId="4166A5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E1995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4D03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452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厂房</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A009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空置厂房</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为1层建筑</w:t>
                  </w:r>
                  <w:r>
                    <w:rPr>
                      <w:rFonts w:hint="eastAsia" w:cs="Times New Roman"/>
                      <w:i w:val="0"/>
                      <w:iCs w:val="0"/>
                      <w:color w:val="auto"/>
                      <w:kern w:val="0"/>
                      <w:sz w:val="21"/>
                      <w:szCs w:val="21"/>
                      <w:highlight w:val="none"/>
                      <w:u w:val="none"/>
                      <w:lang w:val="en-US" w:eastAsia="zh-CN" w:bidi="ar"/>
                    </w:rPr>
                    <w:t>，总高度为12.90米</w:t>
                  </w:r>
                  <w:r>
                    <w:rPr>
                      <w:rFonts w:hint="default" w:ascii="Times New Roman" w:hAnsi="Times New Roman" w:eastAsia="宋体" w:cs="Times New Roman"/>
                      <w:i w:val="0"/>
                      <w:iCs w:val="0"/>
                      <w:color w:val="auto"/>
                      <w:kern w:val="0"/>
                      <w:sz w:val="21"/>
                      <w:szCs w:val="21"/>
                      <w:highlight w:val="none"/>
                      <w:u w:val="none"/>
                      <w:lang w:val="en-US" w:eastAsia="zh-CN" w:bidi="ar"/>
                    </w:rPr>
                    <w:t>，用于远期</w:t>
                  </w:r>
                  <w:r>
                    <w:rPr>
                      <w:rFonts w:hint="eastAsia" w:cs="Times New Roman"/>
                      <w:i w:val="0"/>
                      <w:iCs w:val="0"/>
                      <w:color w:val="auto"/>
                      <w:kern w:val="0"/>
                      <w:sz w:val="21"/>
                      <w:szCs w:val="21"/>
                      <w:highlight w:val="none"/>
                      <w:u w:val="none"/>
                      <w:lang w:val="en-US" w:eastAsia="zh-CN" w:bidi="ar"/>
                    </w:rPr>
                    <w:t>二期</w:t>
                  </w:r>
                  <w:r>
                    <w:rPr>
                      <w:rFonts w:hint="default" w:ascii="Times New Roman" w:hAnsi="Times New Roman" w:eastAsia="宋体" w:cs="Times New Roman"/>
                      <w:i w:val="0"/>
                      <w:iCs w:val="0"/>
                      <w:color w:val="auto"/>
                      <w:kern w:val="0"/>
                      <w:sz w:val="21"/>
                      <w:szCs w:val="21"/>
                      <w:highlight w:val="none"/>
                      <w:u w:val="none"/>
                      <w:lang w:val="en-US" w:eastAsia="zh-CN" w:bidi="ar"/>
                    </w:rPr>
                    <w:t>项目。</w:t>
                  </w:r>
                </w:p>
              </w:tc>
            </w:tr>
            <w:tr w14:paraId="18AF6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57FB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00720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辅助工程</w:t>
                  </w: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30CE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宿舍楼</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2B8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占地面积约</w:t>
                  </w:r>
                  <w:r>
                    <w:rPr>
                      <w:rFonts w:hint="eastAsia" w:ascii="Times New Roman" w:hAnsi="Times New Roman" w:eastAsia="宋体" w:cs="Times New Roman"/>
                      <w:i w:val="0"/>
                      <w:iCs w:val="0"/>
                      <w:color w:val="auto"/>
                      <w:kern w:val="0"/>
                      <w:sz w:val="21"/>
                      <w:szCs w:val="21"/>
                      <w:highlight w:val="none"/>
                      <w:u w:val="none"/>
                      <w:lang w:val="en-US" w:eastAsia="zh-CN" w:bidi="ar"/>
                    </w:rPr>
                    <w:t>332.5</w:t>
                  </w:r>
                  <w:r>
                    <w:rPr>
                      <w:rFonts w:hint="default" w:ascii="Times New Roman" w:hAnsi="Times New Roman" w:eastAsia="宋体" w:cs="Times New Roman"/>
                      <w:i w:val="0"/>
                      <w:iCs w:val="0"/>
                      <w:color w:val="auto"/>
                      <w:kern w:val="0"/>
                      <w:sz w:val="21"/>
                      <w:szCs w:val="21"/>
                      <w:highlight w:val="none"/>
                      <w:u w:val="none"/>
                      <w:lang w:val="en-US" w:eastAsia="zh-CN" w:bidi="ar"/>
                    </w:rPr>
                    <w:t>平方米，为5层建筑，</w:t>
                  </w:r>
                  <w:r>
                    <w:rPr>
                      <w:rFonts w:hint="eastAsia" w:cs="Times New Roman"/>
                      <w:i w:val="0"/>
                      <w:iCs w:val="0"/>
                      <w:color w:val="auto"/>
                      <w:kern w:val="0"/>
                      <w:sz w:val="21"/>
                      <w:szCs w:val="21"/>
                      <w:highlight w:val="none"/>
                      <w:u w:val="none"/>
                      <w:lang w:val="en-US" w:eastAsia="zh-CN" w:bidi="ar"/>
                    </w:rPr>
                    <w:t>总高度19.70米，</w:t>
                  </w:r>
                  <w:r>
                    <w:rPr>
                      <w:rFonts w:hint="default" w:ascii="Times New Roman" w:hAnsi="Times New Roman" w:eastAsia="宋体" w:cs="Times New Roman"/>
                      <w:i w:val="0"/>
                      <w:iCs w:val="0"/>
                      <w:color w:val="auto"/>
                      <w:kern w:val="0"/>
                      <w:sz w:val="21"/>
                      <w:szCs w:val="21"/>
                      <w:highlight w:val="none"/>
                      <w:u w:val="none"/>
                      <w:lang w:val="en-US" w:eastAsia="zh-CN" w:bidi="ar"/>
                    </w:rPr>
                    <w:t>建筑面积</w:t>
                  </w:r>
                  <w:r>
                    <w:rPr>
                      <w:rFonts w:hint="eastAsia" w:ascii="Times New Roman" w:hAnsi="Times New Roman" w:eastAsia="宋体" w:cs="Times New Roman"/>
                      <w:i w:val="0"/>
                      <w:iCs w:val="0"/>
                      <w:color w:val="auto"/>
                      <w:kern w:val="0"/>
                      <w:sz w:val="21"/>
                      <w:szCs w:val="21"/>
                      <w:highlight w:val="none"/>
                      <w:u w:val="none"/>
                      <w:lang w:val="en-US" w:eastAsia="zh-CN" w:bidi="ar"/>
                    </w:rPr>
                    <w:t>1662.52</w:t>
                  </w:r>
                  <w:r>
                    <w:rPr>
                      <w:rFonts w:hint="default" w:ascii="Times New Roman" w:hAnsi="Times New Roman" w:eastAsia="宋体" w:cs="Times New Roman"/>
                      <w:i w:val="0"/>
                      <w:iCs w:val="0"/>
                      <w:color w:val="auto"/>
                      <w:kern w:val="0"/>
                      <w:sz w:val="21"/>
                      <w:szCs w:val="21"/>
                      <w:highlight w:val="none"/>
                      <w:u w:val="none"/>
                      <w:lang w:val="en-US" w:eastAsia="zh-CN" w:bidi="ar"/>
                    </w:rPr>
                    <w:t>平方米，设置在项目中心北侧，为员工提供住宿，内部设食堂。</w:t>
                  </w:r>
                </w:p>
              </w:tc>
            </w:tr>
            <w:tr w14:paraId="33848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88976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F63D1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F485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研发楼</w:t>
                  </w:r>
                </w:p>
              </w:tc>
              <w:tc>
                <w:tcPr>
                  <w:tcW w:w="62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B466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位于本项目厂区东</w:t>
                  </w:r>
                  <w:r>
                    <w:rPr>
                      <w:rFonts w:hint="eastAsia" w:ascii="Times New Roman" w:hAnsi="Times New Roman" w:eastAsia="宋体" w:cs="Times New Roman"/>
                      <w:i w:val="0"/>
                      <w:iCs w:val="0"/>
                      <w:color w:val="auto"/>
                      <w:kern w:val="0"/>
                      <w:sz w:val="21"/>
                      <w:szCs w:val="21"/>
                      <w:highlight w:val="none"/>
                      <w:u w:val="none"/>
                      <w:lang w:val="en-US" w:eastAsia="zh-CN" w:bidi="ar"/>
                    </w:rPr>
                    <w:t>北</w:t>
                  </w:r>
                  <w:r>
                    <w:rPr>
                      <w:rFonts w:hint="default" w:ascii="Times New Roman" w:hAnsi="Times New Roman" w:eastAsia="宋体" w:cs="Times New Roman"/>
                      <w:i w:val="0"/>
                      <w:iCs w:val="0"/>
                      <w:color w:val="auto"/>
                      <w:kern w:val="0"/>
                      <w:sz w:val="21"/>
                      <w:szCs w:val="21"/>
                      <w:highlight w:val="none"/>
                      <w:u w:val="none"/>
                      <w:lang w:val="en-US" w:eastAsia="zh-CN" w:bidi="ar"/>
                    </w:rPr>
                    <w:t>侧，为</w:t>
                  </w:r>
                  <w:r>
                    <w:rPr>
                      <w:rFonts w:hint="eastAsia" w:ascii="Times New Roman" w:hAnsi="Times New Roman" w:eastAsia="宋体"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层建筑，</w:t>
                  </w:r>
                  <w:r>
                    <w:rPr>
                      <w:rFonts w:hint="eastAsia" w:cs="Times New Roman"/>
                      <w:i w:val="0"/>
                      <w:iCs w:val="0"/>
                      <w:color w:val="auto"/>
                      <w:kern w:val="0"/>
                      <w:sz w:val="21"/>
                      <w:szCs w:val="21"/>
                      <w:highlight w:val="none"/>
                      <w:u w:val="none"/>
                      <w:lang w:val="en-US" w:eastAsia="zh-CN" w:bidi="ar"/>
                    </w:rPr>
                    <w:t>总高度23.90米。</w:t>
                  </w:r>
                  <w:r>
                    <w:rPr>
                      <w:rFonts w:hint="default" w:ascii="Times New Roman" w:hAnsi="Times New Roman" w:eastAsia="宋体" w:cs="Times New Roman"/>
                      <w:i w:val="0"/>
                      <w:iCs w:val="0"/>
                      <w:color w:val="auto"/>
                      <w:kern w:val="0"/>
                      <w:sz w:val="21"/>
                      <w:szCs w:val="21"/>
                      <w:highlight w:val="none"/>
                      <w:u w:val="none"/>
                      <w:lang w:val="en-US" w:eastAsia="zh-CN" w:bidi="ar"/>
                    </w:rPr>
                    <w:t>占地面积约为</w:t>
                  </w:r>
                  <w:r>
                    <w:rPr>
                      <w:rFonts w:hint="eastAsia" w:ascii="Times New Roman" w:hAnsi="Times New Roman" w:eastAsia="宋体" w:cs="Times New Roman"/>
                      <w:i w:val="0"/>
                      <w:iCs w:val="0"/>
                      <w:color w:val="auto"/>
                      <w:kern w:val="0"/>
                      <w:sz w:val="21"/>
                      <w:szCs w:val="21"/>
                      <w:highlight w:val="none"/>
                      <w:u w:val="none"/>
                      <w:lang w:val="en-US" w:eastAsia="zh-CN" w:bidi="ar"/>
                    </w:rPr>
                    <w:t>373.5</w:t>
                  </w:r>
                  <w:r>
                    <w:rPr>
                      <w:rFonts w:hint="default" w:ascii="Times New Roman" w:hAnsi="Times New Roman" w:eastAsia="宋体" w:cs="Times New Roman"/>
                      <w:i w:val="0"/>
                      <w:iCs w:val="0"/>
                      <w:color w:val="auto"/>
                      <w:kern w:val="0"/>
                      <w:sz w:val="21"/>
                      <w:szCs w:val="21"/>
                      <w:highlight w:val="none"/>
                      <w:u w:val="none"/>
                      <w:lang w:val="en-US" w:eastAsia="zh-CN" w:bidi="ar"/>
                    </w:rPr>
                    <w:t>平方米，主要用于员工办公</w:t>
                  </w:r>
                  <w:r>
                    <w:rPr>
                      <w:rFonts w:hint="eastAsia" w:cs="Times New Roman"/>
                      <w:i w:val="0"/>
                      <w:iCs w:val="0"/>
                      <w:color w:val="auto"/>
                      <w:kern w:val="0"/>
                      <w:sz w:val="21"/>
                      <w:szCs w:val="21"/>
                      <w:highlight w:val="none"/>
                      <w:u w:val="none"/>
                      <w:lang w:val="en-US" w:eastAsia="zh-CN" w:bidi="ar"/>
                    </w:rPr>
                    <w:t>、研发产品款式</w:t>
                  </w:r>
                  <w:r>
                    <w:rPr>
                      <w:rFonts w:hint="default" w:ascii="Times New Roman" w:hAnsi="Times New Roman" w:eastAsia="宋体" w:cs="Times New Roman"/>
                      <w:i w:val="0"/>
                      <w:iCs w:val="0"/>
                      <w:color w:val="auto"/>
                      <w:kern w:val="0"/>
                      <w:sz w:val="21"/>
                      <w:szCs w:val="21"/>
                      <w:highlight w:val="none"/>
                      <w:u w:val="none"/>
                      <w:lang w:val="en-US" w:eastAsia="zh-CN" w:bidi="ar"/>
                    </w:rPr>
                    <w:t>，建筑面积为</w:t>
                  </w:r>
                  <w:r>
                    <w:rPr>
                      <w:rFonts w:hint="eastAsia" w:ascii="Times New Roman" w:hAnsi="Times New Roman" w:eastAsia="宋体" w:cs="Times New Roman"/>
                      <w:i w:val="0"/>
                      <w:iCs w:val="0"/>
                      <w:color w:val="auto"/>
                      <w:kern w:val="0"/>
                      <w:sz w:val="21"/>
                      <w:szCs w:val="21"/>
                      <w:highlight w:val="none"/>
                      <w:u w:val="none"/>
                      <w:lang w:val="en-US" w:eastAsia="zh-CN" w:bidi="ar"/>
                    </w:rPr>
                    <w:t>1867.48</w:t>
                  </w:r>
                  <w:r>
                    <w:rPr>
                      <w:rFonts w:hint="default" w:ascii="Times New Roman" w:hAnsi="Times New Roman" w:eastAsia="宋体" w:cs="Times New Roman"/>
                      <w:i w:val="0"/>
                      <w:iCs w:val="0"/>
                      <w:color w:val="auto"/>
                      <w:kern w:val="0"/>
                      <w:sz w:val="21"/>
                      <w:szCs w:val="21"/>
                      <w:highlight w:val="none"/>
                      <w:u w:val="none"/>
                      <w:lang w:val="en-US" w:eastAsia="zh-CN" w:bidi="ar"/>
                    </w:rPr>
                    <w:t>平方米</w:t>
                  </w:r>
                  <w:r>
                    <w:rPr>
                      <w:rFonts w:hint="eastAsia" w:cs="Times New Roman"/>
                      <w:i w:val="0"/>
                      <w:iCs w:val="0"/>
                      <w:color w:val="auto"/>
                      <w:kern w:val="0"/>
                      <w:sz w:val="21"/>
                      <w:szCs w:val="21"/>
                      <w:highlight w:val="none"/>
                      <w:u w:val="none"/>
                      <w:lang w:val="en-US" w:eastAsia="zh-CN" w:bidi="ar"/>
                    </w:rPr>
                    <w:t>，其中1-2层用于设置研发部门，3-5层为员工办公室，全部楼层在一期项目投入使用</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63395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DF0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6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7306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储运工程</w:t>
                  </w: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DE3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148D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位于</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#厂房，占地面积</w:t>
                  </w:r>
                  <w:r>
                    <w:rPr>
                      <w:rFonts w:hint="eastAsia" w:cs="Times New Roman"/>
                      <w:i w:val="0"/>
                      <w:iCs w:val="0"/>
                      <w:color w:val="auto"/>
                      <w:kern w:val="0"/>
                      <w:sz w:val="21"/>
                      <w:szCs w:val="21"/>
                      <w:highlight w:val="none"/>
                      <w:u w:val="none"/>
                      <w:lang w:val="en-US" w:eastAsia="zh-CN" w:bidi="ar"/>
                    </w:rPr>
                    <w:t>5888</w:t>
                  </w:r>
                  <w:r>
                    <w:rPr>
                      <w:rFonts w:hint="default" w:ascii="Times New Roman" w:hAnsi="Times New Roman" w:eastAsia="宋体" w:cs="Times New Roman"/>
                      <w:i w:val="0"/>
                      <w:iCs w:val="0"/>
                      <w:color w:val="auto"/>
                      <w:kern w:val="0"/>
                      <w:sz w:val="21"/>
                      <w:szCs w:val="21"/>
                      <w:highlight w:val="none"/>
                      <w:u w:val="none"/>
                      <w:lang w:val="en-US" w:eastAsia="zh-CN" w:bidi="ar"/>
                    </w:rPr>
                    <w:t>平方米，建筑面积</w:t>
                  </w:r>
                  <w:r>
                    <w:rPr>
                      <w:rFonts w:hint="eastAsia" w:cs="Times New Roman"/>
                      <w:i w:val="0"/>
                      <w:iCs w:val="0"/>
                      <w:color w:val="auto"/>
                      <w:kern w:val="0"/>
                      <w:sz w:val="21"/>
                      <w:szCs w:val="21"/>
                      <w:highlight w:val="none"/>
                      <w:u w:val="none"/>
                      <w:lang w:val="en-US" w:eastAsia="zh-CN" w:bidi="ar"/>
                    </w:rPr>
                    <w:t>5888</w:t>
                  </w:r>
                  <w:r>
                    <w:rPr>
                      <w:rFonts w:hint="default" w:ascii="Times New Roman" w:hAnsi="Times New Roman" w:eastAsia="宋体" w:cs="Times New Roman"/>
                      <w:i w:val="0"/>
                      <w:iCs w:val="0"/>
                      <w:color w:val="auto"/>
                      <w:kern w:val="0"/>
                      <w:sz w:val="21"/>
                      <w:szCs w:val="21"/>
                      <w:highlight w:val="none"/>
                      <w:u w:val="none"/>
                      <w:lang w:val="en-US" w:eastAsia="zh-CN" w:bidi="ar"/>
                    </w:rPr>
                    <w:t>平方米</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为1层建筑</w:t>
                  </w:r>
                  <w:r>
                    <w:rPr>
                      <w:rFonts w:hint="eastAsia" w:cs="Times New Roman"/>
                      <w:i w:val="0"/>
                      <w:iCs w:val="0"/>
                      <w:color w:val="auto"/>
                      <w:kern w:val="0"/>
                      <w:sz w:val="21"/>
                      <w:szCs w:val="21"/>
                      <w:highlight w:val="none"/>
                      <w:u w:val="none"/>
                      <w:lang w:val="en-US" w:eastAsia="zh-CN" w:bidi="ar"/>
                    </w:rPr>
                    <w:t>，总高度为12.90米</w:t>
                  </w:r>
                  <w:r>
                    <w:rPr>
                      <w:rFonts w:hint="default" w:ascii="Times New Roman" w:hAnsi="Times New Roman" w:eastAsia="宋体" w:cs="Times New Roman"/>
                      <w:i w:val="0"/>
                      <w:iCs w:val="0"/>
                      <w:color w:val="auto"/>
                      <w:kern w:val="0"/>
                      <w:sz w:val="21"/>
                      <w:szCs w:val="21"/>
                      <w:highlight w:val="none"/>
                      <w:u w:val="none"/>
                      <w:lang w:val="en-US" w:eastAsia="zh-CN" w:bidi="ar"/>
                    </w:rPr>
                    <w:t>。用于储存加工物料、产品，另在</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#厂房设有化学品仓用于存储液体试剂，占地约</w:t>
                  </w: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eastAsia" w:cs="Times New Roman"/>
                      <w:i w:val="0"/>
                      <w:iCs w:val="0"/>
                      <w:color w:val="auto"/>
                      <w:kern w:val="0"/>
                      <w:sz w:val="21"/>
                      <w:szCs w:val="21"/>
                      <w:highlight w:val="none"/>
                      <w:u w:val="none"/>
                      <w:lang w:val="en-US" w:eastAsia="zh-CN" w:bidi="ar"/>
                    </w:rPr>
                    <w:t>，全部面积在一期项目投入使用</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911F8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9" w:hRule="atLeast"/>
                <w:jc w:val="center"/>
              </w:trPr>
              <w:tc>
                <w:tcPr>
                  <w:tcW w:w="69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9522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6442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公用工程</w:t>
                  </w: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F27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供电</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182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由市政电网供给，不设备用发电机</w:t>
                  </w:r>
                </w:p>
              </w:tc>
            </w:tr>
            <w:tr w14:paraId="522699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5A376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26A51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A685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供水</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B6E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由当地自来水管网供给</w:t>
                  </w:r>
                </w:p>
              </w:tc>
            </w:tr>
            <w:tr w14:paraId="0EC491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9" w:hRule="atLeast"/>
                <w:jc w:val="center"/>
              </w:trPr>
              <w:tc>
                <w:tcPr>
                  <w:tcW w:w="69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E3C5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2745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B18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供气</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BB4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天然气为当地管道天然气供给</w:t>
                  </w:r>
                </w:p>
              </w:tc>
            </w:tr>
            <w:tr w14:paraId="3E88D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vMerge w:val="restart"/>
                  <w:tcBorders>
                    <w:top w:val="single" w:color="000000" w:sz="4" w:space="0"/>
                    <w:left w:val="single" w:color="000000" w:sz="4" w:space="0"/>
                    <w:right w:val="single" w:color="000000" w:sz="4" w:space="0"/>
                  </w:tcBorders>
                  <w:shd w:val="clear" w:color="auto" w:fill="auto"/>
                  <w:vAlign w:val="center"/>
                </w:tcPr>
                <w:p w14:paraId="6BD20E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45" w:type="dxa"/>
                  <w:vMerge w:val="restart"/>
                  <w:tcBorders>
                    <w:top w:val="single" w:color="000000" w:sz="4" w:space="0"/>
                    <w:left w:val="single" w:color="000000" w:sz="4" w:space="0"/>
                    <w:right w:val="single" w:color="000000" w:sz="4" w:space="0"/>
                  </w:tcBorders>
                  <w:shd w:val="clear" w:color="auto" w:fill="auto"/>
                  <w:vAlign w:val="center"/>
                </w:tcPr>
                <w:p w14:paraId="157544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环保工程</w:t>
                  </w:r>
                </w:p>
              </w:tc>
              <w:tc>
                <w:tcPr>
                  <w:tcW w:w="1697" w:type="dxa"/>
                  <w:vMerge w:val="restart"/>
                  <w:tcBorders>
                    <w:top w:val="single" w:color="000000" w:sz="4" w:space="0"/>
                    <w:left w:val="single" w:color="000000" w:sz="4" w:space="0"/>
                    <w:right w:val="single" w:color="000000" w:sz="4" w:space="0"/>
                  </w:tcBorders>
                  <w:shd w:val="clear" w:color="auto" w:fill="auto"/>
                  <w:vAlign w:val="center"/>
                </w:tcPr>
                <w:p w14:paraId="1489DE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4C7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①铝卷表面预处理生产线各自配备有烘水炉，采用天然气加热，产生的污染物主要有颗粒物、二氧化硫、氮氧化物，经引风机引至排气筒DA001高空排放，排放高度为15m</w:t>
                  </w:r>
                  <w:r>
                    <w:rPr>
                      <w:rFonts w:hint="eastAsia" w:cs="Times New Roman"/>
                      <w:i w:val="0"/>
                      <w:iCs w:val="0"/>
                      <w:color w:val="auto"/>
                      <w:kern w:val="0"/>
                      <w:sz w:val="21"/>
                      <w:szCs w:val="21"/>
                      <w:highlight w:val="none"/>
                      <w:u w:val="none"/>
                      <w:lang w:val="en-US" w:eastAsia="zh-CN" w:bidi="ar"/>
                    </w:rPr>
                    <w:t>。</w:t>
                  </w:r>
                </w:p>
              </w:tc>
            </w:tr>
            <w:tr w14:paraId="4FCEE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vMerge w:val="continue"/>
                  <w:tcBorders>
                    <w:left w:val="single" w:color="000000" w:sz="4" w:space="0"/>
                    <w:right w:val="single" w:color="000000" w:sz="4" w:space="0"/>
                  </w:tcBorders>
                  <w:shd w:val="clear" w:color="auto" w:fill="auto"/>
                  <w:vAlign w:val="center"/>
                </w:tcPr>
                <w:p w14:paraId="701832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2BD7C9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left w:val="single" w:color="000000" w:sz="4" w:space="0"/>
                    <w:right w:val="single" w:color="000000" w:sz="4" w:space="0"/>
                  </w:tcBorders>
                  <w:shd w:val="clear" w:color="auto" w:fill="auto"/>
                  <w:vAlign w:val="center"/>
                </w:tcPr>
                <w:p w14:paraId="441BC8C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CA82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②焊接烟尘经移动式烟尘净化器处理</w:t>
                  </w:r>
                  <w:r>
                    <w:rPr>
                      <w:rFonts w:hint="eastAsia" w:cs="Times New Roman"/>
                      <w:i w:val="0"/>
                      <w:iCs w:val="0"/>
                      <w:color w:val="auto"/>
                      <w:kern w:val="0"/>
                      <w:sz w:val="21"/>
                      <w:szCs w:val="21"/>
                      <w:highlight w:val="none"/>
                      <w:u w:val="none"/>
                      <w:lang w:val="en-US" w:eastAsia="zh-CN" w:bidi="ar"/>
                    </w:rPr>
                    <w:t>后厂区无组织排放，设置2台移动式烟尘净化器</w:t>
                  </w:r>
                  <w:r>
                    <w:rPr>
                      <w:rFonts w:hint="default" w:ascii="Times New Roman" w:hAnsi="Times New Roman" w:eastAsia="宋体" w:cs="Times New Roman"/>
                      <w:i w:val="0"/>
                      <w:iCs w:val="0"/>
                      <w:color w:val="auto"/>
                      <w:kern w:val="0"/>
                      <w:sz w:val="21"/>
                      <w:szCs w:val="21"/>
                      <w:highlight w:val="none"/>
                      <w:u w:val="none"/>
                      <w:lang w:val="en-US" w:eastAsia="zh-CN" w:bidi="ar"/>
                    </w:rPr>
                    <w:t>；打磨、抛光粉尘</w:t>
                  </w:r>
                  <w:r>
                    <w:rPr>
                      <w:rFonts w:hint="eastAsia" w:cs="Times New Roman"/>
                      <w:i w:val="0"/>
                      <w:iCs w:val="0"/>
                      <w:color w:val="auto"/>
                      <w:kern w:val="0"/>
                      <w:sz w:val="21"/>
                      <w:szCs w:val="21"/>
                      <w:highlight w:val="none"/>
                      <w:u w:val="none"/>
                      <w:lang w:val="en-US" w:eastAsia="zh-CN" w:bidi="ar"/>
                    </w:rPr>
                    <w:t>密闭收集经</w:t>
                  </w:r>
                  <w:r>
                    <w:rPr>
                      <w:rFonts w:hint="eastAsia" w:ascii="Times New Roman" w:hAnsi="Times New Roman" w:eastAsia="宋体" w:cs="Times New Roman"/>
                      <w:color w:val="auto"/>
                      <w:spacing w:val="-2"/>
                      <w:kern w:val="0"/>
                      <w:sz w:val="21"/>
                      <w:szCs w:val="21"/>
                      <w:highlight w:val="none"/>
                    </w:rPr>
                    <w:t>大旋风+滤芯式二级回收系统</w:t>
                  </w:r>
                  <w:r>
                    <w:rPr>
                      <w:rFonts w:hint="default" w:ascii="Times New Roman" w:hAnsi="Times New Roman" w:eastAsia="宋体" w:cs="Times New Roman"/>
                      <w:i w:val="0"/>
                      <w:iCs w:val="0"/>
                      <w:color w:val="auto"/>
                      <w:kern w:val="0"/>
                      <w:sz w:val="21"/>
                      <w:szCs w:val="21"/>
                      <w:highlight w:val="none"/>
                      <w:u w:val="none"/>
                      <w:lang w:val="en-US" w:eastAsia="zh-CN" w:bidi="ar"/>
                    </w:rPr>
                    <w:t>处理后</w:t>
                  </w:r>
                  <w:r>
                    <w:rPr>
                      <w:rFonts w:hint="eastAsia" w:cs="Times New Roman"/>
                      <w:i w:val="0"/>
                      <w:iCs w:val="0"/>
                      <w:color w:val="auto"/>
                      <w:kern w:val="0"/>
                      <w:sz w:val="21"/>
                      <w:szCs w:val="21"/>
                      <w:highlight w:val="none"/>
                      <w:u w:val="none"/>
                      <w:lang w:val="en-US" w:eastAsia="zh-CN" w:bidi="ar"/>
                    </w:rPr>
                    <w:t>经引风机引至排气筒DA003排放，设置6套</w:t>
                  </w:r>
                  <w:r>
                    <w:rPr>
                      <w:rFonts w:hint="eastAsia" w:ascii="Times New Roman" w:hAnsi="Times New Roman" w:eastAsia="宋体" w:cs="Times New Roman"/>
                      <w:color w:val="auto"/>
                      <w:spacing w:val="-2"/>
                      <w:kern w:val="0"/>
                      <w:sz w:val="21"/>
                      <w:szCs w:val="21"/>
                      <w:highlight w:val="none"/>
                    </w:rPr>
                    <w:t>“密闭工作台（集尘室）+大旋风+滤芯式二级回收系统”</w:t>
                  </w:r>
                  <w:r>
                    <w:rPr>
                      <w:rFonts w:hint="eastAsia" w:cs="Times New Roman"/>
                      <w:i w:val="0"/>
                      <w:iCs w:val="0"/>
                      <w:color w:val="auto"/>
                      <w:kern w:val="0"/>
                      <w:sz w:val="21"/>
                      <w:szCs w:val="21"/>
                      <w:highlight w:val="none"/>
                      <w:u w:val="none"/>
                      <w:lang w:val="en-US" w:eastAsia="zh-CN" w:bidi="ar"/>
                    </w:rPr>
                    <w:t>。</w:t>
                  </w:r>
                </w:p>
              </w:tc>
            </w:tr>
            <w:tr w14:paraId="21D358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jc w:val="center"/>
              </w:trPr>
              <w:tc>
                <w:tcPr>
                  <w:tcW w:w="694" w:type="dxa"/>
                  <w:vMerge w:val="continue"/>
                  <w:tcBorders>
                    <w:left w:val="single" w:color="000000" w:sz="4" w:space="0"/>
                    <w:right w:val="single" w:color="000000" w:sz="4" w:space="0"/>
                  </w:tcBorders>
                  <w:shd w:val="clear" w:color="auto" w:fill="auto"/>
                  <w:vAlign w:val="center"/>
                </w:tcPr>
                <w:p w14:paraId="4D61E24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06C0116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left w:val="single" w:color="000000" w:sz="4" w:space="0"/>
                    <w:right w:val="single" w:color="000000" w:sz="4" w:space="0"/>
                  </w:tcBorders>
                  <w:shd w:val="clear" w:color="auto" w:fill="auto"/>
                  <w:vAlign w:val="center"/>
                </w:tcPr>
                <w:p w14:paraId="3F07484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3FBE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③食堂油烟</w:t>
                  </w:r>
                  <w:r>
                    <w:rPr>
                      <w:rFonts w:hint="eastAsia" w:cs="Times New Roman"/>
                      <w:color w:val="auto"/>
                      <w:sz w:val="21"/>
                      <w:szCs w:val="21"/>
                      <w:highlight w:val="none"/>
                      <w:vertAlign w:val="baseline"/>
                      <w:lang w:val="en-US" w:eastAsia="zh-CN"/>
                    </w:rPr>
                    <w:t>收集后经1套“静电油烟净化装置”处理后经1根20m高的排气筒DA002高空排放</w:t>
                  </w:r>
                </w:p>
              </w:tc>
            </w:tr>
            <w:tr w14:paraId="6E98A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77" w:hRule="atLeast"/>
                <w:jc w:val="center"/>
              </w:trPr>
              <w:tc>
                <w:tcPr>
                  <w:tcW w:w="694" w:type="dxa"/>
                  <w:vMerge w:val="continue"/>
                  <w:tcBorders>
                    <w:left w:val="single" w:color="000000" w:sz="4" w:space="0"/>
                    <w:right w:val="single" w:color="000000" w:sz="4" w:space="0"/>
                  </w:tcBorders>
                  <w:shd w:val="clear" w:color="auto" w:fill="auto"/>
                  <w:vAlign w:val="center"/>
                </w:tcPr>
                <w:p w14:paraId="7F09C9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291845A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left w:val="single" w:color="000000" w:sz="4" w:space="0"/>
                    <w:bottom w:val="single" w:color="000000" w:sz="4" w:space="0"/>
                    <w:right w:val="single" w:color="000000" w:sz="4" w:space="0"/>
                  </w:tcBorders>
                  <w:shd w:val="clear" w:color="auto" w:fill="auto"/>
                  <w:vAlign w:val="center"/>
                </w:tcPr>
                <w:p w14:paraId="0458E0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9EA8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cs="Times New Roman"/>
                      <w:i w:val="0"/>
                      <w:iCs w:val="0"/>
                      <w:color w:val="auto"/>
                      <w:kern w:val="0"/>
                      <w:sz w:val="21"/>
                      <w:szCs w:val="21"/>
                      <w:highlight w:val="none"/>
                      <w:u w:val="none"/>
                      <w:lang w:val="en-US" w:eastAsia="zh-CN" w:bidi="ar"/>
                    </w:rPr>
                  </w:pPr>
                  <w:r>
                    <w:rPr>
                      <w:rFonts w:hint="eastAsia" w:cs="Times New Roman"/>
                      <w:color w:val="auto"/>
                      <w:kern w:val="2"/>
                      <w:sz w:val="21"/>
                      <w:szCs w:val="21"/>
                      <w:highlight w:val="none"/>
                      <w:lang w:val="en-US" w:eastAsia="zh-CN"/>
                    </w:rPr>
                    <w:t>④废水处理设施产生的恶臭（硫化氢、氨、臭气浓度）无组织排放</w:t>
                  </w:r>
                </w:p>
              </w:tc>
            </w:tr>
            <w:tr w14:paraId="27D142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694" w:type="dxa"/>
                  <w:vMerge w:val="continue"/>
                  <w:tcBorders>
                    <w:left w:val="single" w:color="000000" w:sz="4" w:space="0"/>
                    <w:right w:val="single" w:color="000000" w:sz="4" w:space="0"/>
                  </w:tcBorders>
                  <w:shd w:val="clear" w:color="auto" w:fill="auto"/>
                  <w:vAlign w:val="center"/>
                </w:tcPr>
                <w:p w14:paraId="0FA2F2D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37B0FFA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DC1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85EF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生产废水通入自建污水处理站中，经“中和调节+混凝沉淀+气浮+化学除氟”预处理、生活污水采取“三级化粪池”预处理后，一同</w:t>
                  </w:r>
                  <w:r>
                    <w:rPr>
                      <w:rFonts w:hint="eastAsia" w:cs="Times New Roman"/>
                      <w:i w:val="0"/>
                      <w:iCs w:val="0"/>
                      <w:color w:val="auto"/>
                      <w:kern w:val="0"/>
                      <w:sz w:val="21"/>
                      <w:szCs w:val="21"/>
                      <w:highlight w:val="none"/>
                      <w:u w:val="none"/>
                      <w:lang w:val="en-US" w:eastAsia="zh-CN" w:bidi="ar"/>
                    </w:rPr>
                    <w:t>经DW001排放口</w:t>
                  </w:r>
                  <w:r>
                    <w:rPr>
                      <w:rFonts w:hint="default" w:ascii="Times New Roman" w:hAnsi="Times New Roman" w:eastAsia="宋体" w:cs="Times New Roman"/>
                      <w:i w:val="0"/>
                      <w:iCs w:val="0"/>
                      <w:color w:val="auto"/>
                      <w:kern w:val="0"/>
                      <w:sz w:val="21"/>
                      <w:szCs w:val="21"/>
                      <w:highlight w:val="none"/>
                      <w:u w:val="none"/>
                      <w:lang w:val="en-US" w:eastAsia="zh-CN" w:bidi="ar"/>
                    </w:rPr>
                    <w:t>排入园区污水处理厂进一步处理，处理达标后通过出水管道输送尾水，经废水排放口（WS-LC005001）排放至榴村霜降坑河，最终流入武江；</w:t>
                  </w:r>
                </w:p>
              </w:tc>
            </w:tr>
            <w:tr w14:paraId="4F484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4" w:hRule="atLeast"/>
                <w:jc w:val="center"/>
              </w:trPr>
              <w:tc>
                <w:tcPr>
                  <w:tcW w:w="694" w:type="dxa"/>
                  <w:vMerge w:val="continue"/>
                  <w:tcBorders>
                    <w:left w:val="single" w:color="000000" w:sz="4" w:space="0"/>
                    <w:right w:val="single" w:color="000000" w:sz="4" w:space="0"/>
                  </w:tcBorders>
                  <w:shd w:val="clear" w:color="auto" w:fill="auto"/>
                  <w:vAlign w:val="center"/>
                </w:tcPr>
                <w:p w14:paraId="6F7054F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6BAC737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8E22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固废</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0FF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危险废物暂存间建筑面积2</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default" w:ascii="Times New Roman" w:hAnsi="Times New Roman" w:eastAsia="宋体" w:cs="Times New Roman"/>
                      <w:i w:val="0"/>
                      <w:iCs w:val="0"/>
                      <w:color w:val="auto"/>
                      <w:kern w:val="0"/>
                      <w:sz w:val="21"/>
                      <w:szCs w:val="21"/>
                      <w:highlight w:val="none"/>
                      <w:u w:val="none"/>
                      <w:lang w:val="en-US" w:eastAsia="zh-CN" w:bidi="ar"/>
                    </w:rPr>
                    <w:t>，用于危险废物存放；</w:t>
                  </w:r>
                </w:p>
              </w:tc>
            </w:tr>
            <w:tr w14:paraId="210494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5" w:hRule="atLeast"/>
                <w:jc w:val="center"/>
              </w:trPr>
              <w:tc>
                <w:tcPr>
                  <w:tcW w:w="694" w:type="dxa"/>
                  <w:vMerge w:val="continue"/>
                  <w:tcBorders>
                    <w:left w:val="single" w:color="000000" w:sz="4" w:space="0"/>
                    <w:right w:val="single" w:color="000000" w:sz="4" w:space="0"/>
                  </w:tcBorders>
                  <w:shd w:val="clear" w:color="auto" w:fill="auto"/>
                  <w:vAlign w:val="center"/>
                </w:tcPr>
                <w:p w14:paraId="62DD6B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right w:val="single" w:color="000000" w:sz="4" w:space="0"/>
                  </w:tcBorders>
                  <w:shd w:val="clear" w:color="auto" w:fill="auto"/>
                  <w:vAlign w:val="center"/>
                </w:tcPr>
                <w:p w14:paraId="207F2E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0A0A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7B8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一般固体废物暂存间占地面积20</w:t>
                  </w:r>
                  <w:r>
                    <w:rPr>
                      <w:rFonts w:hint="default" w:ascii="Times New Roman" w:hAnsi="Times New Roman" w:cs="Times New Roman"/>
                      <w:i w:val="0"/>
                      <w:iCs w:val="0"/>
                      <w:color w:val="auto"/>
                      <w:kern w:val="0"/>
                      <w:sz w:val="21"/>
                      <w:szCs w:val="21"/>
                      <w:highlight w:val="none"/>
                      <w:u w:val="none"/>
                      <w:lang w:val="en-US" w:eastAsia="zh-CN" w:bidi="ar"/>
                    </w:rPr>
                    <w:t>平方米</w:t>
                  </w:r>
                  <w:r>
                    <w:rPr>
                      <w:rFonts w:hint="default" w:ascii="Times New Roman" w:hAnsi="Times New Roman" w:eastAsia="宋体" w:cs="Times New Roman"/>
                      <w:i w:val="0"/>
                      <w:iCs w:val="0"/>
                      <w:color w:val="auto"/>
                      <w:kern w:val="0"/>
                      <w:sz w:val="21"/>
                      <w:szCs w:val="21"/>
                      <w:highlight w:val="none"/>
                      <w:u w:val="none"/>
                      <w:lang w:val="en-US" w:eastAsia="zh-CN" w:bidi="ar"/>
                    </w:rPr>
                    <w:t>，用于一般固废暂存。</w:t>
                  </w:r>
                </w:p>
              </w:tc>
            </w:tr>
            <w:tr w14:paraId="4DC031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5" w:hRule="atLeast"/>
                <w:jc w:val="center"/>
              </w:trPr>
              <w:tc>
                <w:tcPr>
                  <w:tcW w:w="694" w:type="dxa"/>
                  <w:vMerge w:val="continue"/>
                  <w:tcBorders>
                    <w:left w:val="single" w:color="000000" w:sz="4" w:space="0"/>
                    <w:bottom w:val="single" w:color="000000" w:sz="4" w:space="0"/>
                    <w:right w:val="single" w:color="000000" w:sz="4" w:space="0"/>
                  </w:tcBorders>
                  <w:shd w:val="clear" w:color="auto" w:fill="auto"/>
                  <w:vAlign w:val="center"/>
                </w:tcPr>
                <w:p w14:paraId="1565140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45" w:type="dxa"/>
                  <w:vMerge w:val="continue"/>
                  <w:tcBorders>
                    <w:left w:val="single" w:color="000000" w:sz="4" w:space="0"/>
                    <w:bottom w:val="single" w:color="000000" w:sz="4" w:space="0"/>
                    <w:right w:val="single" w:color="000000" w:sz="4" w:space="0"/>
                  </w:tcBorders>
                  <w:shd w:val="clear" w:color="auto" w:fill="auto"/>
                  <w:vAlign w:val="center"/>
                </w:tcPr>
                <w:p w14:paraId="57ED1FB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D65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风险防范措施</w:t>
                  </w:r>
                </w:p>
              </w:tc>
              <w:tc>
                <w:tcPr>
                  <w:tcW w:w="62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7E4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本项目设置</w:t>
                  </w:r>
                  <w:r>
                    <w:rPr>
                      <w:rFonts w:hint="default" w:ascii="Times New Roman" w:hAnsi="Times New Roman" w:cs="Times New Roman"/>
                      <w:b w:val="0"/>
                      <w:bCs w:val="0"/>
                      <w:color w:val="auto"/>
                      <w:sz w:val="21"/>
                      <w:szCs w:val="21"/>
                      <w:highlight w:val="none"/>
                    </w:rPr>
                    <w:t>1个有效容积为</w:t>
                  </w:r>
                  <w:r>
                    <w:rPr>
                      <w:rFonts w:hint="default" w:ascii="Times New Roman" w:hAnsi="Times New Roman" w:cs="Times New Roman"/>
                      <w:b w:val="0"/>
                      <w:bCs w:val="0"/>
                      <w:color w:val="auto"/>
                      <w:sz w:val="21"/>
                      <w:szCs w:val="21"/>
                      <w:highlight w:val="none"/>
                      <w:lang w:val="en-US" w:eastAsia="zh-CN"/>
                    </w:rPr>
                    <w:t>350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的事故应急池</w:t>
                  </w:r>
                  <w:r>
                    <w:rPr>
                      <w:rFonts w:hint="eastAsia" w:ascii="Times New Roman" w:hAnsi="Times New Roman" w:cs="Times New Roman"/>
                      <w:b w:val="0"/>
                      <w:bCs w:val="0"/>
                      <w:color w:val="auto"/>
                      <w:sz w:val="21"/>
                      <w:szCs w:val="21"/>
                      <w:highlight w:val="none"/>
                      <w:lang w:eastAsia="zh-CN"/>
                    </w:rPr>
                    <w:t>，</w:t>
                  </w:r>
                  <w:r>
                    <w:rPr>
                      <w:rFonts w:hint="eastAsia" w:ascii="Times New Roman" w:hAnsi="Times New Roman" w:cs="Times New Roman"/>
                      <w:b w:val="0"/>
                      <w:bCs w:val="0"/>
                      <w:color w:val="auto"/>
                      <w:sz w:val="21"/>
                      <w:szCs w:val="21"/>
                      <w:highlight w:val="none"/>
                      <w:lang w:val="en-US" w:eastAsia="zh-CN"/>
                    </w:rPr>
                    <w:t>用于满足消防或其他事故时废水收集需要</w:t>
                  </w:r>
                </w:p>
              </w:tc>
            </w:tr>
          </w:tbl>
          <w:p w14:paraId="1F764502">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0D8AFC26">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产品方案</w:t>
            </w:r>
          </w:p>
          <w:p w14:paraId="4AED04DE">
            <w:pPr>
              <w:keepNext w:val="0"/>
              <w:keepLines w:val="0"/>
              <w:suppressLineNumbers w:val="0"/>
              <w:tabs>
                <w:tab w:val="left" w:pos="6960"/>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F29819A">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产品产量一览表</w:t>
            </w:r>
          </w:p>
          <w:tbl>
            <w:tblPr>
              <w:tblStyle w:val="38"/>
              <w:tblW w:w="9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47"/>
              <w:gridCol w:w="1231"/>
              <w:gridCol w:w="2836"/>
              <w:gridCol w:w="4614"/>
            </w:tblGrid>
            <w:tr w14:paraId="6971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47" w:hRule="atLeast"/>
                <w:jc w:val="center"/>
              </w:trPr>
              <w:tc>
                <w:tcPr>
                  <w:tcW w:w="296" w:type="pct"/>
                  <w:vAlign w:val="center"/>
                </w:tcPr>
                <w:p w14:paraId="7FE9DF9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666" w:type="pct"/>
                  <w:vAlign w:val="center"/>
                </w:tcPr>
                <w:p w14:paraId="50EA64D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533" w:type="pct"/>
                  <w:vAlign w:val="center"/>
                </w:tcPr>
                <w:p w14:paraId="50A08DB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数量</w:t>
                  </w:r>
                </w:p>
              </w:tc>
              <w:tc>
                <w:tcPr>
                  <w:tcW w:w="2502" w:type="pct"/>
                  <w:vAlign w:val="center"/>
                </w:tcPr>
                <w:p w14:paraId="5F07ADD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备注说明</w:t>
                  </w:r>
                </w:p>
              </w:tc>
            </w:tr>
            <w:tr w14:paraId="4CC4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1178" w:hRule="atLeast"/>
                <w:jc w:val="center"/>
              </w:trPr>
              <w:tc>
                <w:tcPr>
                  <w:tcW w:w="296" w:type="pct"/>
                  <w:vAlign w:val="center"/>
                </w:tcPr>
                <w:p w14:paraId="519D33B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66" w:type="pct"/>
                  <w:vAlign w:val="center"/>
                </w:tcPr>
                <w:p w14:paraId="2022E4C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钣金件</w:t>
                  </w:r>
                </w:p>
              </w:tc>
              <w:tc>
                <w:tcPr>
                  <w:tcW w:w="1533" w:type="pct"/>
                  <w:vAlign w:val="center"/>
                </w:tcPr>
                <w:p w14:paraId="13E7A78B">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eastAsia" w:cs="Times New Roman"/>
                      <w:b w:val="0"/>
                      <w:bCs w:val="0"/>
                      <w:color w:val="auto"/>
                      <w:kern w:val="0"/>
                      <w:sz w:val="21"/>
                      <w:szCs w:val="21"/>
                      <w:highlight w:val="none"/>
                      <w:lang w:val="en-US" w:eastAsia="zh-CN"/>
                    </w:rPr>
                    <w:t>1</w:t>
                  </w:r>
                  <w:r>
                    <w:rPr>
                      <w:rFonts w:hint="default" w:ascii="Times New Roman" w:hAnsi="Times New Roman" w:cs="Times New Roman"/>
                      <w:b w:val="0"/>
                      <w:bCs w:val="0"/>
                      <w:color w:val="auto"/>
                      <w:kern w:val="0"/>
                      <w:sz w:val="21"/>
                      <w:szCs w:val="21"/>
                      <w:highlight w:val="none"/>
                      <w:lang w:val="en-US" w:eastAsia="zh-CN"/>
                    </w:rPr>
                    <w:t>00</w:t>
                  </w:r>
                  <w:r>
                    <w:rPr>
                      <w:rFonts w:hint="default" w:ascii="Times New Roman" w:hAnsi="Times New Roman" w:cs="Times New Roman"/>
                      <w:b w:val="0"/>
                      <w:bCs w:val="0"/>
                      <w:color w:val="auto"/>
                      <w:sz w:val="21"/>
                      <w:szCs w:val="21"/>
                      <w:highlight w:val="none"/>
                      <w:lang w:val="en-US" w:eastAsia="zh-CN"/>
                    </w:rPr>
                    <w:t>万m</w:t>
                  </w:r>
                  <w:r>
                    <w:rPr>
                      <w:rFonts w:hint="default" w:ascii="Times New Roman" w:hAnsi="Times New Roman" w:cs="Times New Roman"/>
                      <w:b w:val="0"/>
                      <w:bCs w:val="0"/>
                      <w:color w:val="auto"/>
                      <w:sz w:val="21"/>
                      <w:szCs w:val="21"/>
                      <w:highlight w:val="none"/>
                      <w:vertAlign w:val="superscript"/>
                      <w:lang w:val="en-US" w:eastAsia="zh-CN"/>
                    </w:rPr>
                    <w:t>2</w:t>
                  </w:r>
                </w:p>
                <w:p w14:paraId="0062AC50">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vertAlign w:val="baseline"/>
                    </w:rPr>
                  </w:pPr>
                  <w:r>
                    <w:rPr>
                      <w:rFonts w:hint="default" w:ascii="Times New Roman" w:hAnsi="Times New Roman" w:cs="Times New Roman"/>
                      <w:color w:val="auto"/>
                      <w:kern w:val="0"/>
                      <w:sz w:val="21"/>
                      <w:szCs w:val="21"/>
                      <w:highlight w:val="none"/>
                    </w:rPr>
                    <w:t>（折算为</w:t>
                  </w:r>
                  <w:r>
                    <w:rPr>
                      <w:rFonts w:hint="eastAsia" w:cs="Times New Roman"/>
                      <w:color w:val="auto"/>
                      <w:kern w:val="0"/>
                      <w:sz w:val="21"/>
                      <w:szCs w:val="21"/>
                      <w:highlight w:val="none"/>
                      <w:lang w:val="en-US" w:eastAsia="zh-CN"/>
                    </w:rPr>
                    <w:t>405</w:t>
                  </w:r>
                  <w:r>
                    <w:rPr>
                      <w:rFonts w:hint="default" w:ascii="Times New Roman" w:hAnsi="Times New Roman" w:cs="Times New Roman"/>
                      <w:color w:val="auto"/>
                      <w:kern w:val="0"/>
                      <w:sz w:val="21"/>
                      <w:szCs w:val="21"/>
                      <w:highlight w:val="none"/>
                      <w:lang w:val="en-US" w:eastAsia="zh-CN"/>
                    </w:rPr>
                    <w:t>0吨</w:t>
                  </w:r>
                  <w:r>
                    <w:rPr>
                      <w:rFonts w:hint="default" w:ascii="Times New Roman" w:hAnsi="Times New Roman" w:cs="Times New Roman"/>
                      <w:color w:val="auto"/>
                      <w:kern w:val="0"/>
                      <w:sz w:val="21"/>
                      <w:szCs w:val="21"/>
                      <w:highlight w:val="none"/>
                    </w:rPr>
                    <w:t>）</w:t>
                  </w:r>
                </w:p>
              </w:tc>
              <w:tc>
                <w:tcPr>
                  <w:tcW w:w="2502" w:type="pct"/>
                  <w:vAlign w:val="center"/>
                </w:tcPr>
                <w:p w14:paraId="60EB1BF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外购铝卷经机加工、</w:t>
                  </w:r>
                  <w:r>
                    <w:rPr>
                      <w:rFonts w:hint="default" w:ascii="Times New Roman" w:hAnsi="Times New Roman" w:cs="Times New Roman"/>
                      <w:color w:val="auto"/>
                      <w:kern w:val="0"/>
                      <w:sz w:val="21"/>
                      <w:szCs w:val="21"/>
                      <w:highlight w:val="none"/>
                      <w:lang w:eastAsia="zh-CN"/>
                    </w:rPr>
                    <w:t>表面处理</w:t>
                  </w:r>
                  <w:r>
                    <w:rPr>
                      <w:rFonts w:hint="default" w:ascii="Times New Roman" w:hAnsi="Times New Roman" w:cs="Times New Roman"/>
                      <w:color w:val="auto"/>
                      <w:kern w:val="0"/>
                      <w:sz w:val="21"/>
                      <w:szCs w:val="21"/>
                      <w:highlight w:val="none"/>
                    </w:rPr>
                    <w:t>后为</w:t>
                  </w:r>
                  <w:r>
                    <w:rPr>
                      <w:rFonts w:hint="eastAsia" w:cs="Times New Roman"/>
                      <w:color w:val="auto"/>
                      <w:kern w:val="0"/>
                      <w:sz w:val="21"/>
                      <w:szCs w:val="21"/>
                      <w:highlight w:val="none"/>
                      <w:lang w:val="en-US" w:eastAsia="zh-CN"/>
                    </w:rPr>
                    <w:t>成品</w:t>
                  </w:r>
                  <w:r>
                    <w:rPr>
                      <w:rFonts w:hint="default" w:ascii="Times New Roman" w:hAnsi="Times New Roman" w:cs="Times New Roman"/>
                      <w:color w:val="auto"/>
                      <w:kern w:val="0"/>
                      <w:sz w:val="21"/>
                      <w:szCs w:val="21"/>
                      <w:highlight w:val="none"/>
                    </w:rPr>
                    <w:t>钣金件</w:t>
                  </w:r>
                  <w:r>
                    <w:rPr>
                      <w:rFonts w:hint="eastAsia" w:cs="Times New Roman"/>
                      <w:color w:val="auto"/>
                      <w:kern w:val="0"/>
                      <w:sz w:val="21"/>
                      <w:szCs w:val="21"/>
                      <w:highlight w:val="none"/>
                      <w:lang w:eastAsia="zh-CN"/>
                    </w:rPr>
                    <w:t>（其中</w:t>
                  </w:r>
                  <w:r>
                    <w:rPr>
                      <w:rFonts w:hint="default" w:ascii="Times New Roman" w:hAnsi="Times New Roman" w:eastAsia="宋体" w:cs="Times New Roman"/>
                      <w:color w:val="auto"/>
                      <w:sz w:val="21"/>
                      <w:szCs w:val="21"/>
                      <w:highlight w:val="none"/>
                      <w:lang w:val="en-US" w:eastAsia="zh-CN"/>
                    </w:rPr>
                    <w:t>铝单板</w:t>
                  </w:r>
                  <w:r>
                    <w:rPr>
                      <w:rFonts w:hint="eastAsia" w:ascii="Times New Roman" w:hAnsi="Times New Roman" w:eastAsia="宋体" w:cs="Times New Roman"/>
                      <w:color w:val="auto"/>
                      <w:sz w:val="21"/>
                      <w:szCs w:val="21"/>
                      <w:highlight w:val="none"/>
                      <w:lang w:val="en-US" w:eastAsia="zh-CN"/>
                    </w:rPr>
                    <w:t>76.5</w:t>
                  </w:r>
                  <w:r>
                    <w:rPr>
                      <w:rFonts w:hint="default" w:ascii="Times New Roman" w:hAnsi="Times New Roman" w:cs="Times New Roman"/>
                      <w:b w:val="0"/>
                      <w:bCs w:val="0"/>
                      <w:color w:val="auto"/>
                      <w:sz w:val="21"/>
                      <w:szCs w:val="21"/>
                      <w:highlight w:val="none"/>
                      <w:lang w:val="en-US" w:eastAsia="zh-CN"/>
                    </w:rPr>
                    <w:t>万m</w:t>
                  </w:r>
                  <w:r>
                    <w:rPr>
                      <w:rFonts w:hint="default" w:ascii="Times New Roman" w:hAnsi="Times New Roman" w:cs="Times New Roman"/>
                      <w:b w:val="0"/>
                      <w:bCs w:val="0"/>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铝制天花板</w:t>
                  </w:r>
                  <w:r>
                    <w:rPr>
                      <w:rFonts w:hint="eastAsia" w:ascii="Times New Roman" w:hAnsi="Times New Roman" w:eastAsia="宋体" w:cs="Times New Roman"/>
                      <w:color w:val="auto"/>
                      <w:sz w:val="21"/>
                      <w:szCs w:val="21"/>
                      <w:highlight w:val="none"/>
                      <w:lang w:val="en-US" w:eastAsia="zh-CN"/>
                    </w:rPr>
                    <w:t>23.5</w:t>
                  </w:r>
                  <w:r>
                    <w:rPr>
                      <w:rFonts w:hint="default" w:ascii="Times New Roman" w:hAnsi="Times New Roman" w:cs="Times New Roman"/>
                      <w:b w:val="0"/>
                      <w:bCs w:val="0"/>
                      <w:color w:val="auto"/>
                      <w:sz w:val="21"/>
                      <w:szCs w:val="21"/>
                      <w:highlight w:val="none"/>
                      <w:lang w:val="en-US" w:eastAsia="zh-CN"/>
                    </w:rPr>
                    <w:t>万m</w:t>
                  </w:r>
                  <w:r>
                    <w:rPr>
                      <w:rFonts w:hint="default" w:ascii="Times New Roman" w:hAnsi="Times New Roman" w:cs="Times New Roman"/>
                      <w:b w:val="0"/>
                      <w:bCs w:val="0"/>
                      <w:color w:val="auto"/>
                      <w:sz w:val="21"/>
                      <w:szCs w:val="21"/>
                      <w:highlight w:val="none"/>
                      <w:vertAlign w:val="superscript"/>
                      <w:lang w:val="en-US" w:eastAsia="zh-CN"/>
                    </w:rPr>
                    <w:t>2</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，厚度控制在</w:t>
                  </w:r>
                  <w:r>
                    <w:rPr>
                      <w:rFonts w:hint="eastAsia" w:cs="Times New Roman"/>
                      <w:color w:val="auto"/>
                      <w:kern w:val="0"/>
                      <w:sz w:val="21"/>
                      <w:szCs w:val="21"/>
                      <w:highlight w:val="none"/>
                      <w:lang w:val="en-US" w:eastAsia="zh-CN"/>
                    </w:rPr>
                    <w:t>1.5</w:t>
                  </w:r>
                  <w:r>
                    <w:rPr>
                      <w:rFonts w:hint="default" w:ascii="Times New Roman" w:hAnsi="Times New Roman" w:cs="Times New Roman"/>
                      <w:color w:val="auto"/>
                      <w:kern w:val="0"/>
                      <w:sz w:val="21"/>
                      <w:szCs w:val="21"/>
                      <w:highlight w:val="none"/>
                    </w:rPr>
                    <w:t>mm左右，钣金件用于装饰新材料项目生产原料供应</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i w:val="0"/>
                      <w:iCs w:val="0"/>
                      <w:color w:val="auto"/>
                      <w:kern w:val="0"/>
                      <w:sz w:val="21"/>
                      <w:szCs w:val="21"/>
                      <w:highlight w:val="none"/>
                      <w:u w:val="none"/>
                      <w:lang w:val="en-US" w:eastAsia="zh-CN" w:bidi="ar"/>
                    </w:rPr>
                    <w:t>铝的密度为按2.7×10</w:t>
                  </w:r>
                  <w:r>
                    <w:rPr>
                      <w:rFonts w:hint="default" w:ascii="Times New Roman" w:hAnsi="Times New Roman"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千克/m</w:t>
                  </w:r>
                  <w:r>
                    <w:rPr>
                      <w:rFonts w:hint="default" w:ascii="Times New Roman" w:hAnsi="Times New Roman"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计算</w:t>
                  </w:r>
                  <w:r>
                    <w:rPr>
                      <w:rFonts w:hint="default" w:ascii="Times New Roman" w:hAnsi="Times New Roman" w:cs="Times New Roman"/>
                      <w:i w:val="0"/>
                      <w:iCs w:val="0"/>
                      <w:color w:val="auto"/>
                      <w:kern w:val="0"/>
                      <w:sz w:val="21"/>
                      <w:szCs w:val="21"/>
                      <w:highlight w:val="none"/>
                      <w:u w:val="none"/>
                      <w:lang w:val="en-US" w:eastAsia="zh-CN" w:bidi="ar"/>
                    </w:rPr>
                    <w:t>。</w:t>
                  </w:r>
                </w:p>
              </w:tc>
            </w:tr>
            <w:tr w14:paraId="04306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29" w:hRule="atLeast"/>
                <w:jc w:val="center"/>
              </w:trPr>
              <w:tc>
                <w:tcPr>
                  <w:tcW w:w="5000" w:type="pct"/>
                  <w:gridSpan w:val="4"/>
                  <w:vAlign w:val="center"/>
                </w:tcPr>
                <w:p w14:paraId="4D818A3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eastAsia" w:cs="Times New Roman"/>
                      <w:b/>
                      <w:bCs/>
                      <w:color w:val="auto"/>
                      <w:kern w:val="0"/>
                      <w:sz w:val="21"/>
                      <w:szCs w:val="21"/>
                      <w:highlight w:val="none"/>
                      <w:lang w:val="en-US" w:eastAsia="zh-CN"/>
                    </w:rPr>
                    <w:t>原料及</w:t>
                  </w:r>
                  <w:r>
                    <w:rPr>
                      <w:rFonts w:hint="default" w:ascii="Times New Roman" w:hAnsi="Times New Roman" w:cs="Times New Roman"/>
                      <w:b/>
                      <w:bCs/>
                      <w:color w:val="auto"/>
                      <w:kern w:val="0"/>
                      <w:sz w:val="21"/>
                      <w:szCs w:val="21"/>
                      <w:highlight w:val="none"/>
                    </w:rPr>
                    <w:t>产品示意图</w:t>
                  </w:r>
                </w:p>
              </w:tc>
            </w:tr>
            <w:tr w14:paraId="434D3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82" w:hRule="atLeast"/>
                <w:jc w:val="center"/>
              </w:trPr>
              <w:tc>
                <w:tcPr>
                  <w:tcW w:w="2497" w:type="pct"/>
                  <w:gridSpan w:val="3"/>
                  <w:vAlign w:val="center"/>
                </w:tcPr>
                <w:p w14:paraId="2D5B52D8">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856230" cy="2142490"/>
                        <wp:effectExtent l="0" t="0" r="1270" b="10160"/>
                        <wp:docPr id="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16"/>
                                <a:stretch>
                                  <a:fillRect/>
                                </a:stretch>
                              </pic:blipFill>
                              <pic:spPr>
                                <a:xfrm>
                                  <a:off x="0" y="0"/>
                                  <a:ext cx="2856230" cy="2142490"/>
                                </a:xfrm>
                                <a:prstGeom prst="rect">
                                  <a:avLst/>
                                </a:prstGeom>
                                <a:noFill/>
                                <a:ln w="9525">
                                  <a:noFill/>
                                </a:ln>
                              </pic:spPr>
                            </pic:pic>
                          </a:graphicData>
                        </a:graphic>
                      </wp:inline>
                    </w:drawing>
                  </w:r>
                </w:p>
              </w:tc>
              <w:tc>
                <w:tcPr>
                  <w:tcW w:w="2502" w:type="pct"/>
                  <w:vAlign w:val="center"/>
                </w:tcPr>
                <w:p w14:paraId="61CFB492">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drawing>
                      <wp:inline distT="0" distB="0" distL="114300" distR="114300">
                        <wp:extent cx="2847340" cy="2138045"/>
                        <wp:effectExtent l="0" t="0" r="10160" b="8255"/>
                        <wp:docPr id="7" name="图片 7" descr="IMG_20240123_16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123_160537"/>
                                <pic:cNvPicPr>
                                  <a:picLocks noChangeAspect="1"/>
                                </pic:cNvPicPr>
                              </pic:nvPicPr>
                              <pic:blipFill>
                                <a:blip r:embed="rId17"/>
                                <a:stretch>
                                  <a:fillRect/>
                                </a:stretch>
                              </pic:blipFill>
                              <pic:spPr>
                                <a:xfrm>
                                  <a:off x="0" y="0"/>
                                  <a:ext cx="2847340" cy="2138045"/>
                                </a:xfrm>
                                <a:prstGeom prst="rect">
                                  <a:avLst/>
                                </a:prstGeom>
                              </pic:spPr>
                            </pic:pic>
                          </a:graphicData>
                        </a:graphic>
                      </wp:inline>
                    </w:drawing>
                  </w:r>
                </w:p>
              </w:tc>
            </w:tr>
            <w:tr w14:paraId="706F3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9" w:hRule="atLeast"/>
                <w:jc w:val="center"/>
              </w:trPr>
              <w:tc>
                <w:tcPr>
                  <w:tcW w:w="2497" w:type="pct"/>
                  <w:gridSpan w:val="3"/>
                  <w:vAlign w:val="center"/>
                </w:tcPr>
                <w:p w14:paraId="5B680474">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机加工</w:t>
                  </w:r>
                  <w:r>
                    <w:rPr>
                      <w:rFonts w:hint="default" w:ascii="Times New Roman" w:hAnsi="Times New Roman" w:cs="Times New Roman"/>
                      <w:b/>
                      <w:bCs/>
                      <w:color w:val="auto"/>
                      <w:kern w:val="0"/>
                      <w:sz w:val="21"/>
                      <w:szCs w:val="21"/>
                      <w:highlight w:val="none"/>
                      <w:lang w:eastAsia="zh-CN"/>
                    </w:rPr>
                    <w:t>、表面处理</w:t>
                  </w:r>
                  <w:r>
                    <w:rPr>
                      <w:rFonts w:hint="default" w:ascii="Times New Roman" w:hAnsi="Times New Roman" w:cs="Times New Roman"/>
                      <w:b/>
                      <w:bCs/>
                      <w:color w:val="auto"/>
                      <w:kern w:val="0"/>
                      <w:sz w:val="21"/>
                      <w:szCs w:val="21"/>
                      <w:highlight w:val="none"/>
                    </w:rPr>
                    <w:t>前（铝卷）</w:t>
                  </w:r>
                </w:p>
              </w:tc>
              <w:tc>
                <w:tcPr>
                  <w:tcW w:w="2502" w:type="pct"/>
                  <w:vAlign w:val="center"/>
                </w:tcPr>
                <w:p w14:paraId="02B1123F">
                  <w:pPr>
                    <w:keepNext w:val="0"/>
                    <w:keepLines w:val="0"/>
                    <w:pageBreakBefore w:val="0"/>
                    <w:widowControl w:val="0"/>
                    <w:suppressLineNumbers w:val="0"/>
                    <w:tabs>
                      <w:tab w:val="left" w:pos="1305"/>
                    </w:tabs>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机加工、</w:t>
                  </w:r>
                  <w:r>
                    <w:rPr>
                      <w:rFonts w:hint="default" w:ascii="Times New Roman" w:hAnsi="Times New Roman" w:cs="Times New Roman"/>
                      <w:b/>
                      <w:bCs/>
                      <w:color w:val="auto"/>
                      <w:kern w:val="0"/>
                      <w:sz w:val="21"/>
                      <w:szCs w:val="21"/>
                      <w:highlight w:val="none"/>
                      <w:lang w:eastAsia="zh-CN"/>
                    </w:rPr>
                    <w:t>表面处理</w:t>
                  </w:r>
                  <w:r>
                    <w:rPr>
                      <w:rFonts w:hint="default" w:ascii="Times New Roman" w:hAnsi="Times New Roman" w:cs="Times New Roman"/>
                      <w:b/>
                      <w:bCs/>
                      <w:color w:val="auto"/>
                      <w:kern w:val="0"/>
                      <w:sz w:val="21"/>
                      <w:szCs w:val="21"/>
                      <w:highlight w:val="none"/>
                    </w:rPr>
                    <w:t>后（钣金件）</w:t>
                  </w:r>
                </w:p>
              </w:tc>
            </w:tr>
          </w:tbl>
          <w:p w14:paraId="1374DAC4">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78FF80A7">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（1）原辅材料用量</w:t>
            </w:r>
          </w:p>
          <w:p w14:paraId="73C5988C">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本项目原辅材料种类及年用量见下表。</w:t>
            </w:r>
          </w:p>
          <w:p w14:paraId="062907F0">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原辅材料一览表</w:t>
            </w:r>
          </w:p>
          <w:tbl>
            <w:tblPr>
              <w:tblStyle w:val="38"/>
              <w:tblW w:w="932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03"/>
              <w:gridCol w:w="1317"/>
              <w:gridCol w:w="1310"/>
              <w:gridCol w:w="922"/>
              <w:gridCol w:w="675"/>
              <w:gridCol w:w="653"/>
              <w:gridCol w:w="1547"/>
              <w:gridCol w:w="1302"/>
              <w:gridCol w:w="1099"/>
            </w:tblGrid>
            <w:tr w14:paraId="5CBA3E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688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DB1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03B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年用量/加工量</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18AE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最大贮存量</w:t>
                  </w:r>
                </w:p>
              </w:tc>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A6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单位</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36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形态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8F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型号/规格</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B2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使用环节</w:t>
                  </w:r>
                </w:p>
              </w:tc>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915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贮存位置</w:t>
                  </w:r>
                </w:p>
              </w:tc>
            </w:tr>
            <w:tr w14:paraId="28A26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6E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31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4EC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4300</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277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405</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C0AA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942B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61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6063型</w:t>
                  </w:r>
                  <w:r>
                    <w:rPr>
                      <w:rFonts w:hint="eastAsia" w:cs="Times New Roman"/>
                      <w:i w:val="0"/>
                      <w:iCs w:val="0"/>
                      <w:color w:val="auto"/>
                      <w:kern w:val="0"/>
                      <w:sz w:val="21"/>
                      <w:szCs w:val="21"/>
                      <w:highlight w:val="none"/>
                      <w:u w:val="none"/>
                      <w:lang w:val="en-US" w:eastAsia="zh-CN" w:bidi="ar"/>
                    </w:rPr>
                    <w:t>1.5</w:t>
                  </w:r>
                  <w:r>
                    <w:rPr>
                      <w:rFonts w:hint="default" w:ascii="Times New Roman" w:hAnsi="Times New Roman" w:eastAsia="宋体" w:cs="Times New Roman"/>
                      <w:i w:val="0"/>
                      <w:iCs w:val="0"/>
                      <w:color w:val="auto"/>
                      <w:kern w:val="0"/>
                      <w:sz w:val="21"/>
                      <w:szCs w:val="21"/>
                      <w:highlight w:val="none"/>
                      <w:u w:val="none"/>
                      <w:lang w:val="en-US" w:eastAsia="zh-CN" w:bidi="ar"/>
                    </w:rPr>
                    <w:t>mm（厚）×1000mm（宽）</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1D7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铝卷表面预处理生产线、钣金</w:t>
                  </w:r>
                  <w:r>
                    <w:rPr>
                      <w:rFonts w:hint="eastAsia" w:cs="Times New Roman"/>
                      <w:i w:val="0"/>
                      <w:iCs w:val="0"/>
                      <w:color w:val="auto"/>
                      <w:kern w:val="0"/>
                      <w:sz w:val="21"/>
                      <w:szCs w:val="21"/>
                      <w:highlight w:val="none"/>
                      <w:u w:val="none"/>
                      <w:lang w:val="en-US" w:eastAsia="zh-CN" w:bidi="ar"/>
                    </w:rPr>
                    <w:t>机</w:t>
                  </w:r>
                  <w:r>
                    <w:rPr>
                      <w:rFonts w:hint="default" w:ascii="Times New Roman" w:hAnsi="Times New Roman" w:eastAsia="宋体" w:cs="Times New Roman"/>
                      <w:i w:val="0"/>
                      <w:iCs w:val="0"/>
                      <w:color w:val="auto"/>
                      <w:kern w:val="0"/>
                      <w:sz w:val="21"/>
                      <w:szCs w:val="21"/>
                      <w:highlight w:val="none"/>
                      <w:u w:val="none"/>
                      <w:lang w:val="en-US" w:eastAsia="zh-CN" w:bidi="ar"/>
                    </w:rPr>
                    <w:t>加工车间</w:t>
                  </w:r>
                </w:p>
              </w:tc>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7E3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物料仓库（</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#厂房）</w:t>
                  </w:r>
                </w:p>
              </w:tc>
            </w:tr>
            <w:tr w14:paraId="3067A7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28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6A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F6D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5.9443</w:t>
                  </w:r>
                  <w:r>
                    <w:rPr>
                      <w:rFonts w:hint="default" w:ascii="Times New Roman" w:hAnsi="Times New Roman" w:eastAsia="宋体" w:cs="Times New Roman"/>
                      <w:i w:val="0"/>
                      <w:iCs w:val="0"/>
                      <w:color w:val="auto"/>
                      <w:kern w:val="0"/>
                      <w:sz w:val="21"/>
                      <w:szCs w:val="21"/>
                      <w:highlight w:val="none"/>
                      <w:u w:val="none"/>
                      <w:lang w:val="en-US" w:eastAsia="zh-CN" w:bidi="ar"/>
                    </w:rPr>
                    <w:t>万m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88D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0.00048</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DA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B3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气态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ED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6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68AF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铝卷表面预处理生产线</w:t>
                  </w:r>
                </w:p>
              </w:tc>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28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管道内</w:t>
                  </w:r>
                </w:p>
              </w:tc>
            </w:tr>
            <w:tr w14:paraId="23C78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957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61FF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9FDE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8AE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2AB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82B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DF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A78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BAA5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#厂房化学品区</w:t>
                  </w:r>
                </w:p>
              </w:tc>
            </w:tr>
            <w:tr w14:paraId="2AE94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4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ABB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0D81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7.2</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AD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0.6</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4C3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35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828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760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ECD9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A304B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F726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A9C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pH调整剂</w:t>
                  </w:r>
                </w:p>
                <w:p w14:paraId="3426D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（硫酸70%）</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25A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E99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DF7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7808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E0F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25kg/桶</w:t>
                  </w:r>
                </w:p>
              </w:tc>
              <w:tc>
                <w:tcPr>
                  <w:tcW w:w="6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742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c>
                <w:tcPr>
                  <w:tcW w:w="5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94BB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r>
            <w:tr w14:paraId="3C4090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4A25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835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PAC</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AF6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5E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0.5</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CC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52E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0A1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441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1113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0BA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37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8E2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PAM</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35D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A0E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F9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26B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19B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1F15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4C0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4C2A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FD1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8</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D11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机油</w:t>
                  </w:r>
                </w:p>
                <w:p w14:paraId="7A0165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（润滑油）</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B9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9</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F3F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9</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2FE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845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082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200L/桶</w:t>
                  </w:r>
                </w:p>
              </w:tc>
              <w:tc>
                <w:tcPr>
                  <w:tcW w:w="69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E5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设备运行维护</w:t>
                  </w:r>
                </w:p>
              </w:tc>
              <w:tc>
                <w:tcPr>
                  <w:tcW w:w="58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C6B9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i w:val="0"/>
                      <w:iCs w:val="0"/>
                      <w:color w:val="auto"/>
                      <w:kern w:val="0"/>
                      <w:sz w:val="21"/>
                      <w:szCs w:val="21"/>
                      <w:highlight w:val="none"/>
                      <w:u w:val="none"/>
                      <w:lang w:val="en-US" w:eastAsia="zh-CN" w:bidi="ar"/>
                    </w:rPr>
                    <w:t>化学品仓</w:t>
                  </w:r>
                </w:p>
              </w:tc>
            </w:tr>
            <w:tr w14:paraId="69EAF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9E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9</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63AE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液压油</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6C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85</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317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85</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0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E5D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液态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2FD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200L/桶</w:t>
                  </w:r>
                </w:p>
              </w:tc>
              <w:tc>
                <w:tcPr>
                  <w:tcW w:w="69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D8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0429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77B0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9EA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CA4D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highlight w:val="none"/>
                    </w:rPr>
                    <w:t>复合净水剂</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60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0.25</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7EC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10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4F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E870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25E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06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r>
            <w:tr w14:paraId="04352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BF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0A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olor w:val="auto"/>
                      <w:sz w:val="21"/>
                      <w:szCs w:val="21"/>
                      <w:highlight w:val="none"/>
                      <w:lang w:val="en-US" w:eastAsia="zh-CN"/>
                    </w:rPr>
                    <w:t>除氟药剂</w:t>
                  </w:r>
                </w:p>
              </w:tc>
              <w:tc>
                <w:tcPr>
                  <w:tcW w:w="7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DEF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0.25</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401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w:t>
                  </w:r>
                </w:p>
              </w:tc>
              <w:tc>
                <w:tcPr>
                  <w:tcW w:w="3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236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w:t>
                  </w:r>
                </w:p>
              </w:tc>
              <w:tc>
                <w:tcPr>
                  <w:tcW w:w="3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C1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固态</w:t>
                  </w:r>
                </w:p>
              </w:tc>
              <w:tc>
                <w:tcPr>
                  <w:tcW w:w="8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0C3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25kg/袋</w:t>
                  </w:r>
                </w:p>
              </w:tc>
              <w:tc>
                <w:tcPr>
                  <w:tcW w:w="6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79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EE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自建污水处理站</w:t>
                  </w:r>
                </w:p>
              </w:tc>
            </w:tr>
            <w:tr w14:paraId="426A4A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jc w:val="center"/>
              </w:trPr>
              <w:tc>
                <w:tcPr>
                  <w:tcW w:w="5000" w:type="pct"/>
                  <w:gridSpan w:val="9"/>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68FC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color w:val="auto"/>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注：</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①铝卷表面预处理生产线：</w:t>
                  </w:r>
                  <w:r>
                    <w:rPr>
                      <w:rFonts w:hint="eastAsia" w:cs="Times New Roman"/>
                      <w:i w:val="0"/>
                      <w:iCs w:val="0"/>
                      <w:color w:val="auto"/>
                      <w:kern w:val="0"/>
                      <w:sz w:val="21"/>
                      <w:szCs w:val="21"/>
                      <w:highlight w:val="none"/>
                      <w:u w:val="none"/>
                      <w:lang w:val="en-US" w:eastAsia="zh-CN" w:bidi="ar"/>
                    </w:rPr>
                    <w:t>每</w:t>
                  </w:r>
                  <w:r>
                    <w:rPr>
                      <w:rFonts w:hint="default" w:ascii="Times New Roman" w:hAnsi="Times New Roman" w:eastAsia="宋体" w:cs="Times New Roman"/>
                      <w:i w:val="0"/>
                      <w:iCs w:val="0"/>
                      <w:color w:val="auto"/>
                      <w:kern w:val="0"/>
                      <w:sz w:val="21"/>
                      <w:szCs w:val="21"/>
                      <w:highlight w:val="none"/>
                      <w:u w:val="none"/>
                      <w:lang w:val="en-US" w:eastAsia="zh-CN" w:bidi="ar"/>
                    </w:rPr>
                    <w:t>条烘水通道内设有1台20万大卡/小时烘水炉，耗气量计算公式如下：耗气量=热功率÷热效率÷天然气热值，已知热功率为20万大卡，热效率均取95%，天然气热值为8500kcal/m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，则本项目1台20万大卡燃气炉耗气量为24.7678m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/h，工作时间按300天计，每天生产时间为8h，则烘水炉年使用天然气量为：</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台×24.7678m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/h×8h×300d=</w:t>
                  </w:r>
                  <w:r>
                    <w:rPr>
                      <w:rFonts w:hint="eastAsia" w:cs="Times New Roman"/>
                      <w:i w:val="0"/>
                      <w:iCs w:val="0"/>
                      <w:color w:val="auto"/>
                      <w:kern w:val="0"/>
                      <w:sz w:val="21"/>
                      <w:szCs w:val="21"/>
                      <w:highlight w:val="none"/>
                      <w:u w:val="none"/>
                      <w:lang w:val="en-US" w:eastAsia="zh-CN" w:bidi="ar"/>
                    </w:rPr>
                    <w:t>59443</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/a，根据天然气密度0.7174kg/m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可换算约为</w:t>
                  </w:r>
                  <w:r>
                    <w:rPr>
                      <w:rFonts w:hint="eastAsia" w:cs="Times New Roman"/>
                      <w:i w:val="0"/>
                      <w:iCs w:val="0"/>
                      <w:color w:val="auto"/>
                      <w:kern w:val="0"/>
                      <w:sz w:val="21"/>
                      <w:szCs w:val="21"/>
                      <w:highlight w:val="none"/>
                      <w:u w:val="none"/>
                      <w:lang w:val="en-US" w:eastAsia="zh-CN" w:bidi="ar"/>
                    </w:rPr>
                    <w:t>43</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i w:val="0"/>
                      <w:iCs w:val="0"/>
                      <w:color w:val="auto"/>
                      <w:kern w:val="0"/>
                      <w:sz w:val="21"/>
                      <w:szCs w:val="21"/>
                      <w:highlight w:val="none"/>
                      <w:u w:val="none"/>
                      <w:lang w:val="en-US" w:eastAsia="zh-CN" w:bidi="ar"/>
                    </w:rPr>
                    <w:t>②厂区内不设天然气储存装置，故本项目按管道中的天然气量计算最大储存量，厂区内天然气管道长度约530m，管径40mm，密度0.7174kg/m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，每台烘水炉配备一根燃气管道。则本项目厂区内最大储存量=天然气管道截面积×厂区内长度×密度×管数，约为</w:t>
                  </w:r>
                  <w:r>
                    <w:rPr>
                      <w:rFonts w:hint="eastAsia" w:cs="Times New Roman"/>
                      <w:i w:val="0"/>
                      <w:iCs w:val="0"/>
                      <w:color w:val="auto"/>
                      <w:kern w:val="0"/>
                      <w:sz w:val="21"/>
                      <w:szCs w:val="21"/>
                      <w:highlight w:val="none"/>
                      <w:u w:val="none"/>
                      <w:lang w:val="en-US" w:eastAsia="zh-CN" w:bidi="ar"/>
                    </w:rPr>
                    <w:t>0.00048</w:t>
                  </w:r>
                  <w:r>
                    <w:rPr>
                      <w:rFonts w:hint="default" w:ascii="Times New Roman" w:hAnsi="Times New Roman" w:eastAsia="宋体" w:cs="Times New Roman"/>
                      <w:i w:val="0"/>
                      <w:iCs w:val="0"/>
                      <w:color w:val="auto"/>
                      <w:kern w:val="0"/>
                      <w:sz w:val="21"/>
                      <w:szCs w:val="21"/>
                      <w:highlight w:val="none"/>
                      <w:u w:val="none"/>
                      <w:lang w:val="en-US" w:eastAsia="zh-CN" w:bidi="ar"/>
                    </w:rPr>
                    <w:t>t</w:t>
                  </w:r>
                  <w:r>
                    <w:rPr>
                      <w:rFonts w:hint="eastAsia"/>
                      <w:color w:val="auto"/>
                      <w:highlight w:val="none"/>
                      <w:lang w:eastAsia="zh-CN"/>
                    </w:rPr>
                    <w:t>；</w:t>
                  </w:r>
                </w:p>
                <w:p w14:paraId="0A2D0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default"/>
                      <w:color w:val="auto"/>
                      <w:sz w:val="21"/>
                      <w:szCs w:val="21"/>
                      <w:highlight w:val="none"/>
                      <w:lang w:val="en-US" w:eastAsia="zh-CN"/>
                    </w:rPr>
                  </w:pPr>
                  <w:r>
                    <w:rPr>
                      <w:rFonts w:hint="eastAsia"/>
                      <w:color w:val="auto"/>
                      <w:sz w:val="21"/>
                      <w:szCs w:val="21"/>
                      <w:highlight w:val="none"/>
                      <w:lang w:val="en-US" w:eastAsia="zh-CN"/>
                    </w:rPr>
                    <w:t>③碱性除油</w:t>
                  </w:r>
                  <w:r>
                    <w:rPr>
                      <w:rFonts w:hint="eastAsia"/>
                      <w:color w:val="auto"/>
                      <w:sz w:val="21"/>
                      <w:szCs w:val="21"/>
                      <w:highlight w:val="none"/>
                    </w:rPr>
                    <w:t>工艺浓度</w:t>
                  </w:r>
                  <w:r>
                    <w:rPr>
                      <w:rFonts w:hint="eastAsia"/>
                      <w:color w:val="auto"/>
                      <w:sz w:val="21"/>
                      <w:szCs w:val="21"/>
                      <w:highlight w:val="none"/>
                      <w:lang w:val="en-US" w:eastAsia="zh-CN"/>
                    </w:rPr>
                    <w:t>配比</w:t>
                  </w:r>
                  <w:r>
                    <w:rPr>
                      <w:rFonts w:hint="eastAsia"/>
                      <w:color w:val="auto"/>
                      <w:sz w:val="21"/>
                      <w:szCs w:val="21"/>
                      <w:highlight w:val="none"/>
                    </w:rPr>
                    <w:t>取</w:t>
                  </w:r>
                  <w:r>
                    <w:rPr>
                      <w:rFonts w:hint="eastAsia"/>
                      <w:color w:val="auto"/>
                      <w:sz w:val="21"/>
                      <w:szCs w:val="21"/>
                      <w:highlight w:val="none"/>
                      <w:lang w:val="en-US" w:eastAsia="zh-CN"/>
                    </w:rPr>
                    <w:t>碱性除油剂</w:t>
                  </w:r>
                  <w:r>
                    <w:rPr>
                      <w:rFonts w:hint="eastAsia"/>
                      <w:color w:val="auto"/>
                      <w:sz w:val="21"/>
                      <w:szCs w:val="21"/>
                      <w:highlight w:val="none"/>
                      <w:lang w:eastAsia="zh-CN"/>
                    </w:rPr>
                    <w:t>；</w:t>
                  </w:r>
                  <w:r>
                    <w:rPr>
                      <w:rFonts w:hint="eastAsia"/>
                      <w:color w:val="auto"/>
                      <w:sz w:val="21"/>
                      <w:szCs w:val="21"/>
                      <w:highlight w:val="none"/>
                    </w:rPr>
                    <w:t>清水</w:t>
                  </w:r>
                  <w:r>
                    <w:rPr>
                      <w:rFonts w:hint="eastAsia"/>
                      <w:color w:val="auto"/>
                      <w:sz w:val="21"/>
                      <w:szCs w:val="21"/>
                      <w:highlight w:val="none"/>
                      <w:lang w:val="en-US" w:eastAsia="zh-CN"/>
                    </w:rPr>
                    <w:t>=1:50</w:t>
                  </w:r>
                  <w:r>
                    <w:rPr>
                      <w:rFonts w:hint="eastAsia"/>
                      <w:color w:val="auto"/>
                      <w:sz w:val="21"/>
                      <w:szCs w:val="21"/>
                      <w:highlight w:val="none"/>
                    </w:rPr>
                    <w:t>，</w:t>
                  </w:r>
                  <w:r>
                    <w:rPr>
                      <w:rFonts w:hint="eastAsia"/>
                      <w:color w:val="auto"/>
                      <w:sz w:val="21"/>
                      <w:szCs w:val="21"/>
                      <w:highlight w:val="none"/>
                      <w:lang w:val="en-US" w:eastAsia="zh-CN"/>
                    </w:rPr>
                    <w:t>碱性除油</w:t>
                  </w:r>
                  <w:r>
                    <w:rPr>
                      <w:rFonts w:hint="eastAsia"/>
                      <w:color w:val="auto"/>
                      <w:sz w:val="21"/>
                      <w:szCs w:val="21"/>
                      <w:highlight w:val="none"/>
                    </w:rPr>
                    <w:t>工艺</w:t>
                  </w:r>
                  <w:r>
                    <w:rPr>
                      <w:rFonts w:hint="eastAsia"/>
                      <w:color w:val="auto"/>
                      <w:sz w:val="21"/>
                      <w:szCs w:val="21"/>
                      <w:highlight w:val="none"/>
                      <w:lang w:val="en-US" w:eastAsia="zh-CN"/>
                    </w:rPr>
                    <w:t>循环</w:t>
                  </w:r>
                  <w:r>
                    <w:rPr>
                      <w:rFonts w:hint="eastAsia"/>
                      <w:color w:val="auto"/>
                      <w:sz w:val="21"/>
                      <w:szCs w:val="21"/>
                      <w:highlight w:val="none"/>
                    </w:rPr>
                    <w:t>用水损耗量为</w:t>
                  </w:r>
                  <w:r>
                    <w:rPr>
                      <w:rFonts w:hint="eastAsia"/>
                      <w:color w:val="auto"/>
                      <w:sz w:val="21"/>
                      <w:szCs w:val="21"/>
                      <w:highlight w:val="none"/>
                      <w:lang w:val="en-US" w:eastAsia="zh-CN"/>
                    </w:rPr>
                    <w:t>1843.2t</w:t>
                  </w:r>
                  <w:r>
                    <w:rPr>
                      <w:rFonts w:hint="eastAsia"/>
                      <w:color w:val="auto"/>
                      <w:sz w:val="21"/>
                      <w:szCs w:val="21"/>
                      <w:highlight w:val="none"/>
                    </w:rPr>
                    <w:t>/</w:t>
                  </w:r>
                  <w:r>
                    <w:rPr>
                      <w:rFonts w:hint="eastAsia"/>
                      <w:color w:val="auto"/>
                      <w:sz w:val="21"/>
                      <w:szCs w:val="21"/>
                      <w:highlight w:val="none"/>
                      <w:lang w:val="en-US" w:eastAsia="zh-CN"/>
                    </w:rPr>
                    <w:t>a，</w:t>
                  </w:r>
                  <w:r>
                    <w:rPr>
                      <w:rFonts w:hint="eastAsia"/>
                      <w:color w:val="auto"/>
                      <w:sz w:val="21"/>
                      <w:szCs w:val="21"/>
                      <w:highlight w:val="none"/>
                    </w:rPr>
                    <w:t>则该部分需补充的</w:t>
                  </w:r>
                  <w:r>
                    <w:rPr>
                      <w:rFonts w:hint="eastAsia"/>
                      <w:color w:val="auto"/>
                      <w:sz w:val="21"/>
                      <w:szCs w:val="21"/>
                      <w:highlight w:val="none"/>
                      <w:lang w:val="en-US" w:eastAsia="zh-CN"/>
                    </w:rPr>
                    <w:t>碱性除油剂</w:t>
                  </w:r>
                  <w:r>
                    <w:rPr>
                      <w:rFonts w:hint="eastAsia"/>
                      <w:color w:val="auto"/>
                      <w:sz w:val="21"/>
                      <w:szCs w:val="21"/>
                      <w:highlight w:val="none"/>
                    </w:rPr>
                    <w:t>用量为：</w:t>
                  </w:r>
                  <w:r>
                    <w:rPr>
                      <w:rFonts w:hint="eastAsia"/>
                      <w:color w:val="auto"/>
                      <w:sz w:val="21"/>
                      <w:szCs w:val="21"/>
                      <w:highlight w:val="none"/>
                      <w:lang w:val="en-US" w:eastAsia="zh-CN"/>
                    </w:rPr>
                    <w:t>1843.2t</w:t>
                  </w:r>
                  <w:r>
                    <w:rPr>
                      <w:rFonts w:hint="eastAsia"/>
                      <w:color w:val="auto"/>
                      <w:sz w:val="21"/>
                      <w:szCs w:val="21"/>
                      <w:highlight w:val="none"/>
                    </w:rPr>
                    <w:t>/</w:t>
                  </w:r>
                  <w:r>
                    <w:rPr>
                      <w:rFonts w:hint="eastAsia"/>
                      <w:color w:val="auto"/>
                      <w:sz w:val="21"/>
                      <w:szCs w:val="21"/>
                      <w:highlight w:val="none"/>
                      <w:lang w:val="en-US" w:eastAsia="zh-CN"/>
                    </w:rPr>
                    <w:t>a×1/50=36.864t/a</w:t>
                  </w:r>
                  <w:r>
                    <w:rPr>
                      <w:rFonts w:hint="eastAsia"/>
                      <w:color w:val="auto"/>
                      <w:sz w:val="21"/>
                      <w:szCs w:val="21"/>
                      <w:highlight w:val="none"/>
                      <w:lang w:eastAsia="zh-CN"/>
                    </w:rPr>
                    <w:t>；</w:t>
                  </w:r>
                  <w:r>
                    <w:rPr>
                      <w:rFonts w:hint="eastAsia"/>
                      <w:color w:val="auto"/>
                      <w:sz w:val="21"/>
                      <w:szCs w:val="21"/>
                      <w:highlight w:val="none"/>
                      <w:lang w:val="en-US" w:eastAsia="zh-CN"/>
                    </w:rPr>
                    <w:t>预处油池、主除油</w:t>
                  </w:r>
                  <w:r>
                    <w:rPr>
                      <w:rFonts w:hint="eastAsia"/>
                      <w:color w:val="auto"/>
                      <w:sz w:val="21"/>
                      <w:szCs w:val="21"/>
                      <w:highlight w:val="none"/>
                    </w:rPr>
                    <w:t>池</w:t>
                  </w:r>
                  <w:r>
                    <w:rPr>
                      <w:rFonts w:hint="eastAsia"/>
                      <w:color w:val="auto"/>
                      <w:sz w:val="21"/>
                      <w:szCs w:val="21"/>
                      <w:highlight w:val="none"/>
                      <w:lang w:val="en-US" w:eastAsia="zh-CN"/>
                    </w:rPr>
                    <w:t>定期更换槽液，对应碱性除油剂</w:t>
                  </w:r>
                  <w:r>
                    <w:rPr>
                      <w:rFonts w:hint="eastAsia"/>
                      <w:color w:val="auto"/>
                      <w:sz w:val="21"/>
                      <w:szCs w:val="21"/>
                      <w:highlight w:val="none"/>
                    </w:rPr>
                    <w:t>用量为</w:t>
                  </w:r>
                  <w:r>
                    <w:rPr>
                      <w:rFonts w:hint="eastAsia"/>
                      <w:color w:val="auto"/>
                      <w:sz w:val="21"/>
                      <w:szCs w:val="21"/>
                      <w:highlight w:val="none"/>
                      <w:lang w:val="en-US" w:eastAsia="zh-CN"/>
                    </w:rPr>
                    <w:t>=</w:t>
                  </w:r>
                  <w:r>
                    <w:rPr>
                      <w:rFonts w:hint="eastAsia"/>
                      <w:color w:val="auto"/>
                      <w:sz w:val="21"/>
                      <w:szCs w:val="21"/>
                      <w:highlight w:val="none"/>
                    </w:rPr>
                    <w:t>溶液年更换量×工艺浓度=</w:t>
                  </w:r>
                  <w:r>
                    <w:rPr>
                      <w:rFonts w:hint="eastAsia"/>
                      <w:color w:val="auto"/>
                      <w:sz w:val="21"/>
                      <w:szCs w:val="21"/>
                      <w:highlight w:val="none"/>
                      <w:lang w:val="en-US" w:eastAsia="zh-CN"/>
                    </w:rPr>
                    <w:t>76.8t</w:t>
                  </w:r>
                  <w:r>
                    <w:rPr>
                      <w:rFonts w:hint="eastAsia"/>
                      <w:color w:val="auto"/>
                      <w:sz w:val="21"/>
                      <w:szCs w:val="21"/>
                      <w:highlight w:val="none"/>
                    </w:rPr>
                    <w:t>/</w:t>
                  </w:r>
                  <w:r>
                    <w:rPr>
                      <w:rFonts w:hint="eastAsia"/>
                      <w:color w:val="auto"/>
                      <w:sz w:val="21"/>
                      <w:szCs w:val="21"/>
                      <w:highlight w:val="none"/>
                      <w:lang w:val="en-US" w:eastAsia="zh-CN"/>
                    </w:rPr>
                    <w:t>a×1/50</w:t>
                  </w:r>
                  <w:r>
                    <w:rPr>
                      <w:rFonts w:hint="eastAsia"/>
                      <w:color w:val="auto"/>
                      <w:sz w:val="21"/>
                      <w:szCs w:val="21"/>
                      <w:highlight w:val="none"/>
                    </w:rPr>
                    <w:t>=</w:t>
                  </w:r>
                  <w:r>
                    <w:rPr>
                      <w:rFonts w:hint="eastAsia"/>
                      <w:color w:val="auto"/>
                      <w:sz w:val="21"/>
                      <w:szCs w:val="21"/>
                      <w:highlight w:val="none"/>
                      <w:lang w:val="en-US" w:eastAsia="zh-CN"/>
                    </w:rPr>
                    <w:t>1.536</w:t>
                  </w:r>
                  <w:r>
                    <w:rPr>
                      <w:rFonts w:hint="eastAsia"/>
                      <w:color w:val="auto"/>
                      <w:sz w:val="21"/>
                      <w:szCs w:val="21"/>
                      <w:highlight w:val="none"/>
                    </w:rPr>
                    <w:t>t/</w:t>
                  </w:r>
                  <w:r>
                    <w:rPr>
                      <w:rFonts w:hint="eastAsia"/>
                      <w:color w:val="auto"/>
                      <w:sz w:val="21"/>
                      <w:szCs w:val="21"/>
                      <w:highlight w:val="none"/>
                      <w:lang w:val="en-US" w:eastAsia="zh-CN"/>
                    </w:rPr>
                    <w:t>a，以上</w:t>
                  </w:r>
                  <w:r>
                    <w:rPr>
                      <w:rFonts w:hint="eastAsia"/>
                      <w:color w:val="auto"/>
                      <w:sz w:val="21"/>
                      <w:szCs w:val="21"/>
                      <w:highlight w:val="none"/>
                    </w:rPr>
                    <w:t>合计</w:t>
                  </w:r>
                  <w:r>
                    <w:rPr>
                      <w:rFonts w:hint="eastAsia"/>
                      <w:color w:val="auto"/>
                      <w:sz w:val="21"/>
                      <w:szCs w:val="21"/>
                      <w:highlight w:val="none"/>
                      <w:lang w:val="en-US" w:eastAsia="zh-CN"/>
                    </w:rPr>
                    <w:t>碱性除油剂用量为=36.864+1.536=38.4</w:t>
                  </w:r>
                  <w:r>
                    <w:rPr>
                      <w:rFonts w:hint="eastAsia"/>
                      <w:color w:val="auto"/>
                      <w:sz w:val="21"/>
                      <w:szCs w:val="21"/>
                      <w:highlight w:val="none"/>
                    </w:rPr>
                    <w:t>t/a</w:t>
                  </w:r>
                  <w:r>
                    <w:rPr>
                      <w:rFonts w:hint="eastAsia"/>
                      <w:color w:val="auto"/>
                      <w:sz w:val="21"/>
                      <w:szCs w:val="21"/>
                      <w:highlight w:val="none"/>
                      <w:lang w:eastAsia="zh-CN"/>
                    </w:rPr>
                    <w:t>。</w:t>
                  </w:r>
                </w:p>
                <w:p w14:paraId="38FA50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highlight w:val="none"/>
                      <w:lang w:val="en-US" w:eastAsia="zh-CN"/>
                    </w:rPr>
                    <w:t>④</w:t>
                  </w:r>
                  <w:r>
                    <w:rPr>
                      <w:rFonts w:hint="eastAsia"/>
                      <w:color w:val="auto"/>
                      <w:sz w:val="21"/>
                      <w:szCs w:val="21"/>
                      <w:highlight w:val="none"/>
                    </w:rPr>
                    <w:t>钝化工艺浓度</w:t>
                  </w:r>
                  <w:r>
                    <w:rPr>
                      <w:rFonts w:hint="eastAsia"/>
                      <w:color w:val="auto"/>
                      <w:sz w:val="21"/>
                      <w:szCs w:val="21"/>
                      <w:highlight w:val="none"/>
                      <w:lang w:val="en-US" w:eastAsia="zh-CN"/>
                    </w:rPr>
                    <w:t>配比</w:t>
                  </w:r>
                  <w:r>
                    <w:rPr>
                      <w:rFonts w:hint="eastAsia"/>
                      <w:color w:val="auto"/>
                      <w:sz w:val="21"/>
                      <w:szCs w:val="21"/>
                      <w:highlight w:val="none"/>
                    </w:rPr>
                    <w:t>取</w:t>
                  </w:r>
                  <w:r>
                    <w:rPr>
                      <w:rFonts w:hint="eastAsia"/>
                      <w:color w:val="auto"/>
                      <w:sz w:val="21"/>
                      <w:szCs w:val="21"/>
                      <w:highlight w:val="none"/>
                      <w:lang w:val="en-US" w:eastAsia="zh-CN"/>
                    </w:rPr>
                    <w:t>无铬</w:t>
                  </w:r>
                  <w:r>
                    <w:rPr>
                      <w:rFonts w:hint="eastAsia"/>
                      <w:color w:val="auto"/>
                      <w:sz w:val="21"/>
                      <w:szCs w:val="21"/>
                      <w:highlight w:val="none"/>
                    </w:rPr>
                    <w:t>钝化剂</w:t>
                  </w:r>
                  <w:r>
                    <w:rPr>
                      <w:rFonts w:hint="eastAsia"/>
                      <w:color w:val="auto"/>
                      <w:sz w:val="21"/>
                      <w:szCs w:val="21"/>
                      <w:highlight w:val="none"/>
                      <w:lang w:eastAsia="zh-CN"/>
                    </w:rPr>
                    <w:t>；</w:t>
                  </w:r>
                  <w:r>
                    <w:rPr>
                      <w:rFonts w:hint="eastAsia"/>
                      <w:color w:val="auto"/>
                      <w:sz w:val="21"/>
                      <w:szCs w:val="21"/>
                      <w:highlight w:val="none"/>
                    </w:rPr>
                    <w:t>清水</w:t>
                  </w:r>
                  <w:r>
                    <w:rPr>
                      <w:rFonts w:hint="eastAsia"/>
                      <w:color w:val="auto"/>
                      <w:sz w:val="21"/>
                      <w:szCs w:val="21"/>
                      <w:highlight w:val="none"/>
                      <w:lang w:val="en-US" w:eastAsia="zh-CN"/>
                    </w:rPr>
                    <w:t>=1:100</w:t>
                  </w:r>
                  <w:r>
                    <w:rPr>
                      <w:rFonts w:hint="eastAsia"/>
                      <w:color w:val="auto"/>
                      <w:sz w:val="21"/>
                      <w:szCs w:val="21"/>
                      <w:highlight w:val="none"/>
                    </w:rPr>
                    <w:t>，钝化工艺</w:t>
                  </w:r>
                  <w:r>
                    <w:rPr>
                      <w:rFonts w:hint="eastAsia"/>
                      <w:color w:val="auto"/>
                      <w:sz w:val="21"/>
                      <w:szCs w:val="21"/>
                      <w:highlight w:val="none"/>
                      <w:lang w:val="en-US" w:eastAsia="zh-CN"/>
                    </w:rPr>
                    <w:t>循环</w:t>
                  </w:r>
                  <w:r>
                    <w:rPr>
                      <w:rFonts w:hint="eastAsia"/>
                      <w:color w:val="auto"/>
                      <w:sz w:val="21"/>
                      <w:szCs w:val="21"/>
                      <w:highlight w:val="none"/>
                    </w:rPr>
                    <w:t>用水损耗量为</w:t>
                  </w:r>
                  <w:r>
                    <w:rPr>
                      <w:rFonts w:hint="eastAsia"/>
                      <w:color w:val="auto"/>
                      <w:sz w:val="21"/>
                      <w:szCs w:val="21"/>
                      <w:highlight w:val="none"/>
                      <w:lang w:val="en-US" w:eastAsia="zh-CN"/>
                    </w:rPr>
                    <w:t>691.2t</w:t>
                  </w:r>
                  <w:r>
                    <w:rPr>
                      <w:rFonts w:hint="eastAsia"/>
                      <w:color w:val="auto"/>
                      <w:sz w:val="21"/>
                      <w:szCs w:val="21"/>
                      <w:highlight w:val="none"/>
                    </w:rPr>
                    <w:t>/</w:t>
                  </w:r>
                  <w:r>
                    <w:rPr>
                      <w:rFonts w:hint="eastAsia"/>
                      <w:color w:val="auto"/>
                      <w:sz w:val="21"/>
                      <w:szCs w:val="21"/>
                      <w:highlight w:val="none"/>
                      <w:lang w:val="en-US" w:eastAsia="zh-CN"/>
                    </w:rPr>
                    <w:t>a，</w:t>
                  </w:r>
                  <w:r>
                    <w:rPr>
                      <w:rFonts w:hint="eastAsia"/>
                      <w:color w:val="auto"/>
                      <w:sz w:val="21"/>
                      <w:szCs w:val="21"/>
                      <w:highlight w:val="none"/>
                    </w:rPr>
                    <w:t>则该部分需补充的</w:t>
                  </w:r>
                  <w:r>
                    <w:rPr>
                      <w:rFonts w:hint="eastAsia"/>
                      <w:color w:val="auto"/>
                      <w:sz w:val="21"/>
                      <w:szCs w:val="21"/>
                      <w:highlight w:val="none"/>
                      <w:lang w:val="en-US" w:eastAsia="zh-CN"/>
                    </w:rPr>
                    <w:t>无铬</w:t>
                  </w:r>
                  <w:r>
                    <w:rPr>
                      <w:rFonts w:hint="eastAsia"/>
                      <w:color w:val="auto"/>
                      <w:sz w:val="21"/>
                      <w:szCs w:val="21"/>
                      <w:highlight w:val="none"/>
                    </w:rPr>
                    <w:t>钝化剂用量为：</w:t>
                  </w:r>
                  <w:r>
                    <w:rPr>
                      <w:rFonts w:hint="eastAsia"/>
                      <w:color w:val="auto"/>
                      <w:sz w:val="21"/>
                      <w:szCs w:val="21"/>
                      <w:highlight w:val="none"/>
                      <w:lang w:val="en-US" w:eastAsia="zh-CN"/>
                    </w:rPr>
                    <w:t>691.2t</w:t>
                  </w:r>
                  <w:r>
                    <w:rPr>
                      <w:rFonts w:hint="eastAsia"/>
                      <w:color w:val="auto"/>
                      <w:sz w:val="21"/>
                      <w:szCs w:val="21"/>
                      <w:highlight w:val="none"/>
                    </w:rPr>
                    <w:t>/</w:t>
                  </w:r>
                  <w:r>
                    <w:rPr>
                      <w:rFonts w:hint="eastAsia"/>
                      <w:color w:val="auto"/>
                      <w:sz w:val="21"/>
                      <w:szCs w:val="21"/>
                      <w:highlight w:val="none"/>
                      <w:lang w:val="en-US" w:eastAsia="zh-CN"/>
                    </w:rPr>
                    <w:t>a×1/100=6.912t/a</w:t>
                  </w:r>
                  <w:r>
                    <w:rPr>
                      <w:rFonts w:hint="eastAsia"/>
                      <w:color w:val="auto"/>
                      <w:sz w:val="21"/>
                      <w:szCs w:val="21"/>
                      <w:highlight w:val="none"/>
                      <w:lang w:eastAsia="zh-CN"/>
                    </w:rPr>
                    <w:t>；</w:t>
                  </w:r>
                  <w:r>
                    <w:rPr>
                      <w:rFonts w:hint="eastAsia"/>
                      <w:color w:val="auto"/>
                      <w:sz w:val="21"/>
                      <w:szCs w:val="21"/>
                      <w:highlight w:val="none"/>
                      <w:lang w:val="en-US" w:eastAsia="zh-CN"/>
                    </w:rPr>
                    <w:t>无铬</w:t>
                  </w:r>
                  <w:r>
                    <w:rPr>
                      <w:rFonts w:hint="eastAsia"/>
                      <w:color w:val="auto"/>
                      <w:sz w:val="21"/>
                      <w:szCs w:val="21"/>
                      <w:highlight w:val="none"/>
                    </w:rPr>
                    <w:t>钝化池</w:t>
                  </w:r>
                  <w:r>
                    <w:rPr>
                      <w:rFonts w:hint="eastAsia"/>
                      <w:color w:val="auto"/>
                      <w:sz w:val="21"/>
                      <w:szCs w:val="21"/>
                      <w:highlight w:val="none"/>
                      <w:lang w:val="en-US" w:eastAsia="zh-CN"/>
                    </w:rPr>
                    <w:t>定期更换槽液，对应</w:t>
                  </w:r>
                  <w:r>
                    <w:rPr>
                      <w:rFonts w:hint="eastAsia"/>
                      <w:color w:val="auto"/>
                      <w:sz w:val="21"/>
                      <w:szCs w:val="21"/>
                      <w:highlight w:val="none"/>
                    </w:rPr>
                    <w:t>钝化剂用量为</w:t>
                  </w:r>
                  <w:r>
                    <w:rPr>
                      <w:rFonts w:hint="eastAsia"/>
                      <w:color w:val="auto"/>
                      <w:sz w:val="21"/>
                      <w:szCs w:val="21"/>
                      <w:highlight w:val="none"/>
                      <w:lang w:val="en-US" w:eastAsia="zh-CN"/>
                    </w:rPr>
                    <w:t>=</w:t>
                  </w:r>
                  <w:r>
                    <w:rPr>
                      <w:rFonts w:hint="eastAsia"/>
                      <w:color w:val="auto"/>
                      <w:sz w:val="21"/>
                      <w:szCs w:val="21"/>
                      <w:highlight w:val="none"/>
                    </w:rPr>
                    <w:t>溶液年更换量×工艺浓度=</w:t>
                  </w:r>
                  <w:r>
                    <w:rPr>
                      <w:rFonts w:hint="eastAsia"/>
                      <w:color w:val="auto"/>
                      <w:sz w:val="21"/>
                      <w:szCs w:val="21"/>
                      <w:highlight w:val="none"/>
                      <w:lang w:val="en-US" w:eastAsia="zh-CN"/>
                    </w:rPr>
                    <w:t>28.8t</w:t>
                  </w:r>
                  <w:r>
                    <w:rPr>
                      <w:rFonts w:hint="eastAsia"/>
                      <w:color w:val="auto"/>
                      <w:sz w:val="21"/>
                      <w:szCs w:val="21"/>
                      <w:highlight w:val="none"/>
                    </w:rPr>
                    <w:t>/</w:t>
                  </w:r>
                  <w:r>
                    <w:rPr>
                      <w:rFonts w:hint="eastAsia"/>
                      <w:color w:val="auto"/>
                      <w:sz w:val="21"/>
                      <w:szCs w:val="21"/>
                      <w:highlight w:val="none"/>
                      <w:lang w:val="en-US" w:eastAsia="zh-CN"/>
                    </w:rPr>
                    <w:t>a×1/100</w:t>
                  </w:r>
                  <w:r>
                    <w:rPr>
                      <w:rFonts w:hint="eastAsia"/>
                      <w:color w:val="auto"/>
                      <w:sz w:val="21"/>
                      <w:szCs w:val="21"/>
                      <w:highlight w:val="none"/>
                    </w:rPr>
                    <w:t>=</w:t>
                  </w:r>
                  <w:r>
                    <w:rPr>
                      <w:rFonts w:hint="eastAsia"/>
                      <w:color w:val="auto"/>
                      <w:sz w:val="21"/>
                      <w:szCs w:val="21"/>
                      <w:highlight w:val="none"/>
                      <w:lang w:val="en-US" w:eastAsia="zh-CN"/>
                    </w:rPr>
                    <w:t>0.288</w:t>
                  </w:r>
                  <w:r>
                    <w:rPr>
                      <w:rFonts w:hint="eastAsia"/>
                      <w:color w:val="auto"/>
                      <w:sz w:val="21"/>
                      <w:szCs w:val="21"/>
                      <w:highlight w:val="none"/>
                    </w:rPr>
                    <w:t>t/</w:t>
                  </w:r>
                  <w:r>
                    <w:rPr>
                      <w:rFonts w:hint="eastAsia"/>
                      <w:color w:val="auto"/>
                      <w:sz w:val="21"/>
                      <w:szCs w:val="21"/>
                      <w:highlight w:val="none"/>
                      <w:lang w:val="en-US" w:eastAsia="zh-CN"/>
                    </w:rPr>
                    <w:t>a，以上</w:t>
                  </w:r>
                  <w:r>
                    <w:rPr>
                      <w:rFonts w:hint="eastAsia"/>
                      <w:color w:val="auto"/>
                      <w:sz w:val="21"/>
                      <w:szCs w:val="21"/>
                      <w:highlight w:val="none"/>
                    </w:rPr>
                    <w:t>合计</w:t>
                  </w:r>
                  <w:r>
                    <w:rPr>
                      <w:rFonts w:hint="eastAsia"/>
                      <w:color w:val="auto"/>
                      <w:sz w:val="21"/>
                      <w:szCs w:val="21"/>
                      <w:highlight w:val="none"/>
                      <w:lang w:val="en-US" w:eastAsia="zh-CN"/>
                    </w:rPr>
                    <w:t>无铬钝化剂用量为=6.912+0.288=7.2</w:t>
                  </w:r>
                  <w:r>
                    <w:rPr>
                      <w:rFonts w:hint="eastAsia"/>
                      <w:color w:val="auto"/>
                      <w:sz w:val="21"/>
                      <w:szCs w:val="21"/>
                      <w:highlight w:val="none"/>
                    </w:rPr>
                    <w:t>t/a</w:t>
                  </w:r>
                  <w:r>
                    <w:rPr>
                      <w:rFonts w:hint="eastAsia"/>
                      <w:color w:val="auto"/>
                      <w:sz w:val="21"/>
                      <w:szCs w:val="21"/>
                      <w:highlight w:val="none"/>
                      <w:lang w:eastAsia="zh-CN"/>
                    </w:rPr>
                    <w:t>。</w:t>
                  </w:r>
                </w:p>
              </w:tc>
            </w:tr>
            <w:tr w14:paraId="662A8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31AB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C30F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48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4556C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317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r w14:paraId="0A792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3" w:hRule="atLeast"/>
                <w:jc w:val="center"/>
              </w:trPr>
              <w:tc>
                <w:tcPr>
                  <w:tcW w:w="5000" w:type="pct"/>
                  <w:gridSpan w:val="9"/>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E4E1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rPr>
                      <w:rFonts w:hint="default" w:ascii="Times New Roman" w:hAnsi="Times New Roman" w:eastAsia="宋体" w:cs="Times New Roman"/>
                      <w:i w:val="0"/>
                      <w:iCs w:val="0"/>
                      <w:color w:val="auto"/>
                      <w:sz w:val="21"/>
                      <w:szCs w:val="21"/>
                      <w:highlight w:val="none"/>
                      <w:u w:val="none"/>
                    </w:rPr>
                  </w:pPr>
                </w:p>
              </w:tc>
            </w:tr>
          </w:tbl>
          <w:p w14:paraId="07849E50">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（2）部分原辅材料理化性质</w:t>
            </w:r>
          </w:p>
          <w:p w14:paraId="206C4E83">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原辅材料性质一览表</w:t>
            </w:r>
          </w:p>
          <w:tbl>
            <w:tblPr>
              <w:tblStyle w:val="39"/>
              <w:tblW w:w="497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8"/>
              <w:gridCol w:w="2227"/>
              <w:gridCol w:w="4975"/>
              <w:gridCol w:w="1160"/>
            </w:tblGrid>
            <w:tr w14:paraId="129761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14" w:type="pct"/>
                  <w:vAlign w:val="center"/>
                </w:tcPr>
                <w:p w14:paraId="688AC2A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名称</w:t>
                  </w:r>
                </w:p>
              </w:tc>
              <w:tc>
                <w:tcPr>
                  <w:tcW w:w="1194" w:type="pct"/>
                  <w:vAlign w:val="center"/>
                </w:tcPr>
                <w:p w14:paraId="74E9E28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成分</w:t>
                  </w:r>
                </w:p>
              </w:tc>
              <w:tc>
                <w:tcPr>
                  <w:tcW w:w="2668" w:type="pct"/>
                  <w:vAlign w:val="center"/>
                </w:tcPr>
                <w:p w14:paraId="1BE530C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理化性质/简介</w:t>
                  </w:r>
                </w:p>
              </w:tc>
              <w:tc>
                <w:tcPr>
                  <w:tcW w:w="622" w:type="pct"/>
                  <w:vAlign w:val="center"/>
                </w:tcPr>
                <w:p w14:paraId="764F8D6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是否危险化学品</w:t>
                  </w:r>
                </w:p>
              </w:tc>
            </w:tr>
            <w:tr w14:paraId="70A1DB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0" w:hRule="atLeast"/>
              </w:trPr>
              <w:tc>
                <w:tcPr>
                  <w:tcW w:w="514" w:type="pct"/>
                  <w:vAlign w:val="center"/>
                </w:tcPr>
                <w:p w14:paraId="1C92D018">
                  <w:pPr>
                    <w:keepNext w:val="0"/>
                    <w:keepLines w:val="0"/>
                    <w:pageBreakBefore w:val="0"/>
                    <w:widowControl/>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天然气</w:t>
                  </w:r>
                </w:p>
              </w:tc>
              <w:tc>
                <w:tcPr>
                  <w:tcW w:w="1194" w:type="pct"/>
                  <w:vAlign w:val="center"/>
                </w:tcPr>
                <w:p w14:paraId="124C3B4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fldChar w:fldCharType="begin"/>
                  </w:r>
                  <w:r>
                    <w:rPr>
                      <w:rFonts w:hint="default" w:ascii="Times New Roman" w:hAnsi="Times New Roman" w:cs="Times New Roman"/>
                      <w:color w:val="auto"/>
                      <w:kern w:val="2"/>
                      <w:highlight w:val="none"/>
                    </w:rPr>
                    <w:instrText xml:space="preserve"> HYPERLINK "https://baike.baidu.com/item/%E7%83%B7%E7%83%83/1138261?fromModule=lemma_inlink" \t "https://baike.baidu.com/item/%E5%A4%A9%E7%84%B6%E6%B0%94/_blank" </w:instrText>
                  </w:r>
                  <w:r>
                    <w:rPr>
                      <w:rFonts w:hint="default" w:ascii="Times New Roman" w:hAnsi="Times New Roman" w:cs="Times New Roman"/>
                      <w:color w:val="auto"/>
                      <w:kern w:val="2"/>
                      <w:highlight w:val="none"/>
                    </w:rPr>
                    <w:fldChar w:fldCharType="separate"/>
                  </w:r>
                  <w:r>
                    <w:rPr>
                      <w:rFonts w:hint="default" w:ascii="Times New Roman" w:hAnsi="Times New Roman" w:cs="Times New Roman"/>
                      <w:color w:val="auto"/>
                      <w:kern w:val="2"/>
                      <w:highlight w:val="none"/>
                    </w:rPr>
                    <w:t>烷烃</w:t>
                  </w:r>
                  <w:r>
                    <w:rPr>
                      <w:rFonts w:hint="default" w:ascii="Times New Roman" w:hAnsi="Times New Roman" w:cs="Times New Roman"/>
                      <w:color w:val="auto"/>
                      <w:kern w:val="2"/>
                      <w:highlight w:val="none"/>
                    </w:rPr>
                    <w:fldChar w:fldCharType="end"/>
                  </w:r>
                </w:p>
                <w:p w14:paraId="2294F64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（以甲烷为主）</w:t>
                  </w:r>
                </w:p>
              </w:tc>
              <w:tc>
                <w:tcPr>
                  <w:tcW w:w="2668" w:type="pct"/>
                  <w:vAlign w:val="center"/>
                </w:tcPr>
                <w:p w14:paraId="2438ACA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不溶于水，密度为0.7174kg/m</w:t>
                  </w:r>
                  <w:r>
                    <w:rPr>
                      <w:rFonts w:hint="default" w:ascii="Times New Roman" w:hAnsi="Times New Roman" w:cs="Times New Roman"/>
                      <w:color w:val="auto"/>
                      <w:kern w:val="2"/>
                      <w:highlight w:val="none"/>
                      <w:vertAlign w:val="superscript"/>
                    </w:rPr>
                    <w:t>3</w:t>
                  </w:r>
                  <w:r>
                    <w:rPr>
                      <w:rFonts w:hint="default" w:ascii="Times New Roman" w:hAnsi="Times New Roman" w:cs="Times New Roman"/>
                      <w:color w:val="auto"/>
                      <w:kern w:val="2"/>
                      <w:highlight w:val="none"/>
                    </w:rPr>
                    <w:t>，相对密度（水）为0.45（液化）燃点（℃）为650，爆炸极限（V%）为5~15。天然气每立方燃烧热值为8000大卡</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8500大卡。每公斤液化气燃烧热值为11000大卡。气态液化气的比重为0.55</w:t>
                  </w:r>
                </w:p>
              </w:tc>
              <w:tc>
                <w:tcPr>
                  <w:tcW w:w="622" w:type="pct"/>
                  <w:vAlign w:val="center"/>
                </w:tcPr>
                <w:p w14:paraId="06E87C2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2935B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14" w:type="pct"/>
                  <w:vAlign w:val="center"/>
                </w:tcPr>
                <w:p w14:paraId="061B4B56">
                  <w:pPr>
                    <w:keepNext w:val="0"/>
                    <w:keepLines w:val="0"/>
                    <w:pageBreakBefore w:val="0"/>
                    <w:widowControl/>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碱性除油剂</w:t>
                  </w:r>
                </w:p>
              </w:tc>
              <w:tc>
                <w:tcPr>
                  <w:tcW w:w="1194" w:type="pct"/>
                  <w:vAlign w:val="center"/>
                </w:tcPr>
                <w:p w14:paraId="7CC7D62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表面活性剂5%</w:t>
                  </w:r>
                </w:p>
                <w:p w14:paraId="70C4742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烷基磺酸钠15%</w:t>
                  </w:r>
                </w:p>
                <w:p w14:paraId="33CA3E9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缓蚀剂5%</w:t>
                  </w:r>
                </w:p>
                <w:p w14:paraId="5E2828D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水75%</w:t>
                  </w:r>
                </w:p>
              </w:tc>
              <w:tc>
                <w:tcPr>
                  <w:tcW w:w="2668" w:type="pct"/>
                  <w:vAlign w:val="center"/>
                </w:tcPr>
                <w:p w14:paraId="3189BC0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一种用于去除油污的化学制剂，通常由助洗剂和表面活性剂制成。油脂与氢氧化钠和碱性强的盐类作用生成可溶性的皂类和甘油，这种皂化作用可以除去动、植物油类；表面活性剂</w:t>
                  </w:r>
                  <w:r>
                    <w:rPr>
                      <w:rFonts w:hint="default" w:ascii="Times New Roman" w:hAnsi="Times New Roman" w:cs="Times New Roman"/>
                      <w:color w:val="auto"/>
                      <w:kern w:val="2"/>
                      <w:highlight w:val="none"/>
                      <w:lang w:eastAsia="zh-CN"/>
                    </w:rPr>
                    <w:t>的</w:t>
                  </w:r>
                  <w:r>
                    <w:rPr>
                      <w:rFonts w:hint="default" w:ascii="Times New Roman" w:hAnsi="Times New Roman" w:cs="Times New Roman"/>
                      <w:color w:val="auto"/>
                      <w:kern w:val="2"/>
                      <w:highlight w:val="none"/>
                    </w:rPr>
                    <w:t>选择主要考虑其对油污的吸附性、渗透性、润湿性、乳化性、分散性等</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对于直链表面活性剂（如RCOONa、ROSO</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Na、RSO</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Na等），其表面活性随碳链增加而提高</w:t>
                  </w:r>
                </w:p>
              </w:tc>
              <w:tc>
                <w:tcPr>
                  <w:tcW w:w="622" w:type="pct"/>
                  <w:vAlign w:val="center"/>
                </w:tcPr>
                <w:p w14:paraId="376AFBB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r w14:paraId="1384AE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8" w:hRule="atLeast"/>
              </w:trPr>
              <w:tc>
                <w:tcPr>
                  <w:tcW w:w="514" w:type="pct"/>
                  <w:vAlign w:val="center"/>
                </w:tcPr>
                <w:p w14:paraId="4743F744">
                  <w:pPr>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无铬钝化剂</w:t>
                  </w:r>
                </w:p>
              </w:tc>
              <w:tc>
                <w:tcPr>
                  <w:tcW w:w="1194" w:type="pct"/>
                  <w:vAlign w:val="center"/>
                </w:tcPr>
                <w:p w14:paraId="3823C09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氟锆酸5~10%</w:t>
                  </w:r>
                </w:p>
                <w:p w14:paraId="0ABED56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氟钛酸5~10%</w:t>
                  </w:r>
                </w:p>
                <w:p w14:paraId="13B29C0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环氧改性丙烯酸树脂15~20%</w:t>
                  </w:r>
                </w:p>
                <w:p w14:paraId="0462331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一水合柠檬酸45~55%</w:t>
                  </w:r>
                </w:p>
              </w:tc>
              <w:tc>
                <w:tcPr>
                  <w:tcW w:w="2668" w:type="pct"/>
                  <w:vAlign w:val="center"/>
                </w:tcPr>
                <w:p w14:paraId="47D5B8A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可以在铝表面形成一层无色的耐腐蚀钝化层，能为后续的涂装层提供良好的结合力。本项目使用的无铬钝化剂主要有害成分为氟锆酸，氟钛酸</w:t>
                  </w:r>
                </w:p>
              </w:tc>
              <w:tc>
                <w:tcPr>
                  <w:tcW w:w="622" w:type="pct"/>
                  <w:vAlign w:val="center"/>
                </w:tcPr>
                <w:p w14:paraId="2CE2052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121172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5" w:hRule="atLeast"/>
              </w:trPr>
              <w:tc>
                <w:tcPr>
                  <w:tcW w:w="514" w:type="pct"/>
                  <w:vAlign w:val="center"/>
                </w:tcPr>
                <w:p w14:paraId="6612F1C8">
                  <w:pPr>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pH调整剂（硫酸70%）</w:t>
                  </w:r>
                </w:p>
              </w:tc>
              <w:tc>
                <w:tcPr>
                  <w:tcW w:w="1194" w:type="pct"/>
                  <w:vAlign w:val="center"/>
                </w:tcPr>
                <w:p w14:paraId="2C15411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硫酸70%</w:t>
                  </w:r>
                </w:p>
                <w:p w14:paraId="7EB12F2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水30%</w:t>
                  </w:r>
                </w:p>
              </w:tc>
              <w:tc>
                <w:tcPr>
                  <w:tcW w:w="2668" w:type="pct"/>
                  <w:vAlign w:val="center"/>
                </w:tcPr>
                <w:p w14:paraId="2B6AE48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化学式H</w:t>
                  </w:r>
                  <w:r>
                    <w:rPr>
                      <w:rFonts w:hint="default" w:ascii="Times New Roman" w:hAnsi="Times New Roman" w:cs="Times New Roman"/>
                      <w:color w:val="auto"/>
                      <w:kern w:val="2"/>
                      <w:highlight w:val="none"/>
                      <w:vertAlign w:val="subscript"/>
                    </w:rPr>
                    <w:t>2</w:t>
                  </w:r>
                  <w:r>
                    <w:rPr>
                      <w:rFonts w:hint="default" w:ascii="Times New Roman" w:hAnsi="Times New Roman" w:cs="Times New Roman"/>
                      <w:color w:val="auto"/>
                      <w:kern w:val="2"/>
                      <w:highlight w:val="none"/>
                    </w:rPr>
                    <w:t>SO</w:t>
                  </w:r>
                  <w:r>
                    <w:rPr>
                      <w:rFonts w:hint="default" w:ascii="Times New Roman" w:hAnsi="Times New Roman" w:cs="Times New Roman"/>
                      <w:color w:val="auto"/>
                      <w:kern w:val="2"/>
                      <w:highlight w:val="none"/>
                      <w:vertAlign w:val="subscript"/>
                    </w:rPr>
                    <w:t>4</w:t>
                  </w:r>
                  <w:r>
                    <w:rPr>
                      <w:rFonts w:hint="default" w:ascii="Times New Roman" w:hAnsi="Times New Roman" w:cs="Times New Roman"/>
                      <w:color w:val="auto"/>
                      <w:kern w:val="2"/>
                      <w:highlight w:val="none"/>
                    </w:rPr>
                    <w:t>，是一种活泼的二元无机强酸。无水硫酸为无色油状液体，密度为1.84g/cm</w:t>
                  </w:r>
                  <w:r>
                    <w:rPr>
                      <w:rFonts w:hint="default" w:ascii="Times New Roman" w:hAnsi="Times New Roman" w:cs="Times New Roman"/>
                      <w:color w:val="auto"/>
                      <w:kern w:val="2"/>
                      <w:highlight w:val="none"/>
                      <w:vertAlign w:val="superscript"/>
                    </w:rPr>
                    <w:t>3</w:t>
                  </w:r>
                  <w:r>
                    <w:rPr>
                      <w:rFonts w:hint="default" w:ascii="Times New Roman" w:hAnsi="Times New Roman" w:cs="Times New Roman"/>
                      <w:color w:val="auto"/>
                      <w:kern w:val="2"/>
                      <w:highlight w:val="none"/>
                    </w:rPr>
                    <w:t>，熔点10.4℃，沸点338℃；具有强烈的腐蚀性和氧化性，能和许多金属发生反应，高浓度时有强烈吸水性，可用作脱水剂，碳化含碳水化合物的物质；与水混合时，亦会放出大量热能。</w:t>
                  </w:r>
                </w:p>
              </w:tc>
              <w:tc>
                <w:tcPr>
                  <w:tcW w:w="622" w:type="pct"/>
                  <w:vAlign w:val="center"/>
                </w:tcPr>
                <w:p w14:paraId="537A975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是</w:t>
                  </w:r>
                </w:p>
              </w:tc>
            </w:tr>
            <w:tr w14:paraId="42D2C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6" w:hRule="atLeast"/>
              </w:trPr>
              <w:tc>
                <w:tcPr>
                  <w:tcW w:w="514" w:type="pct"/>
                  <w:vAlign w:val="center"/>
                </w:tcPr>
                <w:p w14:paraId="53929169">
                  <w:pPr>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PAC</w:t>
                  </w:r>
                </w:p>
              </w:tc>
              <w:tc>
                <w:tcPr>
                  <w:tcW w:w="1194" w:type="pct"/>
                  <w:vAlign w:val="center"/>
                </w:tcPr>
                <w:p w14:paraId="0A29E42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聚合氯化铝</w:t>
                  </w:r>
                </w:p>
              </w:tc>
              <w:tc>
                <w:tcPr>
                  <w:tcW w:w="2668" w:type="pct"/>
                  <w:vAlign w:val="center"/>
                </w:tcPr>
                <w:p w14:paraId="257906A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default" w:ascii="Times New Roman" w:hAnsi="Times New Roman" w:cs="Times New Roman"/>
                      <w:color w:val="auto"/>
                      <w:kern w:val="2"/>
                      <w:highlight w:val="none"/>
                      <w:lang w:eastAsia="zh-CN"/>
                    </w:rPr>
                    <w:t>去</w:t>
                  </w:r>
                  <w:r>
                    <w:rPr>
                      <w:rFonts w:hint="default" w:ascii="Times New Roman" w:hAnsi="Times New Roman" w:cs="Times New Roman"/>
                      <w:color w:val="auto"/>
                      <w:kern w:val="2"/>
                      <w:highlight w:val="none"/>
                    </w:rPr>
                    <w:t>除水中色质SS、COD、BOD及砷、汞等重金属离子，该产品广泛用于饮用水、工业用水和污水处理领域</w:t>
                  </w:r>
                </w:p>
              </w:tc>
              <w:tc>
                <w:tcPr>
                  <w:tcW w:w="622" w:type="pct"/>
                  <w:vAlign w:val="center"/>
                </w:tcPr>
                <w:p w14:paraId="13526F1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r w14:paraId="224F68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514" w:type="pct"/>
                  <w:vAlign w:val="center"/>
                </w:tcPr>
                <w:p w14:paraId="671D1592">
                  <w:pPr>
                    <w:keepNext w:val="0"/>
                    <w:keepLines w:val="0"/>
                    <w:pageBreakBefore w:val="0"/>
                    <w:widowControl/>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rPr>
                    <w:t>PAM</w:t>
                  </w:r>
                </w:p>
              </w:tc>
              <w:tc>
                <w:tcPr>
                  <w:tcW w:w="1194" w:type="pct"/>
                  <w:vAlign w:val="center"/>
                </w:tcPr>
                <w:p w14:paraId="5AD6FE5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聚丙烯酰胺</w:t>
                  </w:r>
                </w:p>
              </w:tc>
              <w:tc>
                <w:tcPr>
                  <w:tcW w:w="2668" w:type="pct"/>
                  <w:vAlign w:val="center"/>
                </w:tcPr>
                <w:p w14:paraId="2D33097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聚丙烯酰胺（PAM）是一种线型高分子聚合物，化学式为</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C</w:t>
                  </w:r>
                  <w:r>
                    <w:rPr>
                      <w:rFonts w:hint="default" w:ascii="Times New Roman" w:hAnsi="Times New Roman" w:cs="Times New Roman"/>
                      <w:color w:val="auto"/>
                      <w:kern w:val="2"/>
                      <w:highlight w:val="none"/>
                      <w:vertAlign w:val="subscript"/>
                    </w:rPr>
                    <w:t>3</w:t>
                  </w:r>
                  <w:r>
                    <w:rPr>
                      <w:rFonts w:hint="default" w:ascii="Times New Roman" w:hAnsi="Times New Roman" w:cs="Times New Roman"/>
                      <w:color w:val="auto"/>
                      <w:kern w:val="2"/>
                      <w:highlight w:val="none"/>
                    </w:rPr>
                    <w:t>H</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NO</w:t>
                  </w:r>
                  <w:r>
                    <w:rPr>
                      <w:rFonts w:hint="default" w:ascii="Times New Roman" w:hAnsi="Times New Roman" w:cs="Times New Roman"/>
                      <w:color w:val="auto"/>
                      <w:kern w:val="2"/>
                      <w:highlight w:val="none"/>
                      <w:lang w:eastAsia="zh-CN"/>
                    </w:rPr>
                    <w:t>）</w:t>
                  </w:r>
                  <w:r>
                    <w:rPr>
                      <w:rFonts w:hint="default" w:ascii="Times New Roman" w:hAnsi="Times New Roman" w:cs="Times New Roman"/>
                      <w:color w:val="auto"/>
                      <w:kern w:val="2"/>
                      <w:highlight w:val="none"/>
                    </w:rPr>
                    <w:t>n。在常温下为坚硬的玻璃态固体，产品有胶液、胶乳和白色粉粒、半透明珠粒和薄片等。热稳定性良好。能以任意比例溶于水，水溶液为均匀透明的液体。长期存放后会因聚合物缓慢</w:t>
                  </w:r>
                  <w:r>
                    <w:rPr>
                      <w:rFonts w:hint="default" w:ascii="Times New Roman" w:hAnsi="Times New Roman" w:cs="Times New Roman"/>
                      <w:color w:val="auto"/>
                      <w:kern w:val="2"/>
                      <w:highlight w:val="none"/>
                      <w:lang w:val="en-US" w:eastAsia="zh-CN"/>
                    </w:rPr>
                    <w:t>地</w:t>
                  </w:r>
                  <w:r>
                    <w:rPr>
                      <w:rFonts w:hint="default" w:ascii="Times New Roman" w:hAnsi="Times New Roman" w:cs="Times New Roman"/>
                      <w:color w:val="auto"/>
                      <w:kern w:val="2"/>
                      <w:highlight w:val="none"/>
                    </w:rPr>
                    <w:t>降解而使溶液粘度下降，特别是在贮运条件较差时更为明显。聚丙烯酰胺可作为润滑剂、悬浮剂、粘土稳定剂、驱油剂、降失水剂和增稠剂使用</w:t>
                  </w:r>
                </w:p>
              </w:tc>
              <w:tc>
                <w:tcPr>
                  <w:tcW w:w="622" w:type="pct"/>
                  <w:vAlign w:val="center"/>
                </w:tcPr>
                <w:p w14:paraId="60A8E62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否</w:t>
                  </w:r>
                </w:p>
              </w:tc>
            </w:tr>
          </w:tbl>
          <w:p w14:paraId="737F729D">
            <w:pPr>
              <w:pStyle w:val="5"/>
              <w:numPr>
                <w:ilvl w:val="3"/>
                <w:numId w:val="0"/>
              </w:numPr>
              <w:suppressLineNumbers w:val="0"/>
              <w:spacing w:before="0" w:beforeAutospacing="0" w:after="0" w:afterAutospacing="0"/>
              <w:ind w:left="-960" w:right="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2B24CC5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45455769">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生产设备一览表</w:t>
            </w:r>
          </w:p>
          <w:tbl>
            <w:tblPr>
              <w:tblStyle w:val="38"/>
              <w:tblW w:w="93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8"/>
              <w:gridCol w:w="3366"/>
              <w:gridCol w:w="1514"/>
              <w:gridCol w:w="638"/>
              <w:gridCol w:w="2110"/>
              <w:gridCol w:w="1056"/>
            </w:tblGrid>
            <w:tr w14:paraId="175FE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03" w:type="pct"/>
                  <w:tcBorders>
                    <w:tl2br w:val="nil"/>
                    <w:tr2bl w:val="nil"/>
                  </w:tcBorders>
                  <w:shd w:val="clear" w:color="auto" w:fill="auto"/>
                  <w:noWrap/>
                  <w:vAlign w:val="center"/>
                </w:tcPr>
                <w:p w14:paraId="1E23D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序号</w:t>
                  </w:r>
                </w:p>
              </w:tc>
              <w:tc>
                <w:tcPr>
                  <w:tcW w:w="729" w:type="pct"/>
                  <w:tcBorders>
                    <w:tl2br w:val="nil"/>
                    <w:tr2bl w:val="nil"/>
                  </w:tcBorders>
                  <w:shd w:val="clear" w:color="auto" w:fill="auto"/>
                  <w:noWrap/>
                  <w:vAlign w:val="center"/>
                </w:tcPr>
                <w:p w14:paraId="1529F5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名称</w:t>
                  </w:r>
                </w:p>
              </w:tc>
              <w:tc>
                <w:tcPr>
                  <w:tcW w:w="1205" w:type="pct"/>
                  <w:tcBorders>
                    <w:tl2br w:val="nil"/>
                    <w:tr2bl w:val="nil"/>
                  </w:tcBorders>
                  <w:shd w:val="clear" w:color="auto" w:fill="auto"/>
                  <w:noWrap/>
                  <w:vAlign w:val="center"/>
                </w:tcPr>
                <w:p w14:paraId="4E1E7F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设备名称</w:t>
                  </w:r>
                </w:p>
              </w:tc>
              <w:tc>
                <w:tcPr>
                  <w:tcW w:w="504" w:type="pct"/>
                  <w:tcBorders>
                    <w:tl2br w:val="nil"/>
                    <w:tr2bl w:val="nil"/>
                  </w:tcBorders>
                  <w:shd w:val="clear" w:color="auto" w:fill="auto"/>
                  <w:noWrap/>
                  <w:vAlign w:val="center"/>
                </w:tcPr>
                <w:p w14:paraId="03FD0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数量</w:t>
                  </w:r>
                </w:p>
              </w:tc>
              <w:tc>
                <w:tcPr>
                  <w:tcW w:w="1423" w:type="pct"/>
                  <w:tcBorders>
                    <w:tl2br w:val="nil"/>
                    <w:tr2bl w:val="nil"/>
                  </w:tcBorders>
                  <w:shd w:val="clear" w:color="auto" w:fill="auto"/>
                  <w:noWrap/>
                  <w:vAlign w:val="center"/>
                </w:tcPr>
                <w:p w14:paraId="2CE4F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规格型号</w:t>
                  </w:r>
                </w:p>
              </w:tc>
              <w:tc>
                <w:tcPr>
                  <w:tcW w:w="733" w:type="pct"/>
                  <w:tcBorders>
                    <w:tl2br w:val="nil"/>
                    <w:tr2bl w:val="nil"/>
                  </w:tcBorders>
                  <w:shd w:val="clear" w:color="auto" w:fill="auto"/>
                  <w:noWrap/>
                  <w:vAlign w:val="center"/>
                </w:tcPr>
                <w:p w14:paraId="5C77F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用途</w:t>
                  </w:r>
                </w:p>
              </w:tc>
            </w:tr>
            <w:tr w14:paraId="766194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restart"/>
                  <w:tcBorders>
                    <w:tl2br w:val="nil"/>
                    <w:tr2bl w:val="nil"/>
                  </w:tcBorders>
                  <w:shd w:val="clear" w:color="auto" w:fill="auto"/>
                  <w:noWrap/>
                  <w:vAlign w:val="center"/>
                </w:tcPr>
                <w:p w14:paraId="54289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w:t>
                  </w:r>
                </w:p>
              </w:tc>
              <w:tc>
                <w:tcPr>
                  <w:tcW w:w="729" w:type="pct"/>
                  <w:vMerge w:val="restart"/>
                  <w:tcBorders>
                    <w:tl2br w:val="nil"/>
                    <w:tr2bl w:val="nil"/>
                  </w:tcBorders>
                  <w:shd w:val="clear" w:color="auto" w:fill="auto"/>
                  <w:noWrap/>
                  <w:vAlign w:val="center"/>
                </w:tcPr>
                <w:p w14:paraId="7803AF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铝卷表面预处理生产线</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3#厂房</w:t>
                  </w:r>
                  <w:r>
                    <w:rPr>
                      <w:rFonts w:hint="default" w:ascii="Times New Roman" w:hAnsi="Times New Roman" w:cs="Times New Roman"/>
                      <w:color w:val="auto"/>
                      <w:sz w:val="21"/>
                      <w:szCs w:val="21"/>
                      <w:highlight w:val="none"/>
                      <w:lang w:eastAsia="zh-CN"/>
                    </w:rPr>
                    <w:t>）</w:t>
                  </w:r>
                </w:p>
              </w:tc>
              <w:tc>
                <w:tcPr>
                  <w:tcW w:w="1205" w:type="pct"/>
                  <w:tcBorders>
                    <w:tl2br w:val="nil"/>
                    <w:tr2bl w:val="nil"/>
                  </w:tcBorders>
                  <w:shd w:val="clear" w:color="auto" w:fill="auto"/>
                  <w:noWrap/>
                  <w:vAlign w:val="center"/>
                </w:tcPr>
                <w:p w14:paraId="41B8222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开卷机</w:t>
                  </w:r>
                </w:p>
              </w:tc>
              <w:tc>
                <w:tcPr>
                  <w:tcW w:w="504" w:type="pct"/>
                  <w:tcBorders>
                    <w:tl2br w:val="nil"/>
                    <w:tr2bl w:val="nil"/>
                  </w:tcBorders>
                  <w:shd w:val="clear" w:color="auto" w:fill="auto"/>
                  <w:noWrap/>
                  <w:vAlign w:val="center"/>
                </w:tcPr>
                <w:p w14:paraId="2E44C4E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noWrap/>
                  <w:vAlign w:val="center"/>
                </w:tcPr>
                <w:p w14:paraId="7860BE5B">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3.5m/min</w:t>
                  </w:r>
                </w:p>
              </w:tc>
              <w:tc>
                <w:tcPr>
                  <w:tcW w:w="733" w:type="pct"/>
                  <w:vMerge w:val="restart"/>
                  <w:tcBorders>
                    <w:tl2br w:val="nil"/>
                    <w:tr2bl w:val="nil"/>
                  </w:tcBorders>
                  <w:shd w:val="clear" w:color="auto" w:fill="auto"/>
                  <w:noWrap/>
                  <w:vAlign w:val="center"/>
                </w:tcPr>
                <w:p w14:paraId="02AB5F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动力</w:t>
                  </w:r>
                  <w:r>
                    <w:rPr>
                      <w:rFonts w:hint="eastAsia" w:cs="Times New Roman"/>
                      <w:color w:val="auto"/>
                      <w:sz w:val="21"/>
                      <w:szCs w:val="21"/>
                      <w:highlight w:val="none"/>
                      <w:lang w:eastAsia="zh-CN"/>
                    </w:rPr>
                    <w:t>系统</w:t>
                  </w:r>
                </w:p>
              </w:tc>
            </w:tr>
            <w:tr w14:paraId="0EFA1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259D2FB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0CA17E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noWrap/>
                  <w:vAlign w:val="center"/>
                </w:tcPr>
                <w:p w14:paraId="2EA99FE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牵引机</w:t>
                  </w:r>
                </w:p>
              </w:tc>
              <w:tc>
                <w:tcPr>
                  <w:tcW w:w="504" w:type="pct"/>
                  <w:tcBorders>
                    <w:tl2br w:val="nil"/>
                    <w:tr2bl w:val="nil"/>
                  </w:tcBorders>
                  <w:shd w:val="clear" w:color="auto" w:fill="auto"/>
                  <w:noWrap/>
                  <w:vAlign w:val="center"/>
                </w:tcPr>
                <w:p w14:paraId="6C22DB5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noWrap/>
                  <w:vAlign w:val="center"/>
                </w:tcPr>
                <w:p w14:paraId="6490C04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3.5m/min</w:t>
                  </w:r>
                </w:p>
              </w:tc>
              <w:tc>
                <w:tcPr>
                  <w:tcW w:w="733" w:type="pct"/>
                  <w:vMerge w:val="continue"/>
                  <w:tcBorders>
                    <w:tl2br w:val="nil"/>
                    <w:tr2bl w:val="nil"/>
                  </w:tcBorders>
                  <w:shd w:val="clear" w:color="auto" w:fill="auto"/>
                  <w:noWrap/>
                  <w:vAlign w:val="center"/>
                </w:tcPr>
                <w:p w14:paraId="69A017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B70A5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12A1B7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5B7E35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0D25277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bidi="ar"/>
                    </w:rPr>
                    <w:t>水洗池1</w:t>
                  </w:r>
                </w:p>
              </w:tc>
              <w:tc>
                <w:tcPr>
                  <w:tcW w:w="504" w:type="pct"/>
                  <w:tcBorders>
                    <w:tl2br w:val="nil"/>
                    <w:tr2bl w:val="nil"/>
                  </w:tcBorders>
                  <w:shd w:val="clear" w:color="auto" w:fill="auto"/>
                  <w:vAlign w:val="center"/>
                </w:tcPr>
                <w:p w14:paraId="2916690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20FC102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2.5m×2m×1m</w:t>
                  </w:r>
                </w:p>
              </w:tc>
              <w:tc>
                <w:tcPr>
                  <w:tcW w:w="733" w:type="pct"/>
                  <w:vMerge w:val="restart"/>
                  <w:tcBorders>
                    <w:tl2br w:val="nil"/>
                    <w:tr2bl w:val="nil"/>
                  </w:tcBorders>
                  <w:shd w:val="clear" w:color="auto" w:fill="auto"/>
                  <w:noWrap/>
                  <w:vAlign w:val="center"/>
                </w:tcPr>
                <w:p w14:paraId="5D299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清洗</w:t>
                  </w:r>
                </w:p>
              </w:tc>
            </w:tr>
            <w:tr w14:paraId="022ED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7B94D5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EBCAB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18CD2BF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eastAsia"/>
                      <w:color w:val="auto"/>
                      <w:sz w:val="21"/>
                      <w:szCs w:val="21"/>
                      <w:highlight w:val="none"/>
                      <w:lang w:bidi="ar"/>
                    </w:rPr>
                    <w:t>水洗池2</w:t>
                  </w:r>
                </w:p>
              </w:tc>
              <w:tc>
                <w:tcPr>
                  <w:tcW w:w="504" w:type="pct"/>
                  <w:tcBorders>
                    <w:tl2br w:val="nil"/>
                    <w:tr2bl w:val="nil"/>
                  </w:tcBorders>
                  <w:shd w:val="clear" w:color="auto" w:fill="auto"/>
                  <w:vAlign w:val="center"/>
                </w:tcPr>
                <w:p w14:paraId="6B32102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4A48A49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3m×2m×1m</w:t>
                  </w:r>
                </w:p>
              </w:tc>
              <w:tc>
                <w:tcPr>
                  <w:tcW w:w="733" w:type="pct"/>
                  <w:vMerge w:val="continue"/>
                  <w:tcBorders>
                    <w:tl2br w:val="nil"/>
                    <w:tr2bl w:val="nil"/>
                  </w:tcBorders>
                  <w:shd w:val="clear" w:color="auto" w:fill="auto"/>
                  <w:noWrap/>
                  <w:vAlign w:val="center"/>
                </w:tcPr>
                <w:p w14:paraId="65DBB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700FD8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77FFF93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32C7E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39A7E07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bidi="ar"/>
                    </w:rPr>
                    <w:t>水洗池3</w:t>
                  </w:r>
                </w:p>
              </w:tc>
              <w:tc>
                <w:tcPr>
                  <w:tcW w:w="504" w:type="pct"/>
                  <w:tcBorders>
                    <w:tl2br w:val="nil"/>
                    <w:tr2bl w:val="nil"/>
                  </w:tcBorders>
                  <w:shd w:val="clear" w:color="auto" w:fill="auto"/>
                  <w:vAlign w:val="center"/>
                </w:tcPr>
                <w:p w14:paraId="1BDE197A">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1BC2056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3m×2m×1m</w:t>
                  </w:r>
                </w:p>
              </w:tc>
              <w:tc>
                <w:tcPr>
                  <w:tcW w:w="733" w:type="pct"/>
                  <w:vMerge w:val="continue"/>
                  <w:tcBorders>
                    <w:tl2br w:val="nil"/>
                    <w:tr2bl w:val="nil"/>
                  </w:tcBorders>
                  <w:shd w:val="clear" w:color="auto" w:fill="auto"/>
                  <w:noWrap/>
                  <w:vAlign w:val="center"/>
                </w:tcPr>
                <w:p w14:paraId="0FC493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0DE10F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09F328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61B7B2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1533769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eastAsia"/>
                      <w:color w:val="auto"/>
                      <w:sz w:val="21"/>
                      <w:szCs w:val="21"/>
                      <w:highlight w:val="none"/>
                      <w:lang w:bidi="ar"/>
                    </w:rPr>
                    <w:t>水洗池4</w:t>
                  </w:r>
                </w:p>
              </w:tc>
              <w:tc>
                <w:tcPr>
                  <w:tcW w:w="504" w:type="pct"/>
                  <w:tcBorders>
                    <w:tl2br w:val="nil"/>
                    <w:tr2bl w:val="nil"/>
                  </w:tcBorders>
                  <w:shd w:val="clear" w:color="auto" w:fill="auto"/>
                  <w:vAlign w:val="center"/>
                </w:tcPr>
                <w:p w14:paraId="52C73CD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1D72475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3m×2m×1m</w:t>
                  </w:r>
                </w:p>
              </w:tc>
              <w:tc>
                <w:tcPr>
                  <w:tcW w:w="733" w:type="pct"/>
                  <w:vMerge w:val="continue"/>
                  <w:tcBorders>
                    <w:tl2br w:val="nil"/>
                    <w:tr2bl w:val="nil"/>
                  </w:tcBorders>
                  <w:shd w:val="clear" w:color="auto" w:fill="auto"/>
                  <w:noWrap/>
                  <w:vAlign w:val="center"/>
                </w:tcPr>
                <w:p w14:paraId="0466BB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5C352D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41AE2D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720994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0C889301">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预除油池</w:t>
                  </w:r>
                </w:p>
              </w:tc>
              <w:tc>
                <w:tcPr>
                  <w:tcW w:w="504" w:type="pct"/>
                  <w:tcBorders>
                    <w:tl2br w:val="nil"/>
                    <w:tr2bl w:val="nil"/>
                  </w:tcBorders>
                  <w:shd w:val="clear" w:color="auto" w:fill="auto"/>
                  <w:vAlign w:val="center"/>
                </w:tcPr>
                <w:p w14:paraId="0E026B18">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5B1A49B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6m×2m×1m</w:t>
                  </w:r>
                </w:p>
              </w:tc>
              <w:tc>
                <w:tcPr>
                  <w:tcW w:w="733" w:type="pct"/>
                  <w:vMerge w:val="continue"/>
                  <w:tcBorders>
                    <w:tl2br w:val="nil"/>
                    <w:tr2bl w:val="nil"/>
                  </w:tcBorders>
                  <w:shd w:val="clear" w:color="auto" w:fill="auto"/>
                  <w:noWrap/>
                  <w:vAlign w:val="center"/>
                </w:tcPr>
                <w:p w14:paraId="0A6C60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627989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410C63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528C9D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538FD9C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bidi="ar"/>
                    </w:rPr>
                    <w:t>主除油池</w:t>
                  </w:r>
                </w:p>
              </w:tc>
              <w:tc>
                <w:tcPr>
                  <w:tcW w:w="504" w:type="pct"/>
                  <w:tcBorders>
                    <w:tl2br w:val="nil"/>
                    <w:tr2bl w:val="nil"/>
                  </w:tcBorders>
                  <w:shd w:val="clear" w:color="auto" w:fill="auto"/>
                  <w:vAlign w:val="center"/>
                </w:tcPr>
                <w:p w14:paraId="7953AAB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197B05AF">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6m×2m×1m</w:t>
                  </w:r>
                </w:p>
              </w:tc>
              <w:tc>
                <w:tcPr>
                  <w:tcW w:w="733" w:type="pct"/>
                  <w:vMerge w:val="continue"/>
                  <w:tcBorders>
                    <w:tl2br w:val="nil"/>
                    <w:tr2bl w:val="nil"/>
                  </w:tcBorders>
                  <w:shd w:val="clear" w:color="auto" w:fill="auto"/>
                  <w:noWrap/>
                  <w:vAlign w:val="center"/>
                </w:tcPr>
                <w:p w14:paraId="3B790F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55E3BB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62D36E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019A8C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42103E4C">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eastAsia"/>
                      <w:color w:val="auto"/>
                      <w:sz w:val="21"/>
                      <w:szCs w:val="21"/>
                      <w:highlight w:val="none"/>
                      <w:lang w:bidi="ar"/>
                    </w:rPr>
                    <w:t>无铬钝化池</w:t>
                  </w:r>
                </w:p>
              </w:tc>
              <w:tc>
                <w:tcPr>
                  <w:tcW w:w="504" w:type="pct"/>
                  <w:tcBorders>
                    <w:tl2br w:val="nil"/>
                    <w:tr2bl w:val="nil"/>
                  </w:tcBorders>
                  <w:shd w:val="clear" w:color="auto" w:fill="auto"/>
                  <w:vAlign w:val="center"/>
                </w:tcPr>
                <w:p w14:paraId="1AB660D3">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座</w:t>
                  </w:r>
                </w:p>
              </w:tc>
              <w:tc>
                <w:tcPr>
                  <w:tcW w:w="1423" w:type="pct"/>
                  <w:tcBorders>
                    <w:tl2br w:val="nil"/>
                    <w:tr2bl w:val="nil"/>
                  </w:tcBorders>
                  <w:shd w:val="clear" w:color="auto" w:fill="auto"/>
                  <w:noWrap/>
                  <w:vAlign w:val="center"/>
                </w:tcPr>
                <w:p w14:paraId="76B5106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4.5m×2m×1m</w:t>
                  </w:r>
                </w:p>
              </w:tc>
              <w:tc>
                <w:tcPr>
                  <w:tcW w:w="733" w:type="pct"/>
                  <w:vMerge w:val="continue"/>
                  <w:tcBorders>
                    <w:tl2br w:val="nil"/>
                    <w:tr2bl w:val="nil"/>
                  </w:tcBorders>
                  <w:shd w:val="clear" w:color="auto" w:fill="auto"/>
                  <w:noWrap/>
                  <w:vAlign w:val="center"/>
                </w:tcPr>
                <w:p w14:paraId="1AB1D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557D4B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1" w:hRule="atLeast"/>
                <w:jc w:val="center"/>
              </w:trPr>
              <w:tc>
                <w:tcPr>
                  <w:tcW w:w="403" w:type="pct"/>
                  <w:vMerge w:val="continue"/>
                  <w:tcBorders>
                    <w:tl2br w:val="nil"/>
                    <w:tr2bl w:val="nil"/>
                  </w:tcBorders>
                  <w:shd w:val="clear" w:color="auto" w:fill="auto"/>
                  <w:noWrap/>
                  <w:vAlign w:val="center"/>
                </w:tcPr>
                <w:p w14:paraId="25C3A1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384B4F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20AFA2F5">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Fonts w:hint="eastAsia"/>
                      <w:color w:val="auto"/>
                      <w:sz w:val="21"/>
                      <w:szCs w:val="21"/>
                      <w:highlight w:val="none"/>
                      <w:lang w:bidi="ar"/>
                    </w:rPr>
                    <w:t>烘水通道</w:t>
                  </w:r>
                </w:p>
              </w:tc>
              <w:tc>
                <w:tcPr>
                  <w:tcW w:w="504" w:type="pct"/>
                  <w:tcBorders>
                    <w:tl2br w:val="nil"/>
                    <w:tr2bl w:val="nil"/>
                  </w:tcBorders>
                  <w:shd w:val="clear" w:color="auto" w:fill="auto"/>
                  <w:vAlign w:val="center"/>
                </w:tcPr>
                <w:p w14:paraId="0702410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rPr>
                    <w:t>条</w:t>
                  </w:r>
                </w:p>
              </w:tc>
              <w:tc>
                <w:tcPr>
                  <w:tcW w:w="1423" w:type="pct"/>
                  <w:tcBorders>
                    <w:tl2br w:val="nil"/>
                    <w:tr2bl w:val="nil"/>
                  </w:tcBorders>
                  <w:shd w:val="clear" w:color="auto" w:fill="auto"/>
                  <w:noWrap/>
                  <w:vAlign w:val="center"/>
                </w:tcPr>
                <w:p w14:paraId="2D4A1B5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35m×2m×3.5m</w:t>
                  </w:r>
                </w:p>
              </w:tc>
              <w:tc>
                <w:tcPr>
                  <w:tcW w:w="733" w:type="pct"/>
                  <w:vMerge w:val="restart"/>
                  <w:tcBorders>
                    <w:tl2br w:val="nil"/>
                    <w:tr2bl w:val="nil"/>
                  </w:tcBorders>
                  <w:shd w:val="clear" w:color="auto" w:fill="auto"/>
                  <w:noWrap/>
                  <w:vAlign w:val="center"/>
                </w:tcPr>
                <w:p w14:paraId="38448E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烘干</w:t>
                  </w:r>
                </w:p>
              </w:tc>
            </w:tr>
            <w:tr w14:paraId="62121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03" w:type="pct"/>
                  <w:vMerge w:val="continue"/>
                  <w:tcBorders>
                    <w:tl2br w:val="nil"/>
                    <w:tr2bl w:val="nil"/>
                  </w:tcBorders>
                  <w:shd w:val="clear" w:color="auto" w:fill="auto"/>
                  <w:noWrap/>
                  <w:vAlign w:val="center"/>
                </w:tcPr>
                <w:p w14:paraId="5C94CAC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2D4B09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5D3A99F9">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eastAsia"/>
                      <w:color w:val="auto"/>
                      <w:sz w:val="21"/>
                      <w:szCs w:val="21"/>
                      <w:highlight w:val="none"/>
                    </w:rPr>
                  </w:pPr>
                  <w:r>
                    <w:rPr>
                      <w:rFonts w:hint="eastAsia"/>
                      <w:color w:val="auto"/>
                      <w:sz w:val="21"/>
                      <w:szCs w:val="21"/>
                      <w:highlight w:val="none"/>
                    </w:rPr>
                    <w:t>烘水炉燃烧机：20万大卡/小时/套</w:t>
                  </w:r>
                </w:p>
                <w:p w14:paraId="26888956">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lang w:bidi="ar"/>
                    </w:rPr>
                  </w:pPr>
                  <w:r>
                    <w:rPr>
                      <w:rStyle w:val="77"/>
                      <w:color w:val="auto"/>
                      <w:highlight w:val="none"/>
                      <w:lang w:bidi="ar"/>
                    </w:rPr>
                    <w:t>（燃气热风循环式烤炉）</w:t>
                  </w:r>
                </w:p>
              </w:tc>
              <w:tc>
                <w:tcPr>
                  <w:tcW w:w="504" w:type="pct"/>
                  <w:tcBorders>
                    <w:tl2br w:val="nil"/>
                    <w:tr2bl w:val="nil"/>
                  </w:tcBorders>
                  <w:shd w:val="clear" w:color="auto" w:fill="auto"/>
                  <w:vAlign w:val="center"/>
                </w:tcPr>
                <w:p w14:paraId="2A74E64E">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lang w:eastAsia="zh-CN"/>
                    </w:rPr>
                    <w:t>台</w:t>
                  </w:r>
                </w:p>
              </w:tc>
              <w:tc>
                <w:tcPr>
                  <w:tcW w:w="1423" w:type="pct"/>
                  <w:tcBorders>
                    <w:tl2br w:val="nil"/>
                    <w:tr2bl w:val="nil"/>
                  </w:tcBorders>
                  <w:shd w:val="clear" w:color="auto" w:fill="auto"/>
                  <w:noWrap/>
                  <w:vAlign w:val="center"/>
                </w:tcPr>
                <w:p w14:paraId="674C02C0">
                  <w:pPr>
                    <w:keepNext w:val="0"/>
                    <w:keepLines w:val="0"/>
                    <w:pageBreakBefore w:val="0"/>
                    <w:widowControl/>
                    <w:suppressLineNumbers w:val="0"/>
                    <w:kinsoku/>
                    <w:wordWrap w:val="0"/>
                    <w:overflowPunct/>
                    <w:topLinePunct/>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20万大卡/小时</w:t>
                  </w:r>
                </w:p>
              </w:tc>
              <w:tc>
                <w:tcPr>
                  <w:tcW w:w="733" w:type="pct"/>
                  <w:vMerge w:val="continue"/>
                  <w:tcBorders>
                    <w:tl2br w:val="nil"/>
                    <w:tr2bl w:val="nil"/>
                  </w:tcBorders>
                  <w:shd w:val="clear" w:color="auto" w:fill="auto"/>
                  <w:noWrap/>
                  <w:vAlign w:val="center"/>
                </w:tcPr>
                <w:p w14:paraId="5264EC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246FA2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restart"/>
                  <w:tcBorders>
                    <w:tl2br w:val="nil"/>
                    <w:tr2bl w:val="nil"/>
                  </w:tcBorders>
                  <w:shd w:val="clear" w:color="auto" w:fill="auto"/>
                  <w:noWrap/>
                  <w:vAlign w:val="center"/>
                </w:tcPr>
                <w:p w14:paraId="4E0F0C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729" w:type="pct"/>
                  <w:vMerge w:val="restart"/>
                  <w:tcBorders>
                    <w:tl2br w:val="nil"/>
                    <w:tr2bl w:val="nil"/>
                  </w:tcBorders>
                  <w:shd w:val="clear" w:color="auto" w:fill="auto"/>
                  <w:noWrap/>
                  <w:vAlign w:val="center"/>
                </w:tcPr>
                <w:p w14:paraId="57421F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w:t>
                  </w:r>
                  <w:r>
                    <w:rPr>
                      <w:rFonts w:hint="eastAsia" w:cs="Times New Roman"/>
                      <w:color w:val="auto"/>
                      <w:sz w:val="21"/>
                      <w:szCs w:val="21"/>
                      <w:highlight w:val="none"/>
                      <w:lang w:eastAsia="zh-CN"/>
                    </w:rPr>
                    <w:t>机</w:t>
                  </w:r>
                  <w:r>
                    <w:rPr>
                      <w:rFonts w:hint="default" w:ascii="Times New Roman" w:hAnsi="Times New Roman" w:cs="Times New Roman"/>
                      <w:color w:val="auto"/>
                      <w:sz w:val="21"/>
                      <w:szCs w:val="21"/>
                      <w:highlight w:val="none"/>
                    </w:rPr>
                    <w:t>加工车间</w:t>
                  </w:r>
                </w:p>
                <w:p w14:paraId="46A0DA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#厂房</w:t>
                  </w:r>
                  <w:r>
                    <w:rPr>
                      <w:rFonts w:hint="default" w:ascii="Times New Roman" w:hAnsi="Times New Roman" w:cs="Times New Roman"/>
                      <w:color w:val="auto"/>
                      <w:sz w:val="21"/>
                      <w:szCs w:val="21"/>
                      <w:highlight w:val="none"/>
                      <w:lang w:eastAsia="zh-CN"/>
                    </w:rPr>
                    <w:t>）</w:t>
                  </w:r>
                </w:p>
              </w:tc>
              <w:tc>
                <w:tcPr>
                  <w:tcW w:w="1205" w:type="pct"/>
                  <w:tcBorders>
                    <w:tl2br w:val="nil"/>
                    <w:tr2bl w:val="nil"/>
                  </w:tcBorders>
                  <w:shd w:val="clear" w:color="auto" w:fill="auto"/>
                  <w:vAlign w:val="center"/>
                </w:tcPr>
                <w:p w14:paraId="61A2AD7A">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电液全数控折弯机</w:t>
                  </w:r>
                </w:p>
              </w:tc>
              <w:tc>
                <w:tcPr>
                  <w:tcW w:w="504" w:type="pct"/>
                  <w:tcBorders>
                    <w:tl2br w:val="nil"/>
                    <w:tr2bl w:val="nil"/>
                  </w:tcBorders>
                  <w:shd w:val="clear" w:color="auto" w:fill="auto"/>
                  <w:vAlign w:val="center"/>
                </w:tcPr>
                <w:p w14:paraId="78F64C0F">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vAlign w:val="center"/>
                </w:tcPr>
                <w:p w14:paraId="2EDD4E6A">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RGM2-3512</w:t>
                  </w:r>
                </w:p>
              </w:tc>
              <w:tc>
                <w:tcPr>
                  <w:tcW w:w="733" w:type="pct"/>
                  <w:tcBorders>
                    <w:tl2br w:val="nil"/>
                    <w:tr2bl w:val="nil"/>
                  </w:tcBorders>
                  <w:shd w:val="clear" w:color="auto" w:fill="auto"/>
                  <w:noWrap/>
                  <w:vAlign w:val="center"/>
                </w:tcPr>
                <w:p w14:paraId="4C1A6B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折弯</w:t>
                  </w:r>
                </w:p>
              </w:tc>
            </w:tr>
            <w:tr w14:paraId="2BE2A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62886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5FF87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34C40BA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冲床自动化设备</w:t>
                  </w:r>
                </w:p>
              </w:tc>
              <w:tc>
                <w:tcPr>
                  <w:tcW w:w="504" w:type="pct"/>
                  <w:tcBorders>
                    <w:tl2br w:val="nil"/>
                    <w:tr2bl w:val="nil"/>
                  </w:tcBorders>
                  <w:shd w:val="clear" w:color="auto" w:fill="auto"/>
                  <w:vAlign w:val="center"/>
                </w:tcPr>
                <w:p w14:paraId="4FCAD0D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vAlign w:val="center"/>
                </w:tcPr>
                <w:p w14:paraId="67266CCB">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NCF-700</w:t>
                  </w:r>
                </w:p>
              </w:tc>
              <w:tc>
                <w:tcPr>
                  <w:tcW w:w="733" w:type="pct"/>
                  <w:tcBorders>
                    <w:tl2br w:val="nil"/>
                    <w:tr2bl w:val="nil"/>
                  </w:tcBorders>
                  <w:shd w:val="clear" w:color="auto" w:fill="auto"/>
                  <w:noWrap/>
                  <w:vAlign w:val="center"/>
                </w:tcPr>
                <w:p w14:paraId="150D56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冲压</w:t>
                  </w:r>
                </w:p>
              </w:tc>
            </w:tr>
            <w:tr w14:paraId="4CC46B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403" w:type="pct"/>
                  <w:vMerge w:val="continue"/>
                  <w:tcBorders>
                    <w:tl2br w:val="nil"/>
                    <w:tr2bl w:val="nil"/>
                  </w:tcBorders>
                  <w:shd w:val="clear" w:color="auto" w:fill="auto"/>
                  <w:noWrap/>
                  <w:vAlign w:val="center"/>
                </w:tcPr>
                <w:p w14:paraId="749320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4D32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47891C22">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氩弧焊机</w:t>
                  </w:r>
                </w:p>
              </w:tc>
              <w:tc>
                <w:tcPr>
                  <w:tcW w:w="504" w:type="pct"/>
                  <w:tcBorders>
                    <w:tl2br w:val="nil"/>
                    <w:tr2bl w:val="nil"/>
                  </w:tcBorders>
                  <w:shd w:val="clear" w:color="auto" w:fill="auto"/>
                  <w:vAlign w:val="center"/>
                </w:tcPr>
                <w:p w14:paraId="681784DF">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vAlign w:val="center"/>
                </w:tcPr>
                <w:p w14:paraId="323FC6B9">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WSE-250P-1~8</w:t>
                  </w:r>
                </w:p>
              </w:tc>
              <w:tc>
                <w:tcPr>
                  <w:tcW w:w="733" w:type="pct"/>
                  <w:vMerge w:val="restart"/>
                  <w:tcBorders>
                    <w:tl2br w:val="nil"/>
                    <w:tr2bl w:val="nil"/>
                  </w:tcBorders>
                  <w:shd w:val="clear" w:color="auto" w:fill="auto"/>
                  <w:noWrap/>
                  <w:vAlign w:val="center"/>
                </w:tcPr>
                <w:p w14:paraId="33311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焊接</w:t>
                  </w:r>
                </w:p>
              </w:tc>
            </w:tr>
            <w:tr w14:paraId="09B216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375D06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738264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605BE8E2">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手持式激光焊机</w:t>
                  </w:r>
                </w:p>
              </w:tc>
              <w:tc>
                <w:tcPr>
                  <w:tcW w:w="504" w:type="pct"/>
                  <w:tcBorders>
                    <w:tl2br w:val="nil"/>
                    <w:tr2bl w:val="nil"/>
                  </w:tcBorders>
                  <w:shd w:val="clear" w:color="auto" w:fill="auto"/>
                  <w:vAlign w:val="center"/>
                </w:tcPr>
                <w:p w14:paraId="3EAA3F57">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vAlign w:val="center"/>
                </w:tcPr>
                <w:p w14:paraId="700B4CC2">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86"/>
                      <w:rFonts w:hint="eastAsia"/>
                      <w:color w:val="auto"/>
                      <w:sz w:val="21"/>
                      <w:szCs w:val="21"/>
                      <w:highlight w:val="none"/>
                    </w:rPr>
                    <w:t>DNP-CW-1500-CX</w:t>
                  </w:r>
                </w:p>
              </w:tc>
              <w:tc>
                <w:tcPr>
                  <w:tcW w:w="733" w:type="pct"/>
                  <w:vMerge w:val="continue"/>
                  <w:tcBorders>
                    <w:tl2br w:val="nil"/>
                    <w:tr2bl w:val="nil"/>
                  </w:tcBorders>
                  <w:shd w:val="clear" w:color="auto" w:fill="auto"/>
                  <w:noWrap/>
                  <w:vAlign w:val="center"/>
                </w:tcPr>
                <w:p w14:paraId="7B0A6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r>
            <w:tr w14:paraId="762A6D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3" w:hRule="atLeast"/>
                <w:jc w:val="center"/>
              </w:trPr>
              <w:tc>
                <w:tcPr>
                  <w:tcW w:w="403" w:type="pct"/>
                  <w:vMerge w:val="continue"/>
                  <w:tcBorders>
                    <w:tl2br w:val="nil"/>
                    <w:tr2bl w:val="nil"/>
                  </w:tcBorders>
                  <w:shd w:val="clear" w:color="auto" w:fill="auto"/>
                  <w:noWrap/>
                  <w:vAlign w:val="center"/>
                </w:tcPr>
                <w:p w14:paraId="40203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53BCB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2DE166C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角磨机</w:t>
                  </w:r>
                </w:p>
              </w:tc>
              <w:tc>
                <w:tcPr>
                  <w:tcW w:w="504" w:type="pct"/>
                  <w:tcBorders>
                    <w:tl2br w:val="nil"/>
                    <w:tr2bl w:val="nil"/>
                  </w:tcBorders>
                  <w:shd w:val="clear" w:color="auto" w:fill="auto"/>
                  <w:vAlign w:val="center"/>
                </w:tcPr>
                <w:p w14:paraId="29894E7A">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w:t>
                  </w:r>
                  <w:r>
                    <w:rPr>
                      <w:rFonts w:hint="eastAsia"/>
                      <w:color w:val="auto"/>
                      <w:sz w:val="21"/>
                      <w:szCs w:val="21"/>
                      <w:highlight w:val="none"/>
                    </w:rPr>
                    <w:t>台</w:t>
                  </w:r>
                </w:p>
              </w:tc>
              <w:tc>
                <w:tcPr>
                  <w:tcW w:w="1423" w:type="pct"/>
                  <w:tcBorders>
                    <w:tl2br w:val="nil"/>
                    <w:tr2bl w:val="nil"/>
                  </w:tcBorders>
                  <w:shd w:val="clear" w:color="auto" w:fill="auto"/>
                  <w:vAlign w:val="center"/>
                </w:tcPr>
                <w:p w14:paraId="7CBEDD3D">
                  <w:pPr>
                    <w:keepNext w:val="0"/>
                    <w:keepLines w:val="0"/>
                    <w:pageBreakBefore w:val="0"/>
                    <w:suppressLineNumbers w:val="0"/>
                    <w:wordWrap w:val="0"/>
                    <w:topLinePunct/>
                    <w:bidi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DSM820-100</w:t>
                  </w:r>
                </w:p>
              </w:tc>
              <w:tc>
                <w:tcPr>
                  <w:tcW w:w="733" w:type="pct"/>
                  <w:tcBorders>
                    <w:tl2br w:val="nil"/>
                    <w:tr2bl w:val="nil"/>
                  </w:tcBorders>
                  <w:shd w:val="clear" w:color="auto" w:fill="auto"/>
                  <w:noWrap/>
                  <w:vAlign w:val="center"/>
                </w:tcPr>
                <w:p w14:paraId="0B78F1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弯折</w:t>
                  </w:r>
                </w:p>
              </w:tc>
            </w:tr>
            <w:tr w14:paraId="59D2F3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403" w:type="pct"/>
                  <w:vMerge w:val="continue"/>
                  <w:tcBorders>
                    <w:tl2br w:val="nil"/>
                    <w:tr2bl w:val="nil"/>
                  </w:tcBorders>
                  <w:shd w:val="clear" w:color="auto" w:fill="auto"/>
                  <w:noWrap/>
                  <w:vAlign w:val="center"/>
                </w:tcPr>
                <w:p w14:paraId="5C2635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2A4182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730EF6D0">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color w:val="auto"/>
                      <w:sz w:val="21"/>
                      <w:szCs w:val="21"/>
                      <w:highlight w:val="none"/>
                      <w:lang w:bidi="ar"/>
                    </w:rPr>
                    <w:t>振磨机</w:t>
                  </w:r>
                </w:p>
              </w:tc>
              <w:tc>
                <w:tcPr>
                  <w:tcW w:w="504" w:type="pct"/>
                  <w:tcBorders>
                    <w:tl2br w:val="nil"/>
                    <w:tr2bl w:val="nil"/>
                  </w:tcBorders>
                  <w:shd w:val="clear" w:color="auto" w:fill="auto"/>
                  <w:vAlign w:val="center"/>
                </w:tcPr>
                <w:p w14:paraId="0B7A72D3">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1台</w:t>
                  </w:r>
                </w:p>
              </w:tc>
              <w:tc>
                <w:tcPr>
                  <w:tcW w:w="1423" w:type="pct"/>
                  <w:tcBorders>
                    <w:tl2br w:val="nil"/>
                    <w:tr2bl w:val="nil"/>
                  </w:tcBorders>
                  <w:shd w:val="clear" w:color="auto" w:fill="auto"/>
                  <w:vAlign w:val="center"/>
                </w:tcPr>
                <w:p w14:paraId="66F2DDA1">
                  <w:pPr>
                    <w:keepNext w:val="0"/>
                    <w:keepLines w:val="0"/>
                    <w:pageBreakBefore w:val="0"/>
                    <w:suppressLineNumbers w:val="0"/>
                    <w:wordWrap w:val="0"/>
                    <w:topLinePunct/>
                    <w:bidi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5寸</w:t>
                  </w:r>
                </w:p>
              </w:tc>
              <w:tc>
                <w:tcPr>
                  <w:tcW w:w="733" w:type="pct"/>
                  <w:vMerge w:val="restart"/>
                  <w:tcBorders>
                    <w:tl2br w:val="nil"/>
                    <w:tr2bl w:val="nil"/>
                  </w:tcBorders>
                  <w:shd w:val="clear" w:color="auto" w:fill="auto"/>
                  <w:noWrap/>
                  <w:vAlign w:val="center"/>
                </w:tcPr>
                <w:p w14:paraId="43550D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打磨抛光</w:t>
                  </w:r>
                </w:p>
              </w:tc>
            </w:tr>
            <w:tr w14:paraId="03215E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403" w:type="pct"/>
                  <w:vMerge w:val="continue"/>
                  <w:tcBorders>
                    <w:tl2br w:val="nil"/>
                    <w:tr2bl w:val="nil"/>
                  </w:tcBorders>
                  <w:shd w:val="clear" w:color="auto" w:fill="auto"/>
                  <w:noWrap/>
                  <w:vAlign w:val="center"/>
                </w:tcPr>
                <w:p w14:paraId="5836A4F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5CF1AD1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029048A0">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气动抛光机</w:t>
                  </w:r>
                </w:p>
              </w:tc>
              <w:tc>
                <w:tcPr>
                  <w:tcW w:w="504" w:type="pct"/>
                  <w:tcBorders>
                    <w:tl2br w:val="nil"/>
                    <w:tr2bl w:val="nil"/>
                  </w:tcBorders>
                  <w:shd w:val="clear" w:color="auto" w:fill="auto"/>
                  <w:vAlign w:val="center"/>
                </w:tcPr>
                <w:p w14:paraId="67FD3302">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1台</w:t>
                  </w:r>
                </w:p>
              </w:tc>
              <w:tc>
                <w:tcPr>
                  <w:tcW w:w="1423" w:type="pct"/>
                  <w:tcBorders>
                    <w:tl2br w:val="nil"/>
                    <w:tr2bl w:val="nil"/>
                  </w:tcBorders>
                  <w:shd w:val="clear" w:color="auto" w:fill="auto"/>
                  <w:vAlign w:val="center"/>
                </w:tcPr>
                <w:p w14:paraId="1FEE9E7D">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A-FPA-G32-P07R32</w:t>
                  </w:r>
                </w:p>
              </w:tc>
              <w:tc>
                <w:tcPr>
                  <w:tcW w:w="733" w:type="pct"/>
                  <w:vMerge w:val="continue"/>
                  <w:tcBorders>
                    <w:tl2br w:val="nil"/>
                    <w:tr2bl w:val="nil"/>
                  </w:tcBorders>
                  <w:shd w:val="clear" w:color="auto" w:fill="auto"/>
                  <w:noWrap/>
                  <w:vAlign w:val="center"/>
                </w:tcPr>
                <w:p w14:paraId="3BA133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88B15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403" w:type="pct"/>
                  <w:vMerge w:val="continue"/>
                  <w:tcBorders>
                    <w:tl2br w:val="nil"/>
                    <w:tr2bl w:val="nil"/>
                  </w:tcBorders>
                  <w:shd w:val="clear" w:color="auto" w:fill="auto"/>
                  <w:noWrap/>
                  <w:vAlign w:val="center"/>
                </w:tcPr>
                <w:p w14:paraId="740ED6A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56271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2C364EA5">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种钉机</w:t>
                  </w:r>
                </w:p>
              </w:tc>
              <w:tc>
                <w:tcPr>
                  <w:tcW w:w="504" w:type="pct"/>
                  <w:tcBorders>
                    <w:tl2br w:val="nil"/>
                    <w:tr2bl w:val="nil"/>
                  </w:tcBorders>
                  <w:shd w:val="clear" w:color="auto" w:fill="auto"/>
                  <w:vAlign w:val="center"/>
                </w:tcPr>
                <w:p w14:paraId="4EFEB177">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w:t>
                  </w:r>
                  <w:r>
                    <w:rPr>
                      <w:rFonts w:hint="eastAsia"/>
                      <w:color w:val="auto"/>
                      <w:sz w:val="21"/>
                      <w:szCs w:val="21"/>
                      <w:highlight w:val="none"/>
                    </w:rPr>
                    <w:t>台</w:t>
                  </w:r>
                </w:p>
              </w:tc>
              <w:tc>
                <w:tcPr>
                  <w:tcW w:w="1423" w:type="pct"/>
                  <w:tcBorders>
                    <w:tl2br w:val="nil"/>
                    <w:tr2bl w:val="nil"/>
                  </w:tcBorders>
                  <w:shd w:val="clear" w:color="auto" w:fill="auto"/>
                  <w:vAlign w:val="center"/>
                </w:tcPr>
                <w:p w14:paraId="1EF8270B">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RSR-2500</w:t>
                  </w:r>
                </w:p>
              </w:tc>
              <w:tc>
                <w:tcPr>
                  <w:tcW w:w="733" w:type="pct"/>
                  <w:vMerge w:val="restart"/>
                  <w:tcBorders>
                    <w:tl2br w:val="nil"/>
                    <w:tr2bl w:val="nil"/>
                  </w:tcBorders>
                  <w:shd w:val="clear" w:color="auto" w:fill="auto"/>
                  <w:noWrap/>
                  <w:vAlign w:val="center"/>
                </w:tcPr>
                <w:p w14:paraId="14620E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组装</w:t>
                  </w:r>
                </w:p>
              </w:tc>
            </w:tr>
            <w:tr w14:paraId="55D01E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403" w:type="pct"/>
                  <w:vMerge w:val="continue"/>
                  <w:tcBorders>
                    <w:tl2br w:val="nil"/>
                    <w:tr2bl w:val="nil"/>
                  </w:tcBorders>
                  <w:shd w:val="clear" w:color="auto" w:fill="auto"/>
                  <w:noWrap/>
                  <w:vAlign w:val="center"/>
                </w:tcPr>
                <w:p w14:paraId="6CDEB1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0D13D2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5ADA2058">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拉钉机</w:t>
                  </w:r>
                </w:p>
              </w:tc>
              <w:tc>
                <w:tcPr>
                  <w:tcW w:w="504" w:type="pct"/>
                  <w:tcBorders>
                    <w:tl2br w:val="nil"/>
                    <w:tr2bl w:val="nil"/>
                  </w:tcBorders>
                  <w:shd w:val="clear" w:color="auto" w:fill="auto"/>
                  <w:vAlign w:val="center"/>
                </w:tcPr>
                <w:p w14:paraId="2EDD73CC">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w:t>
                  </w:r>
                  <w:r>
                    <w:rPr>
                      <w:rFonts w:hint="eastAsia"/>
                      <w:color w:val="auto"/>
                      <w:sz w:val="21"/>
                      <w:szCs w:val="21"/>
                      <w:highlight w:val="none"/>
                    </w:rPr>
                    <w:t>台</w:t>
                  </w:r>
                </w:p>
              </w:tc>
              <w:tc>
                <w:tcPr>
                  <w:tcW w:w="1423" w:type="pct"/>
                  <w:tcBorders>
                    <w:tl2br w:val="nil"/>
                    <w:tr2bl w:val="nil"/>
                  </w:tcBorders>
                  <w:shd w:val="clear" w:color="auto" w:fill="auto"/>
                  <w:vAlign w:val="center"/>
                </w:tcPr>
                <w:p w14:paraId="548FF9D4">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SZENT-AU100</w:t>
                  </w:r>
                </w:p>
              </w:tc>
              <w:tc>
                <w:tcPr>
                  <w:tcW w:w="733" w:type="pct"/>
                  <w:vMerge w:val="continue"/>
                  <w:tcBorders>
                    <w:tl2br w:val="nil"/>
                    <w:tr2bl w:val="nil"/>
                  </w:tcBorders>
                  <w:shd w:val="clear" w:color="auto" w:fill="auto"/>
                  <w:noWrap/>
                  <w:vAlign w:val="center"/>
                </w:tcPr>
                <w:p w14:paraId="0E15C5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112AE9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8" w:hRule="atLeast"/>
                <w:jc w:val="center"/>
              </w:trPr>
              <w:tc>
                <w:tcPr>
                  <w:tcW w:w="403" w:type="pct"/>
                  <w:vMerge w:val="continue"/>
                  <w:tcBorders>
                    <w:tl2br w:val="nil"/>
                    <w:tr2bl w:val="nil"/>
                  </w:tcBorders>
                  <w:shd w:val="clear" w:color="auto" w:fill="auto"/>
                  <w:noWrap/>
                  <w:vAlign w:val="center"/>
                </w:tcPr>
                <w:p w14:paraId="7982C0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729" w:type="pct"/>
                  <w:vMerge w:val="continue"/>
                  <w:tcBorders>
                    <w:tl2br w:val="nil"/>
                    <w:tr2bl w:val="nil"/>
                  </w:tcBorders>
                  <w:shd w:val="clear" w:color="auto" w:fill="auto"/>
                  <w:noWrap/>
                  <w:vAlign w:val="center"/>
                </w:tcPr>
                <w:p w14:paraId="168A99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1205" w:type="pct"/>
                  <w:tcBorders>
                    <w:tl2br w:val="nil"/>
                    <w:tr2bl w:val="nil"/>
                  </w:tcBorders>
                  <w:shd w:val="clear" w:color="auto" w:fill="auto"/>
                  <w:vAlign w:val="center"/>
                </w:tcPr>
                <w:p w14:paraId="3B6364F9">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空压机组</w:t>
                  </w:r>
                </w:p>
              </w:tc>
              <w:tc>
                <w:tcPr>
                  <w:tcW w:w="504" w:type="pct"/>
                  <w:tcBorders>
                    <w:tl2br w:val="nil"/>
                    <w:tr2bl w:val="nil"/>
                  </w:tcBorders>
                  <w:shd w:val="clear" w:color="auto" w:fill="auto"/>
                  <w:vAlign w:val="center"/>
                </w:tcPr>
                <w:p w14:paraId="766E49AE">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1套</w:t>
                  </w:r>
                </w:p>
              </w:tc>
              <w:tc>
                <w:tcPr>
                  <w:tcW w:w="1423" w:type="pct"/>
                  <w:tcBorders>
                    <w:tl2br w:val="nil"/>
                    <w:tr2bl w:val="nil"/>
                  </w:tcBorders>
                  <w:shd w:val="clear" w:color="auto" w:fill="auto"/>
                  <w:vAlign w:val="center"/>
                </w:tcPr>
                <w:p w14:paraId="46DAE476">
                  <w:pPr>
                    <w:keepNext w:val="0"/>
                    <w:keepLines w:val="0"/>
                    <w:pageBreakBefore w:val="0"/>
                    <w:widowControl/>
                    <w:suppressLineNumbers w:val="0"/>
                    <w:wordWrap w:val="0"/>
                    <w:topLinePunct/>
                    <w:bidi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w:t>
                  </w:r>
                </w:p>
              </w:tc>
              <w:tc>
                <w:tcPr>
                  <w:tcW w:w="733" w:type="pct"/>
                  <w:tcBorders>
                    <w:tl2br w:val="nil"/>
                    <w:tr2bl w:val="nil"/>
                  </w:tcBorders>
                  <w:shd w:val="clear" w:color="auto" w:fill="auto"/>
                  <w:noWrap/>
                  <w:vAlign w:val="center"/>
                </w:tcPr>
                <w:p w14:paraId="072692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辅助设备</w:t>
                  </w:r>
                </w:p>
              </w:tc>
            </w:tr>
          </w:tbl>
          <w:p w14:paraId="76D24BF2">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5</w:t>
            </w:r>
            <w:r>
              <w:rPr>
                <w:rFonts w:hint="default" w:ascii="Times New Roman" w:hAnsi="Times New Roman" w:cs="Times New Roman"/>
                <w:color w:val="auto"/>
                <w:highlight w:val="none"/>
              </w:rPr>
              <w:t>、劳动定员和工作制度</w:t>
            </w:r>
          </w:p>
          <w:p w14:paraId="5F03232E">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劳动定员与工作制度一览表</w:t>
            </w:r>
          </w:p>
          <w:tbl>
            <w:tblPr>
              <w:tblStyle w:val="38"/>
              <w:tblW w:w="498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32"/>
              <w:gridCol w:w="2335"/>
              <w:gridCol w:w="2335"/>
              <w:gridCol w:w="2335"/>
            </w:tblGrid>
            <w:tr w14:paraId="51AC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3D40BB93">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0EC29FF2">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c>
                <w:tcPr>
                  <w:tcW w:w="1250" w:type="pct"/>
                  <w:vAlign w:val="center"/>
                </w:tcPr>
                <w:p w14:paraId="0C0091D2">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指标</w:t>
                  </w:r>
                </w:p>
              </w:tc>
              <w:tc>
                <w:tcPr>
                  <w:tcW w:w="1250" w:type="pct"/>
                  <w:vAlign w:val="center"/>
                </w:tcPr>
                <w:p w14:paraId="165849B1">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内容</w:t>
                  </w:r>
                </w:p>
              </w:tc>
            </w:tr>
            <w:tr w14:paraId="2D78EE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2" w:hRule="atLeast"/>
                <w:jc w:val="center"/>
              </w:trPr>
              <w:tc>
                <w:tcPr>
                  <w:tcW w:w="1249" w:type="pct"/>
                  <w:vAlign w:val="center"/>
                </w:tcPr>
                <w:p w14:paraId="10F3BE0D">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劳动定员</w:t>
                  </w:r>
                </w:p>
              </w:tc>
              <w:tc>
                <w:tcPr>
                  <w:tcW w:w="1250" w:type="pct"/>
                  <w:vAlign w:val="center"/>
                </w:tcPr>
                <w:p w14:paraId="02D170E4">
                  <w:pPr>
                    <w:pStyle w:val="56"/>
                    <w:keepNext w:val="0"/>
                    <w:keepLines w:val="0"/>
                    <w:widowControl/>
                    <w:suppressLineNumbers w:val="0"/>
                    <w:spacing w:before="0" w:beforeAutospacing="0" w:after="0" w:afterAutospacing="0" w:line="360" w:lineRule="auto"/>
                    <w:ind w:left="0" w:right="0"/>
                    <w:rPr>
                      <w:rFonts w:hint="default" w:ascii="Times New Roman" w:hAnsi="Times New Roman" w:eastAsia="宋体" w:cs="Times New Roman"/>
                      <w:color w:val="auto"/>
                      <w:kern w:val="2"/>
                      <w:highlight w:val="none"/>
                      <w:lang w:eastAsia="zh-CN"/>
                    </w:rPr>
                  </w:pPr>
                  <w:r>
                    <w:rPr>
                      <w:rFonts w:hint="eastAsia" w:cs="Times New Roman"/>
                      <w:color w:val="auto"/>
                      <w:kern w:val="2"/>
                      <w:sz w:val="21"/>
                      <w:szCs w:val="21"/>
                      <w:highlight w:val="none"/>
                      <w:lang w:val="en-US" w:eastAsia="zh-CN"/>
                    </w:rPr>
                    <w:t>15</w:t>
                  </w:r>
                  <w:r>
                    <w:rPr>
                      <w:rFonts w:hint="eastAsia" w:ascii="Times New Roman" w:hAnsi="Times New Roman"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lang w:eastAsia="zh-CN"/>
                    </w:rPr>
                    <w:t>人</w:t>
                  </w:r>
                </w:p>
              </w:tc>
              <w:tc>
                <w:tcPr>
                  <w:tcW w:w="1250" w:type="pct"/>
                  <w:vAlign w:val="center"/>
                </w:tcPr>
                <w:p w14:paraId="6625E674">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食宿安排</w:t>
                  </w:r>
                </w:p>
              </w:tc>
              <w:tc>
                <w:tcPr>
                  <w:tcW w:w="1250" w:type="pct"/>
                  <w:vAlign w:val="center"/>
                </w:tcPr>
                <w:p w14:paraId="36EF9DA6">
                  <w:pPr>
                    <w:pStyle w:val="56"/>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eastAsia="zh-CN"/>
                    </w:rPr>
                  </w:pPr>
                  <w:r>
                    <w:rPr>
                      <w:rFonts w:hint="default" w:ascii="Times New Roman" w:hAnsi="Times New Roman" w:cs="Times New Roman"/>
                      <w:color w:val="auto"/>
                      <w:kern w:val="2"/>
                      <w:highlight w:val="none"/>
                      <w:lang w:eastAsia="zh-CN"/>
                    </w:rPr>
                    <w:t>提供</w:t>
                  </w:r>
                  <w:r>
                    <w:rPr>
                      <w:rFonts w:hint="eastAsia" w:cs="Times New Roman"/>
                      <w:color w:val="auto"/>
                      <w:kern w:val="2"/>
                      <w:highlight w:val="none"/>
                      <w:lang w:eastAsia="zh-CN"/>
                    </w:rPr>
                    <w:t>食</w:t>
                  </w:r>
                  <w:r>
                    <w:rPr>
                      <w:rFonts w:hint="default" w:ascii="Times New Roman" w:hAnsi="Times New Roman" w:cs="Times New Roman"/>
                      <w:color w:val="auto"/>
                      <w:kern w:val="2"/>
                      <w:highlight w:val="none"/>
                      <w:lang w:eastAsia="zh-CN"/>
                    </w:rPr>
                    <w:t>宿</w:t>
                  </w:r>
                </w:p>
              </w:tc>
            </w:tr>
            <w:tr w14:paraId="7A7599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6" w:hRule="atLeast"/>
                <w:jc w:val="center"/>
              </w:trPr>
              <w:tc>
                <w:tcPr>
                  <w:tcW w:w="1249" w:type="pct"/>
                  <w:vAlign w:val="center"/>
                </w:tcPr>
                <w:p w14:paraId="4034C023">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工作时间</w:t>
                  </w:r>
                </w:p>
              </w:tc>
              <w:tc>
                <w:tcPr>
                  <w:tcW w:w="1250" w:type="pct"/>
                  <w:vAlign w:val="center"/>
                </w:tcPr>
                <w:p w14:paraId="0A8DAA95">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每年300日，每日8小时</w:t>
                  </w:r>
                </w:p>
              </w:tc>
              <w:tc>
                <w:tcPr>
                  <w:tcW w:w="1250" w:type="pct"/>
                  <w:vAlign w:val="center"/>
                </w:tcPr>
                <w:p w14:paraId="75FF9054">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夜间生产</w:t>
                  </w:r>
                </w:p>
              </w:tc>
              <w:tc>
                <w:tcPr>
                  <w:tcW w:w="1250" w:type="pct"/>
                  <w:vAlign w:val="center"/>
                </w:tcPr>
                <w:p w14:paraId="61507FAC">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无</w:t>
                  </w:r>
                </w:p>
              </w:tc>
            </w:tr>
            <w:tr w14:paraId="437CF2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1249" w:type="pct"/>
                  <w:vAlign w:val="center"/>
                </w:tcPr>
                <w:p w14:paraId="1D0EB2D1">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工作班制</w:t>
                  </w:r>
                </w:p>
              </w:tc>
              <w:tc>
                <w:tcPr>
                  <w:tcW w:w="1250" w:type="pct"/>
                  <w:vAlign w:val="center"/>
                </w:tcPr>
                <w:p w14:paraId="1611C4B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一班制</w:t>
                  </w:r>
                </w:p>
              </w:tc>
              <w:tc>
                <w:tcPr>
                  <w:tcW w:w="1250" w:type="pct"/>
                  <w:vAlign w:val="center"/>
                </w:tcPr>
                <w:p w14:paraId="3D27C69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c>
                <w:tcPr>
                  <w:tcW w:w="1250" w:type="pct"/>
                  <w:vAlign w:val="center"/>
                </w:tcPr>
                <w:p w14:paraId="70558CD8">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w:t>
                  </w:r>
                </w:p>
              </w:tc>
            </w:tr>
          </w:tbl>
          <w:p w14:paraId="3E818744">
            <w:pPr>
              <w:pStyle w:val="5"/>
              <w:numPr>
                <w:ilvl w:val="3"/>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4A1F54AF">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szCs w:val="32"/>
                <w:highlight w:val="none"/>
              </w:rPr>
            </w:pPr>
            <w:r>
              <w:rPr>
                <w:rFonts w:hint="default" w:ascii="Times New Roman" w:hAnsi="Times New Roman" w:cs="Times New Roman"/>
                <w:color w:val="auto"/>
                <w:kern w:val="2"/>
                <w:szCs w:val="32"/>
                <w:highlight w:val="none"/>
              </w:rPr>
              <w:t>（1）供电</w:t>
            </w:r>
          </w:p>
          <w:p w14:paraId="7087289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w:t>
            </w:r>
            <w:r>
              <w:rPr>
                <w:rFonts w:hint="eastAsia" w:cs="Times New Roman"/>
                <w:color w:val="auto"/>
                <w:highlight w:val="none"/>
                <w:lang w:val="en-US" w:eastAsia="zh-CN"/>
              </w:rPr>
              <w:t>4</w:t>
            </w:r>
            <w:r>
              <w:rPr>
                <w:rFonts w:hint="default" w:ascii="Times New Roman" w:hAnsi="Times New Roman" w:cs="Times New Roman"/>
                <w:color w:val="auto"/>
                <w:highlight w:val="none"/>
              </w:rPr>
              <w:t>00万千瓦·时，不设备用发电机或锅炉。</w:t>
            </w:r>
          </w:p>
          <w:p w14:paraId="63C58C0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（2）给水</w:t>
            </w:r>
          </w:p>
          <w:p w14:paraId="6ED615E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本项目营运期用水主要为生活用水和生产用水，废水产生主要为生活污水和生产废水。</w:t>
            </w:r>
          </w:p>
          <w:p w14:paraId="7E9A8EC6">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职工宿舍</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有</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rPr>
              <w:t>，劳动定员</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人，年工作时间为300天，每天工作8小时，生活用水量为</w:t>
            </w:r>
            <w:r>
              <w:rPr>
                <w:rFonts w:hint="eastAsia" w:cs="Times New Roman"/>
                <w:color w:val="auto"/>
                <w:highlight w:val="none"/>
                <w:lang w:val="en-US" w:eastAsia="zh-CN"/>
              </w:rPr>
              <w:t>2250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14:paraId="44AA3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eastAsia" w:cs="Times New Roman"/>
                <w:color w:val="auto"/>
                <w:highlight w:val="none"/>
                <w:lang w:val="en-US" w:eastAsia="zh-CN"/>
              </w:rPr>
            </w:pPr>
            <w:r>
              <w:rPr>
                <w:rFonts w:hint="default" w:ascii="Times New Roman" w:hAnsi="Times New Roman" w:cs="Times New Roman"/>
                <w:color w:val="auto"/>
                <w:highlight w:val="none"/>
              </w:rPr>
              <w:t>②生产用水：本项目生产用水为表面预处理工序清洗用水，</w:t>
            </w:r>
            <w:r>
              <w:rPr>
                <w:rFonts w:hint="eastAsia" w:cs="Times New Roman"/>
                <w:color w:val="auto"/>
                <w:highlight w:val="none"/>
                <w:lang w:val="en-US" w:eastAsia="zh-CN"/>
              </w:rPr>
              <w:t>总</w:t>
            </w:r>
            <w:r>
              <w:rPr>
                <w:rFonts w:hint="default" w:ascii="Times New Roman" w:hAnsi="Times New Roman" w:cs="Times New Roman"/>
                <w:color w:val="auto"/>
                <w:highlight w:val="none"/>
              </w:rPr>
              <w:t>用水量为</w:t>
            </w:r>
            <w:r>
              <w:rPr>
                <w:rFonts w:hint="eastAsia" w:cs="Times New Roman"/>
                <w:color w:val="auto"/>
                <w:highlight w:val="none"/>
                <w:lang w:val="en-US" w:eastAsia="zh-CN"/>
              </w:rPr>
              <w:t>13267.2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/a。</w:t>
            </w:r>
            <w:r>
              <w:rPr>
                <w:rFonts w:hint="eastAsia" w:cs="Times New Roman"/>
                <w:color w:val="auto"/>
                <w:highlight w:val="none"/>
                <w:lang w:val="en-US" w:eastAsia="zh-CN"/>
              </w:rPr>
              <w:t>其中：</w:t>
            </w:r>
          </w:p>
          <w:p w14:paraId="06219D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①</w:t>
            </w:r>
            <w:r>
              <w:rPr>
                <w:rFonts w:hint="eastAsia" w:cs="Times New Roman"/>
                <w:b/>
                <w:bCs/>
                <w:color w:val="auto"/>
                <w:highlight w:val="none"/>
                <w:lang w:val="en-US" w:eastAsia="zh-CN"/>
              </w:rPr>
              <w:t>循环</w:t>
            </w:r>
            <w:r>
              <w:rPr>
                <w:rFonts w:hint="default" w:ascii="Times New Roman" w:hAnsi="Times New Roman" w:cs="Times New Roman"/>
                <w:b/>
                <w:bCs/>
                <w:color w:val="auto"/>
                <w:highlight w:val="none"/>
                <w:lang w:val="en-US" w:eastAsia="zh-CN"/>
              </w:rPr>
              <w:t>补充用水</w:t>
            </w:r>
          </w:p>
          <w:p w14:paraId="6B4933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本项目前处理线各池体</w:t>
            </w:r>
            <w:r>
              <w:rPr>
                <w:rFonts w:hint="eastAsia" w:cs="Times New Roman"/>
                <w:color w:val="auto"/>
                <w:highlight w:val="none"/>
                <w:lang w:val="en-US" w:eastAsia="zh-CN"/>
              </w:rPr>
              <w:t>中，水洗池1~4均采用</w:t>
            </w:r>
            <w:r>
              <w:rPr>
                <w:rFonts w:hint="default" w:ascii="Times New Roman" w:hAnsi="Times New Roman" w:cs="Times New Roman"/>
                <w:color w:val="auto"/>
                <w:highlight w:val="none"/>
                <w:lang w:val="en-US" w:eastAsia="zh-CN"/>
              </w:rPr>
              <w:t>喷淋处理</w:t>
            </w:r>
            <w:r>
              <w:rPr>
                <w:rFonts w:hint="eastAsia" w:cs="Times New Roman"/>
                <w:color w:val="auto"/>
                <w:highlight w:val="none"/>
                <w:lang w:val="en-US" w:eastAsia="zh-CN"/>
              </w:rPr>
              <w:t>，预处油池、主除油池、无铬钝化池采用浸泡式处理</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以上池体在喷淋、浸泡</w:t>
            </w:r>
            <w:r>
              <w:rPr>
                <w:rFonts w:hint="default" w:ascii="Times New Roman" w:hAnsi="Times New Roman" w:cs="Times New Roman"/>
                <w:color w:val="auto"/>
                <w:highlight w:val="none"/>
                <w:lang w:val="en-US" w:eastAsia="zh-CN"/>
              </w:rPr>
              <w:t>过程</w:t>
            </w:r>
            <w:r>
              <w:rPr>
                <w:rFonts w:hint="eastAsia" w:cs="Times New Roman"/>
                <w:color w:val="auto"/>
                <w:highlight w:val="none"/>
                <w:lang w:val="en-US" w:eastAsia="zh-CN"/>
              </w:rPr>
              <w:t>均设置循环水泵，通过水泵的循环过程维持水洗池内各处槽液浓度均匀，避免预处理池泥渣过快沉淀以堵塞管道；同时加快各池体内槽液对工件表面的接触（循环泵出水方式接近水流冲刷，使槽液内碱性除油剂、无铬钝化剂更加充分附着在工件表面微小孔隙中），在短期内达到更好的浸泡效果。以上循环过程均会</w:t>
            </w:r>
            <w:r>
              <w:rPr>
                <w:rFonts w:hint="default" w:ascii="Times New Roman" w:hAnsi="Times New Roman" w:cs="Times New Roman"/>
                <w:color w:val="auto"/>
                <w:highlight w:val="none"/>
                <w:lang w:val="en-US" w:eastAsia="zh-CN"/>
              </w:rPr>
              <w:t>产生用水损耗，需要定期补充用水，</w:t>
            </w:r>
            <w:r>
              <w:rPr>
                <w:rFonts w:hint="eastAsia" w:cs="Times New Roman"/>
                <w:color w:val="auto"/>
                <w:highlight w:val="none"/>
                <w:lang w:val="en-US" w:eastAsia="zh-CN"/>
              </w:rPr>
              <w:t>循环</w:t>
            </w:r>
            <w:r>
              <w:rPr>
                <w:rFonts w:hint="default" w:ascii="Times New Roman" w:hAnsi="Times New Roman" w:cs="Times New Roman"/>
                <w:color w:val="auto"/>
                <w:highlight w:val="none"/>
                <w:lang w:val="en-US" w:eastAsia="zh-CN"/>
              </w:rPr>
              <w:t>水损耗按</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%计算，本项目各前处理线</w:t>
            </w:r>
            <w:r>
              <w:rPr>
                <w:rFonts w:hint="eastAsia" w:cs="Times New Roman"/>
                <w:color w:val="auto"/>
                <w:highlight w:val="none"/>
                <w:lang w:val="en-US" w:eastAsia="zh-CN"/>
              </w:rPr>
              <w:t>循环</w:t>
            </w:r>
            <w:r>
              <w:rPr>
                <w:rFonts w:hint="default" w:ascii="Times New Roman" w:hAnsi="Times New Roman" w:cs="Times New Roman"/>
                <w:color w:val="auto"/>
                <w:highlight w:val="none"/>
                <w:lang w:val="en-US" w:eastAsia="zh-CN"/>
              </w:rPr>
              <w:t>补充用水计算见下表。</w:t>
            </w:r>
          </w:p>
          <w:p w14:paraId="7C414883">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前处理线</w:t>
            </w:r>
            <w:r>
              <w:rPr>
                <w:rFonts w:hint="eastAsia" w:cs="Times New Roman"/>
                <w:b/>
                <w:bCs/>
                <w:color w:val="auto"/>
                <w:sz w:val="21"/>
                <w:szCs w:val="21"/>
                <w:highlight w:val="none"/>
                <w:lang w:val="en-US" w:eastAsia="zh-CN"/>
              </w:rPr>
              <w:t>循环</w:t>
            </w:r>
            <w:r>
              <w:rPr>
                <w:rFonts w:hint="default" w:ascii="Times New Roman" w:hAnsi="Times New Roman" w:cs="Times New Roman"/>
                <w:b/>
                <w:bCs/>
                <w:color w:val="auto"/>
                <w:sz w:val="21"/>
                <w:szCs w:val="21"/>
                <w:highlight w:val="none"/>
                <w:lang w:val="en-US" w:eastAsia="zh-CN"/>
              </w:rPr>
              <w:t>补充用水计算表</w:t>
            </w:r>
          </w:p>
          <w:tbl>
            <w:tblPr>
              <w:tblStyle w:val="38"/>
              <w:tblW w:w="4931"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4"/>
              <w:gridCol w:w="1398"/>
              <w:gridCol w:w="1258"/>
              <w:gridCol w:w="1109"/>
              <w:gridCol w:w="1585"/>
              <w:gridCol w:w="1440"/>
              <w:gridCol w:w="1611"/>
            </w:tblGrid>
            <w:tr w14:paraId="2EC07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CAB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生产线</w:t>
                  </w: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2E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42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水池水量m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283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运行时间h</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EBF4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槽液循环量m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C23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槽液循环量m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/d</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9DF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cs="Times New Roman"/>
                      <w:b/>
                      <w:bCs/>
                      <w:i w:val="0"/>
                      <w:iCs w:val="0"/>
                      <w:color w:val="auto"/>
                      <w:kern w:val="0"/>
                      <w:sz w:val="21"/>
                      <w:szCs w:val="21"/>
                      <w:highlight w:val="none"/>
                      <w:u w:val="none"/>
                      <w:lang w:val="en-US" w:eastAsia="zh-CN" w:bidi="ar"/>
                    </w:rPr>
                    <w:t>循环</w:t>
                  </w:r>
                  <w:r>
                    <w:rPr>
                      <w:rFonts w:hint="default" w:ascii="Times New Roman" w:hAnsi="Times New Roman" w:eastAsia="宋体" w:cs="Times New Roman"/>
                      <w:b/>
                      <w:bCs/>
                      <w:i w:val="0"/>
                      <w:iCs w:val="0"/>
                      <w:color w:val="auto"/>
                      <w:kern w:val="0"/>
                      <w:sz w:val="21"/>
                      <w:szCs w:val="21"/>
                      <w:highlight w:val="none"/>
                      <w:u w:val="none"/>
                      <w:lang w:val="en-US" w:eastAsia="zh-CN" w:bidi="ar"/>
                    </w:rPr>
                    <w:t>补充用水量m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/a</w:t>
                  </w:r>
                </w:p>
              </w:tc>
            </w:tr>
            <w:tr w14:paraId="79F9A7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15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w:t>
                  </w: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DB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FE8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033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A0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38</w:t>
                  </w:r>
                  <w:r>
                    <w:rPr>
                      <w:rFonts w:hint="eastAsia" w:cs="Times New Roman"/>
                      <w:i w:val="0"/>
                      <w:iCs w:val="0"/>
                      <w:color w:val="auto"/>
                      <w:kern w:val="0"/>
                      <w:sz w:val="21"/>
                      <w:szCs w:val="21"/>
                      <w:highlight w:val="none"/>
                      <w:u w:val="none"/>
                      <w:lang w:val="en-US" w:eastAsia="zh-CN" w:bidi="ar"/>
                    </w:rPr>
                    <w:t>.4</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99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307.2</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363C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921.6</w:t>
                  </w:r>
                </w:p>
              </w:tc>
            </w:tr>
            <w:tr w14:paraId="189A3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86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061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3E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07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CA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38</w:t>
                  </w:r>
                  <w:r>
                    <w:rPr>
                      <w:rFonts w:hint="eastAsia" w:cs="Times New Roman"/>
                      <w:i w:val="0"/>
                      <w:iCs w:val="0"/>
                      <w:color w:val="auto"/>
                      <w:kern w:val="0"/>
                      <w:sz w:val="21"/>
                      <w:szCs w:val="21"/>
                      <w:highlight w:val="none"/>
                      <w:u w:val="none"/>
                      <w:lang w:val="en-US" w:eastAsia="zh-CN" w:bidi="ar"/>
                    </w:rPr>
                    <w:t>.4</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87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307.2</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AF29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921.6</w:t>
                  </w:r>
                </w:p>
              </w:tc>
            </w:tr>
            <w:tr w14:paraId="35EF09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33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2E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6FF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7A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C6C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16</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90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128</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A23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r>
            <w:tr w14:paraId="0BB2A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9B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46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BC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67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987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19</w:t>
                  </w:r>
                  <w:r>
                    <w:rPr>
                      <w:rFonts w:hint="eastAsia" w:cs="Times New Roman"/>
                      <w:i w:val="0"/>
                      <w:iCs w:val="0"/>
                      <w:color w:val="auto"/>
                      <w:kern w:val="0"/>
                      <w:sz w:val="21"/>
                      <w:szCs w:val="21"/>
                      <w:highlight w:val="none"/>
                      <w:u w:val="none"/>
                      <w:lang w:val="en-US" w:eastAsia="zh-CN" w:bidi="ar"/>
                    </w:rPr>
                    <w:t>.2</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1B5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153.6</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516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460.8</w:t>
                  </w:r>
                </w:p>
              </w:tc>
            </w:tr>
            <w:tr w14:paraId="6E35F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BA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F80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FF7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6B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466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19</w:t>
                  </w:r>
                  <w:r>
                    <w:rPr>
                      <w:rFonts w:hint="eastAsia" w:cs="Times New Roman"/>
                      <w:i w:val="0"/>
                      <w:iCs w:val="0"/>
                      <w:color w:val="auto"/>
                      <w:kern w:val="0"/>
                      <w:sz w:val="21"/>
                      <w:szCs w:val="21"/>
                      <w:highlight w:val="none"/>
                      <w:u w:val="none"/>
                      <w:lang w:val="en-US" w:eastAsia="zh-CN" w:bidi="ar"/>
                    </w:rPr>
                    <w:t>.2</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2C4C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153.6</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5C9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460.8</w:t>
                  </w:r>
                </w:p>
              </w:tc>
            </w:tr>
            <w:tr w14:paraId="6720A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2C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9272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1DA2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A16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765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19</w:t>
                  </w:r>
                  <w:r>
                    <w:rPr>
                      <w:rFonts w:hint="eastAsia" w:cs="Times New Roman"/>
                      <w:i w:val="0"/>
                      <w:iCs w:val="0"/>
                      <w:color w:val="auto"/>
                      <w:kern w:val="0"/>
                      <w:sz w:val="21"/>
                      <w:szCs w:val="21"/>
                      <w:highlight w:val="none"/>
                      <w:u w:val="none"/>
                      <w:lang w:val="en-US" w:eastAsia="zh-CN" w:bidi="ar"/>
                    </w:rPr>
                    <w:t>.2</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32A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153.6</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EF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460.8</w:t>
                  </w:r>
                </w:p>
              </w:tc>
            </w:tr>
            <w:tr w14:paraId="38E56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4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7BF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BC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13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EB2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7C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28.8</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DD9D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230.4</w:t>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288F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691.2</w:t>
                  </w:r>
                </w:p>
              </w:tc>
            </w:tr>
            <w:tr w14:paraId="55D29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jc w:val="center"/>
              </w:trPr>
              <w:tc>
                <w:tcPr>
                  <w:tcW w:w="123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A89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合计</w:t>
                  </w:r>
                </w:p>
              </w:tc>
              <w:tc>
                <w:tcPr>
                  <w:tcW w:w="6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F8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 sum(C2:C8) \* MERGEFORMAT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44.8</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F0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8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619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fldChar w:fldCharType="begin"/>
                  </w:r>
                  <w:r>
                    <w:rPr>
                      <w:rFonts w:hint="eastAsia" w:cs="Times New Roman"/>
                      <w:i w:val="0"/>
                      <w:iCs w:val="0"/>
                      <w:color w:val="auto"/>
                      <w:kern w:val="0"/>
                      <w:sz w:val="21"/>
                      <w:szCs w:val="21"/>
                      <w:highlight w:val="none"/>
                      <w:u w:val="none"/>
                      <w:lang w:val="en-US" w:eastAsia="zh-CN" w:bidi="ar"/>
                    </w:rPr>
                    <w:instrText xml:space="preserve"> = sum(E2:E8) \* MERGEFORMAT </w:instrText>
                  </w:r>
                  <w:r>
                    <w:rPr>
                      <w:rFonts w:hint="eastAsia" w:cs="Times New Roman"/>
                      <w:i w:val="0"/>
                      <w:iCs w:val="0"/>
                      <w:color w:val="auto"/>
                      <w:kern w:val="0"/>
                      <w:sz w:val="21"/>
                      <w:szCs w:val="21"/>
                      <w:highlight w:val="none"/>
                      <w:u w:val="none"/>
                      <w:lang w:val="en-US" w:eastAsia="zh-CN" w:bidi="ar"/>
                    </w:rPr>
                    <w:fldChar w:fldCharType="separate"/>
                  </w:r>
                  <w:r>
                    <w:rPr>
                      <w:rFonts w:hint="eastAsia" w:cs="Times New Roman"/>
                      <w:i w:val="0"/>
                      <w:iCs w:val="0"/>
                      <w:color w:val="auto"/>
                      <w:kern w:val="0"/>
                      <w:sz w:val="21"/>
                      <w:szCs w:val="21"/>
                      <w:highlight w:val="none"/>
                      <w:u w:val="none"/>
                      <w:lang w:val="en-US" w:eastAsia="zh-CN" w:bidi="ar"/>
                    </w:rPr>
                    <w:t>179.2</w:t>
                  </w:r>
                  <w:r>
                    <w:rPr>
                      <w:rFonts w:hint="eastAsia" w:cs="Times New Roman"/>
                      <w:i w:val="0"/>
                      <w:iCs w:val="0"/>
                      <w:color w:val="auto"/>
                      <w:kern w:val="0"/>
                      <w:sz w:val="21"/>
                      <w:szCs w:val="21"/>
                      <w:highlight w:val="none"/>
                      <w:u w:val="none"/>
                      <w:lang w:val="en-US" w:eastAsia="zh-CN" w:bidi="ar"/>
                    </w:rPr>
                    <w:fldChar w:fldCharType="end"/>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164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 sum(F2:F8) \* MERGEFORMAT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1433.6</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p>
              </w:tc>
              <w:tc>
                <w:tcPr>
                  <w:tcW w:w="8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C3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fldChar w:fldCharType="begin"/>
                  </w:r>
                  <w:r>
                    <w:rPr>
                      <w:rFonts w:hint="default" w:ascii="Times New Roman" w:hAnsi="Times New Roman" w:eastAsia="宋体" w:cs="Times New Roman"/>
                      <w:i w:val="0"/>
                      <w:iCs w:val="0"/>
                      <w:color w:val="auto"/>
                      <w:kern w:val="0"/>
                      <w:sz w:val="21"/>
                      <w:szCs w:val="21"/>
                      <w:highlight w:val="none"/>
                      <w:u w:val="none"/>
                      <w:lang w:val="en-US" w:eastAsia="zh-CN" w:bidi="ar"/>
                    </w:rPr>
                    <w:instrText xml:space="preserve"> = sum(G2:G8) \* MERGEFORMAT </w:instrTex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separate"/>
                  </w:r>
                  <w:r>
                    <w:rPr>
                      <w:rFonts w:hint="default" w:ascii="Times New Roman" w:hAnsi="Times New Roman" w:eastAsia="宋体" w:cs="Times New Roman"/>
                      <w:i w:val="0"/>
                      <w:iCs w:val="0"/>
                      <w:color w:val="auto"/>
                      <w:kern w:val="0"/>
                      <w:sz w:val="21"/>
                      <w:szCs w:val="21"/>
                      <w:highlight w:val="none"/>
                      <w:u w:val="none"/>
                      <w:lang w:val="en-US" w:eastAsia="zh-CN" w:bidi="ar"/>
                    </w:rPr>
                    <w:t>4300.8</w:t>
                  </w:r>
                  <w:r>
                    <w:rPr>
                      <w:rFonts w:hint="default" w:ascii="Times New Roman" w:hAnsi="Times New Roman" w:eastAsia="宋体" w:cs="Times New Roman"/>
                      <w:i w:val="0"/>
                      <w:iCs w:val="0"/>
                      <w:color w:val="auto"/>
                      <w:kern w:val="0"/>
                      <w:sz w:val="21"/>
                      <w:szCs w:val="21"/>
                      <w:highlight w:val="none"/>
                      <w:u w:val="none"/>
                      <w:lang w:val="en-US" w:eastAsia="zh-CN" w:bidi="ar"/>
                    </w:rPr>
                    <w:fldChar w:fldCharType="end"/>
                  </w:r>
                </w:p>
              </w:tc>
            </w:tr>
            <w:tr w14:paraId="4F3EA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5000"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6BD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w:t>
                  </w:r>
                  <w:r>
                    <w:rPr>
                      <w:rFonts w:hint="eastAsia" w:cs="Times New Roman"/>
                      <w:i w:val="0"/>
                      <w:iCs w:val="0"/>
                      <w:color w:val="auto"/>
                      <w:kern w:val="0"/>
                      <w:sz w:val="21"/>
                      <w:szCs w:val="21"/>
                      <w:highlight w:val="none"/>
                      <w:u w:val="none"/>
                      <w:lang w:val="en-US" w:eastAsia="zh-CN" w:bidi="ar"/>
                    </w:rPr>
                    <w:t>①</w:t>
                  </w:r>
                  <w:r>
                    <w:rPr>
                      <w:rFonts w:hint="default" w:ascii="Times New Roman" w:hAnsi="Times New Roman" w:eastAsia="宋体" w:cs="Times New Roman"/>
                      <w:i w:val="0"/>
                      <w:iCs w:val="0"/>
                      <w:color w:val="auto"/>
                      <w:kern w:val="0"/>
                      <w:sz w:val="21"/>
                      <w:szCs w:val="21"/>
                      <w:highlight w:val="none"/>
                      <w:u w:val="none"/>
                      <w:lang w:val="en-US" w:eastAsia="zh-CN" w:bidi="ar"/>
                    </w:rPr>
                    <w:t>根据设计资料，槽液每小时循环水量为池体水量的</w:t>
                  </w:r>
                  <w:r>
                    <w:rPr>
                      <w:rFonts w:hint="eastAsia" w:cs="Times New Roman"/>
                      <w:i w:val="0"/>
                      <w:iCs w:val="0"/>
                      <w:color w:val="auto"/>
                      <w:kern w:val="0"/>
                      <w:sz w:val="21"/>
                      <w:szCs w:val="21"/>
                      <w:highlight w:val="none"/>
                      <w:u w:val="none"/>
                      <w:lang w:val="en-US" w:eastAsia="zh-CN" w:bidi="ar"/>
                    </w:rPr>
                    <w:t>4</w:t>
                  </w:r>
                  <w:r>
                    <w:rPr>
                      <w:rFonts w:hint="default" w:ascii="Times New Roman" w:hAnsi="Times New Roman" w:eastAsia="宋体" w:cs="Times New Roman"/>
                      <w:i w:val="0"/>
                      <w:iCs w:val="0"/>
                      <w:color w:val="auto"/>
                      <w:kern w:val="0"/>
                      <w:sz w:val="21"/>
                      <w:szCs w:val="21"/>
                      <w:highlight w:val="none"/>
                      <w:u w:val="none"/>
                      <w:lang w:val="en-US" w:eastAsia="zh-CN" w:bidi="ar"/>
                    </w:rPr>
                    <w:t>倍</w:t>
                  </w:r>
                  <w:r>
                    <w:rPr>
                      <w:rFonts w:hint="eastAsia" w:cs="Times New Roman"/>
                      <w:i w:val="0"/>
                      <w:iCs w:val="0"/>
                      <w:color w:val="auto"/>
                      <w:kern w:val="0"/>
                      <w:sz w:val="21"/>
                      <w:szCs w:val="21"/>
                      <w:highlight w:val="none"/>
                      <w:u w:val="none"/>
                      <w:lang w:val="en-US" w:eastAsia="zh-CN" w:bidi="ar"/>
                    </w:rPr>
                    <w:t>；</w:t>
                  </w:r>
                </w:p>
                <w:p w14:paraId="1462FB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②预除油池、主除油池循环补充用水量中含碱性除油剂使用量，无铬钝化池循环补充用水量中含无铬钝化剂使用量，以上数据统一体现在水平衡图表内容中</w:t>
                  </w:r>
                </w:p>
              </w:tc>
            </w:tr>
          </w:tbl>
          <w:p w14:paraId="245C97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0"/>
                <w:highlight w:val="none"/>
                <w:lang w:val="en-US" w:eastAsia="zh-CN" w:bidi="ar"/>
              </w:rPr>
              <w:t>从上表计得前处理线</w:t>
            </w:r>
            <w:r>
              <w:rPr>
                <w:rFonts w:hint="eastAsia" w:cs="Times New Roman"/>
                <w:color w:val="auto"/>
                <w:kern w:val="0"/>
                <w:highlight w:val="none"/>
                <w:lang w:val="en-US" w:eastAsia="zh-CN" w:bidi="ar"/>
              </w:rPr>
              <w:t>循环</w:t>
            </w:r>
            <w:r>
              <w:rPr>
                <w:rFonts w:hint="default" w:ascii="Times New Roman" w:hAnsi="Times New Roman" w:cs="Times New Roman"/>
                <w:color w:val="auto"/>
                <w:kern w:val="0"/>
                <w:highlight w:val="none"/>
                <w:lang w:val="en-US" w:eastAsia="zh-CN" w:bidi="ar"/>
              </w:rPr>
              <w:t>补充水量为</w:t>
            </w:r>
            <w:r>
              <w:rPr>
                <w:rFonts w:hint="eastAsia" w:cs="Times New Roman"/>
                <w:color w:val="auto"/>
                <w:kern w:val="0"/>
                <w:highlight w:val="none"/>
                <w:lang w:val="en-US" w:eastAsia="zh-CN" w:bidi="ar"/>
              </w:rPr>
              <w:t>4300.8</w:t>
            </w:r>
            <w:r>
              <w:rPr>
                <w:rFonts w:hint="default" w:ascii="Times New Roman" w:hAnsi="Times New Roman" w:cs="Times New Roman"/>
                <w:color w:val="auto"/>
                <w:kern w:val="0"/>
                <w:highlight w:val="none"/>
                <w:lang w:val="en-US" w:eastAsia="zh-CN" w:bidi="ar"/>
              </w:rPr>
              <w:t>m</w:t>
            </w:r>
            <w:r>
              <w:rPr>
                <w:rFonts w:hint="default" w:ascii="Times New Roman" w:hAnsi="Times New Roman" w:cs="Times New Roman"/>
                <w:color w:val="auto"/>
                <w:kern w:val="0"/>
                <w:highlight w:val="none"/>
                <w:vertAlign w:val="superscript"/>
                <w:lang w:val="en-US" w:eastAsia="zh-CN" w:bidi="ar"/>
              </w:rPr>
              <w:t>3</w:t>
            </w:r>
            <w:r>
              <w:rPr>
                <w:rFonts w:hint="default" w:ascii="Times New Roman" w:hAnsi="Times New Roman" w:cs="Times New Roman"/>
                <w:color w:val="auto"/>
                <w:kern w:val="0"/>
                <w:highlight w:val="none"/>
                <w:lang w:val="en-US" w:eastAsia="zh-CN" w:bidi="ar"/>
              </w:rPr>
              <w:t>/a。</w:t>
            </w:r>
          </w:p>
          <w:p w14:paraId="4BFAFD2E">
            <w:pPr>
              <w:pStyle w:val="12"/>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eastAsia" w:cs="Times New Roman"/>
                <w:color w:val="auto"/>
                <w:highlight w:val="none"/>
                <w:lang w:val="en-US" w:eastAsia="zh-CN"/>
              </w:rPr>
            </w:pPr>
            <w:r>
              <w:rPr>
                <w:rFonts w:hint="eastAsia" w:cs="Times New Roman"/>
                <w:b/>
                <w:bCs/>
                <w:color w:val="auto"/>
                <w:highlight w:val="none"/>
                <w:lang w:val="en-US" w:eastAsia="zh-CN"/>
              </w:rPr>
              <w:t>②</w:t>
            </w:r>
            <w:r>
              <w:rPr>
                <w:rFonts w:hint="default" w:ascii="Times New Roman" w:hAnsi="Times New Roman" w:cs="Times New Roman"/>
                <w:b/>
                <w:bCs/>
                <w:color w:val="auto"/>
                <w:highlight w:val="none"/>
                <w:lang w:val="en-US" w:eastAsia="zh-CN"/>
              </w:rPr>
              <w:t>整槽更换用水、溢流用水</w:t>
            </w:r>
          </w:p>
          <w:p w14:paraId="72253E3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预储油池、主除油池、水洗池</w:t>
            </w:r>
            <w:r>
              <w:rPr>
                <w:rFonts w:hint="eastAsia" w:cs="Times New Roman"/>
                <w:color w:val="auto"/>
                <w:highlight w:val="none"/>
                <w:lang w:val="en-US" w:eastAsia="zh-CN"/>
              </w:rPr>
              <w:t>1~4</w:t>
            </w:r>
            <w:r>
              <w:rPr>
                <w:rFonts w:hint="default" w:ascii="Times New Roman" w:hAnsi="Times New Roman" w:cs="Times New Roman"/>
                <w:color w:val="auto"/>
                <w:highlight w:val="none"/>
                <w:lang w:val="en-US" w:eastAsia="zh-CN"/>
              </w:rPr>
              <w:t>和无铬钝化池水</w:t>
            </w:r>
            <w:r>
              <w:rPr>
                <w:rFonts w:hint="eastAsia" w:cs="Times New Roman"/>
                <w:color w:val="auto"/>
                <w:highlight w:val="none"/>
                <w:lang w:val="en-US" w:eastAsia="zh-CN"/>
              </w:rPr>
              <w:t>体</w:t>
            </w:r>
            <w:r>
              <w:rPr>
                <w:rFonts w:hint="default" w:ascii="Times New Roman" w:hAnsi="Times New Roman" w:cs="Times New Roman"/>
                <w:color w:val="auto"/>
                <w:highlight w:val="none"/>
                <w:lang w:val="en-US" w:eastAsia="zh-CN"/>
              </w:rPr>
              <w:t>循环使用，并适当补充新鲜水</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药剂，定期整池更换。其中为了保证水洗的清洗效果，水洗池同时采用连续溢流的排水方式，其余的预储油池、主除油池、无铬钝化池仅定期整池更换。</w:t>
            </w:r>
          </w:p>
          <w:p w14:paraId="4E11BBB9">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项目前处理整槽更换用水、溢流用水</w:t>
            </w:r>
            <w:r>
              <w:rPr>
                <w:rFonts w:hint="eastAsia" w:cs="Times New Roman"/>
                <w:color w:val="auto"/>
                <w:highlight w:val="none"/>
                <w:lang w:val="en-US" w:eastAsia="zh-CN"/>
              </w:rPr>
              <w:t>量</w:t>
            </w:r>
            <w:r>
              <w:rPr>
                <w:rFonts w:hint="default" w:ascii="Times New Roman" w:hAnsi="Times New Roman" w:cs="Times New Roman"/>
                <w:color w:val="auto"/>
                <w:highlight w:val="none"/>
              </w:rPr>
              <w:t>情况详见下表。</w:t>
            </w:r>
          </w:p>
          <w:p w14:paraId="31F8481A">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整槽更换</w:t>
            </w:r>
            <w:r>
              <w:rPr>
                <w:rFonts w:hint="eastAsia" w:ascii="Times New Roman" w:cs="Times New Roman"/>
                <w:b/>
                <w:bCs/>
                <w:color w:val="auto"/>
                <w:sz w:val="21"/>
                <w:szCs w:val="21"/>
                <w:highlight w:val="none"/>
                <w:lang w:val="en-US" w:eastAsia="zh-CN"/>
              </w:rPr>
              <w:t>用</w:t>
            </w:r>
            <w:r>
              <w:rPr>
                <w:rFonts w:hint="default" w:ascii="Times New Roman" w:hAnsi="Times New Roman" w:cs="Times New Roman"/>
                <w:b/>
                <w:bCs/>
                <w:color w:val="auto"/>
                <w:sz w:val="21"/>
                <w:szCs w:val="21"/>
                <w:highlight w:val="none"/>
                <w:lang w:val="en-US" w:eastAsia="zh-CN"/>
              </w:rPr>
              <w:t>水和溢流</w:t>
            </w:r>
            <w:r>
              <w:rPr>
                <w:rFonts w:hint="eastAsia" w:ascii="Times New Roman" w:cs="Times New Roman"/>
                <w:b/>
                <w:bCs/>
                <w:color w:val="auto"/>
                <w:sz w:val="21"/>
                <w:szCs w:val="21"/>
                <w:highlight w:val="none"/>
                <w:lang w:val="en-US" w:eastAsia="zh-CN"/>
              </w:rPr>
              <w:t>用</w:t>
            </w:r>
            <w:r>
              <w:rPr>
                <w:rFonts w:hint="default" w:ascii="Times New Roman" w:hAnsi="Times New Roman" w:cs="Times New Roman"/>
                <w:b/>
                <w:bCs/>
                <w:color w:val="auto"/>
                <w:sz w:val="21"/>
                <w:szCs w:val="21"/>
                <w:highlight w:val="none"/>
                <w:lang w:val="en-US" w:eastAsia="zh-CN"/>
              </w:rPr>
              <w:t>水</w:t>
            </w:r>
            <w:r>
              <w:rPr>
                <w:rFonts w:hint="default" w:ascii="Times New Roman" w:hAnsi="Times New Roman" w:cs="Times New Roman"/>
                <w:b/>
                <w:bCs/>
                <w:color w:val="auto"/>
                <w:sz w:val="21"/>
                <w:szCs w:val="21"/>
                <w:highlight w:val="none"/>
              </w:rPr>
              <w:t>一览表 单位t/a</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51"/>
              <w:gridCol w:w="447"/>
              <w:gridCol w:w="569"/>
              <w:gridCol w:w="479"/>
              <w:gridCol w:w="427"/>
              <w:gridCol w:w="427"/>
              <w:gridCol w:w="849"/>
              <w:gridCol w:w="600"/>
              <w:gridCol w:w="706"/>
              <w:gridCol w:w="925"/>
              <w:gridCol w:w="794"/>
              <w:gridCol w:w="442"/>
              <w:gridCol w:w="686"/>
              <w:gridCol w:w="793"/>
              <w:gridCol w:w="770"/>
            </w:tblGrid>
            <w:tr w14:paraId="05580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1" w:hRule="atLeast"/>
                <w:jc w:val="center"/>
              </w:trPr>
              <w:tc>
                <w:tcPr>
                  <w:tcW w:w="0" w:type="auto"/>
                  <w:vMerge w:val="restart"/>
                  <w:shd w:val="clear" w:color="auto" w:fill="auto"/>
                  <w:vAlign w:val="center"/>
                </w:tcPr>
                <w:p w14:paraId="38D92CC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0" w:type="auto"/>
                  <w:vMerge w:val="restart"/>
                  <w:shd w:val="clear" w:color="auto" w:fill="auto"/>
                  <w:vAlign w:val="center"/>
                </w:tcPr>
                <w:p w14:paraId="65A6BE3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槽体名称</w:t>
                  </w:r>
                </w:p>
              </w:tc>
              <w:tc>
                <w:tcPr>
                  <w:tcW w:w="0" w:type="auto"/>
                  <w:vMerge w:val="restart"/>
                  <w:shd w:val="clear" w:color="auto" w:fill="auto"/>
                  <w:vAlign w:val="center"/>
                </w:tcPr>
                <w:p w14:paraId="7515BAA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(个)</w:t>
                  </w:r>
                </w:p>
              </w:tc>
              <w:tc>
                <w:tcPr>
                  <w:tcW w:w="0" w:type="auto"/>
                  <w:gridSpan w:val="3"/>
                  <w:shd w:val="clear" w:color="auto" w:fill="auto"/>
                  <w:vAlign w:val="center"/>
                </w:tcPr>
                <w:p w14:paraId="784F3B4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尺寸（m）</w:t>
                  </w:r>
                </w:p>
              </w:tc>
              <w:tc>
                <w:tcPr>
                  <w:tcW w:w="0" w:type="auto"/>
                  <w:vMerge w:val="restart"/>
                  <w:shd w:val="clear" w:color="auto" w:fill="auto"/>
                  <w:vAlign w:val="center"/>
                </w:tcPr>
                <w:p w14:paraId="5CC4482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添加药剂名称</w:t>
                  </w:r>
                </w:p>
              </w:tc>
              <w:tc>
                <w:tcPr>
                  <w:tcW w:w="0" w:type="auto"/>
                  <w:vMerge w:val="restart"/>
                  <w:shd w:val="clear" w:color="auto" w:fill="auto"/>
                  <w:vAlign w:val="center"/>
                </w:tcPr>
                <w:p w14:paraId="0E00E4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(m³)</w:t>
                  </w:r>
                </w:p>
              </w:tc>
              <w:tc>
                <w:tcPr>
                  <w:tcW w:w="0" w:type="auto"/>
                  <w:vMerge w:val="restart"/>
                  <w:shd w:val="clear" w:color="auto" w:fill="auto"/>
                  <w:vAlign w:val="center"/>
                </w:tcPr>
                <w:p w14:paraId="57F0415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温度</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0" w:type="auto"/>
                  <w:gridSpan w:val="2"/>
                  <w:shd w:val="clear" w:color="auto" w:fill="auto"/>
                  <w:vAlign w:val="center"/>
                </w:tcPr>
                <w:p w14:paraId="6B84AE3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eastAsia" w:cs="Times New Roman"/>
                      <w:b/>
                      <w:bCs/>
                      <w:i w:val="0"/>
                      <w:iCs w:val="0"/>
                      <w:color w:val="auto"/>
                      <w:sz w:val="21"/>
                      <w:szCs w:val="21"/>
                      <w:highlight w:val="none"/>
                      <w:u w:val="none"/>
                      <w:lang w:val="en-US" w:eastAsia="zh-CN"/>
                    </w:rPr>
                    <w:t>设计参数</w:t>
                  </w:r>
                </w:p>
              </w:tc>
              <w:tc>
                <w:tcPr>
                  <w:tcW w:w="0" w:type="auto"/>
                  <w:vMerge w:val="restart"/>
                  <w:shd w:val="clear" w:color="auto" w:fill="auto"/>
                  <w:vAlign w:val="center"/>
                </w:tcPr>
                <w:p w14:paraId="2289D2C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排水方式</w:t>
                  </w:r>
                </w:p>
              </w:tc>
              <w:tc>
                <w:tcPr>
                  <w:tcW w:w="0" w:type="auto"/>
                  <w:vMerge w:val="restart"/>
                  <w:shd w:val="clear" w:color="auto" w:fill="auto"/>
                  <w:vAlign w:val="center"/>
                </w:tcPr>
                <w:p w14:paraId="19BA1A8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更换频率</w:t>
                  </w:r>
                </w:p>
              </w:tc>
              <w:tc>
                <w:tcPr>
                  <w:tcW w:w="0" w:type="auto"/>
                  <w:vMerge w:val="restart"/>
                  <w:shd w:val="clear" w:color="auto" w:fill="auto"/>
                  <w:vAlign w:val="center"/>
                </w:tcPr>
                <w:p w14:paraId="3AC3DD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整槽更换用水量(m³/a)</w:t>
                  </w:r>
                </w:p>
              </w:tc>
              <w:tc>
                <w:tcPr>
                  <w:tcW w:w="0" w:type="auto"/>
                  <w:vMerge w:val="restart"/>
                  <w:shd w:val="clear" w:color="auto" w:fill="auto"/>
                  <w:vAlign w:val="center"/>
                </w:tcPr>
                <w:p w14:paraId="526E0FE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溢流用水量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(m³/</w:t>
                  </w:r>
                  <w:r>
                    <w:rPr>
                      <w:rFonts w:hint="eastAsia"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r>
            <w:tr w14:paraId="781B5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0" w:type="auto"/>
                  <w:vMerge w:val="continue"/>
                  <w:shd w:val="clear" w:color="auto" w:fill="auto"/>
                  <w:vAlign w:val="center"/>
                </w:tcPr>
                <w:p w14:paraId="51EA1D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5523DB3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6845F3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shd w:val="clear" w:color="auto" w:fill="auto"/>
                  <w:vAlign w:val="center"/>
                </w:tcPr>
                <w:p w14:paraId="7ED9EF3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w:t>
                  </w:r>
                </w:p>
              </w:tc>
              <w:tc>
                <w:tcPr>
                  <w:tcW w:w="0" w:type="auto"/>
                  <w:shd w:val="clear" w:color="auto" w:fill="auto"/>
                  <w:vAlign w:val="center"/>
                </w:tcPr>
                <w:p w14:paraId="44544AB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w:t>
                  </w:r>
                </w:p>
              </w:tc>
              <w:tc>
                <w:tcPr>
                  <w:tcW w:w="0" w:type="auto"/>
                  <w:shd w:val="clear" w:color="auto" w:fill="auto"/>
                  <w:vAlign w:val="center"/>
                </w:tcPr>
                <w:p w14:paraId="27C5737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深</w:t>
                  </w:r>
                </w:p>
              </w:tc>
              <w:tc>
                <w:tcPr>
                  <w:tcW w:w="0" w:type="auto"/>
                  <w:vMerge w:val="continue"/>
                  <w:shd w:val="clear" w:color="auto" w:fill="auto"/>
                  <w:vAlign w:val="center"/>
                </w:tcPr>
                <w:p w14:paraId="3F145F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03B0C30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53BBD0E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shd w:val="clear" w:color="auto" w:fill="auto"/>
                  <w:vAlign w:val="center"/>
                </w:tcPr>
                <w:p w14:paraId="2559BB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溢流速度(L/min)</w:t>
                  </w:r>
                </w:p>
              </w:tc>
              <w:tc>
                <w:tcPr>
                  <w:tcW w:w="0" w:type="auto"/>
                  <w:shd w:val="clear" w:color="auto" w:fill="auto"/>
                  <w:vAlign w:val="center"/>
                </w:tcPr>
                <w:p w14:paraId="51CB673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溢流用水量(m³/d)</w:t>
                  </w:r>
                </w:p>
              </w:tc>
              <w:tc>
                <w:tcPr>
                  <w:tcW w:w="0" w:type="auto"/>
                  <w:vMerge w:val="continue"/>
                  <w:shd w:val="clear" w:color="auto" w:fill="auto"/>
                  <w:vAlign w:val="center"/>
                </w:tcPr>
                <w:p w14:paraId="4889B98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77D7135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7C157CD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shd w:val="clear" w:color="auto" w:fill="auto"/>
                  <w:vAlign w:val="center"/>
                </w:tcPr>
                <w:p w14:paraId="1B7E9C8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7DF7E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0" w:type="auto"/>
                  <w:vMerge w:val="restart"/>
                  <w:shd w:val="clear" w:color="auto" w:fill="auto"/>
                  <w:vAlign w:val="center"/>
                </w:tcPr>
                <w:p w14:paraId="24114D3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w:t>
                  </w:r>
                </w:p>
              </w:tc>
              <w:tc>
                <w:tcPr>
                  <w:tcW w:w="0" w:type="auto"/>
                  <w:shd w:val="clear" w:color="auto" w:fill="auto"/>
                  <w:vAlign w:val="center"/>
                </w:tcPr>
                <w:p w14:paraId="6775A31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0" w:type="auto"/>
                  <w:shd w:val="clear" w:color="auto" w:fill="auto"/>
                  <w:vAlign w:val="center"/>
                </w:tcPr>
                <w:p w14:paraId="0754566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723593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0" w:type="auto"/>
                  <w:shd w:val="clear" w:color="auto" w:fill="auto"/>
                  <w:vAlign w:val="center"/>
                </w:tcPr>
                <w:p w14:paraId="2DE4C8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7556C8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0792DC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0" w:type="auto"/>
                  <w:shd w:val="clear" w:color="auto" w:fill="auto"/>
                  <w:vAlign w:val="center"/>
                </w:tcPr>
                <w:p w14:paraId="7C64FA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9.60</w:t>
                  </w:r>
                </w:p>
              </w:tc>
              <w:tc>
                <w:tcPr>
                  <w:tcW w:w="0" w:type="auto"/>
                  <w:shd w:val="clear" w:color="auto" w:fill="auto"/>
                  <w:vAlign w:val="center"/>
                </w:tcPr>
                <w:p w14:paraId="005994A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50-60</w:t>
                  </w:r>
                </w:p>
              </w:tc>
              <w:tc>
                <w:tcPr>
                  <w:tcW w:w="0" w:type="auto"/>
                  <w:shd w:val="clear" w:color="auto" w:fill="auto"/>
                  <w:vAlign w:val="center"/>
                </w:tcPr>
                <w:p w14:paraId="4FBFC62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6AD9C5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3A8EEA6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5FE49A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0" w:type="auto"/>
                  <w:shd w:val="clear" w:color="auto" w:fill="auto"/>
                  <w:noWrap/>
                  <w:vAlign w:val="center"/>
                </w:tcPr>
                <w:p w14:paraId="1D408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c>
                <w:tcPr>
                  <w:tcW w:w="0" w:type="auto"/>
                  <w:shd w:val="clear" w:color="auto" w:fill="auto"/>
                  <w:vAlign w:val="center"/>
                </w:tcPr>
                <w:p w14:paraId="5A159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0D7E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continue"/>
                  <w:shd w:val="clear" w:color="auto" w:fill="auto"/>
                  <w:vAlign w:val="center"/>
                </w:tcPr>
                <w:p w14:paraId="7D5BB0B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5AA54C3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0" w:type="auto"/>
                  <w:shd w:val="clear" w:color="auto" w:fill="auto"/>
                  <w:vAlign w:val="center"/>
                </w:tcPr>
                <w:p w14:paraId="7DB1881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52A579E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0" w:type="auto"/>
                  <w:shd w:val="clear" w:color="auto" w:fill="auto"/>
                  <w:vAlign w:val="center"/>
                </w:tcPr>
                <w:p w14:paraId="3702B86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27272D1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72C208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0" w:type="auto"/>
                  <w:shd w:val="clear" w:color="auto" w:fill="auto"/>
                  <w:vAlign w:val="center"/>
                </w:tcPr>
                <w:p w14:paraId="1145CE4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9.60</w:t>
                  </w:r>
                </w:p>
              </w:tc>
              <w:tc>
                <w:tcPr>
                  <w:tcW w:w="0" w:type="auto"/>
                  <w:shd w:val="clear" w:color="auto" w:fill="auto"/>
                  <w:vAlign w:val="center"/>
                </w:tcPr>
                <w:p w14:paraId="262F31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50-60</w:t>
                  </w:r>
                </w:p>
              </w:tc>
              <w:tc>
                <w:tcPr>
                  <w:tcW w:w="0" w:type="auto"/>
                  <w:shd w:val="clear" w:color="auto" w:fill="auto"/>
                  <w:vAlign w:val="center"/>
                </w:tcPr>
                <w:p w14:paraId="6AE0AC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42F1223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3C86D81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665CEB8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0" w:type="auto"/>
                  <w:shd w:val="clear" w:color="auto" w:fill="auto"/>
                  <w:noWrap/>
                  <w:vAlign w:val="center"/>
                </w:tcPr>
                <w:p w14:paraId="3739CC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c>
                <w:tcPr>
                  <w:tcW w:w="0" w:type="auto"/>
                  <w:shd w:val="clear" w:color="auto" w:fill="auto"/>
                  <w:vAlign w:val="center"/>
                </w:tcPr>
                <w:p w14:paraId="4FE1D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48C5D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continue"/>
                  <w:shd w:val="clear" w:color="auto" w:fill="auto"/>
                  <w:vAlign w:val="center"/>
                </w:tcPr>
                <w:p w14:paraId="718148E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2C7B7AE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0" w:type="auto"/>
                  <w:shd w:val="clear" w:color="auto" w:fill="auto"/>
                  <w:vAlign w:val="center"/>
                </w:tcPr>
                <w:p w14:paraId="309C395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4026D32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2.5</w:t>
                  </w:r>
                </w:p>
              </w:tc>
              <w:tc>
                <w:tcPr>
                  <w:tcW w:w="0" w:type="auto"/>
                  <w:shd w:val="clear" w:color="auto" w:fill="auto"/>
                  <w:vAlign w:val="center"/>
                </w:tcPr>
                <w:p w14:paraId="26487C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3B28D14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01FD33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29BCA0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4.0</w:t>
                  </w:r>
                </w:p>
              </w:tc>
              <w:tc>
                <w:tcPr>
                  <w:tcW w:w="0" w:type="auto"/>
                  <w:shd w:val="clear" w:color="auto" w:fill="auto"/>
                  <w:vAlign w:val="center"/>
                </w:tcPr>
                <w:p w14:paraId="560F50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0" w:type="auto"/>
                  <w:shd w:val="clear" w:color="auto" w:fill="auto"/>
                  <w:vAlign w:val="center"/>
                </w:tcPr>
                <w:p w14:paraId="4AD4CC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shd w:val="clear" w:color="auto" w:fill="auto"/>
                  <w:vAlign w:val="center"/>
                </w:tcPr>
                <w:p w14:paraId="453626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0" w:type="auto"/>
                  <w:shd w:val="clear" w:color="auto" w:fill="auto"/>
                  <w:vAlign w:val="center"/>
                </w:tcPr>
                <w:p w14:paraId="2B42673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0" w:type="auto"/>
                  <w:shd w:val="clear" w:color="auto" w:fill="auto"/>
                  <w:vAlign w:val="center"/>
                </w:tcPr>
                <w:p w14:paraId="55BE1A3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0" w:type="auto"/>
                  <w:shd w:val="clear" w:color="auto" w:fill="auto"/>
                  <w:noWrap/>
                  <w:vAlign w:val="center"/>
                </w:tcPr>
                <w:p w14:paraId="0A6D6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0" w:type="auto"/>
                  <w:shd w:val="clear" w:color="auto" w:fill="auto"/>
                  <w:vAlign w:val="center"/>
                </w:tcPr>
                <w:p w14:paraId="6C3C13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2160</w:t>
                  </w:r>
                </w:p>
              </w:tc>
            </w:tr>
            <w:tr w14:paraId="2372F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1" w:hRule="atLeast"/>
                <w:jc w:val="center"/>
              </w:trPr>
              <w:tc>
                <w:tcPr>
                  <w:tcW w:w="0" w:type="auto"/>
                  <w:vMerge w:val="continue"/>
                  <w:shd w:val="clear" w:color="auto" w:fill="auto"/>
                  <w:vAlign w:val="center"/>
                </w:tcPr>
                <w:p w14:paraId="396CD9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3E6F1D8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0" w:type="auto"/>
                  <w:shd w:val="clear" w:color="auto" w:fill="auto"/>
                  <w:vAlign w:val="center"/>
                </w:tcPr>
                <w:p w14:paraId="7883361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0237FD2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shd w:val="clear" w:color="auto" w:fill="auto"/>
                  <w:vAlign w:val="center"/>
                </w:tcPr>
                <w:p w14:paraId="2DCE7D3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309CB2B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643365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77D20C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0" w:type="auto"/>
                  <w:shd w:val="clear" w:color="auto" w:fill="auto"/>
                  <w:vAlign w:val="center"/>
                </w:tcPr>
                <w:p w14:paraId="0639AE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0" w:type="auto"/>
                  <w:shd w:val="clear" w:color="auto" w:fill="auto"/>
                  <w:vAlign w:val="center"/>
                </w:tcPr>
                <w:p w14:paraId="0BB92F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shd w:val="clear" w:color="auto" w:fill="auto"/>
                  <w:vAlign w:val="center"/>
                </w:tcPr>
                <w:p w14:paraId="07E5659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0" w:type="auto"/>
                  <w:shd w:val="clear" w:color="auto" w:fill="auto"/>
                  <w:vAlign w:val="center"/>
                </w:tcPr>
                <w:p w14:paraId="5D58DA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0" w:type="auto"/>
                  <w:shd w:val="clear" w:color="auto" w:fill="auto"/>
                  <w:vAlign w:val="center"/>
                </w:tcPr>
                <w:p w14:paraId="4D5C02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0" w:type="auto"/>
                  <w:shd w:val="clear" w:color="auto" w:fill="auto"/>
                  <w:noWrap/>
                  <w:vAlign w:val="center"/>
                </w:tcPr>
                <w:p w14:paraId="237FCB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0" w:type="auto"/>
                  <w:shd w:val="clear" w:color="auto" w:fill="auto"/>
                  <w:vAlign w:val="center"/>
                </w:tcPr>
                <w:p w14:paraId="62357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2160</w:t>
                  </w:r>
                </w:p>
              </w:tc>
            </w:tr>
            <w:tr w14:paraId="62385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continue"/>
                  <w:shd w:val="clear" w:color="auto" w:fill="auto"/>
                  <w:vAlign w:val="center"/>
                </w:tcPr>
                <w:p w14:paraId="2BD0DDB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53DB81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0" w:type="auto"/>
                  <w:shd w:val="clear" w:color="auto" w:fill="auto"/>
                  <w:vAlign w:val="center"/>
                </w:tcPr>
                <w:p w14:paraId="784F925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5159907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shd w:val="clear" w:color="auto" w:fill="auto"/>
                  <w:vAlign w:val="center"/>
                </w:tcPr>
                <w:p w14:paraId="680D36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3696573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219D7D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75203E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0" w:type="auto"/>
                  <w:shd w:val="clear" w:color="auto" w:fill="auto"/>
                  <w:vAlign w:val="center"/>
                </w:tcPr>
                <w:p w14:paraId="17A437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0" w:type="auto"/>
                  <w:shd w:val="clear" w:color="auto" w:fill="auto"/>
                  <w:vAlign w:val="center"/>
                </w:tcPr>
                <w:p w14:paraId="477E6A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shd w:val="clear" w:color="auto" w:fill="auto"/>
                  <w:vAlign w:val="center"/>
                </w:tcPr>
                <w:p w14:paraId="6867E9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0" w:type="auto"/>
                  <w:shd w:val="clear" w:color="auto" w:fill="auto"/>
                  <w:vAlign w:val="center"/>
                </w:tcPr>
                <w:p w14:paraId="576B4F7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0" w:type="auto"/>
                  <w:shd w:val="clear" w:color="auto" w:fill="auto"/>
                  <w:vAlign w:val="center"/>
                </w:tcPr>
                <w:p w14:paraId="0C463A3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0" w:type="auto"/>
                  <w:shd w:val="clear" w:color="auto" w:fill="auto"/>
                  <w:noWrap/>
                  <w:vAlign w:val="center"/>
                </w:tcPr>
                <w:p w14:paraId="7D1906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0" w:type="auto"/>
                  <w:shd w:val="clear" w:color="auto" w:fill="auto"/>
                  <w:vAlign w:val="center"/>
                </w:tcPr>
                <w:p w14:paraId="2793E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2160</w:t>
                  </w:r>
                </w:p>
              </w:tc>
            </w:tr>
            <w:tr w14:paraId="5FF46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continue"/>
                  <w:shd w:val="clear" w:color="auto" w:fill="auto"/>
                  <w:vAlign w:val="center"/>
                </w:tcPr>
                <w:p w14:paraId="6D75942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3805835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0" w:type="auto"/>
                  <w:shd w:val="clear" w:color="auto" w:fill="auto"/>
                  <w:vAlign w:val="center"/>
                </w:tcPr>
                <w:p w14:paraId="5B5E5C2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7382492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shd w:val="clear" w:color="auto" w:fill="auto"/>
                  <w:vAlign w:val="center"/>
                </w:tcPr>
                <w:p w14:paraId="48745D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3C460BD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292C55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453039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0" w:type="auto"/>
                  <w:shd w:val="clear" w:color="auto" w:fill="auto"/>
                  <w:vAlign w:val="center"/>
                </w:tcPr>
                <w:p w14:paraId="6662D0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0" w:type="auto"/>
                  <w:shd w:val="clear" w:color="auto" w:fill="auto"/>
                  <w:vAlign w:val="center"/>
                </w:tcPr>
                <w:p w14:paraId="504126F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shd w:val="clear" w:color="auto" w:fill="auto"/>
                  <w:vAlign w:val="center"/>
                </w:tcPr>
                <w:p w14:paraId="08079B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0" w:type="auto"/>
                  <w:shd w:val="clear" w:color="auto" w:fill="auto"/>
                  <w:vAlign w:val="center"/>
                </w:tcPr>
                <w:p w14:paraId="6D85395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0" w:type="auto"/>
                  <w:shd w:val="clear" w:color="auto" w:fill="auto"/>
                  <w:vAlign w:val="center"/>
                </w:tcPr>
                <w:p w14:paraId="28B5266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0" w:type="auto"/>
                  <w:shd w:val="clear" w:color="auto" w:fill="auto"/>
                  <w:noWrap/>
                  <w:vAlign w:val="center"/>
                </w:tcPr>
                <w:p w14:paraId="5F2A89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0" w:type="auto"/>
                  <w:shd w:val="clear" w:color="auto" w:fill="auto"/>
                  <w:vAlign w:val="center"/>
                </w:tcPr>
                <w:p w14:paraId="6951C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2160</w:t>
                  </w:r>
                </w:p>
              </w:tc>
            </w:tr>
            <w:tr w14:paraId="13622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0" w:type="auto"/>
                  <w:vMerge w:val="continue"/>
                  <w:shd w:val="clear" w:color="auto" w:fill="auto"/>
                  <w:vAlign w:val="center"/>
                </w:tcPr>
                <w:p w14:paraId="40EA085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0" w:type="auto"/>
                  <w:shd w:val="clear" w:color="auto" w:fill="auto"/>
                  <w:vAlign w:val="center"/>
                </w:tcPr>
                <w:p w14:paraId="102C4D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0" w:type="auto"/>
                  <w:shd w:val="clear" w:color="auto" w:fill="auto"/>
                  <w:vAlign w:val="center"/>
                </w:tcPr>
                <w:p w14:paraId="2D9ED6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1355313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0" w:type="auto"/>
                  <w:shd w:val="clear" w:color="auto" w:fill="auto"/>
                  <w:vAlign w:val="center"/>
                </w:tcPr>
                <w:p w14:paraId="52FF0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48AFDC0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4C91F8E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无铬钝化剂100g/L</w:t>
                  </w:r>
                </w:p>
              </w:tc>
              <w:tc>
                <w:tcPr>
                  <w:tcW w:w="0" w:type="auto"/>
                  <w:shd w:val="clear" w:color="auto" w:fill="auto"/>
                  <w:vAlign w:val="center"/>
                </w:tcPr>
                <w:p w14:paraId="34D0901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7.20</w:t>
                  </w:r>
                </w:p>
              </w:tc>
              <w:tc>
                <w:tcPr>
                  <w:tcW w:w="0" w:type="auto"/>
                  <w:shd w:val="clear" w:color="auto" w:fill="auto"/>
                  <w:vAlign w:val="center"/>
                </w:tcPr>
                <w:p w14:paraId="23FC564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0" w:type="auto"/>
                  <w:shd w:val="clear" w:color="auto" w:fill="auto"/>
                  <w:vAlign w:val="center"/>
                </w:tcPr>
                <w:p w14:paraId="73CA78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4DDBD4F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27D95C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084EEB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0" w:type="auto"/>
                  <w:shd w:val="clear" w:color="auto" w:fill="auto"/>
                  <w:noWrap/>
                  <w:vAlign w:val="center"/>
                </w:tcPr>
                <w:p w14:paraId="5E5F6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28.8</w:t>
                  </w:r>
                </w:p>
              </w:tc>
              <w:tc>
                <w:tcPr>
                  <w:tcW w:w="0" w:type="auto"/>
                  <w:shd w:val="clear" w:color="auto" w:fill="auto"/>
                  <w:vAlign w:val="center"/>
                </w:tcPr>
                <w:p w14:paraId="5FD5B5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152DC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0" w:type="auto"/>
                  <w:gridSpan w:val="13"/>
                  <w:shd w:val="clear" w:color="auto" w:fill="auto"/>
                  <w:vAlign w:val="center"/>
                </w:tcPr>
                <w:p w14:paraId="48785E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合计</w:t>
                  </w:r>
                </w:p>
              </w:tc>
              <w:tc>
                <w:tcPr>
                  <w:tcW w:w="0" w:type="auto"/>
                  <w:shd w:val="clear" w:color="auto" w:fill="auto"/>
                  <w:noWrap/>
                  <w:vAlign w:val="center"/>
                </w:tcPr>
                <w:p w14:paraId="5921EB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326.4</w:t>
                  </w:r>
                </w:p>
              </w:tc>
              <w:tc>
                <w:tcPr>
                  <w:tcW w:w="0" w:type="auto"/>
                  <w:shd w:val="clear" w:color="auto" w:fill="auto"/>
                  <w:vAlign w:val="center"/>
                </w:tcPr>
                <w:p w14:paraId="02BA9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8640</w:t>
                  </w:r>
                </w:p>
              </w:tc>
            </w:tr>
            <w:tr w14:paraId="1A412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0" w:type="auto"/>
                  <w:gridSpan w:val="15"/>
                  <w:shd w:val="clear" w:color="auto" w:fill="auto"/>
                  <w:vAlign w:val="center"/>
                </w:tcPr>
                <w:p w14:paraId="5AF2A0B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备注：①整槽更换槽液=槽液量×更换频率（槽液更换不考虑</w:t>
                  </w:r>
                  <w:r>
                    <w:rPr>
                      <w:rFonts w:hint="eastAsia" w:cs="Times New Roman"/>
                      <w:i w:val="0"/>
                      <w:iCs w:val="0"/>
                      <w:color w:val="auto"/>
                      <w:kern w:val="0"/>
                      <w:sz w:val="21"/>
                      <w:szCs w:val="21"/>
                      <w:highlight w:val="none"/>
                      <w:u w:val="none"/>
                      <w:lang w:val="en-US" w:eastAsia="zh-CN" w:bidi="ar"/>
                    </w:rPr>
                    <w:t>损耗</w:t>
                  </w:r>
                  <w:r>
                    <w:rPr>
                      <w:rFonts w:hint="default" w:ascii="Times New Roman" w:hAnsi="Times New Roman" w:eastAsia="宋体" w:cs="Times New Roman"/>
                      <w:i w:val="0"/>
                      <w:iCs w:val="0"/>
                      <w:color w:val="auto"/>
                      <w:kern w:val="0"/>
                      <w:sz w:val="21"/>
                      <w:szCs w:val="21"/>
                      <w:highlight w:val="none"/>
                      <w:u w:val="none"/>
                      <w:lang w:val="en-US" w:eastAsia="zh-CN" w:bidi="ar"/>
                    </w:rPr>
                    <w:t>）；</w:t>
                  </w:r>
                </w:p>
                <w:p w14:paraId="4322D23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②预除油池、主除油池整槽更换用水量中含碱性除油剂使用量，无铬钝化池整槽更换用水量中含无铬钝化剂使用量，以上数据统一体现在水平衡图表内容中</w:t>
                  </w:r>
                </w:p>
              </w:tc>
            </w:tr>
          </w:tbl>
          <w:p w14:paraId="14406876">
            <w:pPr>
              <w:pStyle w:val="12"/>
              <w:keepNext w:val="0"/>
              <w:keepLines w:val="0"/>
              <w:pageBreakBefore w:val="0"/>
              <w:widowControl w:val="0"/>
              <w:suppressLineNumbers w:val="0"/>
              <w:kinsoku/>
              <w:wordWrap w:val="0"/>
              <w:overflowPunct w:val="0"/>
              <w:topLinePunct w:val="0"/>
              <w:autoSpaceDE/>
              <w:autoSpaceDN/>
              <w:bidi w:val="0"/>
              <w:adjustRightInd/>
              <w:snapToGrid/>
              <w:spacing w:before="0" w:beforeAutospacing="0" w:after="0" w:afterAutospacing="0"/>
              <w:ind w:left="0" w:leftChars="0" w:right="0" w:firstLine="480" w:firstLineChars="200"/>
              <w:textAlignment w:val="auto"/>
              <w:rPr>
                <w:rFonts w:hint="default" w:cs="Times New Roman"/>
                <w:color w:val="auto"/>
                <w:highlight w:val="none"/>
                <w:lang w:val="en-US" w:eastAsia="zh-CN"/>
              </w:rPr>
            </w:pPr>
            <w:r>
              <w:rPr>
                <w:rFonts w:hint="default" w:cs="Times New Roman"/>
                <w:color w:val="auto"/>
                <w:highlight w:val="none"/>
                <w:lang w:val="en-US" w:eastAsia="zh-CN"/>
              </w:rPr>
              <w:t>从上表计得前处理线整槽更换用水和溢流用水为</w:t>
            </w:r>
            <w:r>
              <w:rPr>
                <w:rFonts w:hint="eastAsia" w:cs="Times New Roman"/>
                <w:color w:val="auto"/>
                <w:highlight w:val="none"/>
                <w:lang w:val="en-US" w:eastAsia="zh-CN"/>
              </w:rPr>
              <w:t>326.4</w:t>
            </w:r>
            <w:r>
              <w:rPr>
                <w:rFonts w:hint="default" w:cs="Times New Roman"/>
                <w:color w:val="auto"/>
                <w:highlight w:val="none"/>
                <w:lang w:val="en-US" w:eastAsia="zh-CN"/>
              </w:rPr>
              <w:t>m</w:t>
            </w:r>
            <w:r>
              <w:rPr>
                <w:rFonts w:hint="default" w:cs="Times New Roman"/>
                <w:color w:val="auto"/>
                <w:highlight w:val="none"/>
                <w:vertAlign w:val="superscript"/>
                <w:lang w:val="en-US" w:eastAsia="zh-CN"/>
              </w:rPr>
              <w:t>3</w:t>
            </w:r>
            <w:r>
              <w:rPr>
                <w:rFonts w:hint="default" w:cs="Times New Roman"/>
                <w:color w:val="auto"/>
                <w:highlight w:val="none"/>
                <w:lang w:val="en-US" w:eastAsia="zh-CN"/>
              </w:rPr>
              <w:t>/a</w:t>
            </w:r>
            <w:r>
              <w:rPr>
                <w:rFonts w:hint="eastAsia" w:cs="Times New Roman"/>
                <w:color w:val="auto"/>
                <w:highlight w:val="none"/>
                <w:lang w:val="en-US" w:eastAsia="zh-CN"/>
              </w:rPr>
              <w:t>+8640</w:t>
            </w:r>
            <w:r>
              <w:rPr>
                <w:rFonts w:hint="default" w:cs="Times New Roman"/>
                <w:color w:val="auto"/>
                <w:highlight w:val="none"/>
                <w:lang w:val="en-US" w:eastAsia="zh-CN"/>
              </w:rPr>
              <w:t>m</w:t>
            </w:r>
            <w:r>
              <w:rPr>
                <w:rFonts w:hint="default" w:cs="Times New Roman"/>
                <w:color w:val="auto"/>
                <w:highlight w:val="none"/>
                <w:vertAlign w:val="superscript"/>
                <w:lang w:val="en-US" w:eastAsia="zh-CN"/>
              </w:rPr>
              <w:t>3</w:t>
            </w:r>
            <w:r>
              <w:rPr>
                <w:rFonts w:hint="default" w:cs="Times New Roman"/>
                <w:color w:val="auto"/>
                <w:highlight w:val="none"/>
                <w:lang w:val="en-US" w:eastAsia="zh-CN"/>
              </w:rPr>
              <w:t>/a</w:t>
            </w:r>
            <w:r>
              <w:rPr>
                <w:rFonts w:hint="eastAsia" w:cs="Times New Roman"/>
                <w:color w:val="auto"/>
                <w:highlight w:val="none"/>
                <w:lang w:val="en-US" w:eastAsia="zh-CN"/>
              </w:rPr>
              <w:t>=8966.4</w:t>
            </w:r>
            <w:r>
              <w:rPr>
                <w:rFonts w:hint="default" w:cs="Times New Roman"/>
                <w:color w:val="auto"/>
                <w:highlight w:val="none"/>
                <w:lang w:val="en-US" w:eastAsia="zh-CN"/>
              </w:rPr>
              <w:t>m</w:t>
            </w:r>
            <w:r>
              <w:rPr>
                <w:rFonts w:hint="default" w:cs="Times New Roman"/>
                <w:color w:val="auto"/>
                <w:highlight w:val="none"/>
                <w:vertAlign w:val="superscript"/>
                <w:lang w:val="en-US" w:eastAsia="zh-CN"/>
              </w:rPr>
              <w:t>3</w:t>
            </w:r>
            <w:r>
              <w:rPr>
                <w:rFonts w:hint="default" w:cs="Times New Roman"/>
                <w:color w:val="auto"/>
                <w:highlight w:val="none"/>
                <w:lang w:val="en-US" w:eastAsia="zh-CN"/>
              </w:rPr>
              <w:t>/a。</w:t>
            </w:r>
          </w:p>
          <w:p w14:paraId="74B78188">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用水量一览表</w:t>
            </w:r>
          </w:p>
          <w:tbl>
            <w:tblPr>
              <w:tblStyle w:val="38"/>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117"/>
              <w:gridCol w:w="2185"/>
              <w:gridCol w:w="4057"/>
            </w:tblGrid>
            <w:tr w14:paraId="77048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vAlign w:val="center"/>
                </w:tcPr>
                <w:p w14:paraId="7D970636">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用水情形</w:t>
                  </w:r>
                </w:p>
              </w:tc>
              <w:tc>
                <w:tcPr>
                  <w:tcW w:w="1167" w:type="pct"/>
                  <w:vAlign w:val="center"/>
                </w:tcPr>
                <w:p w14:paraId="333901D4">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用量m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/a</w:t>
                  </w:r>
                </w:p>
              </w:tc>
              <w:tc>
                <w:tcPr>
                  <w:tcW w:w="2167" w:type="pct"/>
                  <w:vAlign w:val="center"/>
                </w:tcPr>
                <w:p w14:paraId="7A867DC8">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说明</w:t>
                  </w:r>
                </w:p>
              </w:tc>
            </w:tr>
            <w:tr w14:paraId="331A8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1665" w:type="pct"/>
                  <w:shd w:val="clear" w:color="auto" w:fill="auto"/>
                  <w:vAlign w:val="center"/>
                </w:tcPr>
                <w:p w14:paraId="4BA60068">
                  <w:pPr>
                    <w:pStyle w:val="56"/>
                    <w:keepNext w:val="0"/>
                    <w:keepLines w:val="0"/>
                    <w:pageBreakBefore w:val="0"/>
                    <w:widowControl/>
                    <w:suppressLineNumbers w:val="0"/>
                    <w:kinsoku/>
                    <w:overflowPunct/>
                    <w:topLinePunct w:val="0"/>
                    <w:bidi w:val="0"/>
                    <w:adjustRightInd/>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生活用水</w:t>
                  </w:r>
                </w:p>
              </w:tc>
              <w:tc>
                <w:tcPr>
                  <w:tcW w:w="2159" w:type="dxa"/>
                  <w:shd w:val="clear" w:color="auto" w:fill="auto"/>
                  <w:vAlign w:val="center"/>
                </w:tcPr>
                <w:p w14:paraId="27F99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2250</w:t>
                  </w:r>
                </w:p>
              </w:tc>
              <w:tc>
                <w:tcPr>
                  <w:tcW w:w="2167" w:type="pct"/>
                  <w:shd w:val="clear" w:color="auto" w:fill="auto"/>
                  <w:vAlign w:val="center"/>
                </w:tcPr>
                <w:p w14:paraId="6ECC5E4E">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150</w:t>
                  </w:r>
                  <w:r>
                    <w:rPr>
                      <w:rFonts w:hint="default" w:ascii="Times New Roman" w:hAnsi="Times New Roman" w:cs="Times New Roman"/>
                      <w:color w:val="auto"/>
                      <w:sz w:val="21"/>
                      <w:szCs w:val="21"/>
                      <w:highlight w:val="none"/>
                    </w:rPr>
                    <w:t>人，</w:t>
                  </w:r>
                  <w:r>
                    <w:rPr>
                      <w:rFonts w:hint="default" w:ascii="Times New Roman" w:hAnsi="Times New Roman" w:cs="Times New Roman"/>
                      <w:color w:val="auto"/>
                      <w:sz w:val="21"/>
                      <w:szCs w:val="21"/>
                      <w:highlight w:val="none"/>
                      <w:lang w:eastAsia="zh-CN"/>
                    </w:rPr>
                    <w:t>提供</w:t>
                  </w:r>
                  <w:r>
                    <w:rPr>
                      <w:rFonts w:hint="eastAsia" w:cs="Times New Roman"/>
                      <w:color w:val="auto"/>
                      <w:sz w:val="21"/>
                      <w:szCs w:val="21"/>
                      <w:highlight w:val="none"/>
                      <w:lang w:eastAsia="zh-CN"/>
                    </w:rPr>
                    <w:t>食</w:t>
                  </w:r>
                  <w:r>
                    <w:rPr>
                      <w:rFonts w:hint="default" w:ascii="Times New Roman" w:hAnsi="Times New Roman" w:cs="Times New Roman"/>
                      <w:color w:val="auto"/>
                      <w:sz w:val="21"/>
                      <w:szCs w:val="21"/>
                      <w:highlight w:val="none"/>
                      <w:lang w:eastAsia="zh-CN"/>
                    </w:rPr>
                    <w:t>宿</w:t>
                  </w:r>
                </w:p>
              </w:tc>
            </w:tr>
            <w:tr w14:paraId="3B454E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665" w:type="pct"/>
                  <w:shd w:val="clear" w:color="auto" w:fill="auto"/>
                  <w:vAlign w:val="center"/>
                </w:tcPr>
                <w:p w14:paraId="162FC42B">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生产用水</w:t>
                  </w:r>
                </w:p>
              </w:tc>
              <w:tc>
                <w:tcPr>
                  <w:tcW w:w="2159" w:type="dxa"/>
                  <w:shd w:val="clear" w:color="auto" w:fill="auto"/>
                  <w:vAlign w:val="center"/>
                </w:tcPr>
                <w:p w14:paraId="7D748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13221.6</w:t>
                  </w:r>
                </w:p>
              </w:tc>
              <w:tc>
                <w:tcPr>
                  <w:tcW w:w="2167" w:type="pct"/>
                  <w:shd w:val="clear" w:color="auto" w:fill="auto"/>
                  <w:vAlign w:val="center"/>
                </w:tcPr>
                <w:p w14:paraId="31333533">
                  <w:pPr>
                    <w:keepNext w:val="0"/>
                    <w:keepLines w:val="0"/>
                    <w:pageBreakBefore w:val="0"/>
                    <w:suppressLineNumbers w:val="0"/>
                    <w:kinsoku/>
                    <w:overflowPunct/>
                    <w:topLinePunct w:val="0"/>
                    <w:bidi w:val="0"/>
                    <w:adjustRightInd/>
                    <w:snapToGrid/>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生产用水量（新鲜用水）=</w:t>
                  </w:r>
                  <w:r>
                    <w:rPr>
                      <w:rFonts w:hint="default" w:ascii="Times New Roman" w:hAnsi="Times New Roman" w:cs="Times New Roman"/>
                      <w:color w:val="auto"/>
                      <w:sz w:val="21"/>
                      <w:szCs w:val="21"/>
                      <w:highlight w:val="none"/>
                      <w:lang w:val="en-US" w:eastAsia="zh-CN"/>
                    </w:rPr>
                    <w:t>前处理线用水</w:t>
                  </w:r>
                  <w:r>
                    <w:rPr>
                      <w:rFonts w:hint="eastAsia" w:cs="Times New Roman"/>
                      <w:color w:val="auto"/>
                      <w:sz w:val="21"/>
                      <w:szCs w:val="21"/>
                      <w:highlight w:val="none"/>
                      <w:lang w:val="en-US" w:eastAsia="zh-CN"/>
                    </w:rPr>
                    <w:t>量-（碱性除油剂年用量+无铬钝化剂年用量）=13267.2-（38.4+7.2）=13221.6</w:t>
                  </w:r>
                </w:p>
              </w:tc>
            </w:tr>
            <w:tr w14:paraId="166304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665" w:type="pct"/>
                  <w:vAlign w:val="center"/>
                </w:tcPr>
                <w:p w14:paraId="2B2556E3">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总用水</w:t>
                  </w:r>
                </w:p>
              </w:tc>
              <w:tc>
                <w:tcPr>
                  <w:tcW w:w="2159" w:type="dxa"/>
                  <w:vAlign w:val="center"/>
                </w:tcPr>
                <w:p w14:paraId="2F537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15471.6</w:t>
                  </w:r>
                </w:p>
              </w:tc>
              <w:tc>
                <w:tcPr>
                  <w:tcW w:w="2167" w:type="pct"/>
                  <w:vAlign w:val="center"/>
                </w:tcPr>
                <w:p w14:paraId="2CF910BD">
                  <w:pPr>
                    <w:keepNext w:val="0"/>
                    <w:keepLines w:val="0"/>
                    <w:pageBreakBefore w:val="0"/>
                    <w:suppressLineNumbers w:val="0"/>
                    <w:kinsoku/>
                    <w:overflowPunct/>
                    <w:topLinePunct w:val="0"/>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14:paraId="658140C6">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（3）排水</w:t>
            </w:r>
          </w:p>
          <w:p w14:paraId="5715C4E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本项目实行雨污分流制的排水体制。</w:t>
            </w:r>
          </w:p>
          <w:p w14:paraId="6A846A4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雨水：雨水经厂区雨水管网收集后，排入市政雨水管网；</w:t>
            </w:r>
          </w:p>
          <w:p w14:paraId="6CDA5617">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生活污水：本项目生活污水排放量为</w:t>
            </w:r>
            <w:r>
              <w:rPr>
                <w:rFonts w:hint="eastAsia" w:cs="Times New Roman"/>
                <w:color w:val="auto"/>
                <w:highlight w:val="none"/>
                <w:lang w:val="en-US" w:eastAsia="zh-CN"/>
              </w:rPr>
              <w:t>2025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预处理后，排入园区污水处理厂进一步处理，达标后排放至武江；</w:t>
            </w:r>
          </w:p>
          <w:p w14:paraId="6685FE1C">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生产废水：生产废水排放量为</w:t>
            </w:r>
            <w:r>
              <w:rPr>
                <w:rFonts w:hint="eastAsia" w:cs="Times New Roman"/>
                <w:color w:val="auto"/>
                <w:highlight w:val="none"/>
                <w:lang w:val="en-US" w:eastAsia="zh-CN"/>
              </w:rPr>
              <w:t>8073.6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/a，折算为</w:t>
            </w:r>
            <w:r>
              <w:rPr>
                <w:rFonts w:hint="eastAsia" w:cs="Times New Roman"/>
                <w:color w:val="auto"/>
                <w:highlight w:val="none"/>
                <w:lang w:val="en-US" w:eastAsia="zh-CN"/>
              </w:rPr>
              <w:t>26.91</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/d。经自建污水处理站（工艺为“中和调节+混凝沉淀+气浮+化学除氟”）处理后，排入园区污水处理厂进一步处理，处理达标后排放至武江。</w:t>
            </w:r>
          </w:p>
          <w:p w14:paraId="4F8ECF45">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排水量一览表</w:t>
            </w:r>
          </w:p>
          <w:tbl>
            <w:tblPr>
              <w:tblStyle w:val="3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28"/>
              <w:gridCol w:w="2135"/>
              <w:gridCol w:w="1211"/>
              <w:gridCol w:w="4691"/>
            </w:tblGrid>
            <w:tr w14:paraId="09360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99819DA">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排水情形</w:t>
                  </w:r>
                </w:p>
              </w:tc>
              <w:tc>
                <w:tcPr>
                  <w:tcW w:w="2110" w:type="dxa"/>
                  <w:vAlign w:val="center"/>
                </w:tcPr>
                <w:p w14:paraId="7051512C">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排水定额</w:t>
                  </w:r>
                </w:p>
              </w:tc>
              <w:tc>
                <w:tcPr>
                  <w:tcW w:w="1197" w:type="dxa"/>
                  <w:vAlign w:val="center"/>
                </w:tcPr>
                <w:p w14:paraId="7AF82DDF">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排水量t/a</w:t>
                  </w:r>
                </w:p>
              </w:tc>
              <w:tc>
                <w:tcPr>
                  <w:tcW w:w="4636" w:type="dxa"/>
                  <w:vAlign w:val="center"/>
                </w:tcPr>
                <w:p w14:paraId="7E443A97">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说明</w:t>
                  </w:r>
                </w:p>
              </w:tc>
            </w:tr>
            <w:tr w14:paraId="496CC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EAD24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生活污水</w:t>
                  </w:r>
                </w:p>
              </w:tc>
              <w:tc>
                <w:tcPr>
                  <w:tcW w:w="2110" w:type="dxa"/>
                  <w:vAlign w:val="center"/>
                </w:tcPr>
                <w:p w14:paraId="12A5AA9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按生活用水量的90%</w:t>
                  </w:r>
                </w:p>
              </w:tc>
              <w:tc>
                <w:tcPr>
                  <w:tcW w:w="1197" w:type="dxa"/>
                  <w:vAlign w:val="center"/>
                </w:tcPr>
                <w:p w14:paraId="05F46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highlight w:val="none"/>
                      <w:lang w:val="en-US"/>
                    </w:rPr>
                  </w:pPr>
                  <w:r>
                    <w:rPr>
                      <w:rFonts w:hint="eastAsia" w:cs="Times New Roman"/>
                      <w:i w:val="0"/>
                      <w:iCs w:val="0"/>
                      <w:color w:val="auto"/>
                      <w:kern w:val="0"/>
                      <w:sz w:val="21"/>
                      <w:szCs w:val="21"/>
                      <w:highlight w:val="none"/>
                      <w:u w:val="none"/>
                      <w:lang w:val="en-US" w:eastAsia="zh-CN" w:bidi="ar"/>
                    </w:rPr>
                    <w:t>2025</w:t>
                  </w:r>
                </w:p>
              </w:tc>
              <w:tc>
                <w:tcPr>
                  <w:tcW w:w="4636" w:type="dxa"/>
                  <w:vAlign w:val="center"/>
                </w:tcPr>
                <w:p w14:paraId="1060525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16"/>
                      <w:highlight w:val="none"/>
                    </w:rPr>
                  </w:pPr>
                  <w:r>
                    <w:rPr>
                      <w:rFonts w:hint="default" w:ascii="Times New Roman" w:hAnsi="Times New Roman" w:cs="Times New Roman"/>
                      <w:bCs/>
                      <w:color w:val="auto"/>
                      <w:sz w:val="21"/>
                      <w:szCs w:val="16"/>
                      <w:highlight w:val="none"/>
                    </w:rPr>
                    <w:t>三级化粪池</w:t>
                  </w:r>
                  <w:r>
                    <w:rPr>
                      <w:rFonts w:hint="eastAsia" w:cs="Times New Roman"/>
                      <w:bCs/>
                      <w:color w:val="auto"/>
                      <w:sz w:val="21"/>
                      <w:szCs w:val="16"/>
                      <w:highlight w:val="none"/>
                      <w:lang w:eastAsia="zh-CN"/>
                    </w:rPr>
                    <w:t>、</w:t>
                  </w:r>
                  <w:r>
                    <w:rPr>
                      <w:rFonts w:hint="eastAsia" w:cs="Times New Roman"/>
                      <w:bCs/>
                      <w:color w:val="auto"/>
                      <w:sz w:val="21"/>
                      <w:szCs w:val="16"/>
                      <w:highlight w:val="none"/>
                      <w:lang w:val="en-US" w:eastAsia="zh-CN"/>
                    </w:rPr>
                    <w:t>隔油隔渣池</w:t>
                  </w:r>
                  <w:r>
                    <w:rPr>
                      <w:rFonts w:hint="default" w:ascii="Times New Roman" w:hAnsi="Times New Roman" w:cs="Times New Roman"/>
                      <w:bCs/>
                      <w:color w:val="auto"/>
                      <w:sz w:val="21"/>
                      <w:szCs w:val="16"/>
                      <w:highlight w:val="none"/>
                    </w:rPr>
                    <w:t>处理→园区污水处理厂→武江</w:t>
                  </w:r>
                </w:p>
              </w:tc>
            </w:tr>
            <w:tr w14:paraId="23A7FD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35DCD18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生产废水</w:t>
                  </w:r>
                </w:p>
              </w:tc>
              <w:tc>
                <w:tcPr>
                  <w:tcW w:w="2110" w:type="dxa"/>
                  <w:vAlign w:val="center"/>
                </w:tcPr>
                <w:p w14:paraId="15D231F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vAlign w:val="center"/>
                </w:tcPr>
                <w:p w14:paraId="6B9C32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8073.6</w:t>
                  </w:r>
                </w:p>
              </w:tc>
              <w:tc>
                <w:tcPr>
                  <w:tcW w:w="4636" w:type="dxa"/>
                  <w:vAlign w:val="center"/>
                </w:tcPr>
                <w:p w14:paraId="7108208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16"/>
                      <w:highlight w:val="none"/>
                    </w:rPr>
                  </w:pPr>
                  <w:r>
                    <w:rPr>
                      <w:rFonts w:hint="default" w:ascii="Times New Roman" w:hAnsi="Times New Roman" w:cs="Times New Roman"/>
                      <w:bCs/>
                      <w:color w:val="auto"/>
                      <w:sz w:val="21"/>
                      <w:szCs w:val="16"/>
                      <w:highlight w:val="none"/>
                    </w:rPr>
                    <w:t>自建污水处理站预处理→园区污水处理厂→武江</w:t>
                  </w:r>
                </w:p>
              </w:tc>
            </w:tr>
            <w:tr w14:paraId="6F13D1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3" w:type="dxa"/>
                  <w:vAlign w:val="center"/>
                </w:tcPr>
                <w:p w14:paraId="62FA248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总排水</w:t>
                  </w:r>
                </w:p>
              </w:tc>
              <w:tc>
                <w:tcPr>
                  <w:tcW w:w="2110" w:type="dxa"/>
                  <w:vAlign w:val="center"/>
                </w:tcPr>
                <w:p w14:paraId="4FEE441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w:t>
                  </w:r>
                </w:p>
              </w:tc>
              <w:tc>
                <w:tcPr>
                  <w:tcW w:w="1197" w:type="dxa"/>
                  <w:shd w:val="clear" w:color="auto" w:fill="auto"/>
                  <w:vAlign w:val="center"/>
                </w:tcPr>
                <w:p w14:paraId="38E88C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10098.6</w:t>
                  </w:r>
                </w:p>
              </w:tc>
              <w:tc>
                <w:tcPr>
                  <w:tcW w:w="4636" w:type="dxa"/>
                  <w:vAlign w:val="center"/>
                </w:tcPr>
                <w:p w14:paraId="7A9C36B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16"/>
                      <w:highlight w:val="none"/>
                    </w:rPr>
                  </w:pPr>
                  <w:r>
                    <w:rPr>
                      <w:rFonts w:hint="default" w:ascii="Times New Roman" w:hAnsi="Times New Roman" w:cs="Times New Roman"/>
                      <w:color w:val="auto"/>
                      <w:sz w:val="21"/>
                      <w:highlight w:val="none"/>
                    </w:rPr>
                    <w:t>/</w:t>
                  </w:r>
                </w:p>
              </w:tc>
            </w:tr>
          </w:tbl>
          <w:p w14:paraId="730FCEC4">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项目水平衡图如下</w:t>
            </w:r>
            <w:r>
              <w:rPr>
                <w:rFonts w:hint="eastAsia" w:cs="Times New Roman"/>
                <w:color w:val="auto"/>
                <w:kern w:val="2"/>
                <w:highlight w:val="none"/>
                <w:lang w:val="en-US" w:eastAsia="zh-CN"/>
              </w:rPr>
              <w:t>：</w:t>
            </w:r>
          </w:p>
          <w:p w14:paraId="0FCEDE3E">
            <w:pPr>
              <w:pStyle w:val="6"/>
              <w:widowControl/>
              <w:numPr>
                <w:ilvl w:val="4"/>
                <w:numId w:val="0"/>
              </w:numPr>
              <w:suppressLineNumbers w:val="0"/>
              <w:spacing w:before="0" w:beforeAutospacing="0" w:after="0" w:afterAutospacing="0"/>
              <w:ind w:left="0" w:right="0"/>
              <w:jc w:val="center"/>
              <w:rPr>
                <w:rFonts w:hint="default"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lang w:val="en-US" w:eastAsia="zh-CN"/>
              </w:rPr>
              <w:drawing>
                <wp:inline distT="0" distB="0" distL="114300" distR="114300">
                  <wp:extent cx="5953125" cy="2895600"/>
                  <wp:effectExtent l="9525" t="9525" r="19050" b="15875"/>
                  <wp:docPr id="9" name="ECB019B1-382A-4266-B25C-5B523AA43C14-1" descr="C:/Users/12604/AppData/Local/Temp/wps.TcyBf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B019B1-382A-4266-B25C-5B523AA43C14-1" descr="C:/Users/12604/AppData/Local/Temp/wps.TcyBfywps"/>
                          <pic:cNvPicPr>
                            <a:picLocks noChangeAspect="1"/>
                          </pic:cNvPicPr>
                        </pic:nvPicPr>
                        <pic:blipFill>
                          <a:blip r:embed="rId18"/>
                          <a:stretch>
                            <a:fillRect/>
                          </a:stretch>
                        </pic:blipFill>
                        <pic:spPr>
                          <a:xfrm>
                            <a:off x="0" y="0"/>
                            <a:ext cx="5953125" cy="2895600"/>
                          </a:xfrm>
                          <a:prstGeom prst="rect">
                            <a:avLst/>
                          </a:prstGeom>
                          <a:ln>
                            <a:solidFill>
                              <a:schemeClr val="tx1"/>
                            </a:solidFill>
                          </a:ln>
                        </pic:spPr>
                      </pic:pic>
                    </a:graphicData>
                  </a:graphic>
                </wp:inline>
              </w:drawing>
            </w:r>
          </w:p>
          <w:p w14:paraId="38BD67AB">
            <w:pPr>
              <w:pStyle w:val="15"/>
              <w:keepNext w:val="0"/>
              <w:keepLines w:val="0"/>
              <w:pageBreakBefore w:val="0"/>
              <w:numPr>
                <w:ilvl w:val="0"/>
                <w:numId w:val="7"/>
              </w:numPr>
              <w:suppressLineNumbers w:val="0"/>
              <w:kinsoku/>
              <w:overflowPunct/>
              <w:topLinePunct w:val="0"/>
              <w:bidi w:val="0"/>
              <w:snapToGrid/>
              <w:spacing w:before="0" w:beforeAutospacing="0" w:after="0" w:afterAutospacing="0" w:line="240" w:lineRule="auto"/>
              <w:ind w:left="0" w:leftChars="0" w:right="0" w:firstLine="0" w:firstLineChars="0"/>
              <w:outlineLvl w:val="9"/>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本项目水平衡图（单位m</w:t>
            </w:r>
            <w:r>
              <w:rPr>
                <w:rFonts w:hint="default" w:ascii="Times New Roman" w:hAnsi="Times New Roman" w:cs="Times New Roman"/>
                <w:color w:val="auto"/>
                <w:kern w:val="2"/>
                <w:highlight w:val="none"/>
                <w:vertAlign w:val="superscript"/>
                <w:lang w:val="en-US" w:eastAsia="zh-CN"/>
              </w:rPr>
              <w:t>3</w:t>
            </w:r>
            <w:r>
              <w:rPr>
                <w:rFonts w:hint="default" w:ascii="Times New Roman" w:hAnsi="Times New Roman" w:cs="Times New Roman"/>
                <w:color w:val="auto"/>
                <w:kern w:val="2"/>
                <w:highlight w:val="none"/>
                <w:lang w:val="en-US" w:eastAsia="zh-CN"/>
              </w:rPr>
              <w:t>/a）</w:t>
            </w:r>
          </w:p>
          <w:p w14:paraId="2CA7A5C1">
            <w:pPr>
              <w:pStyle w:val="6"/>
              <w:widowControl/>
              <w:numPr>
                <w:ilvl w:val="4"/>
                <w:numId w:val="0"/>
              </w:numPr>
              <w:suppressLineNumbers w:val="0"/>
              <w:spacing w:before="0" w:beforeAutospacing="0" w:after="0" w:afterAutospacing="0"/>
              <w:ind w:left="-960" w:right="0" w:firstLine="144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（4）通风系统</w:t>
            </w:r>
          </w:p>
          <w:p w14:paraId="625E5DC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035B8F7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7、环保投资</w:t>
            </w:r>
          </w:p>
          <w:p w14:paraId="33A03C18">
            <w:pPr>
              <w:pStyle w:val="100"/>
              <w:keepNext w:val="0"/>
              <w:keepLines w:val="0"/>
              <w:numPr>
                <w:ilvl w:val="0"/>
                <w:numId w:val="0"/>
              </w:numPr>
              <w:suppressLineNumbers w:val="0"/>
              <w:bidi w:val="0"/>
              <w:spacing w:before="0" w:beforeAutospacing="0" w:after="0" w:afterAutospacing="0"/>
              <w:ind w:left="482" w:leftChars="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本项目所需落实的污染防治措施的投资估算如下表所示。</w:t>
            </w:r>
          </w:p>
          <w:p w14:paraId="422F9074">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sz w:val="21"/>
                <w:szCs w:val="21"/>
                <w:highlight w:val="none"/>
                <w:lang w:val="en-US" w:eastAsia="zh-CN"/>
              </w:rPr>
              <w:t>环保投资估算一览表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697"/>
              <w:gridCol w:w="4077"/>
              <w:gridCol w:w="2775"/>
            </w:tblGrid>
            <w:tr w14:paraId="1B1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CB3066A">
                  <w:pPr>
                    <w:pStyle w:val="62"/>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序号</w:t>
                  </w:r>
                </w:p>
              </w:tc>
              <w:tc>
                <w:tcPr>
                  <w:tcW w:w="906" w:type="pct"/>
                  <w:vAlign w:val="center"/>
                </w:tcPr>
                <w:p w14:paraId="1976C851">
                  <w:pPr>
                    <w:pStyle w:val="62"/>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环保项目</w:t>
                  </w:r>
                </w:p>
              </w:tc>
              <w:tc>
                <w:tcPr>
                  <w:tcW w:w="2177" w:type="pct"/>
                  <w:vAlign w:val="center"/>
                </w:tcPr>
                <w:p w14:paraId="14473F91">
                  <w:pPr>
                    <w:pStyle w:val="62"/>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主要内容</w:t>
                  </w:r>
                </w:p>
              </w:tc>
              <w:tc>
                <w:tcPr>
                  <w:tcW w:w="1482" w:type="pct"/>
                  <w:vAlign w:val="center"/>
                </w:tcPr>
                <w:p w14:paraId="37FD357F">
                  <w:pPr>
                    <w:pStyle w:val="62"/>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投资额（万元）</w:t>
                  </w:r>
                </w:p>
              </w:tc>
            </w:tr>
            <w:tr w14:paraId="7F65A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468EA0DB">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906" w:type="pct"/>
                  <w:vAlign w:val="center"/>
                </w:tcPr>
                <w:p w14:paraId="1E058F67">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废气治理</w:t>
                  </w:r>
                </w:p>
              </w:tc>
              <w:tc>
                <w:tcPr>
                  <w:tcW w:w="2177" w:type="pct"/>
                  <w:vAlign w:val="center"/>
                </w:tcPr>
                <w:p w14:paraId="12A45BF6">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配套废气收集设施、</w:t>
                  </w:r>
                  <w:r>
                    <w:rPr>
                      <w:rFonts w:hint="eastAsia" w:ascii="Times New Roman" w:hAnsi="Times New Roman" w:eastAsia="宋体" w:cs="Times New Roman"/>
                      <w:color w:val="auto"/>
                      <w:spacing w:val="-2"/>
                      <w:kern w:val="0"/>
                      <w:sz w:val="21"/>
                      <w:szCs w:val="21"/>
                      <w:highlight w:val="none"/>
                    </w:rPr>
                    <w:t>大旋风+滤芯式二级回收系统</w:t>
                  </w:r>
                  <w:r>
                    <w:rPr>
                      <w:rFonts w:hint="default" w:ascii="Times New Roman" w:hAnsi="Times New Roman" w:cs="Times New Roman"/>
                      <w:color w:val="auto"/>
                      <w:sz w:val="21"/>
                      <w:szCs w:val="21"/>
                      <w:highlight w:val="none"/>
                      <w:vertAlign w:val="baseline"/>
                      <w:lang w:val="en-US" w:eastAsia="zh-CN"/>
                    </w:rPr>
                    <w:t>、移动式焊烟净化器。</w:t>
                  </w:r>
                </w:p>
              </w:tc>
              <w:tc>
                <w:tcPr>
                  <w:tcW w:w="1482" w:type="pct"/>
                  <w:vAlign w:val="center"/>
                </w:tcPr>
                <w:p w14:paraId="5D5CC0D3">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15</w:t>
                  </w:r>
                </w:p>
              </w:tc>
            </w:tr>
            <w:tr w14:paraId="7A703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19038673">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906" w:type="pct"/>
                  <w:vAlign w:val="center"/>
                </w:tcPr>
                <w:p w14:paraId="6A7BC3A1">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废水治理</w:t>
                  </w:r>
                </w:p>
              </w:tc>
              <w:tc>
                <w:tcPr>
                  <w:tcW w:w="2177" w:type="pct"/>
                  <w:vAlign w:val="center"/>
                </w:tcPr>
                <w:p w14:paraId="2556A161">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铺设污水接驳管道</w:t>
                  </w:r>
                  <w:r>
                    <w:rPr>
                      <w:rFonts w:hint="eastAsia" w:ascii="Times New Roman" w:hAnsi="Times New Roman" w:cs="Times New Roman"/>
                      <w:color w:val="auto"/>
                      <w:sz w:val="21"/>
                      <w:szCs w:val="21"/>
                      <w:highlight w:val="none"/>
                      <w:vertAlign w:val="baseline"/>
                      <w:lang w:val="en-US" w:eastAsia="zh-CN"/>
                    </w:rPr>
                    <w:t>、废水处理设施</w:t>
                  </w:r>
                  <w:r>
                    <w:rPr>
                      <w:rFonts w:hint="default" w:ascii="Times New Roman" w:hAnsi="Times New Roman" w:cs="Times New Roman"/>
                      <w:color w:val="auto"/>
                      <w:sz w:val="21"/>
                      <w:szCs w:val="21"/>
                      <w:highlight w:val="none"/>
                      <w:vertAlign w:val="baseline"/>
                      <w:lang w:val="en-US" w:eastAsia="zh-CN"/>
                    </w:rPr>
                    <w:t>。</w:t>
                  </w:r>
                </w:p>
              </w:tc>
              <w:tc>
                <w:tcPr>
                  <w:tcW w:w="1482" w:type="pct"/>
                  <w:vAlign w:val="center"/>
                </w:tcPr>
                <w:p w14:paraId="2DCD38FF">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w:t>
                  </w:r>
                </w:p>
              </w:tc>
            </w:tr>
            <w:tr w14:paraId="2D5A2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3BD7758E">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906" w:type="pct"/>
                  <w:vAlign w:val="center"/>
                </w:tcPr>
                <w:p w14:paraId="17AA53F9">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噪声治理</w:t>
                  </w:r>
                </w:p>
              </w:tc>
              <w:tc>
                <w:tcPr>
                  <w:tcW w:w="2177" w:type="pct"/>
                  <w:vAlign w:val="center"/>
                </w:tcPr>
                <w:p w14:paraId="57DD72A0">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高噪声设备配套减振、隔音、消声装置。</w:t>
                  </w:r>
                </w:p>
              </w:tc>
              <w:tc>
                <w:tcPr>
                  <w:tcW w:w="1482" w:type="pct"/>
                  <w:vAlign w:val="center"/>
                </w:tcPr>
                <w:p w14:paraId="22F90216">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w:t>
                  </w:r>
                </w:p>
              </w:tc>
            </w:tr>
            <w:tr w14:paraId="652F3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pct"/>
                  <w:vAlign w:val="center"/>
                </w:tcPr>
                <w:p w14:paraId="58F19FD1">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906" w:type="pct"/>
                  <w:vAlign w:val="center"/>
                </w:tcPr>
                <w:p w14:paraId="6573DC51">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固体废物处理</w:t>
                  </w:r>
                </w:p>
              </w:tc>
              <w:tc>
                <w:tcPr>
                  <w:tcW w:w="2177" w:type="pct"/>
                  <w:vAlign w:val="center"/>
                </w:tcPr>
                <w:p w14:paraId="6750872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建设一般工业固体废物、危险废物贮存间。</w:t>
                  </w:r>
                </w:p>
              </w:tc>
              <w:tc>
                <w:tcPr>
                  <w:tcW w:w="1482" w:type="pct"/>
                  <w:vAlign w:val="center"/>
                </w:tcPr>
                <w:p w14:paraId="31D1E775">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w:t>
                  </w:r>
                </w:p>
              </w:tc>
            </w:tr>
            <w:tr w14:paraId="444AC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7" w:type="pct"/>
                  <w:gridSpan w:val="3"/>
                  <w:vAlign w:val="center"/>
                </w:tcPr>
                <w:p w14:paraId="62E7A02F">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合计</w:t>
                  </w:r>
                </w:p>
              </w:tc>
              <w:tc>
                <w:tcPr>
                  <w:tcW w:w="1482" w:type="pct"/>
                  <w:vAlign w:val="center"/>
                </w:tcPr>
                <w:p w14:paraId="68CE9379">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r>
          </w:tbl>
          <w:p w14:paraId="7A0E7A95">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20D2220E">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4D031D54">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color w:val="auto"/>
                <w:szCs w:val="24"/>
                <w:highlight w:val="none"/>
              </w:rPr>
            </w:pPr>
            <w:r>
              <w:rPr>
                <w:rFonts w:hint="eastAsia" w:ascii="Times New Roman" w:hAnsi="Times New Roman" w:cs="Times New Roman"/>
                <w:b w:val="0"/>
                <w:color w:val="auto"/>
                <w:szCs w:val="24"/>
                <w:highlight w:val="none"/>
                <w:lang w:val="en-US" w:eastAsia="zh-CN"/>
              </w:rPr>
              <w:t>根据</w:t>
            </w:r>
            <w:r>
              <w:rPr>
                <w:rFonts w:hint="eastAsia" w:cs="Times New Roman"/>
                <w:b w:val="0"/>
                <w:color w:val="auto"/>
                <w:szCs w:val="24"/>
                <w:highlight w:val="none"/>
                <w:lang w:val="en-US" w:eastAsia="zh-CN"/>
              </w:rPr>
              <w:t>企业投资项目</w:t>
            </w:r>
            <w:r>
              <w:rPr>
                <w:rFonts w:hint="eastAsia" w:ascii="Times New Roman" w:hAnsi="Times New Roman" w:cs="Times New Roman"/>
                <w:b w:val="0"/>
                <w:color w:val="auto"/>
                <w:szCs w:val="24"/>
                <w:highlight w:val="none"/>
                <w:lang w:val="en-US" w:eastAsia="zh-CN"/>
              </w:rPr>
              <w:t>备案证（见附件4）</w:t>
            </w:r>
            <w:r>
              <w:rPr>
                <w:rFonts w:hint="default" w:ascii="Times New Roman" w:hAnsi="Times New Roman" w:cs="Times New Roman"/>
                <w:b w:val="0"/>
                <w:color w:val="auto"/>
                <w:szCs w:val="24"/>
                <w:highlight w:val="none"/>
              </w:rPr>
              <w:t>建设单位拟于</w:t>
            </w:r>
            <w:r>
              <w:rPr>
                <w:rFonts w:hint="eastAsia" w:cs="Times New Roman"/>
                <w:b w:val="0"/>
                <w:color w:val="auto"/>
                <w:szCs w:val="24"/>
                <w:highlight w:val="none"/>
                <w:lang w:eastAsia="zh-CN"/>
              </w:rPr>
              <w:t>韶关市乐昌市乐昌产业转移工业园GL-01-15-02地块</w:t>
            </w:r>
            <w:r>
              <w:rPr>
                <w:rFonts w:hint="default" w:ascii="Times New Roman" w:hAnsi="Times New Roman" w:cs="Times New Roman"/>
                <w:b w:val="0"/>
                <w:color w:val="auto"/>
                <w:szCs w:val="24"/>
                <w:highlight w:val="none"/>
              </w:rPr>
              <w:t>进行生产，根据中华人民共和国</w:t>
            </w:r>
            <w:r>
              <w:rPr>
                <w:rFonts w:hint="eastAsia" w:cs="Times New Roman"/>
                <w:b w:val="0"/>
                <w:color w:val="auto"/>
                <w:szCs w:val="24"/>
                <w:highlight w:val="none"/>
                <w:lang w:eastAsia="zh-CN"/>
              </w:rPr>
              <w:t>建设用地规划许可证</w:t>
            </w:r>
            <w:r>
              <w:rPr>
                <w:rFonts w:hint="default" w:ascii="Times New Roman" w:hAnsi="Times New Roman" w:cs="Times New Roman"/>
                <w:b w:val="0"/>
                <w:color w:val="auto"/>
                <w:szCs w:val="24"/>
                <w:highlight w:val="none"/>
              </w:rPr>
              <w:t>（详见附件3）可知，项目用地用途为工业用地。</w:t>
            </w:r>
          </w:p>
          <w:p w14:paraId="4AC6C11C">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09BCDAB5">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bookmarkStart w:id="19" w:name="_Toc21623"/>
            <w:bookmarkStart w:id="20" w:name="_Toc15878"/>
            <w:r>
              <w:rPr>
                <w:rFonts w:hint="default" w:ascii="Times New Roman" w:hAnsi="Times New Roman" w:cs="Times New Roman"/>
                <w:color w:val="auto"/>
                <w:highlight w:val="none"/>
              </w:rPr>
              <w:t>本项目位于</w:t>
            </w:r>
            <w:r>
              <w:rPr>
                <w:rFonts w:hint="eastAsia" w:cs="Times New Roman"/>
                <w:color w:val="auto"/>
                <w:highlight w:val="none"/>
                <w:lang w:eastAsia="zh-CN"/>
              </w:rPr>
              <w:t>韶关市乐昌市乐昌产业转移工业园GL-01-15-02地块</w:t>
            </w:r>
            <w:r>
              <w:rPr>
                <w:rFonts w:hint="default" w:ascii="Times New Roman" w:hAnsi="Times New Roman" w:cs="Times New Roman"/>
                <w:color w:val="auto"/>
                <w:highlight w:val="none"/>
              </w:rPr>
              <w:t>。</w:t>
            </w:r>
            <w:r>
              <w:rPr>
                <w:rFonts w:hint="default" w:ascii="Times New Roman" w:hAnsi="Times New Roman" w:cs="Times New Roman"/>
                <w:bCs/>
                <w:color w:val="auto"/>
                <w:highlight w:val="none"/>
              </w:rPr>
              <w:t>本项目东面</w:t>
            </w:r>
            <w:r>
              <w:rPr>
                <w:rFonts w:hint="eastAsia" w:cs="Times New Roman"/>
                <w:bCs/>
                <w:color w:val="auto"/>
                <w:highlight w:val="none"/>
                <w:lang w:eastAsia="zh-CN"/>
              </w:rPr>
              <w:t>隔道路</w:t>
            </w:r>
            <w:r>
              <w:rPr>
                <w:rFonts w:hint="default" w:ascii="Times New Roman" w:hAnsi="Times New Roman" w:cs="Times New Roman"/>
                <w:bCs/>
                <w:color w:val="auto"/>
                <w:highlight w:val="none"/>
              </w:rPr>
              <w:t>为</w:t>
            </w:r>
            <w:r>
              <w:rPr>
                <w:rFonts w:hint="eastAsia" w:cs="Times New Roman"/>
                <w:bCs/>
                <w:color w:val="auto"/>
                <w:highlight w:val="none"/>
                <w:lang w:val="en-US" w:eastAsia="zh-CN"/>
              </w:rPr>
              <w:t>空地</w:t>
            </w:r>
            <w:r>
              <w:rPr>
                <w:rFonts w:hint="default" w:ascii="Times New Roman" w:hAnsi="Times New Roman" w:cs="Times New Roman"/>
                <w:bCs/>
                <w:color w:val="auto"/>
                <w:highlight w:val="none"/>
              </w:rPr>
              <w:t>、南面为</w:t>
            </w:r>
            <w:r>
              <w:rPr>
                <w:rFonts w:hint="eastAsia" w:cs="Times New Roman"/>
                <w:bCs/>
                <w:color w:val="auto"/>
                <w:highlight w:val="none"/>
                <w:lang w:val="en-US" w:eastAsia="zh-CN"/>
              </w:rPr>
              <w:t>在建厂房</w:t>
            </w:r>
            <w:r>
              <w:rPr>
                <w:rFonts w:hint="default" w:ascii="Times New Roman" w:hAnsi="Times New Roman" w:cs="Times New Roman"/>
                <w:bCs/>
                <w:color w:val="auto"/>
                <w:highlight w:val="none"/>
              </w:rPr>
              <w:t>、西面</w:t>
            </w:r>
            <w:r>
              <w:rPr>
                <w:rFonts w:hint="default" w:ascii="Times New Roman" w:hAnsi="Times New Roman" w:cs="Times New Roman"/>
                <w:bCs/>
                <w:color w:val="auto"/>
                <w:highlight w:val="none"/>
                <w:lang w:val="en-US" w:eastAsia="zh-CN"/>
              </w:rPr>
              <w:t>为空地</w:t>
            </w:r>
            <w:r>
              <w:rPr>
                <w:rFonts w:hint="default" w:ascii="Times New Roman" w:hAnsi="Times New Roman" w:cs="Times New Roman"/>
                <w:bCs/>
                <w:color w:val="auto"/>
                <w:highlight w:val="none"/>
              </w:rPr>
              <w:t>、北面</w:t>
            </w:r>
            <w:r>
              <w:rPr>
                <w:rFonts w:hint="eastAsia" w:cs="Times New Roman"/>
                <w:bCs/>
                <w:color w:val="auto"/>
                <w:highlight w:val="none"/>
                <w:lang w:eastAsia="zh-CN"/>
              </w:rPr>
              <w:t>隔道路</w:t>
            </w:r>
            <w:r>
              <w:rPr>
                <w:rFonts w:hint="default" w:ascii="Times New Roman" w:hAnsi="Times New Roman" w:cs="Times New Roman"/>
                <w:bCs/>
                <w:color w:val="auto"/>
                <w:highlight w:val="none"/>
              </w:rPr>
              <w:t>为</w:t>
            </w:r>
            <w:r>
              <w:rPr>
                <w:rFonts w:hint="eastAsia" w:cs="Times New Roman"/>
                <w:bCs/>
                <w:color w:val="auto"/>
                <w:highlight w:val="none"/>
                <w:lang w:val="en-US" w:eastAsia="zh-CN"/>
              </w:rPr>
              <w:t>空地</w:t>
            </w:r>
            <w:r>
              <w:rPr>
                <w:rFonts w:hint="default" w:ascii="Times New Roman" w:hAnsi="Times New Roman" w:cs="Times New Roman"/>
                <w:bCs/>
                <w:color w:val="auto"/>
                <w:highlight w:val="none"/>
              </w:rPr>
              <w:t>，本项目最近的环境保护目标为厂界</w:t>
            </w:r>
            <w:r>
              <w:rPr>
                <w:rFonts w:hint="eastAsia" w:cs="Times New Roman"/>
                <w:bCs/>
                <w:color w:val="auto"/>
                <w:highlight w:val="none"/>
                <w:lang w:eastAsia="zh-CN"/>
              </w:rPr>
              <w:t>西</w:t>
            </w:r>
            <w:r>
              <w:rPr>
                <w:rFonts w:hint="default" w:ascii="Times New Roman" w:hAnsi="Times New Roman" w:cs="Times New Roman"/>
                <w:bCs/>
                <w:color w:val="auto"/>
                <w:highlight w:val="none"/>
              </w:rPr>
              <w:t>南侧</w:t>
            </w:r>
            <w:r>
              <w:rPr>
                <w:rFonts w:hint="eastAsia" w:cs="Times New Roman"/>
                <w:bCs/>
                <w:color w:val="auto"/>
                <w:highlight w:val="none"/>
                <w:lang w:val="en-US" w:eastAsia="zh-CN"/>
              </w:rPr>
              <w:t>425</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lang w:val="en-US" w:eastAsia="zh-CN"/>
              </w:rPr>
              <w:t>的大岭背居民区</w:t>
            </w:r>
            <w:r>
              <w:rPr>
                <w:rFonts w:hint="default" w:ascii="Times New Roman" w:hAnsi="Times New Roman" w:cs="Times New Roman"/>
                <w:color w:val="auto"/>
                <w:highlight w:val="none"/>
              </w:rPr>
              <w:t>。</w:t>
            </w:r>
            <w:bookmarkEnd w:id="19"/>
            <w:bookmarkEnd w:id="20"/>
          </w:p>
          <w:p w14:paraId="31F6E638">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55456C15">
            <w:pPr>
              <w:pStyle w:val="31"/>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textAlignment w:val="auto"/>
              <w:outlineLvl w:val="9"/>
              <w:rPr>
                <w:rFonts w:hint="default" w:ascii="Times New Roman" w:hAnsi="Times New Roman" w:cs="Times New Roman"/>
                <w:color w:val="auto"/>
                <w:highlight w:val="none"/>
              </w:rPr>
            </w:pPr>
            <w:bookmarkStart w:id="21" w:name="_Toc20310"/>
            <w:bookmarkStart w:id="22" w:name="_Toc19690"/>
            <w:bookmarkStart w:id="23" w:name="_Toc22320"/>
            <w:bookmarkStart w:id="24" w:name="_Toc1050"/>
            <w:bookmarkStart w:id="25" w:name="_Toc24572"/>
            <w:bookmarkStart w:id="26" w:name="_Toc4848"/>
            <w:bookmarkStart w:id="27" w:name="_Toc5262"/>
            <w:bookmarkStart w:id="28" w:name="_Toc6378"/>
            <w:bookmarkStart w:id="29" w:name="_Toc4970"/>
            <w:r>
              <w:rPr>
                <w:rFonts w:hint="default" w:ascii="Times New Roman" w:hAnsi="Times New Roman" w:cs="Times New Roman"/>
                <w:color w:val="auto"/>
                <w:szCs w:val="24"/>
                <w:highlight w:val="none"/>
              </w:rPr>
              <w:t>本项目由生产厂房（</w:t>
            </w:r>
            <w:r>
              <w:rPr>
                <w:rFonts w:hint="eastAsia" w:cs="Times New Roman"/>
                <w:color w:val="auto"/>
                <w:szCs w:val="24"/>
                <w:highlight w:val="none"/>
                <w:lang w:val="en-US" w:eastAsia="zh-CN"/>
              </w:rPr>
              <w:t>3</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5</w:t>
            </w:r>
            <w:r>
              <w:rPr>
                <w:rFonts w:hint="default" w:ascii="Times New Roman" w:hAnsi="Times New Roman" w:cs="Times New Roman"/>
                <w:color w:val="auto"/>
                <w:szCs w:val="24"/>
                <w:highlight w:val="none"/>
              </w:rPr>
              <w:t>#厂房）、宿舍楼、</w:t>
            </w:r>
            <w:r>
              <w:rPr>
                <w:rFonts w:hint="eastAsia" w:cs="Times New Roman"/>
                <w:color w:val="auto"/>
                <w:szCs w:val="24"/>
                <w:highlight w:val="none"/>
                <w:lang w:eastAsia="zh-CN"/>
              </w:rPr>
              <w:t>研发楼</w:t>
            </w:r>
            <w:r>
              <w:rPr>
                <w:rFonts w:hint="default" w:ascii="Times New Roman" w:hAnsi="Times New Roman" w:cs="Times New Roman"/>
                <w:color w:val="auto"/>
                <w:szCs w:val="24"/>
                <w:highlight w:val="none"/>
              </w:rPr>
              <w:t>等建筑物组成，各区用途分明，布局紧凑，原料统一存放，便于物料的管理和风险控制，该区域地面设置防渗层，防止泄漏时下渗，防止污染土壤和地下水；废气排气筒DA001设置在</w:t>
            </w:r>
            <w:r>
              <w:rPr>
                <w:rFonts w:hint="default" w:ascii="Times New Roman" w:hAnsi="Times New Roman" w:cs="Times New Roman"/>
                <w:color w:val="auto"/>
                <w:szCs w:val="24"/>
                <w:highlight w:val="none"/>
                <w:lang w:val="en-US" w:eastAsia="zh-CN"/>
              </w:rPr>
              <w:t>3</w:t>
            </w:r>
            <w:r>
              <w:rPr>
                <w:rFonts w:hint="default" w:ascii="Times New Roman" w:hAnsi="Times New Roman" w:cs="Times New Roman"/>
                <w:color w:val="auto"/>
                <w:szCs w:val="24"/>
                <w:highlight w:val="none"/>
              </w:rPr>
              <w:t>#厂房</w:t>
            </w:r>
            <w:r>
              <w:rPr>
                <w:rFonts w:hint="eastAsia" w:cs="Times New Roman"/>
                <w:color w:val="auto"/>
                <w:szCs w:val="24"/>
                <w:highlight w:val="none"/>
                <w:lang w:val="en-US" w:eastAsia="zh-CN"/>
              </w:rPr>
              <w:t>西南</w:t>
            </w:r>
            <w:r>
              <w:rPr>
                <w:rFonts w:hint="default" w:ascii="Times New Roman" w:hAnsi="Times New Roman" w:cs="Times New Roman"/>
                <w:color w:val="auto"/>
                <w:szCs w:val="24"/>
                <w:highlight w:val="none"/>
              </w:rPr>
              <w:t>侧，距离最近的环境保护目标</w:t>
            </w:r>
            <w:r>
              <w:rPr>
                <w:rFonts w:hint="default" w:ascii="Times New Roman" w:hAnsi="Times New Roman" w:cs="Times New Roman"/>
                <w:color w:val="auto"/>
                <w:szCs w:val="24"/>
                <w:highlight w:val="none"/>
                <w:lang w:val="en-US" w:eastAsia="zh-CN"/>
              </w:rPr>
              <w:t>大岭背居民区</w:t>
            </w:r>
            <w:r>
              <w:rPr>
                <w:rFonts w:hint="eastAsia" w:ascii="Times New Roman" w:hAnsi="Times New Roman" w:cs="Times New Roman"/>
                <w:color w:val="auto"/>
                <w:szCs w:val="24"/>
                <w:highlight w:val="none"/>
                <w:lang w:val="en-US" w:eastAsia="zh-CN"/>
              </w:rPr>
              <w:t>4</w:t>
            </w:r>
            <w:r>
              <w:rPr>
                <w:rFonts w:hint="eastAsia" w:cs="Times New Roman"/>
                <w:color w:val="auto"/>
                <w:szCs w:val="24"/>
                <w:highlight w:val="none"/>
                <w:lang w:val="en-US" w:eastAsia="zh-CN"/>
              </w:rPr>
              <w:t>80</w:t>
            </w:r>
            <w:r>
              <w:rPr>
                <w:rFonts w:hint="default" w:ascii="Times New Roman" w:hAnsi="Times New Roman" w:cs="Times New Roman"/>
                <w:color w:val="auto"/>
                <w:szCs w:val="24"/>
                <w:highlight w:val="none"/>
              </w:rPr>
              <w:t>m。本项目四周以工业性质企业、建设用地为主，因此本项目建设能与周边环境协调一致，项目四至环境见附图2，周边环境现状实景见附图1</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w:t>
            </w:r>
            <w:bookmarkEnd w:id="21"/>
            <w:bookmarkEnd w:id="22"/>
            <w:bookmarkEnd w:id="23"/>
            <w:bookmarkEnd w:id="24"/>
            <w:bookmarkEnd w:id="25"/>
            <w:bookmarkEnd w:id="26"/>
            <w:bookmarkEnd w:id="27"/>
            <w:bookmarkEnd w:id="28"/>
            <w:bookmarkEnd w:id="29"/>
          </w:p>
        </w:tc>
      </w:tr>
      <w:tr w14:paraId="7FE88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41" w:type="pct"/>
            <w:vAlign w:val="center"/>
          </w:tcPr>
          <w:p w14:paraId="4F2365F7">
            <w:pPr>
              <w:keepNext w:val="0"/>
              <w:keepLines w:val="0"/>
              <w:pageBreakBefore w:val="0"/>
              <w:widowControl w:val="0"/>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line="276" w:lineRule="auto"/>
              <w:ind w:left="0" w:right="0"/>
              <w:jc w:val="center"/>
              <w:textAlignment w:val="auto"/>
              <w:outlineLvl w:val="9"/>
              <w:rPr>
                <w:rFonts w:hint="default" w:ascii="Times New Roman" w:hAnsi="Times New Roman" w:cs="Times New Roman"/>
                <w:color w:val="auto"/>
                <w:highlight w:val="none"/>
              </w:rPr>
            </w:pPr>
            <w:bookmarkStart w:id="30" w:name="_Toc25729"/>
            <w:bookmarkStart w:id="31" w:name="_Toc22477"/>
            <w:bookmarkStart w:id="32" w:name="_Toc29759"/>
            <w:bookmarkStart w:id="33" w:name="_Toc14179"/>
            <w:bookmarkStart w:id="34" w:name="_Toc7091"/>
            <w:r>
              <w:rPr>
                <w:rFonts w:hint="default" w:ascii="Times New Roman" w:hAnsi="Times New Roman" w:cs="Times New Roman"/>
                <w:b/>
                <w:bCs/>
                <w:color w:val="auto"/>
                <w:highlight w:val="none"/>
              </w:rPr>
              <w:t>工艺流程和产排污环节</w:t>
            </w:r>
            <w:bookmarkEnd w:id="30"/>
            <w:bookmarkEnd w:id="31"/>
            <w:bookmarkEnd w:id="32"/>
            <w:bookmarkEnd w:id="33"/>
            <w:bookmarkEnd w:id="34"/>
          </w:p>
        </w:tc>
        <w:tc>
          <w:tcPr>
            <w:tcW w:w="4758" w:type="pct"/>
          </w:tcPr>
          <w:p w14:paraId="558360DE">
            <w:pPr>
              <w:keepNext w:val="0"/>
              <w:keepLines w:val="0"/>
              <w:pageBreakBefore w:val="0"/>
              <w:numPr>
                <w:ilvl w:val="2"/>
                <w:numId w:val="0"/>
              </w:numPr>
              <w:suppressLineNumbers w:val="0"/>
              <w:tabs>
                <w:tab w:val="left" w:pos="420"/>
              </w:tabs>
              <w:kinsoku/>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一、工艺流程说明</w:t>
            </w:r>
          </w:p>
          <w:p w14:paraId="7B0AC8C7">
            <w:pPr>
              <w:keepNext w:val="0"/>
              <w:keepLines w:val="0"/>
              <w:pageBreakBefore w:val="0"/>
              <w:suppressLineNumbers w:val="0"/>
              <w:kinsoku/>
              <w:overflowPunct/>
              <w:topLinePunct w:val="0"/>
              <w:bidi w:val="0"/>
              <w:snapToGrid/>
              <w:spacing w:before="0" w:beforeAutospacing="0" w:after="0" w:afterAutospacing="0"/>
              <w:ind w:left="0" w:right="0" w:firstLine="480" w:firstLine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（1）钣金制品生产工艺流程及产污分析</w:t>
            </w:r>
          </w:p>
          <w:p w14:paraId="20A39DFD">
            <w:pPr>
              <w:keepNext w:val="0"/>
              <w:keepLines w:val="0"/>
              <w:pageBreakBefore w:val="0"/>
              <w:suppressLineNumbers w:val="0"/>
              <w:kinsoku/>
              <w:overflowPunct/>
              <w:topLinePunct w:val="0"/>
              <w:bidi w:val="0"/>
              <w:snapToGrid/>
              <w:spacing w:before="0" w:beforeAutospacing="0" w:after="0" w:afterAutospacing="0"/>
              <w:ind w:left="0" w:right="0"/>
              <w:jc w:val="both"/>
              <w:outlineLvl w:val="9"/>
              <w:rPr>
                <w:rFonts w:hint="default" w:ascii="Times New Roman" w:hAnsi="Times New Roman" w:cs="Times New Roman"/>
                <w:color w:val="auto"/>
                <w:highlight w:val="none"/>
              </w:rPr>
            </w:pPr>
            <w:r>
              <w:rPr>
                <w:rFonts w:hint="eastAsia"/>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4199255</wp:posOffset>
                      </wp:positionH>
                      <wp:positionV relativeFrom="paragraph">
                        <wp:posOffset>5176520</wp:posOffset>
                      </wp:positionV>
                      <wp:extent cx="1697990" cy="593090"/>
                      <wp:effectExtent l="0" t="0" r="7620" b="635"/>
                      <wp:wrapNone/>
                      <wp:docPr id="107" name="文本框 107"/>
                      <wp:cNvGraphicFramePr/>
                      <a:graphic xmlns:a="http://schemas.openxmlformats.org/drawingml/2006/main">
                        <a:graphicData uri="http://schemas.microsoft.com/office/word/2010/wordprocessingShape">
                          <wps:wsp>
                            <wps:cNvSpPr txBox="1"/>
                            <wps:spPr>
                              <a:xfrm>
                                <a:off x="0" y="0"/>
                                <a:ext cx="1697990" cy="5930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09763D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sz w:val="21"/>
                                      <w:szCs w:val="21"/>
                                      <w:lang w:val="en-US" w:eastAsia="zh-CN"/>
                                    </w:rPr>
                                  </w:pPr>
                                  <w:r>
                                    <w:rPr>
                                      <w:rFonts w:hint="eastAsia"/>
                                      <w:sz w:val="21"/>
                                      <w:szCs w:val="21"/>
                                      <w:lang w:val="en-US" w:eastAsia="zh-CN"/>
                                    </w:rPr>
                                    <w:t>15m高排气筒DA003排放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65pt;margin-top:407.6pt;height:46.7pt;width:133.7pt;z-index:251762688;mso-width-relative:page;mso-height-relative:page;" fillcolor="#FFFFFF [3201]" filled="t" stroked="f" coordsize="21600,21600" o:gfxdata="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dGQstcAAAALAQAADwAA&#10;AAAAAAABACAAAAAiAAAAZHJzL2Rvd25yZXYueG1sUEsBAhQAFAAAAAgAh07iQAnTRxhQAgAAkwQA&#10;AA4AAAAAAAAAAQAgAAAAJgEAAGRycy9lMm9Eb2MueG1sUEsFBgAAAAAGAAYAWQEAAOgFAAAAAA==&#10;">
                      <v:fill on="t" focussize="0,0"/>
                      <v:stroke on="f" weight="0.5pt"/>
                      <v:imagedata o:title=""/>
                      <o:lock v:ext="edit" aspectratio="f"/>
                      <v:textbox>
                        <w:txbxContent>
                          <w:p w14:paraId="509763D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sz w:val="21"/>
                                <w:szCs w:val="21"/>
                                <w:lang w:val="en-US" w:eastAsia="zh-CN"/>
                              </w:rPr>
                            </w:pPr>
                            <w:r>
                              <w:rPr>
                                <w:rFonts w:hint="eastAsia"/>
                                <w:sz w:val="21"/>
                                <w:szCs w:val="21"/>
                                <w:lang w:val="en-US" w:eastAsia="zh-CN"/>
                              </w:rPr>
                              <w:t>15m高排气筒DA003排放</w:t>
                            </w:r>
                          </w:p>
                        </w:txbxContent>
                      </v:textbox>
                    </v:shape>
                  </w:pict>
                </mc:Fallback>
              </mc:AlternateContent>
            </w:r>
            <w:r>
              <w:rPr>
                <w:rFonts w:hint="eastAsia"/>
                <w:color w:val="auto"/>
                <w:sz w:val="24"/>
                <w:highlight w:val="none"/>
              </w:rPr>
              <mc:AlternateContent>
                <mc:Choice Requires="wps">
                  <w:drawing>
                    <wp:anchor distT="0" distB="0" distL="114300" distR="114300" simplePos="0" relativeHeight="251763712" behindDoc="0" locked="0" layoutInCell="1" allowOverlap="1">
                      <wp:simplePos x="0" y="0"/>
                      <wp:positionH relativeFrom="column">
                        <wp:posOffset>4128135</wp:posOffset>
                      </wp:positionH>
                      <wp:positionV relativeFrom="paragraph">
                        <wp:posOffset>1350010</wp:posOffset>
                      </wp:positionV>
                      <wp:extent cx="1741805" cy="593090"/>
                      <wp:effectExtent l="0" t="0" r="6985" b="635"/>
                      <wp:wrapNone/>
                      <wp:docPr id="106" name="文本框 106"/>
                      <wp:cNvGraphicFramePr/>
                      <a:graphic xmlns:a="http://schemas.openxmlformats.org/drawingml/2006/main">
                        <a:graphicData uri="http://schemas.microsoft.com/office/word/2010/wordprocessingShape">
                          <wps:wsp>
                            <wps:cNvSpPr txBox="1"/>
                            <wps:spPr>
                              <a:xfrm>
                                <a:off x="5246370" y="5060315"/>
                                <a:ext cx="1741805" cy="5930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C8FBDE2">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sz w:val="21"/>
                                      <w:szCs w:val="21"/>
                                      <w:lang w:val="en-US" w:eastAsia="zh-CN"/>
                                    </w:rPr>
                                  </w:pPr>
                                  <w:r>
                                    <w:rPr>
                                      <w:rFonts w:hint="eastAsia"/>
                                      <w:sz w:val="21"/>
                                      <w:szCs w:val="21"/>
                                      <w:lang w:val="en-US" w:eastAsia="zh-CN"/>
                                    </w:rPr>
                                    <w:t>大旋风+滤芯式二级回收系统，15m高排气筒DA003排放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05pt;margin-top:106.3pt;height:46.7pt;width:137.15pt;z-index:251763712;mso-width-relative:page;mso-height-relative:page;" fillcolor="#FFFFFF [3201]" filled="t" stroked="f" coordsize="21600,21600" o:gfxdata="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d9z&#10;DdUAAAALAQAADwAAAAAAAAABACAAAAAiAAAAZHJzL2Rvd25yZXYueG1sUEsBAhQAFAAAAAgAh07i&#10;QEqA1LJeAgAAnwQAAA4AAAAAAAAAAQAgAAAAJAEAAGRycy9lMm9Eb2MueG1sUEsFBgAAAAAGAAYA&#10;WQEAAPQFAAAAAA==&#10;">
                      <v:fill on="t" focussize="0,0"/>
                      <v:stroke on="f" weight="0.5pt"/>
                      <v:imagedata o:title=""/>
                      <o:lock v:ext="edit" aspectratio="f"/>
                      <v:textbox>
                        <w:txbxContent>
                          <w:p w14:paraId="4C8FBDE2">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sz w:val="21"/>
                                <w:szCs w:val="21"/>
                                <w:lang w:val="en-US" w:eastAsia="zh-CN"/>
                              </w:rPr>
                            </w:pPr>
                            <w:r>
                              <w:rPr>
                                <w:rFonts w:hint="eastAsia"/>
                                <w:sz w:val="21"/>
                                <w:szCs w:val="21"/>
                                <w:lang w:val="en-US" w:eastAsia="zh-CN"/>
                              </w:rPr>
                              <w:t>大旋风+滤芯式二级回收系统，15m高排气筒DA003排放</w:t>
                            </w:r>
                          </w:p>
                        </w:txbxContent>
                      </v:textbox>
                    </v:shape>
                  </w:pict>
                </mc:Fallback>
              </mc:AlternateContent>
            </w:r>
            <w:r>
              <w:rPr>
                <w:rFonts w:hint="eastAsia"/>
                <w:color w:val="auto"/>
                <w:sz w:val="24"/>
                <w:highlight w:val="none"/>
              </w:rPr>
              <mc:AlternateContent>
                <mc:Choice Requires="wps">
                  <w:drawing>
                    <wp:anchor distT="0" distB="0" distL="114300" distR="114300" simplePos="0" relativeHeight="251755520" behindDoc="0" locked="0" layoutInCell="1" allowOverlap="1">
                      <wp:simplePos x="0" y="0"/>
                      <wp:positionH relativeFrom="column">
                        <wp:posOffset>3830320</wp:posOffset>
                      </wp:positionH>
                      <wp:positionV relativeFrom="paragraph">
                        <wp:posOffset>530225</wp:posOffset>
                      </wp:positionV>
                      <wp:extent cx="423545" cy="345440"/>
                      <wp:effectExtent l="0" t="0" r="8255" b="10160"/>
                      <wp:wrapNone/>
                      <wp:docPr id="31" name="矩形 31"/>
                      <wp:cNvGraphicFramePr/>
                      <a:graphic xmlns:a="http://schemas.openxmlformats.org/drawingml/2006/main">
                        <a:graphicData uri="http://schemas.microsoft.com/office/word/2010/wordprocessingShape">
                          <wps:wsp>
                            <wps:cNvSpPr/>
                            <wps:spPr>
                              <a:xfrm>
                                <a:off x="4751705" y="1450975"/>
                                <a:ext cx="423545" cy="3454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6pt;margin-top:41.75pt;height:27.2pt;width:33.35pt;z-index:251755520;v-text-anchor:middle;mso-width-relative:page;mso-height-relative:page;" fillcolor="#FFFFFF [3212]" filled="t" stroked="f" coordsize="21600,21600" o:gfxdata="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hkAWzdoAAAAKAQAADwAAAAAAAAABACAAAAAiAAAA&#10;ZHJzL2Rvd25yZXYueG1sUEsBAhQAFAAAAAgAh07iQDx7nYZ3AgAA2AQAAA4AAAAAAAAAAQAgAAAA&#10;KQEAAGRycy9lMm9Eb2MueG1sUEsFBgAAAAAGAAYAWQEAABIGAAAAAA==&#10;">
                      <v:fill on="t" focussize="0,0"/>
                      <v:stroke on="f" weight="1pt" miterlimit="8" joinstyle="miter"/>
                      <v:imagedata o:title=""/>
                      <o:lock v:ext="edit" aspectratio="f"/>
                    </v:rect>
                  </w:pict>
                </mc:Fallback>
              </mc:AlternateContent>
            </w:r>
            <w:r>
              <w:rPr>
                <w:rFonts w:hint="eastAsia"/>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202565</wp:posOffset>
                      </wp:positionH>
                      <wp:positionV relativeFrom="paragraph">
                        <wp:posOffset>969645</wp:posOffset>
                      </wp:positionV>
                      <wp:extent cx="1238250" cy="4191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238250" cy="4191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D9C4AF">
                                  <w:pPr>
                                    <w:keepNext w:val="0"/>
                                    <w:keepLines w:val="0"/>
                                    <w:pageBreakBefore w:val="0"/>
                                    <w:widowControl w:val="0"/>
                                    <w:kinsoku/>
                                    <w:wordWrap/>
                                    <w:overflowPunct/>
                                    <w:topLinePunct w:val="0"/>
                                    <w:bidi w:val="0"/>
                                    <w:adjustRightInd w:val="0"/>
                                    <w:snapToGrid w:val="0"/>
                                    <w:spacing w:line="240" w:lineRule="auto"/>
                                    <w:textAlignment w:val="auto"/>
                                    <w:rPr>
                                      <w:rFonts w:hint="eastAsia" w:eastAsia="宋体"/>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折弯机、冲床、氩弧焊机、激光焊机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5pt;margin-top:76.35pt;height:33pt;width:97.5pt;z-index:251714560;mso-width-relative:page;mso-height-relative:page;" fillcolor="#FFFFFF [3201]" filled="t" stroked="f" coordsize="21600,21600" o:gfxdata="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kqz9i1QAAAAoBAAAPAAAAAAAA&#10;AAEAIAAAACIAAABkcnMvZG93bnJldi54bWxQSwECFAAUAAAACACHTuJA84xvXk4CAACPBAAADgAA&#10;AAAAAAABACAAAAAkAQAAZHJzL2Uyb0RvYy54bWxQSwUGAAAAAAYABgBZAQAA5AUAAAAA&#10;">
                      <v:fill on="t" focussize="0,0"/>
                      <v:stroke on="f" weight="0.5pt"/>
                      <v:imagedata o:title=""/>
                      <o:lock v:ext="edit" aspectratio="f"/>
                      <v:textbox>
                        <w:txbxContent>
                          <w:p w14:paraId="0DD9C4AF">
                            <w:pPr>
                              <w:keepNext w:val="0"/>
                              <w:keepLines w:val="0"/>
                              <w:pageBreakBefore w:val="0"/>
                              <w:widowControl w:val="0"/>
                              <w:kinsoku/>
                              <w:wordWrap/>
                              <w:overflowPunct/>
                              <w:topLinePunct w:val="0"/>
                              <w:bidi w:val="0"/>
                              <w:adjustRightInd w:val="0"/>
                              <w:snapToGrid w:val="0"/>
                              <w:spacing w:line="240" w:lineRule="auto"/>
                              <w:textAlignment w:val="auto"/>
                              <w:rPr>
                                <w:rFonts w:hint="eastAsia" w:eastAsia="宋体"/>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折弯机、冲床、氩弧焊机、激光焊机</w:t>
                            </w:r>
                          </w:p>
                        </w:txbxContent>
                      </v:textbox>
                    </v:shape>
                  </w:pict>
                </mc:Fallback>
              </mc:AlternateContent>
            </w:r>
            <w:r>
              <w:rPr>
                <w:rFonts w:hint="eastAsia"/>
                <w:color w:val="auto"/>
                <w:highlight w:val="none"/>
              </w:rPr>
              <w:drawing>
                <wp:inline distT="0" distB="0" distL="114300" distR="114300">
                  <wp:extent cx="5934075" cy="5947410"/>
                  <wp:effectExtent l="9525" t="9525" r="15240" b="1270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9"/>
                          <a:stretch>
                            <a:fillRect/>
                          </a:stretch>
                        </pic:blipFill>
                        <pic:spPr>
                          <a:xfrm>
                            <a:off x="0" y="0"/>
                            <a:ext cx="5934075" cy="5947410"/>
                          </a:xfrm>
                          <a:prstGeom prst="rect">
                            <a:avLst/>
                          </a:prstGeom>
                          <a:noFill/>
                          <a:ln>
                            <a:solidFill>
                              <a:schemeClr val="tx1"/>
                            </a:solidFill>
                          </a:ln>
                        </pic:spPr>
                      </pic:pic>
                    </a:graphicData>
                  </a:graphic>
                </wp:inline>
              </w:drawing>
            </w:r>
          </w:p>
          <w:p w14:paraId="19CA753B">
            <w:pPr>
              <w:pStyle w:val="15"/>
              <w:keepNext w:val="0"/>
              <w:keepLines w:val="0"/>
              <w:pageBreakBefore w:val="0"/>
              <w:numPr>
                <w:ilvl w:val="0"/>
                <w:numId w:val="7"/>
              </w:numPr>
              <w:suppressLineNumbers w:val="0"/>
              <w:kinsoku/>
              <w:overflowPunct/>
              <w:topLinePunct w:val="0"/>
              <w:bidi w:val="0"/>
              <w:snapToGrid/>
              <w:spacing w:before="0" w:beforeAutospacing="0" w:after="0" w:afterAutospacing="0" w:line="240" w:lineRule="auto"/>
              <w:ind w:left="0" w:leftChars="0" w:right="0" w:firstLine="0" w:firstLineChars="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生产工艺流程图</w:t>
            </w:r>
          </w:p>
          <w:p w14:paraId="61092C20">
            <w:pPr>
              <w:keepNext w:val="0"/>
              <w:keepLines w:val="0"/>
              <w:pageBreakBefore w:val="0"/>
              <w:numPr>
                <w:ilvl w:val="0"/>
                <w:numId w:val="0"/>
              </w:numPr>
              <w:suppressLineNumbers w:val="0"/>
              <w:tabs>
                <w:tab w:val="left" w:pos="420"/>
              </w:tabs>
              <w:kinsoku/>
              <w:overflowPunct/>
              <w:topLinePunct w:val="0"/>
              <w:bidi w:val="0"/>
              <w:snapToGrid/>
              <w:spacing w:before="0" w:beforeAutospacing="0" w:after="0" w:afterAutospacing="0"/>
              <w:ind w:left="480" w:leftChars="200" w:right="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工艺流程说明：</w:t>
            </w:r>
          </w:p>
          <w:p w14:paraId="2439736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（1）铝卷开料、钣金成型：</w:t>
            </w:r>
            <w:r>
              <w:rPr>
                <w:rFonts w:hint="default" w:ascii="Times New Roman" w:hAnsi="Times New Roman" w:cs="Times New Roman"/>
                <w:color w:val="auto"/>
                <w:highlight w:val="none"/>
              </w:rPr>
              <w:t>项目铝卷购入后经开卷机开料，经剪切线裁剪出合适大小的铝板件，经冲压、折弯、焊接</w:t>
            </w:r>
            <w:r>
              <w:rPr>
                <w:rFonts w:hint="eastAsia" w:cs="Times New Roman"/>
                <w:color w:val="auto"/>
                <w:highlight w:val="none"/>
                <w:lang w:eastAsia="zh-CN"/>
              </w:rPr>
              <w:t>、</w:t>
            </w:r>
            <w:r>
              <w:rPr>
                <w:rFonts w:hint="default" w:ascii="Times New Roman" w:hAnsi="Times New Roman" w:cs="Times New Roman"/>
                <w:color w:val="auto"/>
                <w:highlight w:val="none"/>
              </w:rPr>
              <w:t>等工序后</w:t>
            </w:r>
            <w:r>
              <w:rPr>
                <w:rFonts w:hint="eastAsia" w:cs="Times New Roman"/>
                <w:color w:val="auto"/>
                <w:highlight w:val="none"/>
                <w:lang w:val="en-US" w:eastAsia="zh-CN"/>
              </w:rPr>
              <w:t>组装</w:t>
            </w:r>
            <w:r>
              <w:rPr>
                <w:rFonts w:hint="default" w:ascii="Times New Roman" w:hAnsi="Times New Roman" w:cs="Times New Roman"/>
                <w:color w:val="auto"/>
                <w:highlight w:val="none"/>
              </w:rPr>
              <w:t>成型，作为钣金件送入打磨间、抛光间</w:t>
            </w:r>
            <w:r>
              <w:rPr>
                <w:rFonts w:hint="eastAsia" w:cs="Times New Roman"/>
                <w:color w:val="auto"/>
                <w:highlight w:val="none"/>
                <w:lang w:eastAsia="zh-CN"/>
              </w:rPr>
              <w:t>。</w:t>
            </w:r>
            <w:r>
              <w:rPr>
                <w:rFonts w:hint="eastAsia" w:cs="Times New Roman"/>
                <w:color w:val="auto"/>
                <w:highlight w:val="none"/>
                <w:lang w:val="en-US" w:eastAsia="zh-CN"/>
              </w:rPr>
              <w:t>开</w:t>
            </w:r>
            <w:r>
              <w:rPr>
                <w:rFonts w:hint="default" w:ascii="Times New Roman" w:hAnsi="Times New Roman" w:cs="Times New Roman"/>
                <w:color w:val="auto"/>
                <w:highlight w:val="none"/>
              </w:rPr>
              <w:t>卷过程不产生粉尘</w:t>
            </w:r>
            <w:r>
              <w:rPr>
                <w:rFonts w:hint="eastAsia" w:cs="Times New Roman"/>
                <w:color w:val="auto"/>
                <w:highlight w:val="none"/>
                <w:lang w:eastAsia="zh-CN"/>
              </w:rPr>
              <w:t>，</w:t>
            </w:r>
            <w:r>
              <w:rPr>
                <w:rFonts w:hint="eastAsia" w:cs="Times New Roman"/>
                <w:color w:val="auto"/>
                <w:highlight w:val="none"/>
                <w:lang w:val="en-US" w:eastAsia="zh-CN"/>
              </w:rPr>
              <w:t>主要产生边角料，综上</w:t>
            </w:r>
            <w:r>
              <w:rPr>
                <w:rFonts w:hint="default" w:ascii="Times New Roman" w:hAnsi="Times New Roman" w:cs="Times New Roman"/>
                <w:color w:val="auto"/>
                <w:highlight w:val="none"/>
              </w:rPr>
              <w:t>该工序主要产生</w:t>
            </w:r>
            <w:r>
              <w:rPr>
                <w:rFonts w:hint="eastAsia" w:cs="Times New Roman"/>
                <w:color w:val="auto"/>
                <w:highlight w:val="none"/>
                <w:lang w:val="en-US" w:eastAsia="zh-CN"/>
              </w:rPr>
              <w:t>少量金属粉尘、</w:t>
            </w:r>
            <w:r>
              <w:rPr>
                <w:rFonts w:hint="default" w:ascii="Times New Roman" w:hAnsi="Times New Roman" w:cs="Times New Roman"/>
                <w:color w:val="auto"/>
                <w:highlight w:val="none"/>
              </w:rPr>
              <w:t>废包装物、边角料、焊接烟尘、噪声。</w:t>
            </w:r>
          </w:p>
          <w:p w14:paraId="6D7CD25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cs="Times New Roman"/>
                <w:b/>
                <w:color w:val="auto"/>
                <w:highlight w:val="none"/>
              </w:rPr>
              <w:t>（2）打磨、抛光：</w:t>
            </w:r>
            <w:r>
              <w:rPr>
                <w:rFonts w:hint="default" w:ascii="Times New Roman" w:hAnsi="Times New Roman" w:cs="Times New Roman"/>
                <w:bCs/>
                <w:color w:val="auto"/>
                <w:highlight w:val="none"/>
              </w:rPr>
              <w:t>钣金件送至打磨间、抛光间，在封闭工作台内使用角磨机、振磨机、气动抛光机进行操作</w:t>
            </w:r>
            <w:r>
              <w:rPr>
                <w:rFonts w:hint="default" w:ascii="Times New Roman" w:hAnsi="Times New Roman" w:cs="Times New Roman"/>
                <w:color w:val="auto"/>
                <w:kern w:val="0"/>
                <w:highlight w:val="none"/>
                <w:lang w:bidi="ar"/>
              </w:rPr>
              <w:t>，产生的打磨、抛光粉尘</w:t>
            </w:r>
            <w:r>
              <w:rPr>
                <w:rFonts w:hint="eastAsia" w:ascii="Times New Roman" w:hAnsi="Times New Roman" w:cs="Times New Roman"/>
                <w:color w:val="auto"/>
                <w:kern w:val="0"/>
                <w:highlight w:val="none"/>
                <w:lang w:val="en-US" w:eastAsia="zh-CN" w:bidi="ar"/>
              </w:rPr>
              <w:t>密闭收集经</w:t>
            </w:r>
            <w:r>
              <w:rPr>
                <w:rFonts w:hint="default" w:ascii="Times New Roman" w:hAnsi="Times New Roman" w:cs="Times New Roman"/>
                <w:color w:val="auto"/>
                <w:kern w:val="0"/>
                <w:highlight w:val="none"/>
                <w:lang w:bidi="ar"/>
              </w:rPr>
              <w:t>大旋风+滤芯式二级回收系统</w:t>
            </w:r>
            <w:r>
              <w:rPr>
                <w:rFonts w:hint="default" w:ascii="Times New Roman" w:hAnsi="Times New Roman" w:cs="Times New Roman"/>
                <w:color w:val="auto"/>
                <w:kern w:val="0"/>
                <w:highlight w:val="none"/>
                <w:lang w:val="en-US" w:eastAsia="zh-CN" w:bidi="ar"/>
              </w:rPr>
              <w:t>处理后</w:t>
            </w:r>
            <w:r>
              <w:rPr>
                <w:rFonts w:hint="eastAsia" w:cs="Times New Roman"/>
                <w:color w:val="auto"/>
                <w:kern w:val="0"/>
                <w:highlight w:val="none"/>
                <w:lang w:val="en-US" w:eastAsia="zh-CN" w:bidi="ar"/>
              </w:rPr>
              <w:t>经引风机引至排气筒DA003排放</w:t>
            </w:r>
            <w:r>
              <w:rPr>
                <w:rFonts w:hint="default" w:ascii="Times New Roman" w:hAnsi="Times New Roman" w:cs="Times New Roman"/>
                <w:color w:val="auto"/>
                <w:kern w:val="0"/>
                <w:highlight w:val="none"/>
                <w:lang w:bidi="ar"/>
              </w:rPr>
              <w:t>，该工序产生打磨抛光粉尘、噪声</w:t>
            </w:r>
            <w:r>
              <w:rPr>
                <w:rFonts w:hint="default" w:ascii="Times New Roman" w:hAnsi="Times New Roman" w:cs="Times New Roman"/>
                <w:color w:val="auto"/>
                <w:kern w:val="0"/>
                <w:highlight w:val="none"/>
                <w:lang w:eastAsia="zh-CN" w:bidi="ar"/>
              </w:rPr>
              <w:t>。</w:t>
            </w:r>
          </w:p>
          <w:p w14:paraId="04FADA6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textAlignment w:val="auto"/>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（3）铝卷表面预处理生产线</w:t>
            </w:r>
          </w:p>
          <w:p w14:paraId="1BE4716C">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lang w:val="en-US" w:eastAsia="zh-CN"/>
              </w:rPr>
              <w:t>①</w:t>
            </w:r>
            <w:r>
              <w:rPr>
                <w:rFonts w:hint="default" w:ascii="Times New Roman" w:hAnsi="Times New Roman" w:eastAsia="宋体" w:cs="Times New Roman"/>
                <w:b/>
                <w:color w:val="auto"/>
                <w:highlight w:val="none"/>
                <w:lang w:val="en-US" w:eastAsia="zh-CN"/>
              </w:rPr>
              <w:t>预除油池、主除油池：</w:t>
            </w:r>
            <w:r>
              <w:rPr>
                <w:rFonts w:hint="default" w:ascii="Times New Roman" w:hAnsi="Times New Roman" w:cs="Times New Roman"/>
                <w:color w:val="auto"/>
                <w:highlight w:val="none"/>
              </w:rPr>
              <w:t>项目除油工序采用碱性除油剂，</w:t>
            </w:r>
            <w:r>
              <w:rPr>
                <w:rFonts w:hint="default" w:ascii="Times New Roman" w:hAnsi="Times New Roman" w:cs="Times New Roman"/>
                <w:color w:val="auto"/>
                <w:highlight w:val="none"/>
                <w:lang w:val="en-US" w:eastAsia="zh-CN"/>
              </w:rPr>
              <w:t>项目预处理生产采用</w:t>
            </w:r>
            <w:r>
              <w:rPr>
                <w:rFonts w:hint="eastAsia" w:cs="Times New Roman"/>
                <w:color w:val="auto"/>
                <w:highlight w:val="none"/>
                <w:lang w:val="en-US" w:eastAsia="zh-CN"/>
              </w:rPr>
              <w:t>浸泡</w:t>
            </w:r>
            <w:r>
              <w:rPr>
                <w:rFonts w:hint="default" w:ascii="Times New Roman" w:hAnsi="Times New Roman" w:cs="Times New Roman"/>
                <w:color w:val="auto"/>
                <w:highlight w:val="none"/>
                <w:lang w:val="en-US" w:eastAsia="zh-CN"/>
              </w:rPr>
              <w:t>方式清洗除油，</w:t>
            </w:r>
            <w:r>
              <w:rPr>
                <w:rFonts w:hint="eastAsia" w:cs="Times New Roman"/>
                <w:color w:val="auto"/>
                <w:highlight w:val="none"/>
                <w:lang w:val="en-US" w:eastAsia="zh-CN"/>
              </w:rPr>
              <w:t>设</w:t>
            </w:r>
            <w:r>
              <w:rPr>
                <w:rFonts w:hint="default" w:ascii="Times New Roman" w:hAnsi="Times New Roman" w:cs="Times New Roman"/>
                <w:color w:val="auto"/>
                <w:highlight w:val="none"/>
                <w:lang w:val="en-US" w:eastAsia="zh-CN"/>
              </w:rPr>
              <w:t>期间采用电能加热装置将</w:t>
            </w:r>
            <w:r>
              <w:rPr>
                <w:rFonts w:hint="eastAsia" w:cs="Times New Roman"/>
                <w:color w:val="auto"/>
                <w:highlight w:val="none"/>
                <w:lang w:val="en-US" w:eastAsia="zh-CN"/>
              </w:rPr>
              <w:t>除油池内</w:t>
            </w:r>
            <w:r>
              <w:rPr>
                <w:rFonts w:hint="default" w:ascii="Times New Roman" w:hAnsi="Times New Roman" w:cs="Times New Roman"/>
                <w:color w:val="auto"/>
                <w:highlight w:val="none"/>
                <w:lang w:val="en-US" w:eastAsia="zh-CN"/>
              </w:rPr>
              <w:t>清洗液加热到</w:t>
            </w:r>
            <w:r>
              <w:rPr>
                <w:rFonts w:hint="eastAsia" w:cs="Times New Roman"/>
                <w:color w:val="auto"/>
                <w:highlight w:val="none"/>
                <w:lang w:val="en-US" w:eastAsia="zh-CN"/>
              </w:rPr>
              <w:t>50</w:t>
            </w:r>
            <w:r>
              <w:rPr>
                <w:rFonts w:hint="default" w:ascii="Times New Roman" w:hAnsi="Times New Roman" w:cs="Times New Roman"/>
                <w:color w:val="auto"/>
                <w:highlight w:val="none"/>
                <w:lang w:val="en-US" w:eastAsia="zh-CN"/>
              </w:rPr>
              <w:t>℃左右，当</w:t>
            </w:r>
            <w:r>
              <w:rPr>
                <w:rFonts w:hint="default" w:ascii="Times New Roman" w:hAnsi="Times New Roman" w:cs="Times New Roman"/>
                <w:color w:val="auto"/>
                <w:highlight w:val="none"/>
              </w:rPr>
              <w:t>除油工序完成后进入水洗池清洗</w:t>
            </w:r>
            <w:r>
              <w:rPr>
                <w:rFonts w:hint="default" w:ascii="Times New Roman" w:hAnsi="Times New Roman" w:eastAsia="宋体" w:cs="Times New Roman"/>
                <w:color w:val="auto"/>
                <w:kern w:val="0"/>
                <w:sz w:val="24"/>
                <w:szCs w:val="24"/>
                <w:highlight w:val="none"/>
                <w:lang w:val="en-US" w:eastAsia="zh-CN" w:bidi="ar"/>
              </w:rPr>
              <w:t>。项目除油池溶液循环使用，定期补充新除油剂</w:t>
            </w:r>
            <w:r>
              <w:rPr>
                <w:rFonts w:hint="eastAsia" w:cs="Times New Roman"/>
                <w:color w:val="auto"/>
                <w:kern w:val="0"/>
                <w:sz w:val="24"/>
                <w:szCs w:val="24"/>
                <w:highlight w:val="none"/>
                <w:lang w:val="en-US" w:eastAsia="zh-CN" w:bidi="ar"/>
              </w:rPr>
              <w:t>、水，预除油池、主除油池中槽液浓度配比取碱性除油剂：水=1:50</w:t>
            </w:r>
            <w:r>
              <w:rPr>
                <w:rFonts w:hint="default" w:ascii="Times New Roman" w:hAnsi="Times New Roman" w:eastAsia="宋体" w:cs="Times New Roman"/>
                <w:color w:val="auto"/>
                <w:kern w:val="0"/>
                <w:sz w:val="24"/>
                <w:szCs w:val="24"/>
                <w:highlight w:val="none"/>
                <w:lang w:val="en-US" w:eastAsia="zh-CN" w:bidi="ar"/>
              </w:rPr>
              <w:t>，预除油池每</w:t>
            </w:r>
            <w:r>
              <w:rPr>
                <w:rFonts w:hint="eastAsia"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个月整池更换一次、主除油池每3个月整池更换一次，此过程会产生表面处理废水。</w:t>
            </w:r>
          </w:p>
          <w:p w14:paraId="63FC65D6">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b/>
                <w:color w:val="auto"/>
                <w:highlight w:val="none"/>
                <w:lang w:val="en-US" w:eastAsia="zh-CN"/>
              </w:rPr>
              <w:t>③水洗池</w:t>
            </w:r>
          </w:p>
          <w:p w14:paraId="6C1E9844">
            <w:pPr>
              <w:keepNext w:val="0"/>
              <w:keepLines w:val="0"/>
              <w:pageBreakBefore w:val="0"/>
              <w:widowControl/>
              <w:suppressLineNumbers w:val="0"/>
              <w:kinsoku/>
              <w:wordWrap/>
              <w:overflowPunct/>
              <w:topLinePunct w:val="0"/>
              <w:bidi w:val="0"/>
              <w:adjustRightInd/>
              <w:snapToGrid/>
              <w:spacing w:before="0" w:beforeAutospacing="0" w:after="0" w:afterAutospacing="0"/>
              <w:ind w:left="0" w:right="0" w:firstLine="480" w:firstLineChars="200"/>
              <w:jc w:val="left"/>
              <w:textAlignment w:val="auto"/>
              <w:outlineLvl w:val="9"/>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b w:val="0"/>
                <w:bCs/>
                <w:color w:val="auto"/>
                <w:highlight w:val="none"/>
                <w:lang w:val="en-US" w:eastAsia="zh-CN"/>
              </w:rPr>
              <w:t>除油后的工件经过</w:t>
            </w:r>
            <w:r>
              <w:rPr>
                <w:rFonts w:hint="default" w:ascii="Times New Roman" w:hAnsi="Times New Roman" w:cs="Times New Roman"/>
                <w:b w:val="0"/>
                <w:bCs/>
                <w:color w:val="auto"/>
                <w:highlight w:val="none"/>
                <w:lang w:val="en-US" w:eastAsia="zh-CN"/>
              </w:rPr>
              <w:t>1#、</w:t>
            </w:r>
            <w:r>
              <w:rPr>
                <w:rFonts w:hint="default" w:ascii="Times New Roman" w:hAnsi="Times New Roman" w:eastAsia="宋体" w:cs="Times New Roman"/>
                <w:b w:val="0"/>
                <w:bCs/>
                <w:color w:val="auto"/>
                <w:highlight w:val="none"/>
                <w:lang w:val="en-US" w:eastAsia="zh-CN"/>
              </w:rPr>
              <w:t>2#、3#、4#水洗工段进行水洗，将工件表面残留的试剂截留在水池内。用自来水对脱脂后的工件进行</w:t>
            </w:r>
            <w:r>
              <w:rPr>
                <w:rFonts w:hint="eastAsia" w:cs="Times New Roman"/>
                <w:b w:val="0"/>
                <w:bCs/>
                <w:color w:val="auto"/>
                <w:highlight w:val="none"/>
                <w:lang w:val="en-US" w:eastAsia="zh-CN"/>
              </w:rPr>
              <w:t>浸泡</w:t>
            </w:r>
            <w:r>
              <w:rPr>
                <w:rFonts w:hint="default" w:ascii="Times New Roman" w:hAnsi="Times New Roman" w:eastAsia="宋体" w:cs="Times New Roman"/>
                <w:b w:val="0"/>
                <w:bCs/>
                <w:color w:val="auto"/>
                <w:highlight w:val="none"/>
                <w:lang w:val="en-US" w:eastAsia="zh-CN"/>
              </w:rPr>
              <w:t>清洗，把工件表面的残液清洗干净。工件</w:t>
            </w:r>
            <w:r>
              <w:rPr>
                <w:rFonts w:hint="default" w:ascii="Times New Roman" w:hAnsi="Times New Roman" w:cs="Times New Roman"/>
                <w:b w:val="0"/>
                <w:bCs/>
                <w:color w:val="auto"/>
                <w:highlight w:val="none"/>
                <w:lang w:val="en-US" w:eastAsia="zh-CN"/>
              </w:rPr>
              <w:t>分别通过四个水洗工段</w:t>
            </w:r>
            <w:r>
              <w:rPr>
                <w:rFonts w:hint="default" w:ascii="Times New Roman" w:hAnsi="Times New Roman" w:eastAsia="宋体" w:cs="Times New Roman"/>
                <w:b w:val="0"/>
                <w:bCs/>
                <w:color w:val="auto"/>
                <w:highlight w:val="none"/>
                <w:lang w:val="en-US" w:eastAsia="zh-CN"/>
              </w:rPr>
              <w:t>经自来水喷淋水洗，</w:t>
            </w:r>
            <w:r>
              <w:rPr>
                <w:rFonts w:hint="default" w:ascii="Times New Roman" w:hAnsi="Times New Roman" w:cs="Times New Roman"/>
                <w:b w:val="0"/>
                <w:bCs/>
                <w:color w:val="auto"/>
                <w:highlight w:val="none"/>
                <w:lang w:val="en-US" w:eastAsia="zh-CN"/>
              </w:rPr>
              <w:t>为保证水洗池清洗效果，项目在各水洗池均</w:t>
            </w:r>
            <w:r>
              <w:rPr>
                <w:rFonts w:hint="default" w:ascii="Times New Roman" w:hAnsi="Times New Roman" w:cs="Times New Roman"/>
                <w:color w:val="auto"/>
                <w:highlight w:val="none"/>
              </w:rPr>
              <w:t>设置溢流口并用固定管道接入收集池</w:t>
            </w:r>
            <w:r>
              <w:rPr>
                <w:rFonts w:hint="default" w:ascii="Times New Roman" w:hAnsi="Times New Roman" w:cs="Times New Roman"/>
                <w:b w:val="0"/>
                <w:bCs/>
                <w:color w:val="auto"/>
                <w:highlight w:val="none"/>
                <w:lang w:val="en-US" w:eastAsia="zh-CN"/>
              </w:rPr>
              <w:t>，工件水洗后进入无铬钝化池钝化</w:t>
            </w:r>
            <w:r>
              <w:rPr>
                <w:rFonts w:hint="default" w:ascii="Times New Roman" w:hAnsi="Times New Roman" w:eastAsia="宋体"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水洗池每个月更换整槽废水并同时采用溢流排水方式保证清洗效果</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此过程会产生</w:t>
            </w:r>
            <w:r>
              <w:rPr>
                <w:rFonts w:hint="default" w:ascii="Times New Roman" w:hAnsi="Times New Roman" w:eastAsia="宋体" w:cs="Times New Roman"/>
                <w:color w:val="auto"/>
                <w:kern w:val="0"/>
                <w:sz w:val="24"/>
                <w:szCs w:val="24"/>
                <w:highlight w:val="none"/>
                <w:lang w:val="en-US" w:eastAsia="zh-CN" w:bidi="ar"/>
              </w:rPr>
              <w:t>表面处理废水</w:t>
            </w:r>
            <w:r>
              <w:rPr>
                <w:rFonts w:hint="default" w:ascii="Times New Roman" w:hAnsi="Times New Roman" w:cs="Times New Roman"/>
                <w:color w:val="auto"/>
                <w:highlight w:val="none"/>
                <w:lang w:val="en-US" w:eastAsia="zh-CN"/>
              </w:rPr>
              <w:t>。</w:t>
            </w:r>
          </w:p>
          <w:p w14:paraId="37D7E2E0">
            <w:pPr>
              <w:pStyle w:val="43"/>
              <w:keepNext w:val="0"/>
              <w:keepLines w:val="0"/>
              <w:pageBreakBefore w:val="0"/>
              <w:suppressLineNumbers w:val="0"/>
              <w:kinsoku/>
              <w:wordWrap/>
              <w:overflowPunct/>
              <w:topLinePunct w:val="0"/>
              <w:bidi w:val="0"/>
              <w:adjustRightInd/>
              <w:snapToGrid/>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b/>
                <w:color w:val="auto"/>
                <w:highlight w:val="none"/>
                <w:lang w:val="en-US" w:eastAsia="zh-CN"/>
              </w:rPr>
              <w:t>④无铬钝化池：</w:t>
            </w:r>
            <w:r>
              <w:rPr>
                <w:rFonts w:hint="default" w:ascii="Times New Roman" w:hAnsi="Times New Roman" w:cs="Times New Roman"/>
                <w:color w:val="auto"/>
                <w:highlight w:val="none"/>
                <w:lang w:val="en-US" w:eastAsia="zh-CN"/>
              </w:rPr>
              <w:t>经除油、水洗后的金属表面很清洁，非常活化，很容易遭受腐蚀，所以必须立即进行钝化处理，使清洗后的金属表面生成保护膜，减缓腐蚀。钝化是使用钝化剂与铝件表面生成致密氧化物保护层，从而阻止铝件发生氧化反应，</w:t>
            </w:r>
            <w:r>
              <w:rPr>
                <w:rFonts w:hint="default" w:ascii="Times New Roman" w:hAnsi="Times New Roman" w:cs="Times New Roman"/>
                <w:color w:val="auto"/>
                <w:highlight w:val="none"/>
              </w:rPr>
              <w:t>钝化剂浸泡槽液定期更换</w:t>
            </w:r>
            <w:r>
              <w:rPr>
                <w:rFonts w:hint="default" w:ascii="Times New Roman" w:hAnsi="Times New Roman" w:cs="Times New Roman"/>
                <w:color w:val="auto"/>
                <w:highlight w:val="none"/>
                <w:lang w:eastAsia="zh-CN"/>
              </w:rPr>
              <w:t>，</w:t>
            </w:r>
            <w:r>
              <w:rPr>
                <w:rFonts w:hint="eastAsia" w:ascii="Times New Roman" w:cs="Times New Roman"/>
                <w:color w:val="auto"/>
                <w:highlight w:val="none"/>
                <w:lang w:val="en-US" w:eastAsia="zh-CN"/>
              </w:rPr>
              <w:t>槽液内无铬钝化剂与水配比为1:100，</w:t>
            </w:r>
            <w:r>
              <w:rPr>
                <w:rFonts w:hint="default" w:ascii="Times New Roman" w:hAnsi="Times New Roman" w:cs="Times New Roman"/>
                <w:color w:val="auto"/>
                <w:highlight w:val="none"/>
                <w:lang w:val="en-US" w:eastAsia="zh-CN"/>
              </w:rPr>
              <w:t>更换后的槽液全部进入自建污水处理站进行处理，工件钝化后</w:t>
            </w:r>
            <w:r>
              <w:rPr>
                <w:rFonts w:hint="eastAsia" w:ascii="Times New Roman" w:cs="Times New Roman"/>
                <w:color w:val="auto"/>
                <w:highlight w:val="none"/>
                <w:lang w:val="en-US" w:eastAsia="zh-CN"/>
              </w:rPr>
              <w:t>为避免清水清洗导致保护膜在未完全稳定的情况下脱落，影响抗腐蚀性能，</w:t>
            </w:r>
            <w:r>
              <w:rPr>
                <w:rFonts w:hint="default" w:ascii="Times New Roman" w:hAnsi="Times New Roman" w:cs="Times New Roman"/>
                <w:color w:val="auto"/>
                <w:highlight w:val="none"/>
                <w:lang w:val="en-US" w:eastAsia="zh-CN"/>
              </w:rPr>
              <w:t>可直接进入烘水通道烘干，无需进行清洗</w:t>
            </w:r>
            <w:r>
              <w:rPr>
                <w:rFonts w:hint="default" w:ascii="Times New Roman" w:hAnsi="Times New Roman" w:cs="Times New Roman"/>
                <w:color w:val="auto"/>
                <w:highlight w:val="none"/>
              </w:rPr>
              <w:t>。该过程产生</w:t>
            </w:r>
            <w:r>
              <w:rPr>
                <w:rFonts w:hint="default" w:ascii="Times New Roman" w:hAnsi="Times New Roman" w:eastAsia="宋体" w:cs="Times New Roman"/>
                <w:color w:val="auto"/>
                <w:kern w:val="0"/>
                <w:sz w:val="24"/>
                <w:szCs w:val="24"/>
                <w:highlight w:val="none"/>
                <w:lang w:val="en-US" w:eastAsia="zh-CN" w:bidi="ar"/>
              </w:rPr>
              <w:t>表面处理废水</w:t>
            </w:r>
            <w:r>
              <w:rPr>
                <w:rFonts w:hint="default" w:ascii="Times New Roman" w:hAnsi="Times New Roman" w:cs="Times New Roman"/>
                <w:color w:val="auto"/>
                <w:highlight w:val="none"/>
              </w:rPr>
              <w:t>。</w:t>
            </w:r>
          </w:p>
          <w:p w14:paraId="39D9C1D4">
            <w:pPr>
              <w:pStyle w:val="43"/>
              <w:keepNext w:val="0"/>
              <w:keepLines w:val="0"/>
              <w:pageBreakBefore w:val="0"/>
              <w:suppressLineNumbers w:val="0"/>
              <w:kinsoku/>
              <w:overflowPunct/>
              <w:topLinePunct w:val="0"/>
              <w:bidi w:val="0"/>
              <w:snapToGrid/>
              <w:spacing w:before="0" w:beforeAutospacing="0" w:after="0" w:afterAutospacing="0"/>
              <w:ind w:left="0" w:right="0" w:firstLine="470" w:firstLineChars="196"/>
              <w:outlineLvl w:val="9"/>
              <w:rPr>
                <w:rFonts w:hint="default" w:ascii="Times New Roman" w:hAnsi="Times New Roman" w:cs="Times New Roman"/>
                <w:b/>
                <w:color w:val="auto"/>
                <w:highlight w:val="none"/>
              </w:rPr>
            </w:pPr>
            <w:r>
              <w:rPr>
                <w:rFonts w:hint="default" w:ascii="Times New Roman" w:hAnsi="Times New Roman" w:cs="Times New Roman"/>
                <w:b/>
                <w:color w:val="auto"/>
                <w:highlight w:val="none"/>
              </w:rPr>
              <w:t>④设计参数：</w:t>
            </w:r>
          </w:p>
          <w:p w14:paraId="5EAEA40A">
            <w:pPr>
              <w:keepNext w:val="0"/>
              <w:keepLines w:val="0"/>
              <w:pageBreakBefore w:val="0"/>
              <w:suppressLineNumbers w:val="0"/>
              <w:kinsoku/>
              <w:overflowPunct/>
              <w:topLinePunct w:val="0"/>
              <w:bidi w:val="0"/>
              <w:snapToGrid/>
              <w:spacing w:before="0" w:beforeAutospacing="0" w:after="0" w:afterAutospacing="0" w:line="300" w:lineRule="auto"/>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铝卷表面预处理各池体大小设计参数如下，水槽有效水深为0.8m：</w:t>
            </w:r>
          </w:p>
          <w:p w14:paraId="23621E64">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b/>
                <w:color w:val="auto"/>
                <w:sz w:val="21"/>
                <w:szCs w:val="21"/>
                <w:highlight w:val="none"/>
              </w:rPr>
              <w:t>预处理各池体参数表</w:t>
            </w:r>
          </w:p>
          <w:tbl>
            <w:tblPr>
              <w:tblStyle w:val="38"/>
              <w:tblW w:w="92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77"/>
              <w:gridCol w:w="1064"/>
              <w:gridCol w:w="486"/>
              <w:gridCol w:w="529"/>
              <w:gridCol w:w="596"/>
              <w:gridCol w:w="1491"/>
              <w:gridCol w:w="1383"/>
              <w:gridCol w:w="1610"/>
              <w:gridCol w:w="841"/>
            </w:tblGrid>
            <w:tr w14:paraId="2B35E9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 w:hRule="atLeast"/>
                <w:jc w:val="center"/>
              </w:trPr>
              <w:tc>
                <w:tcPr>
                  <w:tcW w:w="68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6D3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工艺流程</w:t>
                  </w:r>
                </w:p>
              </w:tc>
              <w:tc>
                <w:tcPr>
                  <w:tcW w:w="5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FA2E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处理方式</w:t>
                  </w:r>
                </w:p>
              </w:tc>
              <w:tc>
                <w:tcPr>
                  <w:tcW w:w="86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587F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水槽内尺寸（m）</w:t>
                  </w:r>
                </w:p>
              </w:tc>
              <w:tc>
                <w:tcPr>
                  <w:tcW w:w="80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BD5F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水池水量（m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E74C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使用药剂</w:t>
                  </w:r>
                </w:p>
              </w:tc>
              <w:tc>
                <w:tcPr>
                  <w:tcW w:w="8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C3DB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槽液更换周期</w:t>
                  </w:r>
                </w:p>
              </w:tc>
              <w:tc>
                <w:tcPr>
                  <w:tcW w:w="45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92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处理去向</w:t>
                  </w:r>
                </w:p>
              </w:tc>
            </w:tr>
            <w:tr w14:paraId="5F6549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10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F86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05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20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E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高</w:t>
                  </w:r>
                </w:p>
              </w:tc>
              <w:tc>
                <w:tcPr>
                  <w:tcW w:w="80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DA26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8C9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F319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3F48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14F04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8E5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C6A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浸泡</w:t>
                  </w:r>
                  <w:r>
                    <w:rPr>
                      <w:rFonts w:hint="default" w:ascii="Times New Roman" w:hAnsi="Times New Roman" w:eastAsia="宋体" w:cs="Times New Roman"/>
                      <w:i w:val="0"/>
                      <w:iCs w:val="0"/>
                      <w:color w:val="auto"/>
                      <w:kern w:val="0"/>
                      <w:sz w:val="21"/>
                      <w:szCs w:val="21"/>
                      <w:highlight w:val="none"/>
                      <w:u w:val="none"/>
                      <w:lang w:val="en-US" w:eastAsia="zh-CN" w:bidi="ar"/>
                    </w:rPr>
                    <w:t>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74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AA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13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881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795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675D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1季/次</w:t>
                  </w:r>
                </w:p>
              </w:tc>
              <w:tc>
                <w:tcPr>
                  <w:tcW w:w="45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D3BA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w:t>
                  </w:r>
                </w:p>
              </w:tc>
            </w:tr>
            <w:tr w14:paraId="11E38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79AD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2F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浸泡</w:t>
                  </w:r>
                  <w:r>
                    <w:rPr>
                      <w:rFonts w:hint="default" w:ascii="Times New Roman" w:hAnsi="Times New Roman" w:eastAsia="宋体" w:cs="Times New Roman"/>
                      <w:i w:val="0"/>
                      <w:iCs w:val="0"/>
                      <w:color w:val="auto"/>
                      <w:kern w:val="0"/>
                      <w:sz w:val="21"/>
                      <w:szCs w:val="21"/>
                      <w:highlight w:val="none"/>
                      <w:u w:val="none"/>
                      <w:lang w:val="en-US" w:eastAsia="zh-CN" w:bidi="ar"/>
                    </w:rPr>
                    <w:t>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6F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6A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B2D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2A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C1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0E6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1季/次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362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0E603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EC0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C0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AC43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2.5</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5C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A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7C93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4.0</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A0FE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03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1月/次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4D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21AF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DEC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4B0B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8A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91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D55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72EF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087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28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1月/次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1D54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ABA3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F74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91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B6C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9CB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A3D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D1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D6D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2BD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1月/次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D5C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3C1786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CB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2B5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喷淋式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BF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B3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4D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DCAA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909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AD3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1月/次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77E0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44B58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 w:hRule="atLeast"/>
                <w:jc w:val="center"/>
              </w:trPr>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58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5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113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浸泡</w:t>
                  </w:r>
                  <w:r>
                    <w:rPr>
                      <w:rFonts w:hint="default" w:ascii="Times New Roman" w:hAnsi="Times New Roman" w:eastAsia="宋体" w:cs="Times New Roman"/>
                      <w:i w:val="0"/>
                      <w:iCs w:val="0"/>
                      <w:color w:val="auto"/>
                      <w:kern w:val="0"/>
                      <w:sz w:val="21"/>
                      <w:szCs w:val="21"/>
                      <w:highlight w:val="none"/>
                      <w:u w:val="none"/>
                      <w:lang w:val="en-US" w:eastAsia="zh-CN" w:bidi="ar"/>
                    </w:rPr>
                    <w:t>式</w:t>
                  </w:r>
                </w:p>
              </w:tc>
              <w:tc>
                <w:tcPr>
                  <w:tcW w:w="2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EEB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2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E00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7D9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8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F64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143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w:t>
                  </w:r>
                </w:p>
              </w:tc>
              <w:tc>
                <w:tcPr>
                  <w:tcW w:w="8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5149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1季/次</w:t>
                  </w:r>
                </w:p>
              </w:tc>
              <w:tc>
                <w:tcPr>
                  <w:tcW w:w="4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2D44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5AC343DE">
            <w:pPr>
              <w:pStyle w:val="43"/>
              <w:keepNext w:val="0"/>
              <w:keepLines w:val="0"/>
              <w:pageBreakBefore w:val="0"/>
              <w:suppressLineNumbers w:val="0"/>
              <w:kinsoku/>
              <w:overflowPunct/>
              <w:topLinePunct w:val="0"/>
              <w:bidi w:val="0"/>
              <w:snapToGrid/>
              <w:spacing w:before="0" w:beforeAutospacing="0" w:after="0" w:afterAutospacing="0"/>
              <w:ind w:left="0" w:right="0" w:firstLine="470" w:firstLineChars="196"/>
              <w:outlineLvl w:val="9"/>
              <w:rPr>
                <w:rFonts w:hint="default" w:ascii="Times New Roman" w:hAnsi="Times New Roman" w:cs="Times New Roman"/>
                <w:color w:val="auto"/>
                <w:highlight w:val="none"/>
              </w:rPr>
            </w:pPr>
            <w:r>
              <w:rPr>
                <w:rFonts w:hint="default" w:ascii="Times New Roman" w:hAnsi="Times New Roman" w:cs="Times New Roman"/>
                <w:b/>
                <w:color w:val="auto"/>
                <w:highlight w:val="none"/>
              </w:rPr>
              <w:t>（5）烘干：</w:t>
            </w:r>
            <w:r>
              <w:rPr>
                <w:rFonts w:hint="default" w:ascii="Times New Roman" w:hAnsi="Times New Roman" w:cs="Times New Roman"/>
                <w:color w:val="auto"/>
                <w:highlight w:val="none"/>
              </w:rPr>
              <w:t>成型铝板材经钝化处理后，进入烘水通道，内设燃气热风循环式烤炉，燃料为天然气，控制温度为100℃，时间为6min。</w:t>
            </w:r>
          </w:p>
          <w:p w14:paraId="5DFD2CDF">
            <w:pPr>
              <w:pStyle w:val="15"/>
              <w:keepNext w:val="0"/>
              <w:keepLines w:val="0"/>
              <w:pageBreakBefore w:val="0"/>
              <w:suppressLineNumbers w:val="0"/>
              <w:kinsoku/>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（6）入库：</w:t>
            </w:r>
            <w:r>
              <w:rPr>
                <w:rFonts w:hint="default" w:ascii="Times New Roman" w:hAnsi="Times New Roman" w:cs="Times New Roman"/>
                <w:b w:val="0"/>
                <w:bCs w:val="0"/>
                <w:color w:val="auto"/>
                <w:sz w:val="24"/>
                <w:szCs w:val="24"/>
                <w:highlight w:val="none"/>
              </w:rPr>
              <w:t>烘干后钣金件全部存贮于</w:t>
            </w:r>
            <w:r>
              <w:rPr>
                <w:rFonts w:hint="eastAsia"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rPr>
              <w:t>#厂房</w:t>
            </w:r>
            <w:r>
              <w:rPr>
                <w:rFonts w:hint="default" w:ascii="Times New Roman" w:hAnsi="Times New Roman" w:cs="Times New Roman"/>
                <w:b w:val="0"/>
                <w:bCs w:val="0"/>
                <w:color w:val="auto"/>
                <w:sz w:val="24"/>
                <w:szCs w:val="28"/>
                <w:highlight w:val="none"/>
              </w:rPr>
              <w:t>。</w:t>
            </w:r>
          </w:p>
          <w:p w14:paraId="76C3416F">
            <w:pPr>
              <w:pStyle w:val="15"/>
              <w:keepNext w:val="0"/>
              <w:keepLines w:val="0"/>
              <w:pageBreakBefore w:val="0"/>
              <w:suppressLineNumbers w:val="0"/>
              <w:kinsoku/>
              <w:overflowPunct/>
              <w:topLinePunct w:val="0"/>
              <w:bidi w:val="0"/>
              <w:snapToGrid/>
              <w:spacing w:before="0" w:beforeAutospacing="0" w:after="0" w:afterAutospacing="0"/>
              <w:ind w:left="0" w:right="0"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E83C2FA">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zh-CN"/>
              </w:rPr>
              <w:t>主要污染节点分析一览表</w:t>
            </w:r>
          </w:p>
          <w:tbl>
            <w:tblPr>
              <w:tblStyle w:val="38"/>
              <w:tblW w:w="9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1050"/>
              <w:gridCol w:w="1341"/>
              <w:gridCol w:w="2534"/>
              <w:gridCol w:w="3589"/>
            </w:tblGrid>
            <w:tr w14:paraId="0159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6" w:hRule="atLeast"/>
              </w:trPr>
              <w:tc>
                <w:tcPr>
                  <w:tcW w:w="402" w:type="pct"/>
                  <w:vMerge w:val="restart"/>
                  <w:vAlign w:val="center"/>
                </w:tcPr>
                <w:p w14:paraId="7C319727">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污染类型</w:t>
                  </w:r>
                </w:p>
              </w:tc>
              <w:tc>
                <w:tcPr>
                  <w:tcW w:w="1291" w:type="pct"/>
                  <w:gridSpan w:val="2"/>
                  <w:vMerge w:val="restart"/>
                  <w:vAlign w:val="center"/>
                </w:tcPr>
                <w:p w14:paraId="413E000E">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产生部位</w:t>
                  </w:r>
                </w:p>
              </w:tc>
              <w:tc>
                <w:tcPr>
                  <w:tcW w:w="3305" w:type="pct"/>
                  <w:gridSpan w:val="2"/>
                  <w:vAlign w:val="center"/>
                </w:tcPr>
                <w:p w14:paraId="7DA2E230">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w:t>
                  </w:r>
                </w:p>
              </w:tc>
            </w:tr>
            <w:tr w14:paraId="71025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402" w:type="pct"/>
                  <w:vMerge w:val="continue"/>
                  <w:vAlign w:val="center"/>
                </w:tcPr>
                <w:p w14:paraId="76FC679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291" w:type="pct"/>
                  <w:gridSpan w:val="2"/>
                  <w:vMerge w:val="continue"/>
                  <w:vAlign w:val="center"/>
                </w:tcPr>
                <w:p w14:paraId="4C1F590B">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p>
              </w:tc>
              <w:tc>
                <w:tcPr>
                  <w:tcW w:w="1368" w:type="pct"/>
                  <w:vAlign w:val="center"/>
                </w:tcPr>
                <w:p w14:paraId="51481B2A">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内容</w:t>
                  </w:r>
                </w:p>
              </w:tc>
              <w:tc>
                <w:tcPr>
                  <w:tcW w:w="1937" w:type="pct"/>
                  <w:vAlign w:val="center"/>
                </w:tcPr>
                <w:p w14:paraId="1CFBD4C6">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污染因子</w:t>
                  </w:r>
                </w:p>
              </w:tc>
            </w:tr>
            <w:tr w14:paraId="1C08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2" w:type="pct"/>
                  <w:vMerge w:val="restart"/>
                  <w:vAlign w:val="center"/>
                </w:tcPr>
                <w:p w14:paraId="66104C6A">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w:t>
                  </w:r>
                </w:p>
              </w:tc>
              <w:tc>
                <w:tcPr>
                  <w:tcW w:w="1291" w:type="pct"/>
                  <w:gridSpan w:val="2"/>
                  <w:vAlign w:val="center"/>
                </w:tcPr>
                <w:p w14:paraId="6674C14C">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员工生活</w:t>
                  </w:r>
                </w:p>
              </w:tc>
              <w:tc>
                <w:tcPr>
                  <w:tcW w:w="1368" w:type="pct"/>
                  <w:vAlign w:val="center"/>
                </w:tcPr>
                <w:p w14:paraId="40B6CE9F">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生活污水</w:t>
                  </w:r>
                </w:p>
              </w:tc>
              <w:tc>
                <w:tcPr>
                  <w:tcW w:w="1937" w:type="pct"/>
                  <w:vAlign w:val="center"/>
                </w:tcPr>
                <w:p w14:paraId="08B80AD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、BOD</w:t>
                  </w:r>
                  <w:r>
                    <w:rPr>
                      <w:rFonts w:hint="default" w:ascii="Times New Roman" w:hAnsi="Times New Roman" w:cs="Times New Roman"/>
                      <w:color w:val="auto"/>
                      <w:kern w:val="2"/>
                      <w:sz w:val="21"/>
                      <w:szCs w:val="21"/>
                      <w:highlight w:val="none"/>
                      <w:vertAlign w:val="subscript"/>
                    </w:rPr>
                    <w:t>5</w:t>
                  </w:r>
                  <w:r>
                    <w:rPr>
                      <w:rFonts w:hint="default" w:ascii="Times New Roman" w:hAnsi="Times New Roman" w:cs="Times New Roman"/>
                      <w:color w:val="auto"/>
                      <w:kern w:val="2"/>
                      <w:sz w:val="21"/>
                      <w:szCs w:val="21"/>
                      <w:highlight w:val="none"/>
                    </w:rPr>
                    <w:t>、氨氮、SS</w:t>
                  </w:r>
                  <w:r>
                    <w:rPr>
                      <w:rFonts w:hint="eastAsia" w:cs="Times New Roman"/>
                      <w:color w:val="auto"/>
                      <w:kern w:val="2"/>
                      <w:sz w:val="21"/>
                      <w:szCs w:val="21"/>
                      <w:highlight w:val="none"/>
                      <w:lang w:eastAsia="zh-CN"/>
                    </w:rPr>
                    <w:t>、</w:t>
                  </w:r>
                  <w:r>
                    <w:rPr>
                      <w:rFonts w:hint="eastAsia" w:cs="Times New Roman"/>
                      <w:color w:val="auto"/>
                      <w:kern w:val="2"/>
                      <w:sz w:val="21"/>
                      <w:szCs w:val="21"/>
                      <w:highlight w:val="none"/>
                      <w:lang w:val="en-US" w:eastAsia="zh-CN"/>
                    </w:rPr>
                    <w:t>动植物油、总磷</w:t>
                  </w:r>
                </w:p>
              </w:tc>
            </w:tr>
            <w:tr w14:paraId="7AAF0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2" w:type="pct"/>
                  <w:vMerge w:val="continue"/>
                  <w:vAlign w:val="center"/>
                </w:tcPr>
                <w:p w14:paraId="0FFE848F">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7EEF0A4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表面处理工序</w:t>
                  </w:r>
                </w:p>
              </w:tc>
              <w:tc>
                <w:tcPr>
                  <w:tcW w:w="1368" w:type="pct"/>
                  <w:vAlign w:val="center"/>
                </w:tcPr>
                <w:p w14:paraId="5BBDB90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表面处理废水</w:t>
                  </w:r>
                </w:p>
              </w:tc>
              <w:tc>
                <w:tcPr>
                  <w:tcW w:w="1937" w:type="pct"/>
                  <w:vAlign w:val="center"/>
                </w:tcPr>
                <w:p w14:paraId="6542852C">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pH、COD</w:t>
                  </w:r>
                  <w:r>
                    <w:rPr>
                      <w:rFonts w:hint="default" w:ascii="Times New Roman" w:hAnsi="Times New Roman" w:cs="Times New Roman"/>
                      <w:color w:val="auto"/>
                      <w:kern w:val="2"/>
                      <w:sz w:val="21"/>
                      <w:szCs w:val="21"/>
                      <w:highlight w:val="none"/>
                      <w:vertAlign w:val="subscript"/>
                    </w:rPr>
                    <w:t>Cr</w:t>
                  </w:r>
                  <w:r>
                    <w:rPr>
                      <w:rFonts w:hint="default" w:ascii="Times New Roman" w:hAnsi="Times New Roman" w:cs="Times New Roman"/>
                      <w:color w:val="auto"/>
                      <w:kern w:val="2"/>
                      <w:sz w:val="21"/>
                      <w:szCs w:val="21"/>
                      <w:highlight w:val="none"/>
                    </w:rPr>
                    <w:t>、SS、石油类、氟化物、LAS</w:t>
                  </w:r>
                </w:p>
              </w:tc>
            </w:tr>
            <w:tr w14:paraId="008ED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02" w:type="pct"/>
                  <w:vMerge w:val="restart"/>
                  <w:vAlign w:val="center"/>
                </w:tcPr>
                <w:p w14:paraId="439D998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w:t>
                  </w:r>
                </w:p>
              </w:tc>
              <w:tc>
                <w:tcPr>
                  <w:tcW w:w="567" w:type="pct"/>
                  <w:vMerge w:val="restart"/>
                  <w:vAlign w:val="center"/>
                </w:tcPr>
                <w:p w14:paraId="4E41F6A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机加工生产线</w:t>
                  </w:r>
                </w:p>
              </w:tc>
              <w:tc>
                <w:tcPr>
                  <w:tcW w:w="724" w:type="pct"/>
                  <w:vAlign w:val="center"/>
                </w:tcPr>
                <w:p w14:paraId="7D2B26AE">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焊接</w:t>
                  </w:r>
                </w:p>
              </w:tc>
              <w:tc>
                <w:tcPr>
                  <w:tcW w:w="1368" w:type="pct"/>
                  <w:vAlign w:val="center"/>
                </w:tcPr>
                <w:p w14:paraId="5B63044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焊接烟尘</w:t>
                  </w:r>
                </w:p>
              </w:tc>
              <w:tc>
                <w:tcPr>
                  <w:tcW w:w="1937" w:type="pct"/>
                  <w:vAlign w:val="center"/>
                </w:tcPr>
                <w:p w14:paraId="1FC0909F">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颗粒物</w:t>
                  </w:r>
                </w:p>
              </w:tc>
            </w:tr>
            <w:tr w14:paraId="1346E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402" w:type="pct"/>
                  <w:vMerge w:val="continue"/>
                  <w:vAlign w:val="center"/>
                </w:tcPr>
                <w:p w14:paraId="10581BDA">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567" w:type="pct"/>
                  <w:vMerge w:val="continue"/>
                  <w:vAlign w:val="center"/>
                </w:tcPr>
                <w:p w14:paraId="71944D07">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724" w:type="pct"/>
                  <w:vAlign w:val="center"/>
                </w:tcPr>
                <w:p w14:paraId="07260B7E">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打磨、抛光</w:t>
                  </w:r>
                </w:p>
              </w:tc>
              <w:tc>
                <w:tcPr>
                  <w:tcW w:w="1368" w:type="pct"/>
                  <w:vAlign w:val="center"/>
                </w:tcPr>
                <w:p w14:paraId="17767E59">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打磨、抛光粉尘</w:t>
                  </w:r>
                </w:p>
              </w:tc>
              <w:tc>
                <w:tcPr>
                  <w:tcW w:w="1937" w:type="pct"/>
                  <w:vAlign w:val="center"/>
                </w:tcPr>
                <w:p w14:paraId="66B9D719">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颗粒物</w:t>
                  </w:r>
                </w:p>
              </w:tc>
            </w:tr>
            <w:tr w14:paraId="242CE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4" w:hRule="atLeast"/>
              </w:trPr>
              <w:tc>
                <w:tcPr>
                  <w:tcW w:w="402" w:type="pct"/>
                  <w:vMerge w:val="continue"/>
                  <w:vAlign w:val="center"/>
                </w:tcPr>
                <w:p w14:paraId="0631CA76">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567" w:type="pct"/>
                  <w:vAlign w:val="center"/>
                </w:tcPr>
                <w:p w14:paraId="27A51A53">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烘干</w:t>
                  </w:r>
                </w:p>
              </w:tc>
              <w:tc>
                <w:tcPr>
                  <w:tcW w:w="724" w:type="pct"/>
                  <w:vAlign w:val="center"/>
                </w:tcPr>
                <w:p w14:paraId="37A62D2B">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燃烧废气</w:t>
                  </w:r>
                </w:p>
              </w:tc>
              <w:tc>
                <w:tcPr>
                  <w:tcW w:w="1368" w:type="pct"/>
                  <w:vAlign w:val="center"/>
                </w:tcPr>
                <w:p w14:paraId="7E5FDF5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highlight w:val="none"/>
                      <w:lang w:val="en-US" w:eastAsia="zh-CN"/>
                    </w:rPr>
                    <w:t>天然气燃烧废气</w:t>
                  </w:r>
                </w:p>
              </w:tc>
              <w:tc>
                <w:tcPr>
                  <w:tcW w:w="1937" w:type="pct"/>
                  <w:vAlign w:val="center"/>
                </w:tcPr>
                <w:p w14:paraId="5F072206">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eastAsia="zh-CN"/>
                    </w:rPr>
                    <w:t>氮氧化物、颗粒物、二氧化硫、</w:t>
                  </w:r>
                  <w:r>
                    <w:rPr>
                      <w:rFonts w:hint="default" w:ascii="Times New Roman" w:hAnsi="Times New Roman" w:cs="Times New Roman"/>
                      <w:color w:val="auto"/>
                      <w:kern w:val="2"/>
                      <w:highlight w:val="none"/>
                      <w:lang w:val="en-US" w:eastAsia="zh-CN"/>
                    </w:rPr>
                    <w:t>烟气黑度</w:t>
                  </w:r>
                </w:p>
              </w:tc>
            </w:tr>
            <w:tr w14:paraId="34D7C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402" w:type="pct"/>
                  <w:vMerge w:val="continue"/>
                  <w:vAlign w:val="center"/>
                </w:tcPr>
                <w:p w14:paraId="1E95B0E6">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2E6BCBCB">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eastAsia="zh-CN"/>
                    </w:rPr>
                  </w:pPr>
                  <w:r>
                    <w:rPr>
                      <w:rFonts w:hint="eastAsia" w:cs="Times New Roman"/>
                      <w:color w:val="auto"/>
                      <w:kern w:val="2"/>
                      <w:sz w:val="21"/>
                      <w:szCs w:val="21"/>
                      <w:highlight w:val="none"/>
                      <w:lang w:val="en-US" w:eastAsia="zh-CN"/>
                    </w:rPr>
                    <w:t>废水处理设施</w:t>
                  </w:r>
                </w:p>
              </w:tc>
              <w:tc>
                <w:tcPr>
                  <w:tcW w:w="1368" w:type="pct"/>
                  <w:vAlign w:val="center"/>
                </w:tcPr>
                <w:p w14:paraId="236D7F14">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highlight w:val="none"/>
                      <w:lang w:val="en-US" w:eastAsia="zh-CN"/>
                    </w:rPr>
                  </w:pPr>
                  <w:r>
                    <w:rPr>
                      <w:rFonts w:hint="eastAsia"/>
                      <w:color w:val="auto"/>
                      <w:kern w:val="2"/>
                      <w:highlight w:val="none"/>
                    </w:rPr>
                    <w:t>硫化氢、氨、臭气浓度</w:t>
                  </w:r>
                </w:p>
              </w:tc>
              <w:tc>
                <w:tcPr>
                  <w:tcW w:w="1937" w:type="pct"/>
                  <w:vAlign w:val="center"/>
                </w:tcPr>
                <w:p w14:paraId="1A3370A9">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jc w:val="center"/>
                    <w:textAlignment w:val="center"/>
                    <w:outlineLvl w:val="9"/>
                    <w:rPr>
                      <w:rFonts w:hint="default" w:ascii="Times New Roman" w:hAnsi="Times New Roman" w:cs="Times New Roman"/>
                      <w:color w:val="auto"/>
                      <w:kern w:val="2"/>
                      <w:sz w:val="21"/>
                      <w:szCs w:val="21"/>
                      <w:highlight w:val="none"/>
                      <w:lang w:eastAsia="zh-CN"/>
                    </w:rPr>
                  </w:pPr>
                  <w:r>
                    <w:rPr>
                      <w:rFonts w:hint="eastAsia"/>
                      <w:color w:val="auto"/>
                      <w:kern w:val="2"/>
                      <w:highlight w:val="none"/>
                    </w:rPr>
                    <w:t>硫化氢、氨、臭气浓度</w:t>
                  </w:r>
                </w:p>
              </w:tc>
            </w:tr>
            <w:tr w14:paraId="63C87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02" w:type="pct"/>
                  <w:vAlign w:val="center"/>
                </w:tcPr>
                <w:p w14:paraId="7EE500A9">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291" w:type="pct"/>
                  <w:gridSpan w:val="2"/>
                  <w:vAlign w:val="center"/>
                </w:tcPr>
                <w:p w14:paraId="3953F10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生产设备、辅助设备</w:t>
                  </w:r>
                </w:p>
              </w:tc>
              <w:tc>
                <w:tcPr>
                  <w:tcW w:w="1368" w:type="pct"/>
                  <w:vAlign w:val="center"/>
                </w:tcPr>
                <w:p w14:paraId="28DC2F1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w:t>
                  </w:r>
                </w:p>
              </w:tc>
              <w:tc>
                <w:tcPr>
                  <w:tcW w:w="1937" w:type="pct"/>
                  <w:vAlign w:val="center"/>
                </w:tcPr>
                <w:p w14:paraId="039C2CAF">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设备噪声</w:t>
                  </w:r>
                </w:p>
              </w:tc>
            </w:tr>
            <w:tr w14:paraId="3041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402" w:type="pct"/>
                  <w:vMerge w:val="restart"/>
                  <w:vAlign w:val="center"/>
                </w:tcPr>
                <w:p w14:paraId="0A5133C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固体废物</w:t>
                  </w:r>
                </w:p>
              </w:tc>
              <w:tc>
                <w:tcPr>
                  <w:tcW w:w="1291" w:type="pct"/>
                  <w:gridSpan w:val="2"/>
                  <w:vMerge w:val="restart"/>
                  <w:vAlign w:val="center"/>
                </w:tcPr>
                <w:p w14:paraId="63861FB9">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办公生活</w:t>
                  </w:r>
                </w:p>
              </w:tc>
              <w:tc>
                <w:tcPr>
                  <w:tcW w:w="1368" w:type="pct"/>
                  <w:vAlign w:val="center"/>
                </w:tcPr>
                <w:p w14:paraId="64AB00F2">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生活垃圾</w:t>
                  </w:r>
                </w:p>
              </w:tc>
              <w:tc>
                <w:tcPr>
                  <w:tcW w:w="1937" w:type="pct"/>
                  <w:vAlign w:val="center"/>
                </w:tcPr>
                <w:p w14:paraId="53CE5EFA">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废纸、果皮、塑料等</w:t>
                  </w:r>
                </w:p>
              </w:tc>
            </w:tr>
            <w:tr w14:paraId="3632E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402" w:type="pct"/>
                  <w:vMerge w:val="continue"/>
                  <w:vAlign w:val="center"/>
                </w:tcPr>
                <w:p w14:paraId="1B7A86A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Merge w:val="continue"/>
                  <w:vAlign w:val="center"/>
                </w:tcPr>
                <w:p w14:paraId="0AFC30C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368" w:type="pct"/>
                  <w:vAlign w:val="center"/>
                </w:tcPr>
                <w:p w14:paraId="29A2285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废油脂</w:t>
                  </w:r>
                </w:p>
              </w:tc>
              <w:tc>
                <w:tcPr>
                  <w:tcW w:w="1937" w:type="pct"/>
                  <w:vAlign w:val="center"/>
                </w:tcPr>
                <w:p w14:paraId="2DBF318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废油脂</w:t>
                  </w:r>
                </w:p>
              </w:tc>
            </w:tr>
            <w:tr w14:paraId="42524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02" w:type="pct"/>
                  <w:vMerge w:val="continue"/>
                  <w:vAlign w:val="center"/>
                </w:tcPr>
                <w:p w14:paraId="600352B6">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5DD8AFCB">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污水处理设施</w:t>
                  </w:r>
                </w:p>
              </w:tc>
              <w:tc>
                <w:tcPr>
                  <w:tcW w:w="1368" w:type="pct"/>
                  <w:vAlign w:val="center"/>
                </w:tcPr>
                <w:p w14:paraId="6B35E214">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污水处理</w:t>
                  </w:r>
                </w:p>
              </w:tc>
              <w:tc>
                <w:tcPr>
                  <w:tcW w:w="1937" w:type="pct"/>
                  <w:vAlign w:val="center"/>
                </w:tcPr>
                <w:p w14:paraId="24C32182">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废水处理站污泥、</w:t>
                  </w: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r>
            <w:tr w14:paraId="47AB0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402" w:type="pct"/>
                  <w:vMerge w:val="continue"/>
                  <w:vAlign w:val="center"/>
                </w:tcPr>
                <w:p w14:paraId="5198C917">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6E4B6A41">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生产车间</w:t>
                  </w:r>
                </w:p>
              </w:tc>
              <w:tc>
                <w:tcPr>
                  <w:tcW w:w="1368" w:type="pct"/>
                  <w:vAlign w:val="center"/>
                </w:tcPr>
                <w:p w14:paraId="295109C7">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生产过程</w:t>
                  </w:r>
                </w:p>
              </w:tc>
              <w:tc>
                <w:tcPr>
                  <w:tcW w:w="1937" w:type="pct"/>
                  <w:vAlign w:val="center"/>
                </w:tcPr>
                <w:p w14:paraId="587257A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包装废料、废表面处理剂包装桶</w:t>
                  </w:r>
                  <w:r>
                    <w:rPr>
                      <w:rFonts w:hint="default" w:ascii="Times New Roman" w:hAnsi="Times New Roman" w:cs="Times New Roman"/>
                      <w:b w:val="0"/>
                      <w:bCs w:val="0"/>
                      <w:color w:val="auto"/>
                      <w:kern w:val="2"/>
                      <w:sz w:val="21"/>
                      <w:szCs w:val="21"/>
                      <w:highlight w:val="none"/>
                      <w:lang w:eastAsia="zh-CN"/>
                    </w:rPr>
                    <w:t>、</w:t>
                  </w:r>
                  <w:r>
                    <w:rPr>
                      <w:rFonts w:hint="default" w:ascii="Times New Roman" w:hAnsi="Times New Roman" w:cs="Times New Roman"/>
                      <w:color w:val="auto"/>
                      <w:kern w:val="2"/>
                      <w:sz w:val="21"/>
                      <w:szCs w:val="21"/>
                      <w:highlight w:val="none"/>
                    </w:rPr>
                    <w:t>预处理池泥渣、</w:t>
                  </w:r>
                  <w:r>
                    <w:rPr>
                      <w:rFonts w:hint="default" w:ascii="Times New Roman" w:hAnsi="Times New Roman" w:cs="Times New Roman"/>
                      <w:color w:val="auto"/>
                      <w:kern w:val="2"/>
                      <w:sz w:val="21"/>
                      <w:szCs w:val="21"/>
                      <w:highlight w:val="none"/>
                      <w:lang w:val="en-US" w:eastAsia="zh-CN"/>
                    </w:rPr>
                    <w:t>无铬钝化池废槽液</w:t>
                  </w:r>
                  <w:r>
                    <w:rPr>
                      <w:rFonts w:hint="eastAsia"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废机油桶、废机油、废液压油桶、废液压油、</w:t>
                  </w:r>
                  <w:r>
                    <w:rPr>
                      <w:rFonts w:hint="eastAsia" w:cs="Times New Roman"/>
                      <w:color w:val="auto"/>
                      <w:kern w:val="2"/>
                      <w:sz w:val="21"/>
                      <w:szCs w:val="21"/>
                      <w:highlight w:val="none"/>
                      <w:lang w:val="en-US" w:eastAsia="zh-CN"/>
                    </w:rPr>
                    <w:t>含油废抹布、</w:t>
                  </w:r>
                  <w:r>
                    <w:rPr>
                      <w:rFonts w:hint="default" w:ascii="Times New Roman" w:hAnsi="Times New Roman" w:cs="Times New Roman"/>
                      <w:color w:val="auto"/>
                      <w:kern w:val="2"/>
                      <w:sz w:val="21"/>
                      <w:szCs w:val="21"/>
                      <w:highlight w:val="none"/>
                    </w:rPr>
                    <w:t>机加工边角料</w:t>
                  </w:r>
                </w:p>
              </w:tc>
            </w:tr>
            <w:tr w14:paraId="62834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402" w:type="pct"/>
                  <w:vMerge w:val="continue"/>
                  <w:vAlign w:val="center"/>
                </w:tcPr>
                <w:p w14:paraId="4EF1AFD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p>
              </w:tc>
              <w:tc>
                <w:tcPr>
                  <w:tcW w:w="1291" w:type="pct"/>
                  <w:gridSpan w:val="2"/>
                  <w:vAlign w:val="center"/>
                </w:tcPr>
                <w:p w14:paraId="2D05E04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废气处理设施</w:t>
                  </w:r>
                </w:p>
              </w:tc>
              <w:tc>
                <w:tcPr>
                  <w:tcW w:w="1368" w:type="pct"/>
                  <w:vAlign w:val="center"/>
                </w:tcPr>
                <w:p w14:paraId="30E0411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废气处理</w:t>
                  </w:r>
                </w:p>
              </w:tc>
              <w:tc>
                <w:tcPr>
                  <w:tcW w:w="1937" w:type="pct"/>
                  <w:vAlign w:val="center"/>
                </w:tcPr>
                <w:p w14:paraId="2E91F902">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outlineLvl w:val="9"/>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废滤芯</w:t>
                  </w:r>
                </w:p>
              </w:tc>
            </w:tr>
          </w:tbl>
          <w:p w14:paraId="3F7B7E97">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cs="Times New Roman"/>
                <w:b/>
                <w:bCs/>
                <w:color w:val="auto"/>
                <w:sz w:val="21"/>
                <w:szCs w:val="21"/>
                <w:highlight w:val="none"/>
                <w:lang w:eastAsia="zh-CN"/>
              </w:rPr>
            </w:pPr>
          </w:p>
          <w:p w14:paraId="7BD929EA">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cs="Times New Roman"/>
                <w:b/>
                <w:bCs/>
                <w:color w:val="auto"/>
                <w:sz w:val="21"/>
                <w:szCs w:val="21"/>
                <w:highlight w:val="none"/>
                <w:lang w:eastAsia="zh-CN"/>
              </w:rPr>
            </w:pPr>
          </w:p>
          <w:p w14:paraId="75F73AD3">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cs="Times New Roman"/>
                <w:b/>
                <w:bCs/>
                <w:color w:val="auto"/>
                <w:sz w:val="21"/>
                <w:szCs w:val="21"/>
                <w:highlight w:val="none"/>
                <w:lang w:eastAsia="zh-CN"/>
              </w:rPr>
            </w:pPr>
          </w:p>
          <w:p w14:paraId="4344E6CF">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cs="Times New Roman"/>
                <w:b/>
                <w:bCs/>
                <w:color w:val="auto"/>
                <w:sz w:val="21"/>
                <w:szCs w:val="21"/>
                <w:highlight w:val="none"/>
                <w:lang w:eastAsia="zh-CN"/>
              </w:rPr>
            </w:pPr>
          </w:p>
          <w:p w14:paraId="1365500E">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eastAsia" w:cs="Times New Roman"/>
                <w:b/>
                <w:bCs/>
                <w:color w:val="auto"/>
                <w:sz w:val="21"/>
                <w:szCs w:val="21"/>
                <w:highlight w:val="none"/>
                <w:lang w:val="en-US" w:eastAsia="zh-CN"/>
              </w:rPr>
            </w:pPr>
          </w:p>
          <w:p w14:paraId="00D5E2E6">
            <w:pPr>
              <w:pStyle w:val="12"/>
              <w:keepNext w:val="0"/>
              <w:keepLines w:val="0"/>
              <w:pageBreakBefore w:val="0"/>
              <w:suppressLineNumbers w:val="0"/>
              <w:kinsoku/>
              <w:overflowPunct/>
              <w:topLinePunct w:val="0"/>
              <w:bidi w:val="0"/>
              <w:snapToGrid/>
              <w:spacing w:before="0" w:beforeAutospacing="0" w:after="0" w:afterAutospacing="0"/>
              <w:ind w:left="0" w:right="0" w:firstLine="0" w:firstLineChars="0"/>
              <w:outlineLvl w:val="9"/>
              <w:rPr>
                <w:rFonts w:hint="default" w:ascii="Times New Roman" w:hAnsi="Times New Roman" w:eastAsia="宋体" w:cs="Times New Roman"/>
                <w:b/>
                <w:bCs/>
                <w:color w:val="auto"/>
                <w:sz w:val="21"/>
                <w:szCs w:val="21"/>
                <w:highlight w:val="none"/>
                <w:lang w:val="en-US" w:eastAsia="zh-CN"/>
              </w:rPr>
            </w:pPr>
          </w:p>
        </w:tc>
      </w:tr>
      <w:tr w14:paraId="75B4E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7" w:hRule="atLeast"/>
        </w:trPr>
        <w:tc>
          <w:tcPr>
            <w:tcW w:w="241" w:type="pct"/>
            <w:vAlign w:val="center"/>
          </w:tcPr>
          <w:p w14:paraId="41AFCB0C">
            <w:pPr>
              <w:keepNext/>
              <w:keepLines w:val="0"/>
              <w:pageBreakBefore w:val="0"/>
              <w:widowControl/>
              <w:numPr>
                <w:ilvl w:val="1"/>
                <w:numId w:val="0"/>
              </w:numPr>
              <w:suppressLineNumbers w:val="0"/>
              <w:tabs>
                <w:tab w:val="left" w:pos="420"/>
              </w:tabs>
              <w:kinsoku/>
              <w:wordWrap/>
              <w:overflowPunct/>
              <w:topLinePunct w:val="0"/>
              <w:autoSpaceDE/>
              <w:autoSpaceDN/>
              <w:bidi w:val="0"/>
              <w:adjustRightInd w:val="0"/>
              <w:snapToGrid w:val="0"/>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35" w:name="_Toc2438"/>
            <w:bookmarkStart w:id="36" w:name="_Toc7967"/>
            <w:bookmarkStart w:id="37" w:name="_Toc17328"/>
            <w:bookmarkStart w:id="38" w:name="_Toc8130"/>
            <w:bookmarkStart w:id="39" w:name="_Toc5613"/>
            <w:bookmarkStart w:id="40" w:name="_Toc11592"/>
            <w:bookmarkStart w:id="41" w:name="_Toc7720"/>
            <w:bookmarkStart w:id="42" w:name="_Toc25856"/>
            <w:bookmarkStart w:id="43" w:name="_Toc631"/>
            <w:bookmarkStart w:id="44" w:name="_Toc24696"/>
            <w:bookmarkStart w:id="45" w:name="_Toc5833"/>
            <w:bookmarkStart w:id="46" w:name="_Toc13420"/>
            <w:bookmarkStart w:id="47" w:name="_Toc28399"/>
            <w:bookmarkStart w:id="48" w:name="_Toc14546"/>
            <w:r>
              <w:rPr>
                <w:rFonts w:hint="default" w:ascii="Times New Roman" w:hAnsi="Times New Roman" w:cs="Times New Roman"/>
                <w:b/>
                <w:bCs/>
                <w:color w:val="auto"/>
                <w:kern w:val="2"/>
                <w:highlight w:val="none"/>
              </w:rPr>
              <w:t>与项目有关的原有环境污染问题</w:t>
            </w:r>
            <w:bookmarkEnd w:id="35"/>
            <w:bookmarkEnd w:id="36"/>
            <w:bookmarkEnd w:id="37"/>
            <w:bookmarkEnd w:id="38"/>
            <w:bookmarkEnd w:id="39"/>
            <w:bookmarkEnd w:id="40"/>
            <w:bookmarkEnd w:id="41"/>
            <w:bookmarkEnd w:id="42"/>
            <w:bookmarkEnd w:id="43"/>
            <w:bookmarkEnd w:id="44"/>
            <w:bookmarkEnd w:id="45"/>
            <w:bookmarkEnd w:id="46"/>
            <w:bookmarkEnd w:id="47"/>
            <w:bookmarkEnd w:id="48"/>
          </w:p>
        </w:tc>
        <w:tc>
          <w:tcPr>
            <w:tcW w:w="4758" w:type="pct"/>
            <w:vAlign w:val="center"/>
          </w:tcPr>
          <w:p w14:paraId="5B7AF5A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b/>
                <w:color w:val="auto"/>
                <w:szCs w:val="21"/>
                <w:highlight w:val="none"/>
              </w:rPr>
              <w:t>1.</w:t>
            </w:r>
            <w:r>
              <w:rPr>
                <w:rFonts w:hint="default" w:ascii="Times New Roman" w:hAnsi="Times New Roman" w:cs="Times New Roman"/>
                <w:b/>
                <w:color w:val="auto"/>
                <w:highlight w:val="none"/>
              </w:rPr>
              <w:t>与本项目有关的原有污染情况</w:t>
            </w:r>
          </w:p>
          <w:p w14:paraId="6B53BC0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p w14:paraId="423888E6">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firstLine="480"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2.园区现状污染源情况</w:t>
            </w:r>
          </w:p>
          <w:p w14:paraId="37334716">
            <w:pPr>
              <w:pStyle w:val="25"/>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截至202</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月，乐昌产业转移工业园范围内产业现状基本以工业产业为主，共涉及</w:t>
            </w:r>
            <w:r>
              <w:rPr>
                <w:rFonts w:hint="default" w:ascii="Times New Roman" w:hAnsi="Times New Roman" w:cs="Times New Roman"/>
                <w:color w:val="auto"/>
                <w:sz w:val="24"/>
                <w:szCs w:val="24"/>
                <w:highlight w:val="none"/>
                <w:lang w:val="en-US" w:eastAsia="zh-CN"/>
              </w:rPr>
              <w:t>98</w:t>
            </w:r>
            <w:r>
              <w:rPr>
                <w:rFonts w:hint="default" w:ascii="Times New Roman" w:hAnsi="Times New Roman" w:cs="Times New Roman"/>
                <w:color w:val="auto"/>
                <w:sz w:val="24"/>
                <w:szCs w:val="24"/>
                <w:highlight w:val="none"/>
              </w:rPr>
              <w:t>家企业，其中1家（圣大木业）已经停产。本评价根据环评情况和建设生产情况，将企业分为已建、在建、停产三大类：已建企业为已经投产运行或正在试运行的企业；在建企业为已通过环评，正在建设的企业；停产企业为已经建成，但停产的企业。根据分类，已建企业</w:t>
            </w:r>
            <w:r>
              <w:rPr>
                <w:rFonts w:hint="default" w:ascii="Times New Roman" w:hAnsi="Times New Roman" w:cs="Times New Roman"/>
                <w:color w:val="auto"/>
                <w:sz w:val="24"/>
                <w:szCs w:val="24"/>
                <w:highlight w:val="none"/>
                <w:lang w:val="en-US" w:eastAsia="zh-CN"/>
              </w:rPr>
              <w:t>40</w:t>
            </w:r>
            <w:r>
              <w:rPr>
                <w:rFonts w:hint="default" w:ascii="Times New Roman" w:hAnsi="Times New Roman" w:cs="Times New Roman"/>
                <w:color w:val="auto"/>
                <w:sz w:val="24"/>
                <w:szCs w:val="24"/>
                <w:highlight w:val="none"/>
              </w:rPr>
              <w:t>家，在建企业5</w:t>
            </w:r>
            <w:r>
              <w:rPr>
                <w:rFonts w:hint="default"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家，停产企业1家。产业园内企业情况详见</w:t>
            </w:r>
            <w:r>
              <w:rPr>
                <w:rFonts w:hint="default" w:ascii="Times New Roman" w:hAnsi="Times New Roman" w:cs="Times New Roman"/>
                <w:color w:val="auto"/>
                <w:sz w:val="24"/>
                <w:szCs w:val="24"/>
                <w:highlight w:val="none"/>
                <w:lang w:val="en-US" w:eastAsia="zh-CN"/>
              </w:rPr>
              <w:t>下</w:t>
            </w:r>
            <w:r>
              <w:rPr>
                <w:rFonts w:hint="default" w:ascii="Times New Roman" w:hAnsi="Times New Roman" w:cs="Times New Roman"/>
                <w:color w:val="auto"/>
                <w:sz w:val="24"/>
                <w:szCs w:val="24"/>
                <w:highlight w:val="none"/>
              </w:rPr>
              <w:t>表。</w:t>
            </w:r>
          </w:p>
          <w:p w14:paraId="637E03D6">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园区通过环评审批企业情况统计</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9"/>
              <w:gridCol w:w="669"/>
              <w:gridCol w:w="1611"/>
              <w:gridCol w:w="1626"/>
              <w:gridCol w:w="2066"/>
              <w:gridCol w:w="818"/>
              <w:gridCol w:w="2026"/>
            </w:tblGrid>
            <w:tr w14:paraId="17180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6E8B83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kern w:val="0"/>
                      <w:sz w:val="21"/>
                      <w:szCs w:val="21"/>
                      <w:highlight w:val="none"/>
                    </w:rPr>
                  </w:pPr>
                  <w:bookmarkStart w:id="49" w:name="_Ref11703236"/>
                  <w:r>
                    <w:rPr>
                      <w:rFonts w:hint="default" w:ascii="Times New Roman" w:hAnsi="Times New Roman" w:cs="Times New Roman"/>
                      <w:b/>
                      <w:bCs/>
                      <w:color w:val="auto"/>
                      <w:sz w:val="21"/>
                      <w:szCs w:val="21"/>
                      <w:highlight w:val="none"/>
                    </w:rPr>
                    <w:t>序号</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F4C182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状态</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05144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行业类别</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000C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企业</w:t>
                  </w:r>
                  <w:r>
                    <w:rPr>
                      <w:rFonts w:hint="default" w:ascii="Times New Roman" w:hAnsi="Times New Roman" w:cs="Times New Roman"/>
                      <w:b/>
                      <w:bCs/>
                      <w:color w:val="auto"/>
                      <w:sz w:val="21"/>
                      <w:szCs w:val="21"/>
                      <w:highlight w:val="none"/>
                    </w:rPr>
                    <w:t>名称</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1678A6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主要产品及规模</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34402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Style w:val="93"/>
                      <w:rFonts w:hint="default" w:ascii="Times New Roman" w:hAnsi="Times New Roman" w:cs="Times New Roman"/>
                      <w:b/>
                      <w:bCs/>
                      <w:color w:val="auto"/>
                      <w:highlight w:val="none"/>
                    </w:rPr>
                    <w:t>面积（m</w:t>
                  </w:r>
                  <w:r>
                    <w:rPr>
                      <w:rStyle w:val="94"/>
                      <w:rFonts w:hint="default" w:ascii="Times New Roman" w:hAnsi="Times New Roman" w:cs="Times New Roman"/>
                      <w:b/>
                      <w:bCs/>
                      <w:color w:val="auto"/>
                      <w:highlight w:val="none"/>
                    </w:rPr>
                    <w:t>2</w:t>
                  </w:r>
                  <w:r>
                    <w:rPr>
                      <w:rStyle w:val="93"/>
                      <w:rFonts w:hint="default" w:ascii="Times New Roman" w:hAnsi="Times New Roman" w:cs="Times New Roman"/>
                      <w:b/>
                      <w:bCs/>
                      <w:color w:val="auto"/>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A0D2D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环评审批文号</w:t>
                  </w:r>
                </w:p>
              </w:tc>
            </w:tr>
            <w:tr w14:paraId="6FBD9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8A0C35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AA1B6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0AE98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3854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乐昌市明俊铸造有限公司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BFFF8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年产3000吨机械铸件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7958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80F90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乐环函〔2008〕12号、乐环审</w:t>
                  </w:r>
                  <w:r>
                    <w:rPr>
                      <w:rFonts w:hint="default" w:ascii="Times New Roman" w:hAnsi="Times New Roman" w:cs="Times New Roman"/>
                      <w:color w:val="auto"/>
                      <w:sz w:val="21"/>
                      <w:szCs w:val="21"/>
                      <w:highlight w:val="none"/>
                      <w:lang w:eastAsia="zh-CN"/>
                    </w:rPr>
                    <w:t>〔2018〕38号</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〔2022〕14号</w:t>
                  </w:r>
                </w:p>
              </w:tc>
            </w:tr>
            <w:tr w14:paraId="6A10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C876AE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D66D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3373F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齿轮、传动和驱动部件的制造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2920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广东省第二农机厂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EFB2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工程机械2500台、15万件齿轮配件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001C5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35070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AEDEC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乐环函〔2011〕8号</w:t>
                  </w:r>
                </w:p>
              </w:tc>
            </w:tr>
            <w:tr w14:paraId="62FD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EFB4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E5E229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9FC08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FA45D1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乐昌市金信工业有限公司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95B8C3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年产5000件阀门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55CB40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AC008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乐环函〔2009〕94号</w:t>
                  </w:r>
                </w:p>
              </w:tc>
            </w:tr>
            <w:tr w14:paraId="3784E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272E38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744D1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D5DFA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2DCD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乐昌市泰邦重型机械制造有限公司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2D44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年产6000吨铸件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EAB50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35335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744C5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乐环函〔2011〕25号、乐环审</w:t>
                  </w:r>
                  <w:r>
                    <w:rPr>
                      <w:rFonts w:hint="default" w:ascii="Times New Roman" w:hAnsi="Times New Roman" w:cs="Times New Roman"/>
                      <w:color w:val="auto"/>
                      <w:sz w:val="21"/>
                      <w:szCs w:val="21"/>
                      <w:highlight w:val="none"/>
                      <w:lang w:eastAsia="zh-CN"/>
                    </w:rPr>
                    <w:t>〔2018〕17号</w:t>
                  </w:r>
                </w:p>
              </w:tc>
            </w:tr>
            <w:tr w14:paraId="65FC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9C563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8AB08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311F1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1B39DD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乐昌市中嘉电子科技有限公司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697C09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年产9亿只铝电解电容器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41D7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20500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3DE8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乐环函〔2011〕98号</w:t>
                  </w:r>
                </w:p>
              </w:tc>
            </w:tr>
            <w:tr w14:paraId="05F9A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87F202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9FF51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E203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6E30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韶关欧亚特电子制品有限公司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D4C6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年加工3500万支热熔胶枪、1000万根插头线</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8D4D5D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18664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5F65E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乐环函〔2011〕79号、乐环审</w:t>
                  </w:r>
                  <w:r>
                    <w:rPr>
                      <w:rFonts w:hint="default" w:ascii="Times New Roman" w:hAnsi="Times New Roman" w:cs="Times New Roman"/>
                      <w:color w:val="auto"/>
                      <w:sz w:val="21"/>
                      <w:szCs w:val="21"/>
                      <w:highlight w:val="none"/>
                      <w:lang w:eastAsia="zh-CN"/>
                    </w:rPr>
                    <w:t>〔2018〕52号</w:t>
                  </w: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〔2020〕5号</w:t>
                  </w:r>
                </w:p>
              </w:tc>
            </w:tr>
            <w:tr w14:paraId="6B235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E5F3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0ED48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E330C3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粮食及饲料加工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B40DEA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广东利生源生物饲料有限公司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DF9710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年产10800吨优能乳、3000吨利生宝（加钙生物质饲料）</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03FD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10700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EE2FF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乐环函〔2011〕103号</w:t>
                  </w:r>
                </w:p>
              </w:tc>
            </w:tr>
            <w:tr w14:paraId="670B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9103C1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AFDE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3D60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其他金属加工机械制造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3DDF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乐昌市缔恒科技有限公司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F36AD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年产50万片金刚石复合片</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11687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1BC59F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乐环函〔2009〕16号</w:t>
                  </w:r>
                </w:p>
              </w:tc>
            </w:tr>
            <w:tr w14:paraId="58F26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72C51B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4946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551E6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水泥制品制造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F57F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乐昌市建强混凝土有限公司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020C5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商品混凝土建设项目、年扩建30万m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商品混凝土</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2AB31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88336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乐环函〔2012〕104号、乐环函〔2013〕94号</w:t>
                  </w:r>
                </w:p>
              </w:tc>
            </w:tr>
            <w:tr w14:paraId="42D84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30A26D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F51696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27F6B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其他环境治理</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D9B59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东莞东坑（乐昌）产业转移园污水处理厂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A9F9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处理水量10000m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98016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15400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94AFCA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乐环函〔2010〕107号</w:t>
                  </w:r>
                </w:p>
              </w:tc>
            </w:tr>
            <w:tr w14:paraId="05A5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FD065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2DB0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1FAB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自来水的生产和供应</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01F9F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乐昌市自来水有限公司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A97BC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加压泵站建设，供应水量5000m</w:t>
                  </w:r>
                  <w:r>
                    <w:rPr>
                      <w:rFonts w:hint="default" w:ascii="Times New Roman" w:hAnsi="Times New Roman" w:cs="Times New Roman"/>
                      <w:color w:val="auto"/>
                      <w:sz w:val="21"/>
                      <w:szCs w:val="21"/>
                      <w:highlight w:val="none"/>
                      <w:vertAlign w:val="superscript"/>
                    </w:rPr>
                    <w:t>3</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81DF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9303.8</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65080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乐环函〔2012〕103号</w:t>
                  </w:r>
                </w:p>
              </w:tc>
            </w:tr>
            <w:tr w14:paraId="717B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43AA38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4BBB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5428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007FB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韶关邵瑞铸钢有限公司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FF94C2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年产1万吨铸钢件、1000吨铸铁件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BD05B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75085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F1C5D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乐环函〔2011〕163号、乐环审</w:t>
                  </w:r>
                  <w:r>
                    <w:rPr>
                      <w:rFonts w:hint="default" w:ascii="Times New Roman" w:hAnsi="Times New Roman" w:cs="Times New Roman"/>
                      <w:color w:val="auto"/>
                      <w:sz w:val="21"/>
                      <w:szCs w:val="21"/>
                      <w:highlight w:val="none"/>
                      <w:lang w:eastAsia="zh-CN"/>
                    </w:rPr>
                    <w:t>〔2018〕19号</w:t>
                  </w:r>
                </w:p>
              </w:tc>
            </w:tr>
            <w:tr w14:paraId="28FCE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FEC24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BDD7A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50D46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纺织专用设备制造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08B8B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韶关安拓机械实业有限公司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B79305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年产240台椭圆型印花机</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92DDF0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37456</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4432EA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乐环函〔2012〕4号</w:t>
                  </w:r>
                </w:p>
              </w:tc>
            </w:tr>
            <w:tr w14:paraId="4F0CB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C1D34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226F1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ABCDB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金属结构制造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FF49D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乐昌市盛昌钢结构有限公司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F0E03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年加工500吨钢结构</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9E47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3CB82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乐环函〔2011〕80号</w:t>
                  </w:r>
                </w:p>
              </w:tc>
            </w:tr>
            <w:tr w14:paraId="20AF2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265786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DDA1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53EFF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钢铁铸件制造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84117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乐昌市昌兴机械制造有限公司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C328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年生产铸铁金属件18000吨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A6532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D73F84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乐环函〔2009〕36号</w:t>
                  </w:r>
                </w:p>
              </w:tc>
            </w:tr>
            <w:tr w14:paraId="4F9F7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0C55C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47ED8F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7F84F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棉、化纤纺织加工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FE008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乐昌市利生纺织公司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B42F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年产高档精馏棉纱41800吨、高档气流纺棉纱6000吨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660F6F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266400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E5F0D0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乐环函〔2011〕135号</w:t>
                  </w:r>
                </w:p>
              </w:tc>
            </w:tr>
            <w:tr w14:paraId="1C06D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8D0117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2B09B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87AC29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隔热和隔音材料制造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D808E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乐昌市昌龙塑料制造有限公司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9FC0F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年产7万立方米挤塑式聚苯乙烯泡沫板</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7BFCD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23571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990B36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乐环函〔2013〕143号</w:t>
                  </w:r>
                </w:p>
              </w:tc>
            </w:tr>
            <w:tr w14:paraId="3819E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BB6D09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AD4D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F5B32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燃气生产和供应业</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3DDC30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乐昌市安顺达管道天然气有限公司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400D7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加气站设计规模为15000万m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985A6D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20080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5D3AA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乐环函〔2012〕53号</w:t>
                  </w:r>
                </w:p>
              </w:tc>
            </w:tr>
            <w:tr w14:paraId="2C947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54E95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6D9F17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停产</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B58F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木制品制造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75DB2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乐昌市圣大木业有限公司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6997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中密度纤维板</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EF2444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62000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5F844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韶环审</w:t>
                  </w:r>
                  <w:r>
                    <w:rPr>
                      <w:rFonts w:hint="default" w:ascii="Times New Roman" w:hAnsi="Times New Roman" w:cs="Times New Roman"/>
                      <w:color w:val="auto"/>
                      <w:sz w:val="21"/>
                      <w:szCs w:val="21"/>
                      <w:highlight w:val="none"/>
                      <w:lang w:eastAsia="zh-CN"/>
                    </w:rPr>
                    <w:t>〔2008〕130号</w:t>
                  </w:r>
                </w:p>
              </w:tc>
            </w:tr>
            <w:tr w14:paraId="7E5DF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C412E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42272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C9B407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其他通用设备制造业</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F773CE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广东科优精密机械制造有限公司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591AC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年产5000t/a电磁阀用汇流板</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B3F3D1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1EE47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3号</w:t>
                  </w: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〔2018〕24号</w:t>
                  </w:r>
                </w:p>
              </w:tc>
            </w:tr>
            <w:tr w14:paraId="0835C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1B14D0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A73FB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BE4B9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9248D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欧昊科技（韶关）有限公司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9199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1500t/aPU装饰线条和250t/a聚氨酯装饰制品</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7062A1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24875.4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312BB0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〔2017〕34号</w:t>
                  </w:r>
                </w:p>
              </w:tc>
            </w:tr>
            <w:tr w14:paraId="19A7A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0EAB40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8C0909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61CC2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36EA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乐昌市华国艺术装饰建材有限公司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D2A93C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1500t/aPU装饰线条和250t/a聚氨酯装饰制品</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D4CC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27375.05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976AA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〔2017〕35号</w:t>
                  </w:r>
                </w:p>
              </w:tc>
            </w:tr>
            <w:tr w14:paraId="6B77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vMerge w:val="restart"/>
                  <w:tcBorders>
                    <w:top w:val="single" w:color="auto" w:sz="4" w:space="0"/>
                    <w:left w:val="single" w:color="auto" w:sz="4" w:space="0"/>
                    <w:right w:val="single" w:color="auto" w:sz="4" w:space="0"/>
                  </w:tcBorders>
                  <w:tcMar>
                    <w:top w:w="15" w:type="dxa"/>
                    <w:left w:w="15" w:type="dxa"/>
                    <w:bottom w:w="0" w:type="dxa"/>
                    <w:right w:w="15" w:type="dxa"/>
                  </w:tcMar>
                  <w:vAlign w:val="center"/>
                </w:tcPr>
                <w:p w14:paraId="7929BA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FDEC5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2653DF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再生资源</w:t>
                  </w:r>
                </w:p>
              </w:tc>
              <w:tc>
                <w:tcPr>
                  <w:tcW w:w="1626" w:type="dxa"/>
                  <w:vMerge w:val="restart"/>
                  <w:tcBorders>
                    <w:top w:val="single" w:color="auto" w:sz="4" w:space="0"/>
                    <w:left w:val="nil"/>
                    <w:right w:val="single" w:color="auto" w:sz="4" w:space="0"/>
                  </w:tcBorders>
                  <w:tcMar>
                    <w:top w:w="15" w:type="dxa"/>
                    <w:left w:w="15" w:type="dxa"/>
                    <w:bottom w:w="0" w:type="dxa"/>
                    <w:right w:w="15" w:type="dxa"/>
                  </w:tcMar>
                  <w:vAlign w:val="center"/>
                </w:tcPr>
                <w:p w14:paraId="030351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韶关豪立再生资源利用有限公司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75A1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豪立再生资源新材</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料项目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B0480A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17646</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1B710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〔2017〕69号</w:t>
                  </w:r>
                </w:p>
              </w:tc>
            </w:tr>
            <w:tr w14:paraId="25663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vMerge w:val="continue"/>
                  <w:tcBorders>
                    <w:left w:val="single" w:color="auto" w:sz="4" w:space="0"/>
                    <w:bottom w:val="single" w:color="auto" w:sz="4" w:space="0"/>
                    <w:right w:val="single" w:color="auto" w:sz="4" w:space="0"/>
                  </w:tcBorders>
                  <w:tcMar>
                    <w:top w:w="15" w:type="dxa"/>
                    <w:left w:w="15" w:type="dxa"/>
                    <w:bottom w:w="0" w:type="dxa"/>
                    <w:right w:w="15" w:type="dxa"/>
                  </w:tcMar>
                  <w:vAlign w:val="center"/>
                </w:tcPr>
                <w:p w14:paraId="1CECBB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DCD5D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6BFD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玻璃纤维纱</w:t>
                  </w:r>
                </w:p>
              </w:tc>
              <w:tc>
                <w:tcPr>
                  <w:tcW w:w="1626" w:type="dxa"/>
                  <w:vMerge w:val="continue"/>
                  <w:tcBorders>
                    <w:left w:val="nil"/>
                    <w:bottom w:val="single" w:color="auto" w:sz="4" w:space="0"/>
                    <w:right w:val="single" w:color="auto" w:sz="4" w:space="0"/>
                  </w:tcBorders>
                  <w:tcMar>
                    <w:top w:w="15" w:type="dxa"/>
                    <w:left w:w="15" w:type="dxa"/>
                    <w:bottom w:w="0" w:type="dxa"/>
                    <w:right w:w="15" w:type="dxa"/>
                  </w:tcMar>
                  <w:vAlign w:val="center"/>
                </w:tcPr>
                <w:p w14:paraId="1580CC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86109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玻璃纤维生产线扩建项目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A9188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A92E39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韶环乐审</w:t>
                  </w:r>
                  <w:r>
                    <w:rPr>
                      <w:rFonts w:hint="default" w:ascii="Times New Roman" w:hAnsi="Times New Roman" w:cs="Times New Roman"/>
                      <w:color w:val="auto"/>
                      <w:sz w:val="21"/>
                      <w:szCs w:val="21"/>
                      <w:highlight w:val="none"/>
                      <w:lang w:eastAsia="zh-CN"/>
                    </w:rPr>
                    <w:t>〔2021〕</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6号</w:t>
                  </w:r>
                </w:p>
              </w:tc>
            </w:tr>
            <w:tr w14:paraId="6CCA8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05899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74EB4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848B5A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改性塑料</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C9F33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乐昌市沃府新材料有限公司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6089D8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改性塑料10万吨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858F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73337</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39AD6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〔2017〕177号</w:t>
                  </w:r>
                </w:p>
              </w:tc>
            </w:tr>
            <w:tr w14:paraId="2D29E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96C22B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F8BA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6074A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消防器材</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4418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乐昌市特安消防器材有限公司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41C2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应急装备及配套600吨/年霍加垃特剂生产项目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CA62A8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1283.1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8BA8E0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〔2017〕79号</w:t>
                  </w:r>
                </w:p>
              </w:tc>
            </w:tr>
            <w:tr w14:paraId="31155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EBE64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439F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27EFBB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塑料制品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9A4A8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韶关乐淇包装材料有限公司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5CDA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年产7220吨塑料新</w:t>
                  </w:r>
                </w:p>
                <w:p w14:paraId="67BE5B8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材料项目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AAC9E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50991.9</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3885E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4号</w:t>
                  </w:r>
                </w:p>
              </w:tc>
            </w:tr>
            <w:tr w14:paraId="0D54C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8298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018001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ADDEC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皮具加工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8CECC5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乐昌市大澎皮具有限公司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B6936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皮具加工项目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B24C62">
                  <w:pPr>
                    <w:keepNext w:val="0"/>
                    <w:keepLines w:val="0"/>
                    <w:widowControl/>
                    <w:suppressLineNumbers w:val="0"/>
                    <w:autoSpaceDE w:val="0"/>
                    <w:spacing w:before="0" w:beforeAutospacing="0" w:after="0" w:afterAutospacing="0" w:line="240" w:lineRule="auto"/>
                    <w:ind w:left="0" w:right="0"/>
                    <w:jc w:val="center"/>
                    <w:textAlignment w:val="center"/>
                    <w:rPr>
                      <w:rStyle w:val="93"/>
                      <w:rFonts w:hint="default" w:ascii="Times New Roman" w:hAnsi="Times New Roman" w:cs="Times New Roman"/>
                      <w:color w:val="auto"/>
                      <w:highlight w:val="none"/>
                    </w:rPr>
                  </w:pPr>
                  <w:r>
                    <w:rPr>
                      <w:rStyle w:val="93"/>
                      <w:rFonts w:hint="default" w:ascii="Times New Roman" w:hAnsi="Times New Roman" w:cs="Times New Roman"/>
                      <w:color w:val="auto"/>
                      <w:highlight w:val="none"/>
                    </w:rPr>
                    <w:t>3548</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EF396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〔2018〕10号</w:t>
                  </w:r>
                </w:p>
              </w:tc>
            </w:tr>
            <w:tr w14:paraId="566E8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A1FFD3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53BD7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721D8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泡沫塑料制造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692A94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汇隽新材料科技（乐昌）有限公司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226EA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年产750tPU装饰线条和250t聚氨酯装饰制品</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21E62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7349.3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6261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〔2018〕13号</w:t>
                  </w:r>
                </w:p>
              </w:tc>
            </w:tr>
            <w:tr w14:paraId="7F50F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921A8D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AF1E1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9F7AA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B1EEE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乐昌市吉焱实业有限公司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7A004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装饰材料项目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552BA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24875.4</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FC9E8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〔2018〕14号</w:t>
                  </w:r>
                </w:p>
              </w:tc>
            </w:tr>
            <w:tr w14:paraId="04FA2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98A46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7CCD4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4BA06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塑胶制品制造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65365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乐昌市众诚塑胶制品有限公司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531C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众诚塑胶制品项目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8BCB44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12419.5</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ACC0A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〔2018〕15号</w:t>
                  </w:r>
                </w:p>
              </w:tc>
            </w:tr>
            <w:tr w14:paraId="4B371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24A854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7AE4F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E851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其他通用零部件制造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99F61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乐昌市铭源金属制品有限公司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E98BB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年加工1500吨机械配件、物流配件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2AE5E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504333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〔2018〕18号</w:t>
                  </w:r>
                </w:p>
              </w:tc>
            </w:tr>
            <w:tr w14:paraId="75B2A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E5B584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F82CF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8350A3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新型艺术装饰品</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6A07F5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汇隽新材料科技（乐昌）有限公司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28D50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鼎盛美建材新材料项目</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9996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7349.3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D7D379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〔2018〕31号</w:t>
                  </w:r>
                </w:p>
              </w:tc>
            </w:tr>
            <w:tr w14:paraId="2709D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46A2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2F96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5377CF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黑色金属铸造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944F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乐昌市金丰机械有限公司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C5F34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年产铸铁件12000吨</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A90B0D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33333.3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086F3F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〔2018〕33号</w:t>
                  </w:r>
                  <w:r>
                    <w:rPr>
                      <w:rFonts w:hint="default" w:ascii="Times New Roman" w:hAnsi="Times New Roman" w:cs="Times New Roman"/>
                      <w:color w:val="auto"/>
                      <w:sz w:val="21"/>
                      <w:szCs w:val="21"/>
                      <w:highlight w:val="none"/>
                    </w:rPr>
                    <w:t>、韶环乐审</w:t>
                  </w:r>
                  <w:r>
                    <w:rPr>
                      <w:rFonts w:hint="default" w:ascii="Times New Roman" w:hAnsi="Times New Roman" w:cs="Times New Roman"/>
                      <w:color w:val="auto"/>
                      <w:sz w:val="21"/>
                      <w:szCs w:val="21"/>
                      <w:highlight w:val="none"/>
                      <w:lang w:eastAsia="zh-CN"/>
                    </w:rPr>
                    <w:t>〔2022〕</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1号</w:t>
                  </w:r>
                </w:p>
              </w:tc>
            </w:tr>
            <w:tr w14:paraId="57896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5C037B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3CC5A7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239707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装饰背景墙</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CF0324">
                  <w:pPr>
                    <w:keepNext w:val="0"/>
                    <w:keepLines w:val="0"/>
                    <w:widowControl/>
                    <w:suppressLineNumbers w:val="0"/>
                    <w:autoSpaceDE w:val="0"/>
                    <w:spacing w:before="0" w:beforeAutospacing="0" w:after="0" w:afterAutospacing="0" w:line="240" w:lineRule="auto"/>
                    <w:ind w:left="0" w:right="0"/>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乐昌市艺峰装饰材料有限公司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3137CF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年产1000套装饰背景墙</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ECD71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16BC97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〔2018〕45号</w:t>
                  </w:r>
                </w:p>
              </w:tc>
            </w:tr>
            <w:tr w14:paraId="0705F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853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DFB8A8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C5FDE8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金属表面处理及热处理加工</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CBA4D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韶关龙督装饰材料有限公司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FCFBA0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彩涂铝卷 400 万 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/a，铝幕墙板、铝天花板100 万 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/a</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6CD931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33812.1</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862B1B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〔2018〕50号</w:t>
                  </w:r>
                </w:p>
              </w:tc>
            </w:tr>
            <w:tr w14:paraId="4B6E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8ED9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B845DC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747F1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汽车零部件及配件制造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EE4DB2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乐昌市鑫东穗汽车用品有限公司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775E1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年产10万套汽车配件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16234B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3060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01890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〔2021〕</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eastAsia="zh-CN"/>
                    </w:rPr>
                    <w:t>2号</w:t>
                  </w:r>
                </w:p>
              </w:tc>
            </w:tr>
            <w:tr w14:paraId="79F45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B76AE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0BC509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0CF78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皮箱、包</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袋</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A46F73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乐昌市盈鑫皮具有限公司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FE57C0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年产18万件办公和皮具产品</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1E171E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1183</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6A5313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乐环审〔2019〕23号</w:t>
                  </w:r>
                </w:p>
              </w:tc>
            </w:tr>
            <w:tr w14:paraId="0481D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35A8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6509AE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28078E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其他通用设备制造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DD1599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乐昌市华盛机械塑料制品厂</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FEA9D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年生产50台细砂回收机</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9C08CD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1050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149CF0E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乐环审〔2019〕26号</w:t>
                  </w:r>
                </w:p>
              </w:tc>
            </w:tr>
            <w:tr w14:paraId="51B0D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5A4C5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3A9E39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12B4E1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金属加工机械制造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3820FC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广东力禾机械有限公司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F2699F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年产精密龙门数控加工中心200台，精密龙门磨床100台，精密卧式数控镗床50台，普通机械设备、智能设备150台</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9B5686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86667</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E4FC0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乐环审〔2019〕34号</w:t>
                  </w:r>
                </w:p>
              </w:tc>
            </w:tr>
            <w:tr w14:paraId="128B2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1DCFF3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0D3B20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3677F8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非金属矿物制造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1473DC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乐昌市惠丰石英科技有限公司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ECA679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年产6000吨石英砂和600吨石英粉</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4C01C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535A6F0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乐环审〔2019〕37号</w:t>
                  </w:r>
                </w:p>
              </w:tc>
            </w:tr>
            <w:tr w14:paraId="24521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9213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669"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B1534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26F9C4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黑色金属铸造</w:t>
                  </w:r>
                </w:p>
              </w:tc>
              <w:tc>
                <w:tcPr>
                  <w:tcW w:w="16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CBCDDB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乐昌市宏泰机械制造有限公司</w:t>
                  </w:r>
                </w:p>
              </w:tc>
              <w:tc>
                <w:tcPr>
                  <w:tcW w:w="206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4613C19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年产20000吨机械设备零部件</w:t>
                  </w:r>
                </w:p>
              </w:tc>
              <w:tc>
                <w:tcPr>
                  <w:tcW w:w="684"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640B1DE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17320</w:t>
                  </w:r>
                </w:p>
              </w:tc>
              <w:tc>
                <w:tcPr>
                  <w:tcW w:w="202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7BD4FC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w:t>
                  </w:r>
                  <w:r>
                    <w:rPr>
                      <w:rFonts w:hint="default" w:ascii="Times New Roman" w:hAnsi="Times New Roman" w:cs="Times New Roman"/>
                      <w:color w:val="auto"/>
                      <w:sz w:val="21"/>
                      <w:szCs w:val="21"/>
                      <w:highlight w:val="none"/>
                      <w:lang w:eastAsia="zh-CN"/>
                    </w:rPr>
                    <w:t>〔2019〕43号</w:t>
                  </w:r>
                </w:p>
              </w:tc>
            </w:tr>
            <w:tr w14:paraId="1EBB4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2AC00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94B83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2E242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其他电子元件制造、通信系统设备制造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4A48E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韶关高尔德防雷科技有限公司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25DD8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年产3万台移动通信基站电源、480万AH铁锂电池扩建</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39ED7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15561.5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7F97A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乐环审〔2020〕12号</w:t>
                  </w:r>
                </w:p>
              </w:tc>
            </w:tr>
            <w:tr w14:paraId="7FFDA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5B108B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3BBA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D4472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电子器件制造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CE5C7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深圳艾尔康电子元器件有限公司乐昌分公司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B8D5CE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99122万件/年电子元器件、50套模具和50台自动化装备</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65DA3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20006.9</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123F6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〔2018〕32号</w:t>
                  </w:r>
                </w:p>
              </w:tc>
            </w:tr>
            <w:tr w14:paraId="498AB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C520D5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B4892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9E65E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紧固件制造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82535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乐昌市永成智能厨房设备制造有限公司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E6A7F0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锅炉具类、蒸炉具类、工作台类等厨房设备</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2D9F2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33333.33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5E747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Style w:val="95"/>
                      <w:rFonts w:hint="default" w:ascii="Times New Roman" w:hAnsi="Times New Roman" w:cs="Times New Roman"/>
                      <w:color w:val="auto"/>
                      <w:highlight w:val="none"/>
                    </w:rPr>
                    <w:t>乐环审</w:t>
                  </w:r>
                  <w:r>
                    <w:rPr>
                      <w:rStyle w:val="95"/>
                      <w:rFonts w:hint="default" w:ascii="Times New Roman" w:hAnsi="Times New Roman" w:cs="Times New Roman"/>
                      <w:color w:val="auto"/>
                      <w:highlight w:val="none"/>
                      <w:lang w:eastAsia="zh-CN"/>
                    </w:rPr>
                    <w:t>〔2018〕41号</w:t>
                  </w:r>
                </w:p>
              </w:tc>
            </w:tr>
            <w:tr w14:paraId="08861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734126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42C9C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69B5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黑色金属铸造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282C3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精信（乐昌）机械有限公司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DDC33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 xml:space="preserve">年产人防门配件 </w:t>
                  </w:r>
                  <w:r>
                    <w:rPr>
                      <w:rFonts w:hint="default" w:ascii="Times New Roman" w:hAnsi="Times New Roman" w:eastAsia="仿宋_GB2312" w:cs="Times New Roman"/>
                      <w:color w:val="auto"/>
                      <w:spacing w:val="-2"/>
                      <w:kern w:val="0"/>
                      <w:sz w:val="21"/>
                      <w:szCs w:val="21"/>
                      <w:highlight w:val="none"/>
                    </w:rPr>
                    <w:t xml:space="preserve">11250 </w:t>
                  </w:r>
                  <w:r>
                    <w:rPr>
                      <w:rFonts w:hint="default" w:ascii="Times New Roman" w:hAnsi="Times New Roman" w:cs="Times New Roman"/>
                      <w:color w:val="auto"/>
                      <w:spacing w:val="-2"/>
                      <w:kern w:val="0"/>
                      <w:sz w:val="21"/>
                      <w:szCs w:val="21"/>
                      <w:highlight w:val="none"/>
                    </w:rPr>
                    <w:t>台（套）</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0A58A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2213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F94A8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〔2018〕53号</w:t>
                  </w:r>
                </w:p>
              </w:tc>
            </w:tr>
            <w:tr w14:paraId="08114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3F1AE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B862CF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01345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紧固件制造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B05E0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乐昌市玉煌科技有限公司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7805D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年产2000吨螺丝</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CDAAB7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15291.1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D1E38D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〔2018〕54号</w:t>
                  </w:r>
                </w:p>
              </w:tc>
            </w:tr>
            <w:tr w14:paraId="15300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3A69C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5D235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78D95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棉纺纱加工</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52C3B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乐昌市华顺纺织有限公司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8FF0B3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年产12000吨纺纱制品</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88B5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63114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3E72C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〔2018〕55号</w:t>
                  </w:r>
                </w:p>
              </w:tc>
            </w:tr>
            <w:tr w14:paraId="3B20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991940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93A61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EB5F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塑料零件及其他塑料制品制造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12715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广东立恒新材料科技有限公司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FE1F6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年产8000吨改性塑料</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714A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9333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336B26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〔2018〕60号</w:t>
                  </w:r>
                </w:p>
              </w:tc>
            </w:tr>
            <w:tr w14:paraId="4FD36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96F69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0EFE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2965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棉印染精加工</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0926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乐昌市赫尔龙体育用品有限公司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67676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年产运动服等运动产品约100万件/年</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E9865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14604.85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E166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3BA1F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505ADC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FFF5E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28BEE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矿山机械制造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57B758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韶关鑫瑞智能装备有限公司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6784B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年产803台破碎、筛分单机设备，移动式破碎筛分装备和模块化装备</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6D058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17693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367E7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〔2019〕25号</w:t>
                  </w:r>
                </w:p>
              </w:tc>
            </w:tr>
            <w:tr w14:paraId="02AFD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68F79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5D9D09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3AD0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家用美容、保健、护理电器具制造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F85C41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乐昌市优泰德电器有限公司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97FB18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年产250万台家用护理小电器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453F8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15173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5EBD1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〔2019〕38号</w:t>
                  </w:r>
                </w:p>
              </w:tc>
            </w:tr>
            <w:tr w14:paraId="1BE55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0FEE4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40EA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125D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其他家用电力器具制造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F60AA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广东启健净水设备有限公司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50C8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年产120万台净水设备</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6EAD9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9598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D50B3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60CC1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D5DA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1DCB8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CD36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其他电子元件制造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FBEF2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乐昌市润韬电子科技有限公司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ECA1A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年产4亿电子连接器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A3828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300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EE59C0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w:t>
                  </w:r>
                </w:p>
              </w:tc>
            </w:tr>
            <w:tr w14:paraId="0114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3D4F7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B2B1A7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C7D5B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新型艺术装饰品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16FD8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乐昌欧典高分子装饰材料有限公司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3521C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欧典装饰新材料项目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4701A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8699.97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56E81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〔2018〕12号</w:t>
                  </w: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〔2019〕68号</w:t>
                  </w:r>
                </w:p>
              </w:tc>
            </w:tr>
            <w:tr w14:paraId="1D023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052304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823EED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FC351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其他未列明通用设备制造业</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72A76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乐昌市鼎德机械设备制造有限公司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2303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4条整机产品生产线和2800件零件产品</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ABA3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10680.5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6CAB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〔2019〕74号</w:t>
                  </w:r>
                </w:p>
              </w:tc>
            </w:tr>
            <w:tr w14:paraId="2CE62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A879C9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9507C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EB05E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塑料板、管、型材制造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9B945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材通（乐昌）管业科技有限公司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67FEAD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年产16820吨PVC管材</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B6C22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47574.68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95569F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54B4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D3E895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381887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CAF4E0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皮箱、包（袋）制造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C64A0A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宇创箱包制品（韶关市乐昌）有限公司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56DF8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年产钱包30万个，手袋50万个</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6EAAF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1200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787A4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00C40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910C9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73DB9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165F1A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建筑工程用机械制造、金属制品、包装容器</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76DF18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广东博昇昌智能制造有限公司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45D25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年产600栋附着式升降脚手架和1000000米住宅栏杆</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66558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49075.31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F2C48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〔2020〕11号</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7号</w:t>
                  </w:r>
                </w:p>
              </w:tc>
            </w:tr>
            <w:tr w14:paraId="494B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2D9A53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70CAC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CF6D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塑料制品业</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85344F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乐昌市金来得实业有限公司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C68FF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年产4.8万立方米聚乙烯高分子材料</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14B03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23018.4</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FB946C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〔2020〕14号</w:t>
                  </w:r>
                </w:p>
              </w:tc>
            </w:tr>
            <w:tr w14:paraId="657D9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E3758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87C064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4F8E62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金属成形机床制造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B6800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广东欧匹特智能装备有限公司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F08C1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年产350台数控机床</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2C76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26032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F7E71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〔2020〕16号</w:t>
                  </w:r>
                </w:p>
              </w:tc>
            </w:tr>
            <w:tr w14:paraId="21D7C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0C83AA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9CCD1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19781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助剂制造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4DBEA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广东金康新材料有限公司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6D8414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生产3600t/aPVC稳定剂和2400t/a助剂</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09F9A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11260.7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821BF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〔2020〕10号</w:t>
                  </w:r>
                </w:p>
              </w:tc>
            </w:tr>
            <w:tr w14:paraId="2DD49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2EA2E7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0B2B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BAC2F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非织造布制造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96224F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乐昌市宝创环保新材料制品有限公司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75CA6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生产热轧无纺布2800t/a，口罩30000万片/a，湿巾360万包/a，熔喷无纺布1500 t/a</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E98E30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26671.2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86439D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〔2017〕50号</w:t>
                  </w: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〔2020〕23号</w:t>
                  </w:r>
                </w:p>
              </w:tc>
            </w:tr>
            <w:tr w14:paraId="34DDD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910A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48328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D81E0A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通讯设备零配件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CC53C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广东东田实业有限公司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DFE67B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年产5万套移动通信基站电源钣金件项目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2B329D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1557.48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938B9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〔2020〕27号</w:t>
                  </w:r>
                </w:p>
              </w:tc>
            </w:tr>
            <w:tr w14:paraId="2E15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4C0562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1F247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BBB4D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FD803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韶关骏东新型包装材料有限公司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03568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年产500万个吸塑包装盒建设项目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719E1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1000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46A78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〔2020〕30号</w:t>
                  </w:r>
                </w:p>
              </w:tc>
            </w:tr>
            <w:tr w14:paraId="3B8B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F64BE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CD7E5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F8FA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铝合金制品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188B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广东力齐铝模科技有限公司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306B4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年产铝合金模板12万平方米项目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BC3B1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12419.5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2B6921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〔2020〕31号</w:t>
                  </w: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127D6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8833A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16F9E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109B97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电子配件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99C16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乐昌市柏群电子科技有限公司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BEE0E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年产健身器材调速马达60万个、电子仪表40万个、机台配套线材3000万套、COB板50万套、胶壳300万件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1945B6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1486.76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4E626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8号</w:t>
                  </w:r>
                </w:p>
              </w:tc>
            </w:tr>
            <w:tr w14:paraId="6C0A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F138B8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C8649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1D8C2E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玻璃纤维</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D6665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三创复合材料（乐昌）有限公司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FC8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年产6365吨玻璃纤维和碳素纤维复合材料制品</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A4483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25577.13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DDED5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345A0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E6825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27881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D5CDE4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复合新材料</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9311A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中环（广东）生物科技有限公司乐昌分公司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280E0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年产购物袋专用树脂3500t、垃圾袋专用树脂1000t、包装片材专用树脂500t</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F70154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1338.66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604D5A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〔2021〕12号</w:t>
                  </w:r>
                </w:p>
              </w:tc>
            </w:tr>
            <w:tr w14:paraId="57535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0EE9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C72C7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4269E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电子元件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4099B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广东科拓电子元件有限公司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2F84B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年产电容、电阻器8亿只</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8FA1E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1720.83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2A90E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〔2021〕13号</w:t>
                  </w:r>
                </w:p>
              </w:tc>
            </w:tr>
            <w:tr w14:paraId="68061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30E41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DC8CE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EBD4B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废气处理设备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6DF173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广东熙诚环保科技有限公司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7514E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年产PP喷淋塔500台，PP活性炭吸附箱500台</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E665B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13335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C3D1F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9号</w:t>
                  </w:r>
                </w:p>
              </w:tc>
            </w:tr>
            <w:tr w14:paraId="1D77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D3A5D2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71293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2154F6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塑料制品、橡胶制品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0B2CE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韶关优博婴童智能科技有限公司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8E4AA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年产硅胶件（奶嘴）10000万件、吹瓶件（奶瓶）2000万个、注塑件（餐具）20000万件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6CC5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57970.43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9F385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〔2021〕12号</w:t>
                  </w:r>
                </w:p>
              </w:tc>
            </w:tr>
            <w:tr w14:paraId="69C6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8EF8F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52778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BDB85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F68969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乐昌市共盈新材料科技有限公司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312F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年产塑料瓦25000吨、ASA塑料膜3000吨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9FAB14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30662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052E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乐环审</w:t>
                  </w:r>
                  <w:r>
                    <w:rPr>
                      <w:rFonts w:hint="default" w:ascii="Times New Roman" w:hAnsi="Times New Roman" w:cs="Times New Roman"/>
                      <w:color w:val="auto"/>
                      <w:spacing w:val="-2"/>
                      <w:kern w:val="0"/>
                      <w:sz w:val="21"/>
                      <w:szCs w:val="21"/>
                      <w:highlight w:val="none"/>
                      <w:lang w:eastAsia="zh-CN"/>
                    </w:rPr>
                    <w:t>〔2021〕10号</w:t>
                  </w:r>
                </w:p>
              </w:tc>
            </w:tr>
            <w:tr w14:paraId="26611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8BE1DB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95427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110D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橡胶制品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F4D10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悦然（韶关）科技有限公司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5D798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年产830万件橡胶制品项目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1AB62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3500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1F886C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4号</w:t>
                  </w:r>
                </w:p>
              </w:tc>
            </w:tr>
            <w:tr w14:paraId="70E9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49A71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C4234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50123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塑料玩具</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2E5A3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广东金途信息技术有限公司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AC2CE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年产10000件塑胶玩具项目</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5CB44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3500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3694D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5号</w:t>
                  </w:r>
                </w:p>
              </w:tc>
            </w:tr>
            <w:tr w14:paraId="4FF9D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788CCA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E66A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A838A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汽车配件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ACDB52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韶关市万博汽车配件有限公司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8D6E25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年产500万支雨刷和1900万个主架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D420B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1139</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91BD3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〔2021〕15号</w:t>
                  </w:r>
                </w:p>
              </w:tc>
            </w:tr>
            <w:tr w14:paraId="774B5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BE0E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6DD09A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B7209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机械制造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25B60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同向（乐昌）精密机械有限公司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C57966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年产登机桥、压力机械等设备3350套（台）</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EA914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52810.91</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EF36A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〔2021〕16号</w:t>
                  </w:r>
                </w:p>
              </w:tc>
            </w:tr>
            <w:tr w14:paraId="4E9C8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15AE5F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BCF1B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74B1D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DD149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广东顺驰智能制造有限公司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9F7D77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年产施工升降机1800台</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4AEB5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51544.6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8A270F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〔2021〕17号</w:t>
                  </w:r>
                </w:p>
              </w:tc>
            </w:tr>
            <w:tr w14:paraId="7E222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6B08F6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4451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703ED4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玻璃纤维</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1EB325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广东省合高复合材料有限公司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90352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年产玻璃纤维及增塑产品24200吨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7F8F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27017.8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09BC4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〔2021〕20号</w:t>
                  </w:r>
                </w:p>
              </w:tc>
            </w:tr>
            <w:tr w14:paraId="664C7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788995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374014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A69BC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铜材</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48E2FE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韶关南源铜材有限公司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A44306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年产含铅黄铜棒18000吨、无铅黄铜棒12000吨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08A23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44981.3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BED95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〔2021〕21号</w:t>
                  </w:r>
                </w:p>
              </w:tc>
            </w:tr>
            <w:tr w14:paraId="35F14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166B8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F2DCFF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4C28671">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金属制品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6357DD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广东启轮金属制品有限公司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1821B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年产脚轮100万个</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23D267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BCBA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〔2021〕22号</w:t>
                  </w:r>
                </w:p>
              </w:tc>
            </w:tr>
            <w:tr w14:paraId="08202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4203B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DA810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92ADB7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应急装备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DC32F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德尔安科技（广东）有限公司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B66C9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年产500万具应急装备及配套原材料</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4A3C7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27672.2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D64418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〔2021〕23号</w:t>
                  </w:r>
                </w:p>
              </w:tc>
            </w:tr>
            <w:tr w14:paraId="5E10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33DE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27EF9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AD9D4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彩盒包装</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B53D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添亿包装（广东）有限公司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4D1BA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年产彩盒10亿套</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E7D61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16564.72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901686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〔2021〕24号</w:t>
                  </w:r>
                </w:p>
              </w:tc>
            </w:tr>
            <w:tr w14:paraId="4C6E1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84C2CE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61AFA5">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51C73B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人防门配件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FB13FA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精信（乐昌）机械有限公司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C5789F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年产人防门配件11250套</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568F10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16950.3</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CD55D5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〔2021〕25号</w:t>
                  </w:r>
                </w:p>
              </w:tc>
            </w:tr>
            <w:tr w14:paraId="4ED1D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CD54F8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A020FB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FB45A4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人防门配件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4D70F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广东精准人防设备有限公司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874B4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年产人防门配件10000t，年产锡铋件60t</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0129C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67BF5A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〔2021〕29号</w:t>
                  </w:r>
                </w:p>
              </w:tc>
            </w:tr>
            <w:tr w14:paraId="012B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106330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23874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380749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污水处理设备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42901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合续环境科技（乐昌）有限公司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CED16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年产中国罐卧罐1000套、贝斯500套</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C8340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6480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512AB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〔2021〕28号</w:t>
                  </w:r>
                </w:p>
              </w:tc>
            </w:tr>
            <w:tr w14:paraId="0DA3C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F6EF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C94D52">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DB39E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搪瓷制品、通用零部件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5F3917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乐昌市钜宝科技制造有限公司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89A847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年产搪瓷铸铁件1000t，年喷粉1000t，年加工铸铁件6000t</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3EE406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10200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67EFB9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〔2021〕30号</w:t>
                  </w:r>
                </w:p>
              </w:tc>
            </w:tr>
            <w:tr w14:paraId="6E6B2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25A30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E5A8B0">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AE172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矿山机械配件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0C0EE2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乐昌市保利发矿山机械配件有限公司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D2FD70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年产破碎机边板3000t、锤头2000t和配件5000t</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572F0B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C451AC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〔2022〕16号</w:t>
                  </w:r>
                </w:p>
              </w:tc>
            </w:tr>
            <w:tr w14:paraId="0270F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D3A295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40D98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2A7B3C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通信设备</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597E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广东中衡能源设备有限公司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9EDEFAF">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年产移动通信基站设备3万套、机柜2万套</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0A5E1D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13940.57</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EC1B9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〔2022〕12号</w:t>
                  </w:r>
                </w:p>
              </w:tc>
            </w:tr>
            <w:tr w14:paraId="4FBBB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BEC10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89</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14249B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8B7A3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开关电源</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132F83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广东先领电源有限公司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231FBD2">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年产600万只开关电源</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61F7EF">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2686</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6F1657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〔2022〕15号</w:t>
                  </w:r>
                </w:p>
              </w:tc>
            </w:tr>
            <w:tr w14:paraId="28B8C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D31A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BBE7D1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BB3B7FD">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精工制造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B990D4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乐昌市宏信精工制造有限公司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B75BD0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年产4000t球墨铸铁和6000t灰口铸铁</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D39065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8F65B4">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〔2022〕23号</w:t>
                  </w:r>
                </w:p>
              </w:tc>
            </w:tr>
            <w:tr w14:paraId="5A778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F9EEA9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91</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81A82A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8FA5C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厨具</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93B3E4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广东弘德宝厨具有限公司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F3A8BD8">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年产铸铁厨房用具25000吨</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13B039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26640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46AC0D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〔2022〕18号</w:t>
                  </w:r>
                </w:p>
              </w:tc>
            </w:tr>
            <w:tr w14:paraId="22163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B96AD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92</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7032A78">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7E72673">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ADCAB3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广东嘉上实业有限公司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5697F0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年产500万个塑料桶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F9232F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12926.42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9EAB2C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〔2022〕21号</w:t>
                  </w:r>
                </w:p>
              </w:tc>
            </w:tr>
            <w:tr w14:paraId="1F5C6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2FFA5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93</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EA88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79A61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汽车配件</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154D63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广东奕宸汽车科技有限公司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3F38251">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年产汽车散热器50万件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2FE89E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33915.52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E8F55E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〔2022〕28号</w:t>
                  </w:r>
                </w:p>
              </w:tc>
            </w:tr>
            <w:tr w14:paraId="685C1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B5F2E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94</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BE3404C">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7B07206">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塑料制品</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E4377E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广东邦嘉硅胶科技有限公司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78F59D5">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固体硅胶300吨/年注塑件300万件/年硅胶件</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奶嘴</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100万个/年、玻璃奶瓶100万个年、硅胶护层产品100万件年</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035A6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36000</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0B7681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3号</w:t>
                  </w:r>
                </w:p>
              </w:tc>
            </w:tr>
            <w:tr w14:paraId="02AA3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BA896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41B510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B7CF357">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金属切割及焊接设备制造、纺织专用设备制造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246297EB">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碧宏自动化</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lang w:val="en-US" w:eastAsia="zh-CN"/>
                    </w:rPr>
                    <w:t>广东</w:t>
                  </w:r>
                  <w:r>
                    <w:rPr>
                      <w:rFonts w:hint="default" w:ascii="Times New Roman" w:hAnsi="Times New Roman" w:cs="Times New Roman"/>
                      <w:color w:val="auto"/>
                      <w:spacing w:val="-2"/>
                      <w:kern w:val="0"/>
                      <w:sz w:val="21"/>
                      <w:szCs w:val="21"/>
                      <w:highlight w:val="none"/>
                      <w:lang w:eastAsia="zh-CN"/>
                    </w:rPr>
                    <w:t>）</w:t>
                  </w:r>
                  <w:r>
                    <w:rPr>
                      <w:rFonts w:hint="default" w:ascii="Times New Roman" w:hAnsi="Times New Roman" w:cs="Times New Roman"/>
                      <w:color w:val="auto"/>
                      <w:spacing w:val="-2"/>
                      <w:kern w:val="0"/>
                      <w:sz w:val="21"/>
                      <w:szCs w:val="21"/>
                      <w:highlight w:val="none"/>
                    </w:rPr>
                    <w:t>有限责任公司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84A40DE">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椭圆印花机500件数码印花机100件、拉网机100件、激光</w:t>
                  </w:r>
                </w:p>
                <w:p w14:paraId="707BE770">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机300件</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2F78CC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31172</w:t>
                  </w:r>
                  <w:r>
                    <w:rPr>
                      <w:rFonts w:hint="default" w:ascii="Times New Roman" w:hAnsi="Times New Roman" w:cs="Times New Roman"/>
                      <w:color w:val="auto"/>
                      <w:spacing w:val="-2"/>
                      <w:kern w:val="0"/>
                      <w:sz w:val="21"/>
                      <w:szCs w:val="21"/>
                      <w:highlight w:val="none"/>
                      <w:lang w:val="en-US" w:eastAsia="zh-CN"/>
                    </w:rPr>
                    <w:t>.</w:t>
                  </w:r>
                  <w:r>
                    <w:rPr>
                      <w:rFonts w:hint="default" w:ascii="Times New Roman" w:hAnsi="Times New Roman" w:cs="Times New Roman"/>
                      <w:color w:val="auto"/>
                      <w:spacing w:val="-2"/>
                      <w:kern w:val="0"/>
                      <w:sz w:val="21"/>
                      <w:szCs w:val="21"/>
                      <w:highlight w:val="none"/>
                    </w:rPr>
                    <w:t>2</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3071705C">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〔2023〕10号</w:t>
                  </w:r>
                </w:p>
              </w:tc>
            </w:tr>
            <w:tr w14:paraId="4B72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A3B72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96</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299F4E9">
                  <w:pPr>
                    <w:keepNext w:val="0"/>
                    <w:keepLines w:val="0"/>
                    <w:suppressLineNumbers w:val="0"/>
                    <w:autoSpaceDE w:val="0"/>
                    <w:spacing w:before="0" w:beforeAutospacing="0" w:after="0" w:afterAutospacing="0" w:line="240" w:lineRule="auto"/>
                    <w:ind w:left="0" w:right="0"/>
                    <w:jc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已建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C90B314">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光伏设备及元器件制造</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EC1B4AD">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广东柏创智能装备有限公司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034B4A16">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eastAsia="宋体"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rPr>
                    <w:t>单晶炉热交换器12000套年、腔体部件200套/年、晶棒相关自动化设备200套</w:t>
                  </w:r>
                  <w:r>
                    <w:rPr>
                      <w:rFonts w:hint="default" w:ascii="Times New Roman" w:hAnsi="Times New Roman" w:cs="Times New Roman"/>
                      <w:color w:val="auto"/>
                      <w:spacing w:val="-2"/>
                      <w:kern w:val="0"/>
                      <w:sz w:val="21"/>
                      <w:szCs w:val="21"/>
                      <w:highlight w:val="none"/>
                      <w:lang w:val="en-US" w:eastAsia="zh-CN"/>
                    </w:rPr>
                    <w:t>/年</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5E9F137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23334</w:t>
                  </w:r>
                  <w:r>
                    <w:rPr>
                      <w:rFonts w:hint="default" w:ascii="Times New Roman" w:hAnsi="Times New Roman" w:cs="Times New Roman"/>
                      <w:color w:val="auto"/>
                      <w:spacing w:val="-2"/>
                      <w:kern w:val="0"/>
                      <w:sz w:val="21"/>
                      <w:szCs w:val="21"/>
                      <w:highlight w:val="none"/>
                      <w:lang w:val="en-US" w:eastAsia="zh-CN"/>
                    </w:rPr>
                    <w:t>.</w:t>
                  </w:r>
                  <w:r>
                    <w:rPr>
                      <w:rFonts w:hint="default" w:ascii="Times New Roman" w:hAnsi="Times New Roman" w:cs="Times New Roman"/>
                      <w:color w:val="auto"/>
                      <w:spacing w:val="-2"/>
                      <w:kern w:val="0"/>
                      <w:sz w:val="21"/>
                      <w:szCs w:val="21"/>
                      <w:highlight w:val="none"/>
                    </w:rPr>
                    <w:t>5</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466FAC9">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〔2023〕33号</w:t>
                  </w:r>
                </w:p>
              </w:tc>
            </w:tr>
            <w:tr w14:paraId="231A4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574" w:type="dxa"/>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6DCB259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97</w:t>
                  </w:r>
                </w:p>
              </w:tc>
              <w:tc>
                <w:tcPr>
                  <w:tcW w:w="669"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5C1129E">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lang w:val="en-US" w:eastAsia="zh-CN"/>
                    </w:rPr>
                  </w:pPr>
                  <w:r>
                    <w:rPr>
                      <w:rFonts w:hint="default" w:ascii="Times New Roman" w:hAnsi="Times New Roman" w:cs="Times New Roman"/>
                      <w:color w:val="auto"/>
                      <w:spacing w:val="-2"/>
                      <w:kern w:val="0"/>
                      <w:sz w:val="21"/>
                      <w:szCs w:val="21"/>
                      <w:highlight w:val="none"/>
                      <w:lang w:val="en-US" w:eastAsia="zh-CN"/>
                    </w:rPr>
                    <w:t>在建</w:t>
                  </w:r>
                </w:p>
              </w:tc>
              <w:tc>
                <w:tcPr>
                  <w:tcW w:w="1611"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70C009CB">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乐昌市昌雄新材料项目</w:t>
                  </w:r>
                </w:p>
              </w:tc>
              <w:tc>
                <w:tcPr>
                  <w:tcW w:w="16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AF39917">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乐昌市昌雄实业投资开发有限公司</w:t>
                  </w:r>
                </w:p>
              </w:tc>
              <w:tc>
                <w:tcPr>
                  <w:tcW w:w="206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4D4A66EA">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年加工能力为2100吨铝卷原料（折算为50万平方米）</w:t>
                  </w:r>
                </w:p>
              </w:tc>
              <w:tc>
                <w:tcPr>
                  <w:tcW w:w="684"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64FDE8FA">
                  <w:pPr>
                    <w:keepNext w:val="0"/>
                    <w:keepLines w:val="0"/>
                    <w:suppressLineNumbers w:val="0"/>
                    <w:autoSpaceDE w:val="0"/>
                    <w:spacing w:before="0" w:beforeAutospacing="0" w:after="0" w:afterAutospacing="0" w:line="240" w:lineRule="auto"/>
                    <w:ind w:left="0" w:right="0"/>
                    <w:jc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52761.8</w:t>
                  </w:r>
                </w:p>
              </w:tc>
              <w:tc>
                <w:tcPr>
                  <w:tcW w:w="2026" w:type="dxa"/>
                  <w:tcBorders>
                    <w:top w:val="single" w:color="auto" w:sz="4" w:space="0"/>
                    <w:left w:val="nil"/>
                    <w:bottom w:val="single" w:color="auto" w:sz="4" w:space="0"/>
                    <w:right w:val="single" w:color="auto" w:sz="4" w:space="0"/>
                  </w:tcBorders>
                  <w:noWrap/>
                  <w:tcMar>
                    <w:top w:w="15" w:type="dxa"/>
                    <w:left w:w="15" w:type="dxa"/>
                    <w:bottom w:w="0" w:type="dxa"/>
                    <w:right w:w="15" w:type="dxa"/>
                  </w:tcMar>
                  <w:vAlign w:val="center"/>
                </w:tcPr>
                <w:p w14:paraId="1CC37973">
                  <w:pPr>
                    <w:keepNext w:val="0"/>
                    <w:keepLines w:val="0"/>
                    <w:widowControl/>
                    <w:suppressLineNumbers w:val="0"/>
                    <w:autoSpaceDE w:val="0"/>
                    <w:spacing w:before="0" w:beforeAutospacing="0" w:after="0" w:afterAutospacing="0" w:line="240" w:lineRule="auto"/>
                    <w:ind w:left="0" w:right="0"/>
                    <w:jc w:val="center"/>
                    <w:textAlignment w:val="center"/>
                    <w:rPr>
                      <w:rFonts w:hint="default" w:ascii="Times New Roman" w:hAnsi="Times New Roman" w:cs="Times New Roman"/>
                      <w:color w:val="auto"/>
                      <w:spacing w:val="-2"/>
                      <w:kern w:val="0"/>
                      <w:sz w:val="21"/>
                      <w:szCs w:val="21"/>
                      <w:highlight w:val="none"/>
                    </w:rPr>
                  </w:pPr>
                  <w:r>
                    <w:rPr>
                      <w:rFonts w:hint="default" w:ascii="Times New Roman" w:hAnsi="Times New Roman" w:cs="Times New Roman"/>
                      <w:color w:val="auto"/>
                      <w:spacing w:val="-2"/>
                      <w:kern w:val="0"/>
                      <w:sz w:val="21"/>
                      <w:szCs w:val="21"/>
                      <w:highlight w:val="none"/>
                    </w:rPr>
                    <w:t>韶环乐审</w:t>
                  </w:r>
                  <w:r>
                    <w:rPr>
                      <w:rFonts w:hint="default" w:ascii="Times New Roman" w:hAnsi="Times New Roman" w:cs="Times New Roman"/>
                      <w:color w:val="auto"/>
                      <w:spacing w:val="-2"/>
                      <w:kern w:val="0"/>
                      <w:sz w:val="21"/>
                      <w:szCs w:val="21"/>
                      <w:highlight w:val="none"/>
                      <w:lang w:eastAsia="zh-CN"/>
                    </w:rPr>
                    <w:t>〔2024〕</w:t>
                  </w:r>
                  <w:r>
                    <w:rPr>
                      <w:rFonts w:hint="default" w:ascii="Times New Roman" w:hAnsi="Times New Roman" w:cs="Times New Roman"/>
                      <w:color w:val="auto"/>
                      <w:spacing w:val="-2"/>
                      <w:kern w:val="0"/>
                      <w:sz w:val="21"/>
                      <w:szCs w:val="21"/>
                      <w:highlight w:val="none"/>
                      <w:lang w:val="en-US" w:eastAsia="zh-CN"/>
                    </w:rPr>
                    <w:t>0</w:t>
                  </w:r>
                  <w:r>
                    <w:rPr>
                      <w:rFonts w:hint="default" w:ascii="Times New Roman" w:hAnsi="Times New Roman" w:cs="Times New Roman"/>
                      <w:color w:val="auto"/>
                      <w:spacing w:val="-2"/>
                      <w:kern w:val="0"/>
                      <w:sz w:val="21"/>
                      <w:szCs w:val="21"/>
                      <w:highlight w:val="none"/>
                      <w:lang w:eastAsia="zh-CN"/>
                    </w:rPr>
                    <w:t>5号</w:t>
                  </w:r>
                </w:p>
              </w:tc>
            </w:tr>
            <w:bookmarkEnd w:id="49"/>
          </w:tbl>
          <w:p w14:paraId="09B65AEA">
            <w:pPr>
              <w:pStyle w:val="10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园区已通过审批企业三废排放情况汇总表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71"/>
              <w:gridCol w:w="1720"/>
              <w:gridCol w:w="2975"/>
              <w:gridCol w:w="3599"/>
            </w:tblGrid>
            <w:tr w14:paraId="73357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78" w:type="pct"/>
                  <w:gridSpan w:val="3"/>
                  <w:vAlign w:val="center"/>
                </w:tcPr>
                <w:p w14:paraId="567736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环境影响因素</w:t>
                  </w:r>
                </w:p>
              </w:tc>
              <w:tc>
                <w:tcPr>
                  <w:tcW w:w="1921" w:type="pct"/>
                  <w:vAlign w:val="center"/>
                </w:tcPr>
                <w:p w14:paraId="65F6C8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排放量</w:t>
                  </w:r>
                </w:p>
              </w:tc>
            </w:tr>
            <w:tr w14:paraId="1C1FD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4D2490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918" w:type="pct"/>
                  <w:vMerge w:val="restart"/>
                  <w:vAlign w:val="center"/>
                </w:tcPr>
                <w:p w14:paraId="4DD6E7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587" w:type="pct"/>
                  <w:vAlign w:val="center"/>
                </w:tcPr>
                <w:p w14:paraId="740078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3583" w:type="dxa"/>
                  <w:vAlign w:val="center"/>
                </w:tcPr>
                <w:p w14:paraId="5022F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3478.94</w:t>
                  </w:r>
                </w:p>
              </w:tc>
            </w:tr>
            <w:tr w14:paraId="237C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5A8AD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24238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40D97B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COD（t/a）</w:t>
                  </w:r>
                </w:p>
              </w:tc>
              <w:tc>
                <w:tcPr>
                  <w:tcW w:w="3583" w:type="dxa"/>
                  <w:vAlign w:val="center"/>
                </w:tcPr>
                <w:p w14:paraId="0E85B4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29.8480</w:t>
                  </w:r>
                </w:p>
              </w:tc>
            </w:tr>
            <w:tr w14:paraId="142E3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1F7C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19E3CD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08D5D5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氨氮（t/a）</w:t>
                  </w:r>
                </w:p>
              </w:tc>
              <w:tc>
                <w:tcPr>
                  <w:tcW w:w="3583" w:type="dxa"/>
                  <w:vAlign w:val="center"/>
                </w:tcPr>
                <w:p w14:paraId="0E92CF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4.8383</w:t>
                  </w:r>
                </w:p>
              </w:tc>
            </w:tr>
            <w:tr w14:paraId="5E409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512C52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918" w:type="pct"/>
                  <w:vMerge w:val="restart"/>
                  <w:vAlign w:val="center"/>
                </w:tcPr>
                <w:p w14:paraId="21EAFA7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w:t>
                  </w:r>
                </w:p>
              </w:tc>
              <w:tc>
                <w:tcPr>
                  <w:tcW w:w="1587" w:type="pct"/>
                  <w:vAlign w:val="center"/>
                </w:tcPr>
                <w:p w14:paraId="01128E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（t/a）</w:t>
                  </w:r>
                </w:p>
              </w:tc>
              <w:tc>
                <w:tcPr>
                  <w:tcW w:w="3583" w:type="dxa"/>
                  <w:vAlign w:val="center"/>
                </w:tcPr>
                <w:p w14:paraId="33EDA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3.1878</w:t>
                  </w:r>
                </w:p>
              </w:tc>
            </w:tr>
            <w:tr w14:paraId="6A6A1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51269D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628B93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5391A4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氮氧化物（t/a）</w:t>
                  </w:r>
                </w:p>
              </w:tc>
              <w:tc>
                <w:tcPr>
                  <w:tcW w:w="3583" w:type="dxa"/>
                  <w:vAlign w:val="center"/>
                </w:tcPr>
                <w:p w14:paraId="785126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19.0178</w:t>
                  </w:r>
                </w:p>
              </w:tc>
            </w:tr>
            <w:tr w14:paraId="6FDD5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7668B1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5CDE2F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5EF418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烟（粉）尘（t/a）</w:t>
                  </w:r>
                </w:p>
              </w:tc>
              <w:tc>
                <w:tcPr>
                  <w:tcW w:w="3583" w:type="dxa"/>
                  <w:vAlign w:val="center"/>
                </w:tcPr>
                <w:p w14:paraId="7411A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190.9653</w:t>
                  </w:r>
                </w:p>
              </w:tc>
            </w:tr>
            <w:tr w14:paraId="06F6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77667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918" w:type="pct"/>
                  <w:vMerge w:val="continue"/>
                  <w:vAlign w:val="center"/>
                </w:tcPr>
                <w:p w14:paraId="1CBC3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1587" w:type="pct"/>
                  <w:vAlign w:val="center"/>
                </w:tcPr>
                <w:p w14:paraId="6C3680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非甲烷总烃（t/a）</w:t>
                  </w:r>
                </w:p>
              </w:tc>
              <w:tc>
                <w:tcPr>
                  <w:tcW w:w="3583" w:type="dxa"/>
                  <w:vAlign w:val="center"/>
                </w:tcPr>
                <w:p w14:paraId="60D9C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100.1275</w:t>
                  </w:r>
                </w:p>
              </w:tc>
            </w:tr>
            <w:tr w14:paraId="0C50D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restart"/>
                  <w:vAlign w:val="center"/>
                </w:tcPr>
                <w:p w14:paraId="5DB8552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w:t>
                  </w:r>
                </w:p>
                <w:p w14:paraId="3C10EF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废物</w:t>
                  </w:r>
                </w:p>
              </w:tc>
              <w:tc>
                <w:tcPr>
                  <w:tcW w:w="2506" w:type="pct"/>
                  <w:gridSpan w:val="2"/>
                  <w:vAlign w:val="center"/>
                </w:tcPr>
                <w:p w14:paraId="221661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3583" w:type="dxa"/>
                  <w:vAlign w:val="center"/>
                </w:tcPr>
                <w:p w14:paraId="5221C6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3432.22（委外处置）</w:t>
                  </w:r>
                </w:p>
              </w:tc>
            </w:tr>
            <w:tr w14:paraId="5D1F2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F5182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2506" w:type="pct"/>
                  <w:gridSpan w:val="2"/>
                  <w:vAlign w:val="center"/>
                </w:tcPr>
                <w:p w14:paraId="4C8FF8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一般固废（t/a）</w:t>
                  </w:r>
                </w:p>
              </w:tc>
              <w:tc>
                <w:tcPr>
                  <w:tcW w:w="3583" w:type="dxa"/>
                  <w:vAlign w:val="center"/>
                </w:tcPr>
                <w:p w14:paraId="016695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37678.61（综合利用，环卫清运）</w:t>
                  </w:r>
                </w:p>
              </w:tc>
            </w:tr>
            <w:tr w14:paraId="2261E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pct"/>
                  <w:vMerge w:val="continue"/>
                  <w:vAlign w:val="center"/>
                </w:tcPr>
                <w:p w14:paraId="2E775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cs="Times New Roman"/>
                      <w:color w:val="auto"/>
                      <w:sz w:val="21"/>
                      <w:szCs w:val="21"/>
                      <w:highlight w:val="none"/>
                    </w:rPr>
                  </w:pPr>
                </w:p>
              </w:tc>
              <w:tc>
                <w:tcPr>
                  <w:tcW w:w="2506" w:type="pct"/>
                  <w:gridSpan w:val="2"/>
                  <w:vAlign w:val="center"/>
                </w:tcPr>
                <w:p w14:paraId="326D54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生活垃圾（t/a）</w:t>
                  </w:r>
                </w:p>
              </w:tc>
              <w:tc>
                <w:tcPr>
                  <w:tcW w:w="3583" w:type="dxa"/>
                  <w:vAlign w:val="center"/>
                </w:tcPr>
                <w:p w14:paraId="65DDC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2965.08（环卫清运）</w:t>
                  </w:r>
                </w:p>
              </w:tc>
            </w:tr>
          </w:tbl>
          <w:p w14:paraId="686C4452">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3、主要环境问题</w:t>
            </w:r>
          </w:p>
          <w:p w14:paraId="70C5EFB0">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环境质量现状监测数据表明，项目所在区域各类环境要素均能达到相应的环境规划要求，无突出环境问题。</w:t>
            </w:r>
          </w:p>
          <w:p w14:paraId="30EFB440">
            <w:pPr>
              <w:pStyle w:val="43"/>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bl>
    <w:p w14:paraId="0937E63E">
      <w:pPr>
        <w:rPr>
          <w:rFonts w:ascii="黑体" w:hAnsi="黑体" w:cs="黑体"/>
          <w:color w:val="auto"/>
          <w:kern w:val="44"/>
          <w:sz w:val="30"/>
          <w:szCs w:val="30"/>
          <w:highlight w:val="none"/>
        </w:rPr>
      </w:pPr>
      <w:bookmarkStart w:id="50" w:name="_Toc29511"/>
      <w:r>
        <w:rPr>
          <w:rFonts w:hint="eastAsia" w:ascii="黑体" w:hAnsi="黑体" w:cs="黑体"/>
          <w:color w:val="auto"/>
          <w:kern w:val="44"/>
          <w:sz w:val="30"/>
          <w:szCs w:val="30"/>
          <w:highlight w:val="none"/>
        </w:rPr>
        <w:br w:type="page"/>
      </w:r>
    </w:p>
    <w:p w14:paraId="1D0E178D">
      <w:pPr>
        <w:pStyle w:val="2"/>
        <w:numPr>
          <w:ilvl w:val="0"/>
          <w:numId w:val="0"/>
        </w:numPr>
        <w:rPr>
          <w:rFonts w:cs="Times New Roman"/>
          <w:b/>
          <w:bCs/>
          <w:color w:val="auto"/>
          <w:highlight w:val="none"/>
        </w:rPr>
      </w:pPr>
      <w:bookmarkStart w:id="51" w:name="_Toc31148"/>
      <w:bookmarkStart w:id="52" w:name="_Toc27825"/>
      <w:r>
        <w:rPr>
          <w:rFonts w:hint="eastAsia" w:ascii="黑体" w:hAnsi="黑体" w:cs="黑体"/>
          <w:b/>
          <w:bCs/>
          <w:color w:val="auto"/>
          <w:highlight w:val="none"/>
        </w:rPr>
        <w:t>三、</w:t>
      </w:r>
      <w:r>
        <w:rPr>
          <w:rFonts w:cs="Times New Roman"/>
          <w:b/>
          <w:bCs/>
          <w:color w:val="auto"/>
          <w:highlight w:val="none"/>
        </w:rPr>
        <w:t>区域环境质量现状、环境保护目标及评价标准</w:t>
      </w:r>
      <w:bookmarkEnd w:id="50"/>
      <w:bookmarkEnd w:id="51"/>
      <w:bookmarkEnd w:id="52"/>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9440"/>
      </w:tblGrid>
      <w:tr w14:paraId="4DB03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1D076157">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val="0"/>
              <w:spacing w:before="0" w:beforeAutospacing="0" w:after="0" w:afterAutospacing="0"/>
              <w:ind w:left="0" w:right="0"/>
              <w:textAlignment w:val="auto"/>
              <w:outlineLvl w:val="9"/>
              <w:rPr>
                <w:rFonts w:hint="default" w:ascii="Times New Roman" w:hAnsi="Times New Roman" w:cs="Times New Roman"/>
                <w:color w:val="auto"/>
                <w:highlight w:val="none"/>
              </w:rPr>
            </w:pPr>
            <w:bookmarkStart w:id="53" w:name="_Toc21960"/>
            <w:bookmarkStart w:id="54" w:name="_Toc24283"/>
            <w:bookmarkStart w:id="55" w:name="_Toc14318"/>
            <w:bookmarkStart w:id="56" w:name="_Toc21642"/>
            <w:bookmarkStart w:id="57" w:name="_Toc11366"/>
            <w:r>
              <w:rPr>
                <w:rFonts w:hint="default" w:ascii="Times New Roman" w:hAnsi="Times New Roman" w:cs="Times New Roman"/>
                <w:b/>
                <w:bCs/>
                <w:color w:val="auto"/>
                <w:highlight w:val="none"/>
              </w:rPr>
              <w:t>区域环境质量现状</w:t>
            </w:r>
            <w:bookmarkEnd w:id="53"/>
            <w:bookmarkEnd w:id="54"/>
            <w:bookmarkEnd w:id="55"/>
            <w:bookmarkEnd w:id="56"/>
            <w:bookmarkEnd w:id="57"/>
          </w:p>
        </w:tc>
        <w:tc>
          <w:tcPr>
            <w:tcW w:w="4737" w:type="pct"/>
          </w:tcPr>
          <w:p w14:paraId="5CBFCCE7">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0C65D0D0">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9D694E3">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02B651B8">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color w:val="auto"/>
                <w:highlight w:val="none"/>
                <w:lang w:val="en-US" w:eastAsia="zh-CN"/>
              </w:rPr>
              <w:t>乐昌市</w:t>
            </w:r>
            <w:r>
              <w:rPr>
                <w:rFonts w:hint="default" w:ascii="Times New Roman" w:hAnsi="Times New Roman" w:cs="Times New Roman"/>
                <w:color w:val="auto"/>
                <w:highlight w:val="none"/>
              </w:rPr>
              <w:t>各常规监测因子均可满足国家《环境空气质量标准》（GB3095-2012）（2018修改单）中的二级标准要求，本项目所在区域属于达标区，详见下表。</w:t>
            </w:r>
          </w:p>
          <w:p w14:paraId="751F4742">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bookmarkStart w:id="58" w:name="_Toc19677"/>
            <w:bookmarkStart w:id="59" w:name="_Toc944"/>
            <w:bookmarkStart w:id="60" w:name="_Toc26003"/>
            <w:r>
              <w:rPr>
                <w:rFonts w:hint="default" w:ascii="Times New Roman" w:hAnsi="Times New Roman" w:eastAsia="宋体" w:cs="Times New Roman"/>
                <w:b/>
                <w:bCs/>
                <w:color w:val="auto"/>
                <w:kern w:val="2"/>
                <w:sz w:val="21"/>
                <w:szCs w:val="21"/>
                <w:highlight w:val="none"/>
                <w:lang w:val="en-US" w:eastAsia="zh-CN" w:bidi="ar-SA"/>
              </w:rPr>
              <w:t>表3-1</w:t>
            </w:r>
            <w:r>
              <w:rPr>
                <w:rFonts w:hint="eastAsia"/>
                <w:b/>
                <w:bCs/>
                <w:color w:val="auto"/>
                <w:sz w:val="21"/>
                <w:szCs w:val="21"/>
                <w:highlight w:val="none"/>
                <w:lang w:val="en-US" w:eastAsia="zh-CN"/>
              </w:rPr>
              <w:t>乐昌市</w:t>
            </w:r>
            <w:r>
              <w:rPr>
                <w:rFonts w:hint="default" w:ascii="Times New Roman" w:hAnsi="Times New Roman" w:cs="Times New Roman"/>
                <w:b/>
                <w:bCs/>
                <w:color w:val="auto"/>
                <w:sz w:val="21"/>
                <w:szCs w:val="21"/>
                <w:highlight w:val="none"/>
              </w:rPr>
              <w:t>区域空气质量现状评价表</w:t>
            </w:r>
          </w:p>
          <w:bookmarkEnd w:id="58"/>
          <w:bookmarkEnd w:id="59"/>
          <w:bookmarkEnd w:id="60"/>
          <w:tbl>
            <w:tblPr>
              <w:tblStyle w:val="38"/>
              <w:tblW w:w="92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48"/>
              <w:gridCol w:w="2797"/>
              <w:gridCol w:w="1360"/>
              <w:gridCol w:w="1199"/>
              <w:gridCol w:w="1426"/>
              <w:gridCol w:w="1426"/>
            </w:tblGrid>
            <w:tr w14:paraId="70562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3"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025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4D33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年评价指标</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580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现状浓度</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4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371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标准值</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F9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占标率%</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204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达标情况</w:t>
                  </w:r>
                </w:p>
              </w:tc>
            </w:tr>
            <w:tr w14:paraId="529F7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395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955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8E5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11</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43E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80C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18.3</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ED9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2BAA8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9D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3E3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816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2</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264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2F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30.0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DC1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43FC7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98D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10</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EC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F2C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cs="Times New Roman"/>
                      <w:i w:val="0"/>
                      <w:iCs w:val="0"/>
                      <w:color w:val="auto"/>
                      <w:kern w:val="0"/>
                      <w:sz w:val="21"/>
                      <w:szCs w:val="21"/>
                      <w:highlight w:val="none"/>
                      <w:u w:val="none"/>
                      <w:lang w:val="en-US" w:eastAsia="zh-CN" w:bidi="ar"/>
                    </w:rPr>
                    <w:t>5</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433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B98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50.0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14C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39E5A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A2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PM</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2.5</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BBC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年平均质量浓度</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582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F0B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6EC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65.7</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668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01582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FF2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E3E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24小时均值第95百分位数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A5E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800</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E74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ED9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20.0</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8337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43DCB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5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1FC5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p>
              </w:tc>
              <w:tc>
                <w:tcPr>
                  <w:tcW w:w="15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77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最大8小时值第90百分位数</w:t>
                  </w:r>
                </w:p>
              </w:tc>
              <w:tc>
                <w:tcPr>
                  <w:tcW w:w="1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D07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1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695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c>
                <w:tcPr>
                  <w:tcW w:w="14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8B3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74.4</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7B8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bl>
          <w:p w14:paraId="4ED84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40A0BBD6">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特征污染因子为TSP。</w:t>
            </w:r>
          </w:p>
          <w:p w14:paraId="2D238CC4">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jc w:val="both"/>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w:t>
            </w:r>
            <w:r>
              <w:rPr>
                <w:rFonts w:hint="default" w:ascii="Times New Roman" w:hAnsi="Times New Roman" w:cs="Times New Roman"/>
                <w:bCs/>
                <w:color w:val="auto"/>
                <w:szCs w:val="22"/>
                <w:highlight w:val="none"/>
                <w:lang w:val="en-US" w:eastAsia="zh-CN"/>
              </w:rPr>
              <w:t>中的监测数据，</w:t>
            </w:r>
            <w:r>
              <w:rPr>
                <w:rFonts w:hint="default" w:ascii="Times New Roman" w:hAnsi="Times New Roman" w:cs="Times New Roman"/>
                <w:bCs/>
                <w:color w:val="auto"/>
                <w:szCs w:val="22"/>
                <w:highlight w:val="none"/>
              </w:rPr>
              <w:t>用于评价TSP现状。</w:t>
            </w:r>
            <w:r>
              <w:rPr>
                <w:rFonts w:hint="default" w:ascii="Times New Roman" w:hAnsi="Times New Roman" w:eastAsia="宋体" w:cs="Times New Roman"/>
                <w:color w:val="auto"/>
                <w:kern w:val="0"/>
                <w:sz w:val="24"/>
                <w:szCs w:val="24"/>
                <w:highlight w:val="none"/>
                <w:lang w:val="en-US" w:eastAsia="zh-CN" w:bidi="ar"/>
              </w:rPr>
              <w:t>深圳中检联检测有限公司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2022年12月20日-2022年12月26</w:t>
            </w:r>
            <w:r>
              <w:rPr>
                <w:rFonts w:hint="default" w:ascii="Times New Roman" w:hAnsi="Times New Roman" w:cs="Times New Roman"/>
                <w:color w:val="auto"/>
                <w:highlight w:val="none"/>
                <w:lang w:val="en-US" w:eastAsia="zh-CN"/>
              </w:rPr>
              <w:t>日，</w:t>
            </w:r>
            <w:r>
              <w:rPr>
                <w:rFonts w:hint="default" w:ascii="Times New Roman" w:hAnsi="Times New Roman" w:cs="Times New Roman"/>
                <w:color w:val="auto"/>
                <w:highlight w:val="none"/>
              </w:rPr>
              <w:t>在本项目</w:t>
            </w:r>
            <w:r>
              <w:rPr>
                <w:rFonts w:hint="default"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侧</w:t>
            </w:r>
            <w:r>
              <w:rPr>
                <w:rFonts w:hint="default" w:ascii="Times New Roman" w:hAnsi="Times New Roman" w:cs="Times New Roman"/>
                <w:color w:val="auto"/>
                <w:highlight w:val="none"/>
                <w:lang w:val="en-US" w:eastAsia="zh-CN"/>
              </w:rPr>
              <w:t>3089</w:t>
            </w:r>
            <w:r>
              <w:rPr>
                <w:rFonts w:hint="default" w:ascii="Times New Roman" w:hAnsi="Times New Roman" w:cs="Times New Roman"/>
                <w:color w:val="auto"/>
                <w:highlight w:val="none"/>
              </w:rPr>
              <w:t>m处G1付村进行采样监测</w:t>
            </w:r>
            <w:r>
              <w:rPr>
                <w:rFonts w:hint="eastAsia" w:cs="Times New Roman"/>
                <w:color w:val="auto"/>
                <w:highlight w:val="none"/>
                <w:lang w:eastAsia="zh-CN"/>
              </w:rPr>
              <w:t>（</w:t>
            </w:r>
            <w:r>
              <w:rPr>
                <w:rFonts w:hint="eastAsia" w:cs="Times New Roman"/>
                <w:color w:val="auto"/>
                <w:highlight w:val="none"/>
                <w:lang w:val="en-US" w:eastAsia="zh-CN"/>
              </w:rPr>
              <w:t>引用点位位置图见附图14</w:t>
            </w:r>
            <w:r>
              <w:rPr>
                <w:rFonts w:hint="eastAsia" w:cs="Times New Roman"/>
                <w:color w:val="auto"/>
                <w:highlight w:val="none"/>
                <w:lang w:eastAsia="zh-CN"/>
              </w:rPr>
              <w:t>）</w:t>
            </w:r>
            <w:r>
              <w:rPr>
                <w:rFonts w:hint="default" w:ascii="Times New Roman" w:hAnsi="Times New Roman" w:cs="Times New Roman"/>
                <w:color w:val="auto"/>
                <w:highlight w:val="none"/>
              </w:rPr>
              <w:t>，连续监测7</w:t>
            </w:r>
            <w:r>
              <w:rPr>
                <w:rFonts w:hint="default" w:ascii="Times New Roman" w:hAnsi="Times New Roman" w:cs="Times New Roman"/>
                <w:color w:val="auto"/>
                <w:highlight w:val="none"/>
                <w:lang w:val="en-US" w:eastAsia="zh-CN"/>
              </w:rPr>
              <w:t>天</w:t>
            </w:r>
            <w:r>
              <w:rPr>
                <w:rFonts w:hint="default" w:ascii="Times New Roman" w:hAnsi="Times New Roman" w:cs="Times New Roman"/>
                <w:bCs/>
                <w:color w:val="auto"/>
                <w:szCs w:val="22"/>
                <w:highlight w:val="none"/>
              </w:rPr>
              <w:t>。本项目其他污染物补充监测点位基本信息见表3-2，其他污染物环境质量现状监测结果</w:t>
            </w:r>
            <w:r>
              <w:rPr>
                <w:rFonts w:hint="eastAsia" w:cs="Times New Roman"/>
                <w:bCs/>
                <w:color w:val="auto"/>
                <w:szCs w:val="22"/>
                <w:highlight w:val="none"/>
                <w:lang w:val="en-US" w:eastAsia="zh-CN"/>
              </w:rPr>
              <w:t>见</w:t>
            </w:r>
            <w:r>
              <w:rPr>
                <w:rFonts w:hint="default" w:ascii="Times New Roman" w:hAnsi="Times New Roman" w:cs="Times New Roman"/>
                <w:bCs/>
                <w:color w:val="auto"/>
                <w:szCs w:val="22"/>
                <w:highlight w:val="none"/>
              </w:rPr>
              <w:t>表3-3。</w:t>
            </w:r>
          </w:p>
          <w:p w14:paraId="5F67AF35">
            <w:pPr>
              <w:pStyle w:val="43"/>
              <w:keepNext w:val="0"/>
              <w:keepLines w:val="0"/>
              <w:suppressLineNumbers w:val="0"/>
              <w:spacing w:before="0" w:beforeAutospacing="0" w:after="0" w:afterAutospacing="0"/>
              <w:ind w:left="0" w:right="0"/>
              <w:rPr>
                <w:rFonts w:hint="default" w:ascii="Times New Roman" w:hAnsi="Times New Roman" w:cs="Times New Roman"/>
                <w:bCs/>
                <w:color w:val="auto"/>
                <w:szCs w:val="22"/>
                <w:highlight w:val="none"/>
              </w:rPr>
            </w:pPr>
          </w:p>
          <w:p w14:paraId="333C784B">
            <w:pPr>
              <w:pStyle w:val="13"/>
              <w:keepNext w:val="0"/>
              <w:keepLines w:val="0"/>
              <w:suppressLineNumbers w:val="0"/>
              <w:spacing w:before="0" w:beforeAutospacing="0" w:after="0" w:afterAutospacing="0"/>
              <w:ind w:right="0"/>
              <w:rPr>
                <w:rFonts w:hint="default" w:ascii="Times New Roman" w:hAnsi="Times New Roman" w:cs="Times New Roman"/>
                <w:bCs/>
                <w:color w:val="auto"/>
                <w:szCs w:val="22"/>
                <w:highlight w:val="none"/>
              </w:rPr>
            </w:pPr>
          </w:p>
          <w:p w14:paraId="7EF6B764">
            <w:pPr>
              <w:keepNext w:val="0"/>
              <w:keepLines w:val="0"/>
              <w:pageBreakBefore w:val="0"/>
              <w:widowControl w:val="0"/>
              <w:numPr>
                <w:ilvl w:val="0"/>
                <w:numId w:val="0"/>
              </w:numPr>
              <w:suppressLineNumbers w:val="0"/>
              <w:tabs>
                <w:tab w:val="left" w:pos="0"/>
              </w:tabs>
              <w:kinsoku/>
              <w:overflowPunct/>
              <w:topLinePunct w:val="0"/>
              <w:bidi w:val="0"/>
              <w:spacing w:before="0" w:beforeAutospacing="0" w:after="0" w:afterAutospacing="0"/>
              <w:ind w:left="0" w:leftChars="0" w:right="0" w:rightChars="0" w:firstLine="40" w:firstLineChars="0"/>
              <w:jc w:val="center"/>
              <w:textAlignment w:val="auto"/>
              <w:outlineLvl w:val="9"/>
              <w:rPr>
                <w:rFonts w:hint="default" w:ascii="Times New Roman" w:hAnsi="Times New Roman" w:cs="Times New Roman"/>
                <w:b/>
                <w:bCs/>
                <w:color w:val="auto"/>
                <w:sz w:val="21"/>
                <w:szCs w:val="21"/>
                <w:highlight w:val="none"/>
              </w:rPr>
            </w:pPr>
            <w:bookmarkStart w:id="61" w:name="_Toc20439"/>
            <w:bookmarkStart w:id="62" w:name="_Toc8763"/>
            <w:bookmarkStart w:id="63" w:name="_Toc6616"/>
            <w:bookmarkStart w:id="64" w:name="_Toc17582"/>
            <w:bookmarkStart w:id="65" w:name="_Toc8230"/>
            <w:r>
              <w:rPr>
                <w:rFonts w:hint="default" w:ascii="Times New Roman" w:hAnsi="Times New Roman" w:eastAsia="宋体" w:cs="Times New Roman"/>
                <w:b/>
                <w:bCs/>
                <w:color w:val="auto"/>
                <w:kern w:val="2"/>
                <w:sz w:val="21"/>
                <w:szCs w:val="21"/>
                <w:highlight w:val="none"/>
                <w:lang w:val="en-US" w:eastAsia="zh-CN" w:bidi="ar-SA"/>
              </w:rPr>
              <w:t>表3-2</w:t>
            </w:r>
            <w:r>
              <w:rPr>
                <w:rFonts w:hint="default" w:ascii="Times New Roman" w:hAnsi="Times New Roman" w:cs="Times New Roman"/>
                <w:b/>
                <w:bCs/>
                <w:color w:val="auto"/>
                <w:sz w:val="21"/>
                <w:szCs w:val="21"/>
                <w:highlight w:val="none"/>
              </w:rPr>
              <w:t>其他污染物补充监测点位基本信息</w:t>
            </w:r>
            <w:bookmarkEnd w:id="61"/>
            <w:bookmarkEnd w:id="62"/>
            <w:bookmarkEnd w:id="63"/>
            <w:bookmarkEnd w:id="64"/>
            <w:bookmarkEnd w:id="65"/>
          </w:p>
          <w:tbl>
            <w:tblPr>
              <w:tblStyle w:val="39"/>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346"/>
              <w:gridCol w:w="1227"/>
              <w:gridCol w:w="736"/>
              <w:gridCol w:w="2548"/>
              <w:gridCol w:w="968"/>
              <w:gridCol w:w="1232"/>
            </w:tblGrid>
            <w:tr w14:paraId="6CC12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20" w:type="pct"/>
                  <w:vMerge w:val="restart"/>
                  <w:shd w:val="clear" w:color="auto" w:fill="auto"/>
                  <w:vAlign w:val="center"/>
                </w:tcPr>
                <w:p w14:paraId="43457D9A">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w:t>
                  </w:r>
                </w:p>
                <w:p w14:paraId="26C7C2AF">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399" w:type="pct"/>
                  <w:gridSpan w:val="2"/>
                  <w:shd w:val="clear" w:color="auto" w:fill="auto"/>
                  <w:vAlign w:val="center"/>
                </w:tcPr>
                <w:p w14:paraId="6801432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400" w:type="pct"/>
                  <w:vMerge w:val="restart"/>
                  <w:shd w:val="clear" w:color="auto" w:fill="auto"/>
                  <w:vAlign w:val="center"/>
                </w:tcPr>
                <w:p w14:paraId="263059B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1385" w:type="pct"/>
                  <w:vMerge w:val="restart"/>
                  <w:shd w:val="clear" w:color="auto" w:fill="auto"/>
                  <w:vAlign w:val="center"/>
                </w:tcPr>
                <w:p w14:paraId="2166CF0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526" w:type="pct"/>
                  <w:vMerge w:val="restart"/>
                  <w:shd w:val="clear" w:color="auto" w:fill="auto"/>
                  <w:vAlign w:val="center"/>
                </w:tcPr>
                <w:p w14:paraId="5F0E9275">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3252055B">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4AB7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20" w:type="pct"/>
                  <w:vMerge w:val="continue"/>
                  <w:shd w:val="clear" w:color="auto" w:fill="auto"/>
                  <w:vAlign w:val="center"/>
                </w:tcPr>
                <w:p w14:paraId="4E9FAC5B">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p>
              </w:tc>
              <w:tc>
                <w:tcPr>
                  <w:tcW w:w="732" w:type="pct"/>
                  <w:shd w:val="clear" w:color="auto" w:fill="auto"/>
                  <w:vAlign w:val="center"/>
                </w:tcPr>
                <w:p w14:paraId="28FB4E4A">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666" w:type="pct"/>
                  <w:shd w:val="clear" w:color="auto" w:fill="auto"/>
                  <w:vAlign w:val="center"/>
                </w:tcPr>
                <w:p w14:paraId="7B3993ED">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400" w:type="pct"/>
                  <w:vMerge w:val="continue"/>
                  <w:shd w:val="clear" w:color="auto" w:fill="auto"/>
                  <w:vAlign w:val="center"/>
                </w:tcPr>
                <w:p w14:paraId="02701C72">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p>
              </w:tc>
              <w:tc>
                <w:tcPr>
                  <w:tcW w:w="1385" w:type="pct"/>
                  <w:vMerge w:val="continue"/>
                  <w:shd w:val="clear" w:color="auto" w:fill="auto"/>
                  <w:vAlign w:val="center"/>
                </w:tcPr>
                <w:p w14:paraId="59BD1000">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p>
              </w:tc>
              <w:tc>
                <w:tcPr>
                  <w:tcW w:w="526" w:type="pct"/>
                  <w:vMerge w:val="continue"/>
                  <w:shd w:val="clear" w:color="auto" w:fill="auto"/>
                  <w:vAlign w:val="center"/>
                </w:tcPr>
                <w:p w14:paraId="19072033">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p>
              </w:tc>
              <w:tc>
                <w:tcPr>
                  <w:tcW w:w="668" w:type="pct"/>
                  <w:vMerge w:val="continue"/>
                  <w:shd w:val="clear" w:color="auto" w:fill="auto"/>
                  <w:vAlign w:val="center"/>
                </w:tcPr>
                <w:p w14:paraId="4727C1F2">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p>
              </w:tc>
            </w:tr>
            <w:tr w14:paraId="1E719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620" w:type="pct"/>
                  <w:shd w:val="clear" w:color="auto" w:fill="auto"/>
                  <w:vAlign w:val="center"/>
                </w:tcPr>
                <w:p w14:paraId="655E0D97">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G1付村</w:t>
                  </w:r>
                </w:p>
              </w:tc>
              <w:tc>
                <w:tcPr>
                  <w:tcW w:w="732" w:type="pct"/>
                  <w:shd w:val="clear" w:color="auto" w:fill="auto"/>
                  <w:vAlign w:val="center"/>
                </w:tcPr>
                <w:p w14:paraId="0943542F">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1846</w:t>
                  </w:r>
                </w:p>
              </w:tc>
              <w:tc>
                <w:tcPr>
                  <w:tcW w:w="666" w:type="pct"/>
                  <w:shd w:val="clear" w:color="auto" w:fill="auto"/>
                  <w:vAlign w:val="center"/>
                </w:tcPr>
                <w:p w14:paraId="3A7D27AB">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r>
                    <w:rPr>
                      <w:rFonts w:hint="eastAsia" w:ascii="Times New Roman" w:cs="Times New Roman"/>
                      <w:color w:val="auto"/>
                      <w:sz w:val="21"/>
                      <w:szCs w:val="21"/>
                      <w:highlight w:val="none"/>
                      <w:lang w:val="en-US" w:eastAsia="zh-CN"/>
                    </w:rPr>
                    <w:t>972</w:t>
                  </w:r>
                </w:p>
              </w:tc>
              <w:tc>
                <w:tcPr>
                  <w:tcW w:w="400" w:type="pct"/>
                  <w:shd w:val="clear" w:color="auto" w:fill="auto"/>
                  <w:vAlign w:val="center"/>
                </w:tcPr>
                <w:p w14:paraId="2AE3CF63">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1385" w:type="pct"/>
                  <w:shd w:val="clear" w:color="auto" w:fill="auto"/>
                  <w:vAlign w:val="center"/>
                </w:tcPr>
                <w:p w14:paraId="1EE4F7E3">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2022年12月20日</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2022年12月26日</w:t>
                  </w:r>
                </w:p>
              </w:tc>
              <w:tc>
                <w:tcPr>
                  <w:tcW w:w="526" w:type="pct"/>
                  <w:shd w:val="clear" w:color="auto" w:fill="auto"/>
                  <w:vAlign w:val="center"/>
                </w:tcPr>
                <w:p w14:paraId="115FDAF1">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w:t>
                  </w:r>
                </w:p>
              </w:tc>
              <w:tc>
                <w:tcPr>
                  <w:tcW w:w="668" w:type="pct"/>
                  <w:shd w:val="clear" w:color="auto" w:fill="auto"/>
                  <w:vAlign w:val="center"/>
                </w:tcPr>
                <w:p w14:paraId="5D605669">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3400</w:t>
                  </w:r>
                </w:p>
              </w:tc>
            </w:tr>
            <w:tr w14:paraId="0BE10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5000" w:type="pct"/>
                  <w:gridSpan w:val="7"/>
                  <w:shd w:val="clear" w:color="auto" w:fill="auto"/>
                  <w:vAlign w:val="center"/>
                </w:tcPr>
                <w:p w14:paraId="50800607">
                  <w:pPr>
                    <w:keepNext w:val="0"/>
                    <w:keepLines w:val="0"/>
                    <w:pageBreakBefore w:val="0"/>
                    <w:widowControl w:val="0"/>
                    <w:suppressLineNumbers w:val="0"/>
                    <w:kinsoku/>
                    <w:wordWrap/>
                    <w:overflowPunct/>
                    <w:topLinePunct w:val="0"/>
                    <w:bidi w:val="0"/>
                    <w:snapToGrid/>
                    <w:spacing w:before="0" w:beforeAutospacing="0" w:after="0" w:afterAutospacing="0" w:line="276" w:lineRule="auto"/>
                    <w:ind w:left="0" w:right="0"/>
                    <w:jc w:val="left"/>
                    <w:textAlignment w:val="auto"/>
                    <w:outlineLvl w:val="9"/>
                    <w:rPr>
                      <w:rFonts w:hint="default" w:ascii="Times New Roman" w:hAnsi="Times New Roman" w:cs="Times New Roman"/>
                      <w:color w:val="auto"/>
                      <w:sz w:val="21"/>
                      <w:szCs w:val="21"/>
                      <w:highlight w:val="none"/>
                    </w:rPr>
                  </w:pPr>
                  <w:bookmarkStart w:id="66" w:name="_Toc21557"/>
                  <w:bookmarkStart w:id="67" w:name="_Toc14154"/>
                  <w:bookmarkStart w:id="68" w:name="_Toc21186"/>
                  <w:bookmarkStart w:id="69" w:name="_Toc698"/>
                  <w:bookmarkStart w:id="70" w:name="_Toc4447"/>
                  <w:bookmarkStart w:id="71" w:name="_Toc24731"/>
                  <w:bookmarkStart w:id="72" w:name="_Toc13955"/>
                  <w:bookmarkStart w:id="73" w:name="_Toc14846"/>
                  <w:bookmarkStart w:id="74" w:name="_Toc24683"/>
                  <w:bookmarkStart w:id="75" w:name="_Toc8233"/>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66"/>
                  <w:bookmarkEnd w:id="67"/>
                  <w:bookmarkEnd w:id="68"/>
                  <w:bookmarkEnd w:id="69"/>
                  <w:bookmarkEnd w:id="70"/>
                </w:p>
              </w:tc>
            </w:tr>
          </w:tbl>
          <w:p w14:paraId="15751F0D">
            <w:pPr>
              <w:keepNext w:val="0"/>
              <w:keepLines w:val="0"/>
              <w:pageBreakBefore w:val="0"/>
              <w:widowControl w:val="0"/>
              <w:suppressLineNumbers w:val="0"/>
              <w:kinsoku/>
              <w:overflowPunct/>
              <w:topLinePunct w:val="0"/>
              <w:bidi w:val="0"/>
              <w:spacing w:before="0" w:beforeAutospacing="0" w:after="0" w:afterAutospacing="0"/>
              <w:ind w:left="0" w:right="0"/>
              <w:jc w:val="center"/>
              <w:textAlignment w:val="auto"/>
              <w:outlineLvl w:val="9"/>
              <w:rPr>
                <w:rFonts w:hint="default" w:ascii="Times New Roman" w:hAnsi="Times New Roman" w:cs="Times New Roman"/>
                <w:b/>
                <w:bCs/>
                <w:color w:val="auto"/>
                <w:sz w:val="21"/>
                <w:szCs w:val="21"/>
                <w:highlight w:val="none"/>
                <w:lang w:val="en-GB"/>
              </w:rPr>
            </w:pPr>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3-3</w:t>
            </w:r>
            <w:r>
              <w:rPr>
                <w:rFonts w:hint="default" w:ascii="Times New Roman" w:hAnsi="Times New Roman" w:cs="Times New Roman"/>
                <w:b/>
                <w:bCs/>
                <w:color w:val="auto"/>
                <w:sz w:val="21"/>
                <w:szCs w:val="21"/>
                <w:highlight w:val="none"/>
                <w:lang w:val="en-GB"/>
              </w:rPr>
              <w:t xml:space="preserve"> 其他污染物环境质量现状（监测结果）表</w:t>
            </w:r>
            <w:bookmarkEnd w:id="71"/>
            <w:bookmarkEnd w:id="72"/>
            <w:bookmarkEnd w:id="73"/>
            <w:bookmarkEnd w:id="74"/>
            <w:bookmarkEnd w:id="75"/>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4"/>
              <w:gridCol w:w="890"/>
              <w:gridCol w:w="1043"/>
              <w:gridCol w:w="1299"/>
              <w:gridCol w:w="1544"/>
              <w:gridCol w:w="1268"/>
              <w:gridCol w:w="820"/>
              <w:gridCol w:w="869"/>
            </w:tblGrid>
            <w:tr w14:paraId="6422E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restart"/>
                  <w:shd w:val="clear" w:color="auto" w:fill="auto"/>
                  <w:vAlign w:val="center"/>
                </w:tcPr>
                <w:p w14:paraId="1C8D183A">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w:t>
                  </w:r>
                </w:p>
                <w:p w14:paraId="35D0DFD6">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点位</w:t>
                  </w:r>
                </w:p>
              </w:tc>
              <w:tc>
                <w:tcPr>
                  <w:tcW w:w="483" w:type="pct"/>
                  <w:vMerge w:val="restart"/>
                  <w:shd w:val="clear" w:color="auto" w:fill="auto"/>
                  <w:vAlign w:val="center"/>
                </w:tcPr>
                <w:p w14:paraId="5257A87B">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56D6E2B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41C8AC9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2004360D">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r>
                    <w:rPr>
                      <w:rFonts w:hint="default" w:ascii="Times New Roman" w:hAnsi="Times New Roman" w:cs="Times New Roman"/>
                      <w:b/>
                      <w:color w:val="auto"/>
                      <w:kern w:val="0"/>
                      <w:sz w:val="21"/>
                      <w:szCs w:val="21"/>
                      <w:highlight w:val="none"/>
                    </w:rPr>
                    <w:t>（μg/m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kern w:val="0"/>
                      <w:sz w:val="21"/>
                      <w:szCs w:val="21"/>
                      <w:highlight w:val="none"/>
                    </w:rPr>
                    <w:t>）</w:t>
                  </w:r>
                </w:p>
              </w:tc>
              <w:tc>
                <w:tcPr>
                  <w:tcW w:w="838" w:type="pct"/>
                  <w:vMerge w:val="restart"/>
                  <w:shd w:val="clear" w:color="auto" w:fill="auto"/>
                  <w:vAlign w:val="center"/>
                </w:tcPr>
                <w:p w14:paraId="153AF377">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1755A2A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021A0458">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1" w:type="pct"/>
                  <w:vMerge w:val="restart"/>
                  <w:shd w:val="clear" w:color="auto" w:fill="auto"/>
                  <w:vAlign w:val="center"/>
                </w:tcPr>
                <w:p w14:paraId="20D626A4">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5F11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continue"/>
                  <w:shd w:val="clear" w:color="auto" w:fill="auto"/>
                  <w:vAlign w:val="center"/>
                </w:tcPr>
                <w:p w14:paraId="7611FC7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83" w:type="pct"/>
                  <w:vMerge w:val="continue"/>
                  <w:shd w:val="clear" w:color="auto" w:fill="auto"/>
                  <w:vAlign w:val="center"/>
                </w:tcPr>
                <w:p w14:paraId="4C2CEEB9">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45140C1D">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5E44655F">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4E34CB8C">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178CF315">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5B16D483">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c>
                <w:tcPr>
                  <w:tcW w:w="471" w:type="pct"/>
                  <w:vMerge w:val="continue"/>
                  <w:shd w:val="clear" w:color="auto" w:fill="auto"/>
                  <w:vAlign w:val="center"/>
                </w:tcPr>
                <w:p w14:paraId="57506226">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color w:val="auto"/>
                      <w:sz w:val="21"/>
                      <w:szCs w:val="21"/>
                      <w:highlight w:val="none"/>
                    </w:rPr>
                  </w:pPr>
                </w:p>
              </w:tc>
            </w:tr>
            <w:tr w14:paraId="7C172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shd w:val="clear" w:color="auto" w:fill="auto"/>
                  <w:vAlign w:val="center"/>
                </w:tcPr>
                <w:p w14:paraId="144AD7FE">
                  <w:pPr>
                    <w:pStyle w:val="12"/>
                    <w:keepNext w:val="0"/>
                    <w:keepLines w:val="0"/>
                    <w:pageBreakBefore w:val="0"/>
                    <w:widowControl w:val="0"/>
                    <w:suppressLineNumbers w:val="0"/>
                    <w:kinsoku/>
                    <w:overflowPunct/>
                    <w:topLinePunct w:val="0"/>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G1付村</w:t>
                  </w:r>
                </w:p>
              </w:tc>
              <w:tc>
                <w:tcPr>
                  <w:tcW w:w="483" w:type="pct"/>
                  <w:shd w:val="clear" w:color="auto" w:fill="auto"/>
                  <w:vAlign w:val="center"/>
                </w:tcPr>
                <w:p w14:paraId="6750C158">
                  <w:pPr>
                    <w:pStyle w:val="60"/>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10633443">
                  <w:pPr>
                    <w:pStyle w:val="60"/>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0314B544">
                  <w:pPr>
                    <w:pStyle w:val="60"/>
                    <w:keepNext w:val="0"/>
                    <w:keepLines w:val="0"/>
                    <w:pageBreakBefore w:val="0"/>
                    <w:widowControl w:val="0"/>
                    <w:suppressLineNumbers w:val="0"/>
                    <w:kinsoku/>
                    <w:overflowPunct/>
                    <w:topLinePunct w:val="0"/>
                    <w:bidi w:val="0"/>
                    <w:spacing w:before="46" w:beforeAutospacing="0" w:after="46" w:afterAutospacing="0" w:line="240" w:lineRule="auto"/>
                    <w:ind w:left="0" w:right="0"/>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300</w:t>
                  </w:r>
                </w:p>
              </w:tc>
              <w:tc>
                <w:tcPr>
                  <w:tcW w:w="838" w:type="pct"/>
                  <w:shd w:val="clear" w:color="auto" w:fill="auto"/>
                  <w:vAlign w:val="center"/>
                </w:tcPr>
                <w:p w14:paraId="79143297">
                  <w:pPr>
                    <w:pStyle w:val="12"/>
                    <w:keepNext w:val="0"/>
                    <w:keepLines w:val="0"/>
                    <w:pageBreakBefore w:val="0"/>
                    <w:widowControl w:val="0"/>
                    <w:suppressLineNumbers w:val="0"/>
                    <w:kinsoku/>
                    <w:overflowPunct/>
                    <w:topLinePunct w:val="0"/>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0.083~0.108</w:t>
                  </w:r>
                </w:p>
              </w:tc>
              <w:tc>
                <w:tcPr>
                  <w:tcW w:w="688" w:type="pct"/>
                  <w:shd w:val="clear" w:color="auto" w:fill="auto"/>
                  <w:vAlign w:val="center"/>
                </w:tcPr>
                <w:p w14:paraId="6CA5EB28">
                  <w:pPr>
                    <w:pStyle w:val="12"/>
                    <w:keepNext w:val="0"/>
                    <w:keepLines w:val="0"/>
                    <w:pageBreakBefore w:val="0"/>
                    <w:widowControl w:val="0"/>
                    <w:suppressLineNumbers w:val="0"/>
                    <w:kinsoku/>
                    <w:overflowPunct/>
                    <w:topLinePunct w:val="0"/>
                    <w:bidi w:val="0"/>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36</w:t>
                  </w:r>
                </w:p>
              </w:tc>
              <w:tc>
                <w:tcPr>
                  <w:tcW w:w="445" w:type="pct"/>
                  <w:shd w:val="clear" w:color="auto" w:fill="auto"/>
                  <w:vAlign w:val="center"/>
                </w:tcPr>
                <w:p w14:paraId="318871F6">
                  <w:pPr>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1" w:type="pct"/>
                  <w:shd w:val="clear" w:color="auto" w:fill="auto"/>
                  <w:vAlign w:val="center"/>
                </w:tcPr>
                <w:p w14:paraId="0B932AF4">
                  <w:pPr>
                    <w:keepNext w:val="0"/>
                    <w:keepLines w:val="0"/>
                    <w:pageBreakBefore w:val="0"/>
                    <w:widowControl w:val="0"/>
                    <w:suppressLineNumbers w:val="0"/>
                    <w:kinsoku/>
                    <w:overflowPunct/>
                    <w:topLinePunct w:val="0"/>
                    <w:bidi w:val="0"/>
                    <w:spacing w:before="0" w:beforeAutospacing="0" w:after="0" w:afterAutospacing="0" w:line="240" w:lineRule="auto"/>
                    <w:ind w:left="0" w:right="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bl>
          <w:p w14:paraId="0A9807E3">
            <w:pPr>
              <w:keepNext w:val="0"/>
              <w:keepLines w:val="0"/>
              <w:pageBreakBefore w:val="0"/>
              <w:widowControl w:val="0"/>
              <w:suppressLineNumbers w:val="0"/>
              <w:kinsoku/>
              <w:overflowPunct/>
              <w:topLinePunct w:val="0"/>
              <w:bidi w:val="0"/>
              <w:spacing w:before="0" w:beforeAutospacing="0" w:after="0" w:afterAutospacing="0"/>
              <w:ind w:left="0" w:right="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24小时平均浓度可达到《环境空气质量标准》（GB3095-2012）及其修改单中二级标准要求。</w:t>
            </w:r>
          </w:p>
          <w:p w14:paraId="4646E91E">
            <w:pPr>
              <w:keepNext w:val="0"/>
              <w:keepLines w:val="0"/>
              <w:pageBreakBefore w:val="0"/>
              <w:widowControl w:val="0"/>
              <w:numPr>
                <w:ilvl w:val="2"/>
                <w:numId w:val="0"/>
              </w:numPr>
              <w:suppressLineNumbers w:val="0"/>
              <w:tabs>
                <w:tab w:val="left" w:pos="420"/>
              </w:tabs>
              <w:kinsoku/>
              <w:overflowPunct/>
              <w:topLinePunct w:val="0"/>
              <w:bidi w:val="0"/>
              <w:spacing w:before="0" w:beforeAutospacing="0" w:after="0" w:afterAutospacing="0"/>
              <w:ind w:left="-2" w:right="0"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139ABD80">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eastAsia" w:cs="Times New Roman"/>
                <w:color w:val="auto"/>
                <w:highlight w:val="none"/>
                <w:lang w:eastAsia="zh-CN"/>
              </w:rPr>
              <w:t>〔2011〕14号</w:t>
            </w:r>
            <w:r>
              <w:rPr>
                <w:rFonts w:hint="default" w:ascii="Times New Roman" w:hAnsi="Times New Roman" w:cs="Times New Roman"/>
                <w:color w:val="auto"/>
                <w:highlight w:val="none"/>
              </w:rPr>
              <w:t>），本项目所在区域主要地表水及纳污水体为武江（乐昌城-犁市），为</w:t>
            </w:r>
            <w:r>
              <w:rPr>
                <w:rFonts w:hint="eastAsia" w:cs="Times New Roman"/>
                <w:color w:val="auto"/>
                <w:highlight w:val="none"/>
                <w:lang w:eastAsia="zh-CN"/>
              </w:rPr>
              <w:t>Ⅲ</w:t>
            </w:r>
            <w:r>
              <w:rPr>
                <w:rFonts w:hint="default" w:ascii="Times New Roman" w:hAnsi="Times New Roman" w:cs="Times New Roman"/>
                <w:color w:val="auto"/>
                <w:highlight w:val="none"/>
              </w:rPr>
              <w:t>类水质功能区，执行《地表水环境质量标准》（GB3838-2002）中的</w:t>
            </w:r>
            <w:r>
              <w:rPr>
                <w:rFonts w:hint="eastAsia" w:cs="Times New Roman"/>
                <w:color w:val="auto"/>
                <w:highlight w:val="none"/>
                <w:lang w:eastAsia="zh-CN"/>
              </w:rPr>
              <w:t>Ⅲ</w:t>
            </w:r>
            <w:r>
              <w:rPr>
                <w:rFonts w:hint="default" w:ascii="Times New Roman" w:hAnsi="Times New Roman" w:cs="Times New Roman"/>
                <w:color w:val="auto"/>
                <w:highlight w:val="none"/>
              </w:rPr>
              <w:t>类标准。</w:t>
            </w:r>
          </w:p>
          <w:p w14:paraId="2F4E8171">
            <w:pPr>
              <w:keepNext w:val="0"/>
              <w:keepLines w:val="0"/>
              <w:suppressLineNumbers w:val="0"/>
              <w:autoSpaceDE w:val="0"/>
              <w:autoSpaceDN w:val="0"/>
              <w:adjustRightInd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eastAsia" w:cs="Times New Roman"/>
                <w:color w:val="auto"/>
                <w:highlight w:val="none"/>
                <w:lang w:eastAsia="zh-CN"/>
              </w:rPr>
              <w:t>，其中Ⅰ类比例为2.9%、Ⅱ类比例为88.2%、Ⅲ类比例为8.8%。</w:t>
            </w:r>
            <w:r>
              <w:rPr>
                <w:rFonts w:hint="default" w:ascii="Times New Roman" w:hAnsi="Times New Roman" w:cs="Times New Roman"/>
                <w:color w:val="auto"/>
                <w:highlight w:val="none"/>
              </w:rPr>
              <w:t>故项目所在地地表水环境质量现状良好。</w:t>
            </w:r>
          </w:p>
          <w:p w14:paraId="287780B6">
            <w:pPr>
              <w:keepNext w:val="0"/>
              <w:keepLines w:val="0"/>
              <w:suppressLineNumbers w:val="0"/>
              <w:autoSpaceDE w:val="0"/>
              <w:autoSpaceDN w:val="0"/>
              <w:adjustRightInd w:val="0"/>
              <w:spacing w:before="0" w:beforeAutospacing="0" w:after="0" w:afterAutospacing="0"/>
              <w:ind w:left="0" w:right="0" w:firstLine="480" w:firstLineChars="200"/>
              <w:jc w:val="left"/>
              <w:rPr>
                <w:rFonts w:hint="eastAsia" w:cs="Times New Roman"/>
                <w:color w:val="auto"/>
                <w:highlight w:val="none"/>
                <w:lang w:val="en-US" w:eastAsia="zh-CN"/>
              </w:rPr>
            </w:pPr>
            <w:r>
              <w:rPr>
                <w:rFonts w:hint="eastAsia" w:cs="Times New Roman"/>
                <w:color w:val="auto"/>
                <w:highlight w:val="none"/>
                <w:lang w:val="en-US" w:eastAsia="zh-CN"/>
              </w:rPr>
              <w:t>为了进一步了解项目纳污水体武江中钛的污染状况，引用广东省韶关生态环境监测中心站于2024年11月18日对张滩闸坝上游780米处监测断面进行的地表水环境质量现状监测数据（报告编号：(韶)环境监测(水)字(2024)第095号）来评价钛的污染现状。监测报告详见附件8。</w:t>
            </w:r>
          </w:p>
          <w:p w14:paraId="16538E62">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表3-4 武江中钛的监测结果及统计分析一览表</w:t>
            </w:r>
          </w:p>
          <w:tbl>
            <w:tblPr>
              <w:tblStyle w:val="3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832"/>
              <w:gridCol w:w="1091"/>
              <w:gridCol w:w="1496"/>
              <w:gridCol w:w="1091"/>
              <w:gridCol w:w="1390"/>
              <w:gridCol w:w="1342"/>
              <w:gridCol w:w="1365"/>
            </w:tblGrid>
            <w:tr w14:paraId="39E9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restart"/>
                  <w:vAlign w:val="center"/>
                </w:tcPr>
                <w:p w14:paraId="0577CCF0">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序号</w:t>
                  </w:r>
                </w:p>
              </w:tc>
              <w:tc>
                <w:tcPr>
                  <w:tcW w:w="452" w:type="pct"/>
                  <w:vMerge w:val="restart"/>
                  <w:vAlign w:val="center"/>
                </w:tcPr>
                <w:p w14:paraId="4BFF14F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河流名称</w:t>
                  </w:r>
                </w:p>
              </w:tc>
              <w:tc>
                <w:tcPr>
                  <w:tcW w:w="593" w:type="pct"/>
                  <w:vMerge w:val="restart"/>
                  <w:vAlign w:val="center"/>
                </w:tcPr>
                <w:p w14:paraId="364CE5B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所在</w:t>
                  </w:r>
                </w:p>
                <w:p w14:paraId="5C0CF31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县区</w:t>
                  </w:r>
                </w:p>
              </w:tc>
              <w:tc>
                <w:tcPr>
                  <w:tcW w:w="813" w:type="pct"/>
                  <w:vMerge w:val="restart"/>
                  <w:vAlign w:val="center"/>
                </w:tcPr>
                <w:p w14:paraId="2E9ABC7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监测断面</w:t>
                  </w:r>
                </w:p>
              </w:tc>
              <w:tc>
                <w:tcPr>
                  <w:tcW w:w="593" w:type="pct"/>
                  <w:vMerge w:val="restart"/>
                  <w:vAlign w:val="center"/>
                </w:tcPr>
                <w:p w14:paraId="743E5B5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监测因子</w:t>
                  </w:r>
                </w:p>
              </w:tc>
              <w:tc>
                <w:tcPr>
                  <w:tcW w:w="755" w:type="pct"/>
                  <w:vMerge w:val="restart"/>
                  <w:vAlign w:val="center"/>
                </w:tcPr>
                <w:p w14:paraId="136644D6">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监测结果(mg/L)</w:t>
                  </w:r>
                </w:p>
              </w:tc>
              <w:tc>
                <w:tcPr>
                  <w:tcW w:w="729" w:type="pct"/>
                  <w:vMerge w:val="restart"/>
                  <w:vAlign w:val="center"/>
                </w:tcPr>
                <w:p w14:paraId="46DB1B6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标准限值</w:t>
                  </w:r>
                  <w:r>
                    <w:rPr>
                      <w:rFonts w:hint="default" w:ascii="Times New Roman" w:hAnsi="Times New Roman" w:eastAsia="宋体" w:cs="Times New Roman"/>
                      <w:b/>
                      <w:color w:val="auto"/>
                      <w:kern w:val="2"/>
                      <w:sz w:val="21"/>
                      <w:szCs w:val="21"/>
                      <w:highlight w:val="none"/>
                      <w:lang w:val="en-US" w:eastAsia="zh-CN" w:bidi="ar-SA"/>
                    </w:rPr>
                    <w:t>(mg/L)</w:t>
                  </w:r>
                </w:p>
              </w:tc>
              <w:tc>
                <w:tcPr>
                  <w:tcW w:w="737" w:type="pct"/>
                  <w:vMerge w:val="restart"/>
                  <w:vAlign w:val="center"/>
                </w:tcPr>
                <w:p w14:paraId="3D9671A1">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达标情况</w:t>
                  </w:r>
                </w:p>
              </w:tc>
            </w:tr>
            <w:tr w14:paraId="18E0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Merge w:val="continue"/>
                  <w:vAlign w:val="center"/>
                </w:tcPr>
                <w:p w14:paraId="6F84DF2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452" w:type="pct"/>
                  <w:vMerge w:val="continue"/>
                  <w:vAlign w:val="center"/>
                </w:tcPr>
                <w:p w14:paraId="4912B9FE">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593" w:type="pct"/>
                  <w:vMerge w:val="continue"/>
                  <w:vAlign w:val="center"/>
                </w:tcPr>
                <w:p w14:paraId="7AA94FE8">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813" w:type="pct"/>
                  <w:vMerge w:val="continue"/>
                  <w:vAlign w:val="center"/>
                </w:tcPr>
                <w:p w14:paraId="457ED897">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593" w:type="pct"/>
                  <w:vMerge w:val="continue"/>
                  <w:vAlign w:val="center"/>
                </w:tcPr>
                <w:p w14:paraId="751D9359">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55" w:type="pct"/>
                  <w:vMerge w:val="continue"/>
                  <w:vAlign w:val="center"/>
                </w:tcPr>
                <w:p w14:paraId="471FEAA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29" w:type="pct"/>
                  <w:vMerge w:val="continue"/>
                  <w:vAlign w:val="center"/>
                </w:tcPr>
                <w:p w14:paraId="262BDFC4">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c>
                <w:tcPr>
                  <w:tcW w:w="737" w:type="pct"/>
                  <w:vMerge w:val="continue"/>
                  <w:vAlign w:val="center"/>
                </w:tcPr>
                <w:p w14:paraId="32CBE47B">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eastAsia="zh-CN" w:bidi="ar-SA"/>
                    </w:rPr>
                  </w:pPr>
                </w:p>
              </w:tc>
            </w:tr>
            <w:tr w14:paraId="2D5C5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pct"/>
                  <w:vAlign w:val="center"/>
                </w:tcPr>
                <w:p w14:paraId="64645EC3">
                  <w:pPr>
                    <w:keepNext w:val="0"/>
                    <w:keepLines w:val="0"/>
                    <w:widowControl w:val="0"/>
                    <w:suppressLineNumbers w:val="0"/>
                    <w:wordWrap/>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1</w:t>
                  </w:r>
                </w:p>
              </w:tc>
              <w:tc>
                <w:tcPr>
                  <w:tcW w:w="452" w:type="pct"/>
                  <w:vAlign w:val="center"/>
                </w:tcPr>
                <w:p w14:paraId="3C263004">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武江</w:t>
                  </w:r>
                </w:p>
              </w:tc>
              <w:tc>
                <w:tcPr>
                  <w:tcW w:w="593" w:type="pct"/>
                  <w:vAlign w:val="center"/>
                </w:tcPr>
                <w:p w14:paraId="27A8B45B">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乐昌市</w:t>
                  </w:r>
                </w:p>
              </w:tc>
              <w:tc>
                <w:tcPr>
                  <w:tcW w:w="813" w:type="pct"/>
                  <w:vAlign w:val="center"/>
                </w:tcPr>
                <w:p w14:paraId="010CCDFF">
                  <w:pPr>
                    <w:keepNext w:val="0"/>
                    <w:keepLines w:val="0"/>
                    <w:widowControl w:val="0"/>
                    <w:suppressLineNumbers w:val="0"/>
                    <w:adjustRightInd w:val="0"/>
                    <w:snapToGrid w:val="0"/>
                    <w:spacing w:before="46" w:beforeLines="15" w:beforeAutospacing="0" w:after="46"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张滩闸坝上游780米处</w:t>
                  </w:r>
                </w:p>
              </w:tc>
              <w:tc>
                <w:tcPr>
                  <w:tcW w:w="593" w:type="pct"/>
                  <w:vAlign w:val="center"/>
                </w:tcPr>
                <w:p w14:paraId="5A0CAA33">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钛</w:t>
                  </w:r>
                </w:p>
              </w:tc>
              <w:tc>
                <w:tcPr>
                  <w:tcW w:w="755" w:type="pct"/>
                  <w:vAlign w:val="center"/>
                </w:tcPr>
                <w:p w14:paraId="04B31BA4">
                  <w:pPr>
                    <w:keepNext w:val="0"/>
                    <w:keepLines w:val="0"/>
                    <w:widowControl w:val="0"/>
                    <w:suppressLineNumbers w:val="0"/>
                    <w:wordWrap/>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ND</w:t>
                  </w:r>
                </w:p>
              </w:tc>
              <w:tc>
                <w:tcPr>
                  <w:tcW w:w="729" w:type="pct"/>
                  <w:vAlign w:val="center"/>
                </w:tcPr>
                <w:p w14:paraId="632BBA7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0.1</w:t>
                  </w:r>
                </w:p>
              </w:tc>
              <w:tc>
                <w:tcPr>
                  <w:tcW w:w="737" w:type="pct"/>
                  <w:shd w:val="clear" w:color="auto" w:fill="auto"/>
                  <w:vAlign w:val="center"/>
                </w:tcPr>
                <w:p w14:paraId="4587E9E2">
                  <w:pPr>
                    <w:keepNext w:val="0"/>
                    <w:keepLines w:val="0"/>
                    <w:widowControl w:val="0"/>
                    <w:suppressLineNumbers w:val="0"/>
                    <w:wordWrap/>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达标</w:t>
                  </w:r>
                </w:p>
              </w:tc>
            </w:tr>
            <w:tr w14:paraId="43654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8"/>
                  <w:vAlign w:val="center"/>
                </w:tcPr>
                <w:p w14:paraId="6798BEA0">
                  <w:pPr>
                    <w:keepNext w:val="0"/>
                    <w:keepLines w:val="0"/>
                    <w:widowControl w:val="0"/>
                    <w:suppressLineNumbers w:val="0"/>
                    <w:wordWrap/>
                    <w:spacing w:before="0" w:beforeAutospacing="0" w:after="0" w:afterAutospacing="0" w:line="240" w:lineRule="auto"/>
                    <w:ind w:left="0" w:leftChars="0" w:right="0" w:rightChars="0"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注：ND为低于检出限</w:t>
                  </w:r>
                </w:p>
              </w:tc>
            </w:tr>
          </w:tbl>
          <w:p w14:paraId="5EF5F35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val="en-US" w:eastAsia="zh-CN"/>
              </w:rPr>
              <w:t>根据监测结果显示，武江张滩闸坝上游780米处监测断面</w:t>
            </w:r>
            <w:r>
              <w:rPr>
                <w:rFonts w:hint="eastAsia" w:ascii="Times New Roman" w:hAnsi="Times New Roman" w:eastAsia="宋体" w:cs="Times New Roman"/>
                <w:color w:val="auto"/>
                <w:sz w:val="24"/>
                <w:szCs w:val="32"/>
                <w:highlight w:val="none"/>
                <w:lang w:val="en-US" w:eastAsia="zh-CN"/>
              </w:rPr>
              <w:t>中钛的监测结果为低于检出限，浓度</w:t>
            </w:r>
            <w:r>
              <w:rPr>
                <w:rFonts w:hint="default" w:ascii="Times New Roman" w:hAnsi="Times New Roman" w:eastAsia="宋体" w:cs="Times New Roman"/>
                <w:color w:val="auto"/>
                <w:sz w:val="24"/>
                <w:szCs w:val="32"/>
                <w:highlight w:val="none"/>
                <w:lang w:val="en-US" w:eastAsia="zh-CN"/>
              </w:rPr>
              <w:t>满足《地表水环境质量标准》(GB3838-2002)表3集中式生活饮用水地表水源地特定项目标准限值，表明项目附近地表水体武江水环境</w:t>
            </w:r>
            <w:r>
              <w:rPr>
                <w:rFonts w:hint="eastAsia" w:ascii="Times New Roman" w:hAnsi="Times New Roman" w:eastAsia="宋体" w:cs="Times New Roman"/>
                <w:color w:val="auto"/>
                <w:sz w:val="24"/>
                <w:szCs w:val="32"/>
                <w:highlight w:val="none"/>
                <w:lang w:val="en-US" w:eastAsia="zh-CN"/>
              </w:rPr>
              <w:t>中钛的浓度较低，</w:t>
            </w:r>
            <w:r>
              <w:rPr>
                <w:rFonts w:hint="default" w:ascii="Times New Roman" w:hAnsi="Times New Roman" w:eastAsia="宋体" w:cs="Times New Roman"/>
                <w:color w:val="auto"/>
                <w:sz w:val="24"/>
                <w:szCs w:val="32"/>
                <w:highlight w:val="none"/>
                <w:lang w:val="en-US" w:eastAsia="zh-CN"/>
              </w:rPr>
              <w:t xml:space="preserve">水环境质量现状良好。 </w:t>
            </w:r>
          </w:p>
          <w:p w14:paraId="5E7840FD">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032C37E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项目所在地为工业园区内，执行《声环境质量标准》（GB3096—2008）3类标准（昼间65dB(A)；夜间55dB(A)）。</w:t>
            </w:r>
          </w:p>
          <w:p w14:paraId="44F7767C">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4E125A42">
            <w:pPr>
              <w:pStyle w:val="4"/>
              <w:numPr>
                <w:ilvl w:val="2"/>
                <w:numId w:val="0"/>
              </w:numPr>
              <w:suppressLineNumbers w:val="0"/>
              <w:spacing w:before="0" w:beforeAutospacing="0" w:after="0" w:afterAutospacing="0"/>
              <w:ind w:left="-2" w:right="0"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53B800C">
            <w:pPr>
              <w:keepNext w:val="0"/>
              <w:keepLines w:val="0"/>
              <w:suppressLineNumbers w:val="0"/>
              <w:autoSpaceDE w:val="0"/>
              <w:autoSpaceDN w:val="0"/>
              <w:adjustRightInd w:val="0"/>
              <w:spacing w:before="0" w:beforeAutospacing="0" w:after="0" w:afterAutospacing="0"/>
              <w:ind w:left="0" w:right="0" w:firstLine="480" w:firstLineChars="200"/>
              <w:jc w:val="both"/>
              <w:rPr>
                <w:rFonts w:hint="default" w:ascii="Times New Roman" w:hAnsi="Times New Roman" w:cs="Times New Roman"/>
                <w:bCs/>
                <w:color w:val="auto"/>
                <w:kern w:val="28"/>
                <w:sz w:val="24"/>
                <w:highlight w:val="none"/>
                <w:lang w:eastAsia="zh-CN"/>
              </w:rPr>
            </w:pPr>
            <w:r>
              <w:rPr>
                <w:rFonts w:hint="eastAsia" w:ascii="Times New Roman" w:hAnsi="Times New Roman" w:eastAsia="宋体" w:cs="Times New Roman"/>
                <w:color w:val="auto"/>
                <w:highlight w:val="none"/>
                <w:lang w:val="en-US" w:eastAsia="zh-CN"/>
              </w:rPr>
              <w:t>项目投产后，生产用地范围内均进行硬底化</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铝卷表面预处理生产车间、</w:t>
            </w:r>
            <w:r>
              <w:rPr>
                <w:rFonts w:hint="default" w:ascii="Times New Roman" w:hAnsi="Times New Roman" w:cs="Times New Roman"/>
                <w:bCs/>
                <w:color w:val="auto"/>
                <w:kern w:val="28"/>
                <w:sz w:val="24"/>
                <w:highlight w:val="none"/>
              </w:rPr>
              <w:t>危险废物</w:t>
            </w:r>
            <w:r>
              <w:rPr>
                <w:rFonts w:hint="default" w:ascii="Times New Roman" w:hAnsi="Times New Roman" w:cs="Times New Roman"/>
                <w:bCs/>
                <w:color w:val="auto"/>
                <w:kern w:val="28"/>
                <w:sz w:val="24"/>
                <w:highlight w:val="none"/>
                <w:lang w:eastAsia="zh-CN"/>
              </w:rPr>
              <w:t>暂存间、自建污水处理站</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均储存在厂房设置的化学品仓内，且出入口处设置围堰围挡，物料随用随取，不使用时密闭封存，厂界四周设置围墙围挡，仅保留</w:t>
            </w:r>
            <w:r>
              <w:rPr>
                <w:rFonts w:hint="default" w:ascii="Times New Roman" w:hAnsi="Times New Roman" w:cs="Times New Roman"/>
                <w:bCs/>
                <w:color w:val="auto"/>
                <w:kern w:val="28"/>
                <w:sz w:val="24"/>
                <w:highlight w:val="none"/>
                <w:lang w:val="en-US" w:eastAsia="zh-CN"/>
              </w:rPr>
              <w:t>东</w:t>
            </w:r>
            <w:r>
              <w:rPr>
                <w:rFonts w:hint="eastAsia" w:cs="Times New Roman"/>
                <w:bCs/>
                <w:color w:val="auto"/>
                <w:kern w:val="28"/>
                <w:sz w:val="24"/>
                <w:highlight w:val="none"/>
                <w:lang w:val="en-US" w:eastAsia="zh-CN"/>
              </w:rPr>
              <w:t>北</w:t>
            </w:r>
            <w:r>
              <w:rPr>
                <w:rFonts w:hint="default" w:ascii="Times New Roman" w:hAnsi="Times New Roman" w:cs="Times New Roman"/>
                <w:bCs/>
                <w:color w:val="auto"/>
                <w:kern w:val="28"/>
                <w:sz w:val="24"/>
                <w:highlight w:val="none"/>
              </w:rPr>
              <w:t>侧厂区出入口，且厂区出入口通道整体呈</w:t>
            </w:r>
            <w:r>
              <w:rPr>
                <w:rFonts w:hint="default" w:ascii="Times New Roman" w:hAnsi="Times New Roman" w:cs="Times New Roman"/>
                <w:bCs/>
                <w:color w:val="auto"/>
                <w:kern w:val="28"/>
                <w:sz w:val="24"/>
                <w:highlight w:val="none"/>
                <w:lang w:val="en-US" w:eastAsia="zh-CN"/>
              </w:rPr>
              <w:t>西南</w:t>
            </w:r>
            <w:r>
              <w:rPr>
                <w:rFonts w:hint="default" w:ascii="Times New Roman" w:hAnsi="Times New Roman" w:cs="Times New Roman"/>
                <w:bCs/>
                <w:color w:val="auto"/>
                <w:kern w:val="28"/>
                <w:sz w:val="24"/>
                <w:highlight w:val="none"/>
              </w:rPr>
              <w:t>自</w:t>
            </w:r>
            <w:r>
              <w:rPr>
                <w:rFonts w:hint="default" w:ascii="Times New Roman" w:hAnsi="Times New Roman" w:cs="Times New Roman"/>
                <w:bCs/>
                <w:color w:val="auto"/>
                <w:kern w:val="28"/>
                <w:sz w:val="24"/>
                <w:highlight w:val="none"/>
                <w:lang w:val="en-US" w:eastAsia="zh-CN"/>
              </w:rPr>
              <w:t>东北</w:t>
            </w:r>
            <w:r>
              <w:rPr>
                <w:rFonts w:hint="default" w:ascii="Times New Roman" w:hAnsi="Times New Roman" w:cs="Times New Roman"/>
                <w:bCs/>
                <w:color w:val="auto"/>
                <w:kern w:val="28"/>
                <w:sz w:val="24"/>
                <w:highlight w:val="none"/>
              </w:rPr>
              <w:t>走向，可防止地表径流直接进入本项目</w:t>
            </w:r>
            <w:r>
              <w:rPr>
                <w:rFonts w:hint="default" w:ascii="Times New Roman" w:hAnsi="Times New Roman" w:cs="Times New Roman"/>
                <w:bCs/>
                <w:color w:val="auto"/>
                <w:kern w:val="28"/>
                <w:sz w:val="24"/>
                <w:highlight w:val="none"/>
                <w:lang w:val="en-US" w:eastAsia="zh-CN"/>
              </w:rPr>
              <w:t>周边水体</w:t>
            </w:r>
            <w:r>
              <w:rPr>
                <w:rFonts w:hint="default" w:ascii="Times New Roman" w:hAnsi="Times New Roman" w:cs="Times New Roman"/>
                <w:bCs/>
                <w:color w:val="auto"/>
                <w:kern w:val="28"/>
                <w:sz w:val="24"/>
                <w:highlight w:val="none"/>
              </w:rPr>
              <w:t>。因此不存在地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75716D55">
            <w:pPr>
              <w:pStyle w:val="4"/>
              <w:numPr>
                <w:ilvl w:val="2"/>
                <w:numId w:val="0"/>
              </w:numPr>
              <w:suppressLineNumbers w:val="0"/>
              <w:spacing w:before="0" w:beforeAutospacing="0" w:after="0" w:afterAutospacing="0"/>
              <w:ind w:left="-2" w:right="0"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4D90500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6986C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D5302D1">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276" w:lineRule="auto"/>
              <w:ind w:left="0" w:right="0"/>
              <w:jc w:val="center"/>
              <w:textAlignment w:val="auto"/>
              <w:outlineLvl w:val="9"/>
              <w:rPr>
                <w:rFonts w:hint="default" w:ascii="Times New Roman" w:hAnsi="Times New Roman" w:cs="Times New Roman"/>
                <w:b/>
                <w:bCs/>
                <w:color w:val="auto"/>
                <w:kern w:val="2"/>
                <w:highlight w:val="none"/>
              </w:rPr>
            </w:pPr>
            <w:bookmarkStart w:id="76" w:name="_Toc24022"/>
            <w:bookmarkStart w:id="77" w:name="_Toc31344"/>
            <w:bookmarkStart w:id="78" w:name="_Toc14552"/>
            <w:bookmarkStart w:id="79" w:name="_Toc15908"/>
            <w:bookmarkStart w:id="80" w:name="_Toc4567"/>
            <w:bookmarkStart w:id="81" w:name="_Toc28210"/>
            <w:bookmarkStart w:id="82" w:name="_Toc461"/>
            <w:bookmarkStart w:id="83" w:name="_Toc728"/>
            <w:bookmarkStart w:id="84" w:name="_Toc28375"/>
            <w:bookmarkStart w:id="85" w:name="_Toc15642"/>
            <w:bookmarkStart w:id="86" w:name="_Toc241"/>
            <w:bookmarkStart w:id="87" w:name="_Toc20976"/>
            <w:bookmarkStart w:id="88" w:name="_Toc28582"/>
            <w:bookmarkStart w:id="89" w:name="_Toc31357"/>
            <w:r>
              <w:rPr>
                <w:rFonts w:hint="default" w:ascii="Times New Roman" w:hAnsi="Times New Roman" w:cs="Times New Roman"/>
                <w:b/>
                <w:bCs/>
                <w:color w:val="auto"/>
                <w:kern w:val="2"/>
                <w:highlight w:val="none"/>
              </w:rPr>
              <w:t>环境保护目标</w:t>
            </w:r>
            <w:bookmarkEnd w:id="76"/>
            <w:bookmarkEnd w:id="77"/>
            <w:bookmarkEnd w:id="78"/>
            <w:bookmarkEnd w:id="79"/>
            <w:bookmarkEnd w:id="80"/>
            <w:bookmarkEnd w:id="81"/>
            <w:bookmarkEnd w:id="82"/>
            <w:bookmarkEnd w:id="83"/>
            <w:bookmarkEnd w:id="84"/>
            <w:bookmarkEnd w:id="85"/>
            <w:bookmarkEnd w:id="86"/>
            <w:bookmarkEnd w:id="87"/>
            <w:bookmarkEnd w:id="88"/>
            <w:bookmarkEnd w:id="89"/>
          </w:p>
        </w:tc>
        <w:tc>
          <w:tcPr>
            <w:tcW w:w="4737" w:type="pct"/>
          </w:tcPr>
          <w:p w14:paraId="323654B6">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10AE4499">
            <w:pPr>
              <w:pStyle w:val="101"/>
              <w:keepNext w:val="0"/>
              <w:keepLines w:val="0"/>
              <w:suppressLineNumbers w:val="0"/>
              <w:topLinePunct w:val="0"/>
              <w:autoSpaceDE/>
              <w:autoSpaceDN/>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本项目厂界外500m范围内无自然保护区、风景名胜区、文化区，主要大气环境保护目标为居民区等。具体情况详见下表，大气环境保护</w:t>
            </w:r>
            <w:r>
              <w:rPr>
                <w:rFonts w:hint="eastAsia"/>
                <w:color w:val="auto"/>
                <w:highlight w:val="none"/>
                <w:lang w:val="en-US" w:eastAsia="zh-CN"/>
              </w:rPr>
              <w:t>目标</w:t>
            </w:r>
            <w:r>
              <w:rPr>
                <w:rFonts w:hint="default" w:ascii="Times New Roman" w:hAnsi="Times New Roman" w:cs="Times New Roman"/>
                <w:color w:val="auto"/>
                <w:highlight w:val="none"/>
              </w:rPr>
              <w:t>分布情况详见附图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p>
          <w:p w14:paraId="79DAADCD">
            <w:pPr>
              <w:pStyle w:val="4"/>
              <w:numPr>
                <w:ilvl w:val="0"/>
                <w:numId w:val="0"/>
              </w:numPr>
              <w:suppressLineNumbers w:val="0"/>
              <w:spacing w:before="0" w:beforeAutospacing="0" w:after="0" w:afterAutospacing="0"/>
              <w:ind w:left="0" w:leftChars="0" w:right="0" w:righ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cs="Times New Roman"/>
                <w:b/>
                <w:bCs/>
                <w:color w:val="auto"/>
                <w:kern w:val="2"/>
                <w:sz w:val="21"/>
                <w:szCs w:val="21"/>
                <w:highlight w:val="none"/>
                <w:lang w:val="en-US" w:eastAsia="zh-CN" w:bidi="ar-SA"/>
              </w:rPr>
              <w:t xml:space="preserve">5 </w:t>
            </w:r>
            <w:r>
              <w:rPr>
                <w:rFonts w:hint="default" w:ascii="Times New Roman" w:hAnsi="Times New Roman" w:cs="Times New Roman"/>
                <w:color w:val="auto"/>
                <w:sz w:val="21"/>
                <w:szCs w:val="21"/>
                <w:highlight w:val="none"/>
              </w:rPr>
              <w:t>大气环境保护目标一览表</w:t>
            </w:r>
          </w:p>
          <w:tbl>
            <w:tblPr>
              <w:tblStyle w:val="38"/>
              <w:tblW w:w="92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0"/>
              <w:gridCol w:w="2011"/>
              <w:gridCol w:w="700"/>
              <w:gridCol w:w="683"/>
              <w:gridCol w:w="915"/>
              <w:gridCol w:w="1079"/>
              <w:gridCol w:w="1087"/>
              <w:gridCol w:w="1055"/>
              <w:gridCol w:w="1087"/>
            </w:tblGrid>
            <w:tr w14:paraId="6509F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 w:hRule="atLeast"/>
                <w:jc w:val="center"/>
              </w:trPr>
              <w:tc>
                <w:tcPr>
                  <w:tcW w:w="34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607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10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DEE2E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74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562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坐标/m</w:t>
                  </w:r>
                </w:p>
              </w:tc>
              <w:tc>
                <w:tcPr>
                  <w:tcW w:w="4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B3B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对象</w:t>
                  </w:r>
                </w:p>
              </w:tc>
              <w:tc>
                <w:tcPr>
                  <w:tcW w:w="5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0458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保护内容</w:t>
                  </w:r>
                </w:p>
              </w:tc>
              <w:tc>
                <w:tcPr>
                  <w:tcW w:w="5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FDCE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环境功能</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1C6CF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相对厂址方位</w:t>
                  </w:r>
                </w:p>
              </w:tc>
              <w:tc>
                <w:tcPr>
                  <w:tcW w:w="5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DBB32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相对厂址距离/m</w:t>
                  </w:r>
                </w:p>
              </w:tc>
            </w:tr>
            <w:tr w14:paraId="4BAB9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3" w:hRule="atLeast"/>
                <w:jc w:val="center"/>
              </w:trPr>
              <w:tc>
                <w:tcPr>
                  <w:tcW w:w="3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6C8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0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2A2E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0C22B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125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4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7896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4427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AE99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70C79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6D437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1049E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E1E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D1B9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大岭背居民区</w:t>
                  </w:r>
                </w:p>
              </w:tc>
              <w:tc>
                <w:tcPr>
                  <w:tcW w:w="3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A316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490</w:t>
                  </w:r>
                </w:p>
              </w:tc>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D763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-195</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845E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居民区</w:t>
                  </w:r>
                </w:p>
              </w:tc>
              <w:tc>
                <w:tcPr>
                  <w:tcW w:w="5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C43C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约70人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3C2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407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西</w:t>
                  </w:r>
                  <w:r>
                    <w:rPr>
                      <w:rFonts w:hint="eastAsia" w:cs="Times New Roman"/>
                      <w:i w:val="0"/>
                      <w:iCs w:val="0"/>
                      <w:color w:val="auto"/>
                      <w:kern w:val="0"/>
                      <w:sz w:val="21"/>
                      <w:szCs w:val="21"/>
                      <w:highlight w:val="none"/>
                      <w:u w:val="none"/>
                      <w:lang w:val="en-US" w:eastAsia="zh-CN" w:bidi="ar"/>
                    </w:rPr>
                    <w:t>南</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373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425</w:t>
                  </w:r>
                </w:p>
              </w:tc>
            </w:tr>
            <w:tr w14:paraId="23842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CF04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B6C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拓美产业园公寓</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AE8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D6E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590</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4153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居民区</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9967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约300人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2D468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B6D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南</w:t>
                  </w:r>
                  <w:r>
                    <w:rPr>
                      <w:rFonts w:hint="default" w:ascii="Times New Roman" w:hAnsi="Times New Roman" w:eastAsia="宋体" w:cs="Times New Roman"/>
                      <w:i w:val="0"/>
                      <w:iCs w:val="0"/>
                      <w:color w:val="auto"/>
                      <w:kern w:val="0"/>
                      <w:sz w:val="21"/>
                      <w:szCs w:val="21"/>
                      <w:highlight w:val="none"/>
                      <w:u w:val="none"/>
                      <w:lang w:val="en-US" w:eastAsia="zh-CN" w:bidi="ar"/>
                    </w:rPr>
                    <w:t>面</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288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460</w:t>
                  </w:r>
                </w:p>
              </w:tc>
            </w:tr>
            <w:tr w14:paraId="6E22E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487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AEB6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项目宿舍楼*</w:t>
                  </w:r>
                </w:p>
                <w:p w14:paraId="65EF7D0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（关注点）</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C739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703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55</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B93E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关注点</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583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约150人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F46F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7E08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厂区内</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7A6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r>
            <w:tr w14:paraId="03A03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7B9E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w:t>
                  </w:r>
                </w:p>
              </w:tc>
              <w:tc>
                <w:tcPr>
                  <w:tcW w:w="10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14E30">
                  <w:pPr>
                    <w:keepNext w:val="0"/>
                    <w:keepLines w:val="0"/>
                    <w:pageBreakBefore w:val="0"/>
                    <w:widowControl w:val="0"/>
                    <w:suppressLineNumbers w:val="0"/>
                    <w:kinsoku/>
                    <w:wordWrap/>
                    <w:overflowPunct/>
                    <w:topLinePunct w:val="0"/>
                    <w:bidi w:val="0"/>
                    <w:adjustRightInd/>
                    <w:snapToGrid/>
                    <w:spacing w:before="0" w:beforeAutospacing="0" w:after="0" w:afterAutospacing="0" w:line="276" w:lineRule="auto"/>
                    <w:ind w:left="0" w:leftChars="0" w:right="0" w:right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b w:val="0"/>
                      <w:bCs w:val="0"/>
                      <w:color w:val="auto"/>
                      <w:sz w:val="21"/>
                      <w:szCs w:val="21"/>
                      <w:highlight w:val="none"/>
                    </w:rPr>
                    <w:t>韶关博鑫工程服务有限公司宿舍楼</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关注点</w:t>
                  </w:r>
                  <w:r>
                    <w:rPr>
                      <w:rFonts w:hint="eastAsia"/>
                      <w:b w:val="0"/>
                      <w:bCs w:val="0"/>
                      <w:color w:val="auto"/>
                      <w:sz w:val="21"/>
                      <w:szCs w:val="21"/>
                      <w:highlight w:val="none"/>
                      <w:lang w:eastAsia="zh-CN"/>
                    </w:rPr>
                    <w:t>）</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81C2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125</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7CB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-600</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9C62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关注点</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CC83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约150人</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8BEC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环境空气二类区</w:t>
                  </w:r>
                </w:p>
              </w:tc>
              <w:tc>
                <w:tcPr>
                  <w:tcW w:w="5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5725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东南面</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D0F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480</w:t>
                  </w:r>
                </w:p>
              </w:tc>
            </w:tr>
            <w:tr w14:paraId="42085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7" w:hRule="atLeast"/>
                <w:jc w:val="center"/>
              </w:trPr>
              <w:tc>
                <w:tcPr>
                  <w:tcW w:w="5000" w:type="pct"/>
                  <w:gridSpan w:val="9"/>
                  <w:tcBorders>
                    <w:top w:val="single" w:color="000000" w:sz="4" w:space="0"/>
                    <w:left w:val="single" w:color="000000" w:sz="4" w:space="0"/>
                    <w:bottom w:val="single" w:color="000000" w:sz="4" w:space="0"/>
                    <w:right w:val="single" w:color="000000" w:sz="4" w:space="0"/>
                  </w:tcBorders>
                  <w:shd w:val="clear" w:color="auto" w:fill="auto"/>
                  <w:vAlign w:val="center"/>
                </w:tcPr>
                <w:p w14:paraId="0BEDF3C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备注：以厂房中点坐标为原点（E113°24′</w:t>
                  </w:r>
                  <w:r>
                    <w:rPr>
                      <w:rFonts w:hint="eastAsia" w:ascii="Times New Roman" w:hAnsi="Times New Roman" w:eastAsia="宋体" w:cs="Times New Roman"/>
                      <w:i w:val="0"/>
                      <w:iCs w:val="0"/>
                      <w:color w:val="auto"/>
                      <w:kern w:val="0"/>
                      <w:sz w:val="21"/>
                      <w:szCs w:val="21"/>
                      <w:highlight w:val="none"/>
                      <w:u w:val="none"/>
                      <w:lang w:val="en-US" w:eastAsia="zh-CN" w:bidi="ar"/>
                    </w:rPr>
                    <w:t>14.681</w:t>
                  </w:r>
                  <w:r>
                    <w:rPr>
                      <w:rFonts w:hint="default" w:ascii="Times New Roman" w:hAnsi="Times New Roman" w:eastAsia="宋体" w:cs="Times New Roman"/>
                      <w:i w:val="0"/>
                      <w:iCs w:val="0"/>
                      <w:color w:val="auto"/>
                      <w:kern w:val="0"/>
                      <w:sz w:val="21"/>
                      <w:szCs w:val="21"/>
                      <w:highlight w:val="none"/>
                      <w:u w:val="none"/>
                      <w:lang w:val="en-US" w:eastAsia="zh-CN" w:bidi="ar"/>
                    </w:rPr>
                    <w:t>"、N25°0</w:t>
                  </w:r>
                  <w:r>
                    <w:rPr>
                      <w:rFonts w:hint="eastAsia" w:ascii="Times New Roman" w:hAnsi="Times New Roman" w:eastAsia="宋体" w:cs="Times New Roman"/>
                      <w:i w:val="0"/>
                      <w:iCs w:val="0"/>
                      <w:color w:val="auto"/>
                      <w:kern w:val="0"/>
                      <w:sz w:val="21"/>
                      <w:szCs w:val="21"/>
                      <w:highlight w:val="none"/>
                      <w:u w:val="none"/>
                      <w:lang w:val="en-US" w:eastAsia="zh-CN" w:bidi="ar"/>
                    </w:rPr>
                    <w:t>9</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Times New Roman" w:hAnsi="Times New Roman" w:eastAsia="宋体" w:cs="Times New Roman"/>
                      <w:i w:val="0"/>
                      <w:iCs w:val="0"/>
                      <w:color w:val="auto"/>
                      <w:kern w:val="0"/>
                      <w:sz w:val="21"/>
                      <w:szCs w:val="21"/>
                      <w:highlight w:val="none"/>
                      <w:u w:val="none"/>
                      <w:lang w:val="en-US" w:eastAsia="zh-CN" w:bidi="ar"/>
                    </w:rPr>
                    <w:t>16.655</w:t>
                  </w:r>
                  <w:r>
                    <w:rPr>
                      <w:rFonts w:hint="default" w:ascii="Times New Roman" w:hAnsi="Times New Roman" w:eastAsia="宋体" w:cs="Times New Roman"/>
                      <w:i w:val="0"/>
                      <w:iCs w:val="0"/>
                      <w:color w:val="auto"/>
                      <w:kern w:val="0"/>
                      <w:sz w:val="21"/>
                      <w:szCs w:val="21"/>
                      <w:highlight w:val="none"/>
                      <w:u w:val="none"/>
                      <w:lang w:val="en-US" w:eastAsia="zh-CN" w:bidi="ar"/>
                    </w:rPr>
                    <w:t>"），正东为X轴正向，正北为Y轴正向，建立直角坐标系。</w:t>
                  </w:r>
                </w:p>
                <w:p w14:paraId="521E5768">
                  <w:pPr>
                    <w:pStyle w:val="43"/>
                    <w:keepNext w:val="0"/>
                    <w:keepLines w:val="0"/>
                    <w:pageBreakBefore w:val="0"/>
                    <w:suppressLineNumbers w:val="0"/>
                    <w:kinsoku/>
                    <w:wordWrap/>
                    <w:overflowPunct/>
                    <w:topLinePunct w:val="0"/>
                    <w:bidi w:val="0"/>
                    <w:snapToGrid w:val="0"/>
                    <w:spacing w:before="0" w:beforeAutospacing="0" w:after="0" w:afterAutospacing="0" w:line="276" w:lineRule="auto"/>
                    <w:ind w:left="0" w:right="0"/>
                    <w:rPr>
                      <w:rFonts w:hint="default" w:eastAsia="宋体"/>
                      <w:color w:val="auto"/>
                      <w:highlight w:val="none"/>
                      <w:lang w:val="en-US" w:eastAsia="zh-CN"/>
                    </w:rPr>
                  </w:pPr>
                  <w:r>
                    <w:rPr>
                      <w:rFonts w:hint="eastAsia"/>
                      <w:color w:val="auto"/>
                      <w:sz w:val="21"/>
                      <w:szCs w:val="21"/>
                      <w:highlight w:val="none"/>
                      <w:lang w:val="en-US" w:eastAsia="zh-CN"/>
                    </w:rPr>
                    <w:t>*本项目厂区内设置宿舍，厂区宿舍不属于大气环境保护目标，但为保护厂内职工，将宿舍楼按作关注点处理。</w:t>
                  </w:r>
                </w:p>
              </w:tc>
            </w:tr>
          </w:tbl>
          <w:p w14:paraId="379EFC0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14DFEC37">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30702004">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3FADAEB8">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681910BF">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35182E78">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826F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62" w:type="pct"/>
            <w:vAlign w:val="center"/>
          </w:tcPr>
          <w:p w14:paraId="610157AE">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jc w:val="center"/>
              <w:textAlignment w:val="auto"/>
              <w:outlineLvl w:val="9"/>
              <w:rPr>
                <w:rFonts w:hint="default" w:ascii="Times New Roman" w:hAnsi="Times New Roman" w:cs="Times New Roman"/>
                <w:b/>
                <w:bCs/>
                <w:color w:val="auto"/>
                <w:kern w:val="2"/>
                <w:highlight w:val="none"/>
              </w:rPr>
            </w:pPr>
            <w:bookmarkStart w:id="90" w:name="_Toc32736"/>
            <w:bookmarkStart w:id="91" w:name="_Toc14344"/>
            <w:bookmarkStart w:id="92" w:name="_Toc9663"/>
            <w:bookmarkStart w:id="93" w:name="_Toc24161"/>
            <w:bookmarkStart w:id="94" w:name="_Toc8874"/>
            <w:bookmarkStart w:id="95" w:name="_Toc4596"/>
            <w:bookmarkStart w:id="96" w:name="_Toc21959"/>
            <w:bookmarkStart w:id="97" w:name="_Toc29246"/>
            <w:bookmarkStart w:id="98" w:name="_Toc2199"/>
            <w:bookmarkStart w:id="99" w:name="_Toc8003"/>
            <w:bookmarkStart w:id="100" w:name="_Toc31966"/>
            <w:bookmarkStart w:id="101" w:name="_Toc27828"/>
            <w:bookmarkStart w:id="102" w:name="_Toc10187"/>
            <w:bookmarkStart w:id="103" w:name="_Toc30637"/>
            <w:r>
              <w:rPr>
                <w:rFonts w:hint="default" w:ascii="Times New Roman" w:hAnsi="Times New Roman" w:cs="Times New Roman"/>
                <w:b/>
                <w:bCs/>
                <w:color w:val="auto"/>
                <w:kern w:val="2"/>
                <w:highlight w:val="none"/>
              </w:rPr>
              <w:t>污染物排放控制标准</w:t>
            </w:r>
            <w:bookmarkEnd w:id="90"/>
            <w:bookmarkEnd w:id="91"/>
            <w:bookmarkEnd w:id="92"/>
            <w:bookmarkEnd w:id="93"/>
            <w:bookmarkEnd w:id="94"/>
            <w:bookmarkEnd w:id="95"/>
            <w:bookmarkEnd w:id="96"/>
            <w:bookmarkEnd w:id="97"/>
            <w:bookmarkEnd w:id="98"/>
            <w:bookmarkEnd w:id="99"/>
            <w:bookmarkEnd w:id="100"/>
            <w:bookmarkEnd w:id="101"/>
            <w:bookmarkEnd w:id="102"/>
            <w:bookmarkEnd w:id="103"/>
          </w:p>
        </w:tc>
        <w:tc>
          <w:tcPr>
            <w:tcW w:w="4737" w:type="pct"/>
          </w:tcPr>
          <w:p w14:paraId="0D41A4C3">
            <w:pPr>
              <w:pStyle w:val="4"/>
              <w:numPr>
                <w:ilvl w:val="2"/>
                <w:numId w:val="0"/>
              </w:numPr>
              <w:suppressLineNumbers w:val="0"/>
              <w:spacing w:before="0" w:beforeAutospacing="0" w:after="0" w:afterAutospacing="0"/>
              <w:ind w:left="-2" w:leftChars="0" w:right="0" w:firstLine="482"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4"/>
                <w:szCs w:val="24"/>
                <w:highlight w:val="none"/>
                <w:lang w:val="en-US" w:eastAsia="zh-CN" w:bidi="ar-SA"/>
              </w:rPr>
              <w:t>一、</w:t>
            </w:r>
            <w:r>
              <w:rPr>
                <w:rFonts w:hint="default" w:ascii="Times New Roman" w:hAnsi="Times New Roman" w:cs="Times New Roman"/>
                <w:color w:val="auto"/>
                <w:highlight w:val="none"/>
              </w:rPr>
              <w:t>废气排放标准</w:t>
            </w:r>
          </w:p>
          <w:p w14:paraId="318185D4">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（1）施工期</w:t>
            </w:r>
          </w:p>
          <w:p w14:paraId="7F6D02FC">
            <w:pPr>
              <w:pStyle w:val="12"/>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本项目施工期间产生的颗粒物及施工机械设备尾气排放执行广东省《大气污染物排放限值》（DB44/27-2001）第二时段无组织排放要求。</w:t>
            </w:r>
          </w:p>
          <w:p w14:paraId="2FA3316E">
            <w:pPr>
              <w:pStyle w:val="12"/>
              <w:keepNext w:val="0"/>
              <w:keepLines w:val="0"/>
              <w:numPr>
                <w:ilvl w:val="0"/>
                <w:numId w:val="0"/>
              </w:numPr>
              <w:suppressLineNumbers w:val="0"/>
              <w:tabs>
                <w:tab w:val="left" w:pos="0"/>
              </w:tabs>
              <w:spacing w:before="0" w:beforeAutospacing="0" w:after="0" w:afterAutospacing="0" w:line="360" w:lineRule="auto"/>
              <w:ind w:left="0" w:leftChars="0" w:right="0" w:rightChars="0" w:firstLine="4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 xml:space="preserve">6 </w:t>
            </w:r>
            <w:r>
              <w:rPr>
                <w:rFonts w:hint="default" w:ascii="Times New Roman" w:hAnsi="Times New Roman" w:cs="Times New Roman"/>
                <w:b/>
                <w:bCs/>
                <w:color w:val="auto"/>
                <w:sz w:val="21"/>
                <w:szCs w:val="21"/>
                <w:highlight w:val="none"/>
              </w:rPr>
              <w:t>施工期大气污染物排放限值</w:t>
            </w:r>
          </w:p>
          <w:tbl>
            <w:tblPr>
              <w:tblStyle w:val="39"/>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564"/>
              <w:gridCol w:w="2694"/>
              <w:gridCol w:w="3368"/>
            </w:tblGrid>
            <w:tr w14:paraId="71E89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Align w:val="center"/>
                </w:tcPr>
                <w:p w14:paraId="5826EE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监控点</w:t>
                  </w:r>
                </w:p>
              </w:tc>
              <w:tc>
                <w:tcPr>
                  <w:tcW w:w="850" w:type="pct"/>
                  <w:vAlign w:val="center"/>
                </w:tcPr>
                <w:p w14:paraId="2F1B64B3">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1464" w:type="pct"/>
                  <w:vAlign w:val="center"/>
                </w:tcPr>
                <w:p w14:paraId="3DF6817D">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排放浓度（mg/m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830" w:type="pct"/>
                  <w:vAlign w:val="center"/>
                </w:tcPr>
                <w:p w14:paraId="3C7643F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417AC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Merge w:val="restart"/>
                  <w:vAlign w:val="center"/>
                </w:tcPr>
                <w:p w14:paraId="6008C6D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w:t>
                  </w:r>
                </w:p>
              </w:tc>
              <w:tc>
                <w:tcPr>
                  <w:tcW w:w="850" w:type="pct"/>
                  <w:vAlign w:val="center"/>
                </w:tcPr>
                <w:p w14:paraId="78AF6BE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464" w:type="pct"/>
                  <w:vAlign w:val="center"/>
                </w:tcPr>
                <w:p w14:paraId="71FDB2BB">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830" w:type="pct"/>
                  <w:vMerge w:val="restart"/>
                  <w:vAlign w:val="center"/>
                </w:tcPr>
                <w:p w14:paraId="18CDEC7E">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广东省《大气污染物排放限值》</w:t>
                  </w:r>
                </w:p>
                <w:p w14:paraId="49C82B94">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（DB44/27-2001）</w:t>
                  </w:r>
                </w:p>
              </w:tc>
            </w:tr>
            <w:tr w14:paraId="42DED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854" w:type="pct"/>
                  <w:vMerge w:val="continue"/>
                  <w:vAlign w:val="center"/>
                </w:tcPr>
                <w:p w14:paraId="23E7E0A6">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850" w:type="pct"/>
                  <w:vAlign w:val="center"/>
                </w:tcPr>
                <w:p w14:paraId="21D73B1F">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464" w:type="pct"/>
                  <w:vAlign w:val="center"/>
                </w:tcPr>
                <w:p w14:paraId="5173F838">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w:t>
                  </w:r>
                </w:p>
              </w:tc>
              <w:tc>
                <w:tcPr>
                  <w:tcW w:w="1830" w:type="pct"/>
                  <w:vMerge w:val="continue"/>
                  <w:vAlign w:val="center"/>
                </w:tcPr>
                <w:p w14:paraId="33B1517C">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2683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54" w:type="pct"/>
                  <w:vMerge w:val="continue"/>
                  <w:vAlign w:val="center"/>
                </w:tcPr>
                <w:p w14:paraId="294FAB60">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c>
                <w:tcPr>
                  <w:tcW w:w="850" w:type="pct"/>
                  <w:vAlign w:val="center"/>
                </w:tcPr>
                <w:p w14:paraId="71F570B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464" w:type="pct"/>
                  <w:vAlign w:val="center"/>
                </w:tcPr>
                <w:p w14:paraId="761AF2C1">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w:t>
                  </w:r>
                </w:p>
              </w:tc>
              <w:tc>
                <w:tcPr>
                  <w:tcW w:w="1830" w:type="pct"/>
                  <w:vMerge w:val="continue"/>
                  <w:vAlign w:val="center"/>
                </w:tcPr>
                <w:p w14:paraId="1435525A">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p>
              </w:tc>
            </w:tr>
            <w:tr w14:paraId="76A2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54" w:type="pct"/>
                  <w:vAlign w:val="center"/>
                </w:tcPr>
                <w:p w14:paraId="469FEF69">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施工机械设备</w:t>
                  </w:r>
                </w:p>
              </w:tc>
              <w:tc>
                <w:tcPr>
                  <w:tcW w:w="850" w:type="pct"/>
                  <w:vAlign w:val="center"/>
                </w:tcPr>
                <w:p w14:paraId="5DEDE773">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林格曼烟度</w:t>
                  </w:r>
                </w:p>
              </w:tc>
              <w:tc>
                <w:tcPr>
                  <w:tcW w:w="1464" w:type="pct"/>
                  <w:vAlign w:val="center"/>
                </w:tcPr>
                <w:p w14:paraId="6274D6D2">
                  <w:pPr>
                    <w:pStyle w:val="12"/>
                    <w:keepNext w:val="0"/>
                    <w:keepLines w:val="0"/>
                    <w:numPr>
                      <w:ilvl w:val="255"/>
                      <w:numId w:val="0"/>
                    </w:numPr>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1（林格曼黑度级数）</w:t>
                  </w:r>
                </w:p>
              </w:tc>
              <w:tc>
                <w:tcPr>
                  <w:tcW w:w="1830" w:type="pct"/>
                  <w:vAlign w:val="center"/>
                </w:tcPr>
                <w:p w14:paraId="23F77B67">
                  <w:pPr>
                    <w:pStyle w:val="12"/>
                    <w:keepNext w:val="0"/>
                    <w:keepLines w:val="0"/>
                    <w:numPr>
                      <w:ilvl w:val="255"/>
                      <w:numId w:val="0"/>
                    </w:numPr>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非道路移动柴油机械排气烟度限值及测量方法</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GB 36886-2018</w:t>
                  </w:r>
                  <w:r>
                    <w:rPr>
                      <w:rFonts w:hint="eastAsia" w:cs="Times New Roman"/>
                      <w:color w:val="auto"/>
                      <w:sz w:val="21"/>
                      <w:szCs w:val="21"/>
                      <w:highlight w:val="none"/>
                      <w:lang w:eastAsia="zh-CN"/>
                    </w:rPr>
                    <w:t>）</w:t>
                  </w:r>
                </w:p>
              </w:tc>
            </w:tr>
          </w:tbl>
          <w:p w14:paraId="71ED4F39">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2）运营期</w:t>
            </w:r>
          </w:p>
          <w:p w14:paraId="248E365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①焊接烟尘</w:t>
            </w:r>
          </w:p>
          <w:p w14:paraId="3E5BE9CE">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本项目焊接烟尘以颗粒物表征，</w:t>
            </w:r>
            <w:r>
              <w:rPr>
                <w:rFonts w:hint="default" w:ascii="Times New Roman" w:hAnsi="Times New Roman" w:cs="Times New Roman"/>
                <w:color w:val="auto"/>
                <w:highlight w:val="none"/>
                <w:lang w:val="en-US" w:eastAsia="zh-CN"/>
              </w:rPr>
              <w:t>以无组织排放，</w:t>
            </w:r>
            <w:r>
              <w:rPr>
                <w:rFonts w:hint="default" w:ascii="Times New Roman" w:hAnsi="Times New Roman" w:cs="Times New Roman"/>
                <w:b w:val="0"/>
                <w:bCs w:val="0"/>
                <w:color w:val="auto"/>
                <w:highlight w:val="none"/>
              </w:rPr>
              <w:t>执行广东省《大气污染物排放限值》（DB44/27-2001）第二时段无组织排放监控浓度限值要求</w:t>
            </w:r>
            <w:r>
              <w:rPr>
                <w:rFonts w:hint="eastAsia" w:cs="Times New Roman"/>
                <w:b w:val="0"/>
                <w:bCs w:val="0"/>
                <w:color w:val="auto"/>
                <w:highlight w:val="none"/>
                <w:lang w:eastAsia="zh-CN"/>
              </w:rPr>
              <w:t>（厂界无组织排放监控浓度限值：</w:t>
            </w:r>
            <w:r>
              <w:rPr>
                <w:rFonts w:hint="eastAsia"/>
                <w:color w:val="auto"/>
                <w:highlight w:val="none"/>
                <w:lang w:val="en-US" w:eastAsia="zh-CN"/>
              </w:rPr>
              <w:t>1</w:t>
            </w:r>
            <w:r>
              <w:rPr>
                <w:rFonts w:hint="eastAsia"/>
                <w:color w:val="auto"/>
                <w:highlight w:val="none"/>
              </w:rPr>
              <w:t>.0mg/m</w:t>
            </w:r>
            <w:r>
              <w:rPr>
                <w:rFonts w:hint="eastAsia"/>
                <w:color w:val="auto"/>
                <w:highlight w:val="none"/>
                <w:vertAlign w:val="superscript"/>
              </w:rPr>
              <w:t>3</w:t>
            </w:r>
            <w:r>
              <w:rPr>
                <w:rFonts w:hint="eastAsia" w:cs="Times New Roman"/>
                <w:b w:val="0"/>
                <w:bCs w:val="0"/>
                <w:color w:val="auto"/>
                <w:highlight w:val="none"/>
                <w:lang w:eastAsia="zh-CN"/>
              </w:rPr>
              <w:t>）</w:t>
            </w:r>
            <w:r>
              <w:rPr>
                <w:rFonts w:hint="default" w:ascii="Times New Roman" w:hAnsi="Times New Roman" w:cs="Times New Roman"/>
                <w:b w:val="0"/>
                <w:bCs w:val="0"/>
                <w:color w:val="auto"/>
                <w:highlight w:val="none"/>
              </w:rPr>
              <w:t>。</w:t>
            </w:r>
          </w:p>
          <w:p w14:paraId="24D34B16">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eastAsia" w:cs="Times New Roman"/>
                <w:color w:val="auto"/>
                <w:highlight w:val="none"/>
                <w:lang w:val="en-US" w:eastAsia="zh-CN"/>
              </w:rPr>
              <w:t>①</w:t>
            </w:r>
            <w:r>
              <w:rPr>
                <w:rFonts w:hint="default" w:ascii="Times New Roman" w:hAnsi="Times New Roman" w:cs="Times New Roman"/>
                <w:color w:val="auto"/>
                <w:highlight w:val="none"/>
              </w:rPr>
              <w:t>燃烧废气</w:t>
            </w:r>
          </w:p>
          <w:p w14:paraId="7E951CDB">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烘干工序使用天然气作为燃料，天然气燃烧废气排放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cs="Times New Roman"/>
                <w:color w:val="auto"/>
                <w:highlight w:val="none"/>
                <w:lang w:val="en-US" w:eastAsia="zh-CN"/>
              </w:rPr>
              <w:t>烟气黑度参照《工业炉窑大气污染物排放标准》（GB 9078-1996）中“干燥炉、窑”的排放限值</w:t>
            </w:r>
            <w:r>
              <w:rPr>
                <w:rFonts w:hint="default" w:ascii="Times New Roman" w:hAnsi="Times New Roman" w:cs="Times New Roman"/>
                <w:color w:val="auto"/>
                <w:highlight w:val="none"/>
              </w:rPr>
              <w:t>详见下表</w:t>
            </w:r>
            <w:r>
              <w:rPr>
                <w:rFonts w:hint="eastAsia" w:cs="Times New Roman"/>
                <w:color w:val="auto"/>
                <w:highlight w:val="none"/>
                <w:lang w:eastAsia="zh-CN"/>
              </w:rPr>
              <w:t>：</w:t>
            </w:r>
          </w:p>
          <w:p w14:paraId="6D8A96AE">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ascii="Times New Roman" w:cs="Times New Roman"/>
                <w:b/>
                <w:color w:val="auto"/>
                <w:kern w:val="2"/>
                <w:sz w:val="21"/>
                <w:szCs w:val="21"/>
                <w:highlight w:val="none"/>
                <w:lang w:val="en-US" w:eastAsia="zh-CN" w:bidi="ar-SA"/>
              </w:rPr>
              <w:t xml:space="preserve">7 </w:t>
            </w:r>
            <w:r>
              <w:rPr>
                <w:rFonts w:hint="default" w:ascii="Times New Roman" w:hAnsi="Times New Roman" w:cs="Times New Roman"/>
                <w:b/>
                <w:bCs/>
                <w:color w:val="auto"/>
                <w:sz w:val="21"/>
                <w:szCs w:val="21"/>
                <w:highlight w:val="none"/>
              </w:rPr>
              <w:t>燃烧废气排放标准（单位：mg/m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1535"/>
              <w:gridCol w:w="1535"/>
              <w:gridCol w:w="1535"/>
              <w:gridCol w:w="1535"/>
              <w:gridCol w:w="1535"/>
            </w:tblGrid>
            <w:tr w14:paraId="2484F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Align w:val="center"/>
                </w:tcPr>
                <w:p w14:paraId="3545702C">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833" w:type="pct"/>
                  <w:vAlign w:val="center"/>
                </w:tcPr>
                <w:p w14:paraId="3CD278A3">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排气筒编号</w:t>
                  </w:r>
                </w:p>
              </w:tc>
              <w:tc>
                <w:tcPr>
                  <w:tcW w:w="833" w:type="pct"/>
                  <w:vAlign w:val="center"/>
                </w:tcPr>
                <w:p w14:paraId="396AF7E2">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cs="Times New Roman"/>
                      <w:b/>
                      <w:bCs/>
                      <w:color w:val="auto"/>
                      <w:sz w:val="21"/>
                      <w:szCs w:val="21"/>
                      <w:highlight w:val="none"/>
                      <w:lang w:val="en-US" w:eastAsia="zh-CN"/>
                    </w:rPr>
                    <w:t>排放高度</w:t>
                  </w:r>
                </w:p>
              </w:tc>
              <w:tc>
                <w:tcPr>
                  <w:tcW w:w="833" w:type="pct"/>
                  <w:vAlign w:val="center"/>
                </w:tcPr>
                <w:p w14:paraId="3CAE460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炉窑类型</w:t>
                  </w:r>
                </w:p>
              </w:tc>
              <w:tc>
                <w:tcPr>
                  <w:tcW w:w="833" w:type="pct"/>
                  <w:vAlign w:val="center"/>
                </w:tcPr>
                <w:p w14:paraId="08161CED">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833" w:type="pct"/>
                  <w:vAlign w:val="center"/>
                </w:tcPr>
                <w:p w14:paraId="03DD0F5F">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排放标准</w:t>
                  </w:r>
                </w:p>
              </w:tc>
            </w:tr>
            <w:tr w14:paraId="7F9A6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restart"/>
                  <w:vAlign w:val="center"/>
                </w:tcPr>
                <w:p w14:paraId="1A892D3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燃烧废气</w:t>
                  </w:r>
                </w:p>
              </w:tc>
              <w:tc>
                <w:tcPr>
                  <w:tcW w:w="833" w:type="pct"/>
                  <w:vMerge w:val="restart"/>
                  <w:vAlign w:val="center"/>
                </w:tcPr>
                <w:p w14:paraId="1226866C">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DA001</w:t>
                  </w:r>
                </w:p>
              </w:tc>
              <w:tc>
                <w:tcPr>
                  <w:tcW w:w="833" w:type="pct"/>
                  <w:vMerge w:val="restart"/>
                  <w:vAlign w:val="center"/>
                </w:tcPr>
                <w:p w14:paraId="3650F521">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15m</w:t>
                  </w:r>
                </w:p>
              </w:tc>
              <w:tc>
                <w:tcPr>
                  <w:tcW w:w="833" w:type="pct"/>
                  <w:vMerge w:val="restart"/>
                  <w:vAlign w:val="center"/>
                </w:tcPr>
                <w:p w14:paraId="6C6B5D31">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干燥炉（窑）</w:t>
                  </w:r>
                </w:p>
              </w:tc>
              <w:tc>
                <w:tcPr>
                  <w:tcW w:w="833" w:type="pct"/>
                  <w:vAlign w:val="center"/>
                </w:tcPr>
                <w:p w14:paraId="47B5062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烟（粉）尘</w:t>
                  </w:r>
                </w:p>
              </w:tc>
              <w:tc>
                <w:tcPr>
                  <w:tcW w:w="833" w:type="pct"/>
                  <w:vAlign w:val="center"/>
                </w:tcPr>
                <w:p w14:paraId="0FA0C97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08ED5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572CAF7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1AF474A9">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5BD60279">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2F64AB7">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27483D30">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w:t>
                  </w:r>
                </w:p>
              </w:tc>
              <w:tc>
                <w:tcPr>
                  <w:tcW w:w="833" w:type="pct"/>
                  <w:vAlign w:val="center"/>
                </w:tcPr>
                <w:p w14:paraId="5A712B2E">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r>
            <w:tr w14:paraId="2F55E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281429F1">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9FD563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0FEC49A0">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04DFA1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25A4C340">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w:t>
                  </w:r>
                </w:p>
              </w:tc>
              <w:tc>
                <w:tcPr>
                  <w:tcW w:w="833" w:type="pct"/>
                  <w:vAlign w:val="center"/>
                </w:tcPr>
                <w:p w14:paraId="1E0BCBEA">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r>
            <w:tr w14:paraId="4BC5A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2" w:type="pct"/>
                  <w:vMerge w:val="continue"/>
                  <w:vAlign w:val="center"/>
                </w:tcPr>
                <w:p w14:paraId="5F4A191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759B9DAB">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6331F736">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Merge w:val="continue"/>
                  <w:vAlign w:val="center"/>
                </w:tcPr>
                <w:p w14:paraId="6FE85E32">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p>
              </w:tc>
              <w:tc>
                <w:tcPr>
                  <w:tcW w:w="833" w:type="pct"/>
                  <w:vAlign w:val="center"/>
                </w:tcPr>
                <w:p w14:paraId="043AF1A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烟气黑</w:t>
                  </w:r>
                  <w:r>
                    <w:rPr>
                      <w:rFonts w:hint="eastAsia"/>
                      <w:color w:val="auto"/>
                      <w:sz w:val="21"/>
                      <w:szCs w:val="21"/>
                      <w:highlight w:val="none"/>
                      <w:lang w:val="en-US" w:eastAsia="zh-CN"/>
                    </w:rPr>
                    <w:t>度</w:t>
                  </w:r>
                </w:p>
              </w:tc>
              <w:tc>
                <w:tcPr>
                  <w:tcW w:w="833" w:type="pct"/>
                  <w:vAlign w:val="center"/>
                </w:tcPr>
                <w:p w14:paraId="704D4D83">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w:t>
                  </w:r>
                  <w:r>
                    <w:rPr>
                      <w:rFonts w:hint="eastAsia" w:ascii="Times New Roman" w:cs="Times New Roman"/>
                      <w:color w:val="auto"/>
                      <w:sz w:val="21"/>
                      <w:szCs w:val="21"/>
                      <w:highlight w:val="none"/>
                      <w:lang w:val="en-US" w:eastAsia="zh-CN"/>
                    </w:rPr>
                    <w:t>1</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林格曼级</w:t>
                  </w:r>
                  <w:r>
                    <w:rPr>
                      <w:rFonts w:hint="eastAsia" w:ascii="Times New Roman" w:cs="Times New Roman"/>
                      <w:color w:val="auto"/>
                      <w:sz w:val="21"/>
                      <w:szCs w:val="21"/>
                      <w:highlight w:val="none"/>
                      <w:lang w:eastAsia="zh-CN"/>
                    </w:rPr>
                    <w:t>）</w:t>
                  </w:r>
                </w:p>
              </w:tc>
            </w:tr>
          </w:tbl>
          <w:p w14:paraId="072D2324">
            <w:pPr>
              <w:pStyle w:val="4"/>
              <w:numPr>
                <w:ilvl w:val="2"/>
                <w:numId w:val="0"/>
              </w:numPr>
              <w:suppressLineNumbers w:val="0"/>
              <w:spacing w:before="0" w:beforeAutospacing="0" w:after="0" w:afterAutospacing="0"/>
              <w:ind w:left="0" w:right="0" w:firstLine="480" w:firstLineChars="200"/>
              <w:rPr>
                <w:rFonts w:hint="default" w:ascii="宋体" w:hAnsi="宋体" w:eastAsia="宋体" w:cs="宋体"/>
                <w:color w:val="auto"/>
                <w:highlight w:val="none"/>
                <w:lang w:val="en-US" w:eastAsia="zh-CN"/>
              </w:rPr>
            </w:pPr>
            <w:r>
              <w:rPr>
                <w:rFonts w:hint="eastAsia" w:ascii="宋体" w:hAnsi="宋体" w:cs="宋体"/>
                <w:color w:val="auto"/>
                <w:highlight w:val="none"/>
                <w:lang w:val="en-US" w:eastAsia="zh-CN"/>
              </w:rPr>
              <w:t>②</w:t>
            </w:r>
            <w:r>
              <w:rPr>
                <w:rFonts w:hint="default" w:ascii="宋体" w:hAnsi="宋体" w:eastAsia="宋体" w:cs="宋体"/>
                <w:color w:val="auto"/>
                <w:highlight w:val="none"/>
                <w:lang w:val="en-US" w:eastAsia="zh-CN"/>
              </w:rPr>
              <w:t>打磨、抛光粉尘</w:t>
            </w:r>
          </w:p>
          <w:p w14:paraId="63B650E4">
            <w:pPr>
              <w:pStyle w:val="4"/>
              <w:keepNext/>
              <w:keepLines/>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jc w:val="both"/>
              <w:textAlignment w:val="auto"/>
              <w:rPr>
                <w:rFonts w:hint="eastAsia" w:cs="Times New Roman"/>
                <w:b w:val="0"/>
                <w:bCs w:val="0"/>
                <w:color w:val="auto"/>
                <w:highlight w:val="none"/>
                <w:lang w:eastAsia="zh-CN"/>
              </w:rPr>
            </w:pPr>
            <w:r>
              <w:rPr>
                <w:rFonts w:hint="eastAsia" w:ascii="宋体" w:hAnsi="宋体" w:eastAsia="宋体" w:cs="宋体"/>
                <w:b w:val="0"/>
                <w:bCs w:val="0"/>
                <w:color w:val="auto"/>
                <w:highlight w:val="none"/>
                <w:lang w:val="en-US" w:eastAsia="zh-CN"/>
              </w:rPr>
              <w:t>打磨、抛光粉尘</w:t>
            </w:r>
            <w:r>
              <w:rPr>
                <w:rFonts w:hint="eastAsia" w:ascii="宋体" w:hAnsi="宋体" w:cs="宋体"/>
                <w:b w:val="0"/>
                <w:bCs w:val="0"/>
                <w:color w:val="auto"/>
                <w:highlight w:val="none"/>
                <w:lang w:val="en-US" w:eastAsia="zh-CN"/>
              </w:rPr>
              <w:t>均</w:t>
            </w:r>
            <w:r>
              <w:rPr>
                <w:rFonts w:hint="eastAsia" w:ascii="宋体" w:hAnsi="宋体" w:eastAsia="宋体" w:cs="宋体"/>
                <w:b w:val="0"/>
                <w:bCs w:val="0"/>
                <w:color w:val="auto"/>
                <w:highlight w:val="none"/>
                <w:lang w:val="en-US" w:eastAsia="zh-CN"/>
              </w:rPr>
              <w:t>以颗粒物为表征，</w:t>
            </w:r>
            <w:r>
              <w:rPr>
                <w:rFonts w:hint="eastAsia" w:cs="Times New Roman"/>
                <w:b w:val="0"/>
                <w:bCs w:val="0"/>
                <w:color w:val="auto"/>
                <w:highlight w:val="none"/>
                <w:lang w:val="en-US" w:eastAsia="zh-CN"/>
              </w:rPr>
              <w:t>以有组织形式排放，执行</w:t>
            </w:r>
            <w:r>
              <w:rPr>
                <w:rFonts w:hint="default" w:ascii="Times New Roman" w:hAnsi="Times New Roman" w:cs="Times New Roman"/>
                <w:b w:val="0"/>
                <w:bCs w:val="0"/>
                <w:color w:val="auto"/>
                <w:highlight w:val="none"/>
              </w:rPr>
              <w:t>广东省《大气污染物排放限值》（DB44/27-2001）第二时段</w:t>
            </w:r>
            <w:r>
              <w:rPr>
                <w:rFonts w:hint="eastAsia" w:cs="Times New Roman"/>
                <w:b w:val="0"/>
                <w:bCs w:val="0"/>
                <w:color w:val="auto"/>
                <w:highlight w:val="none"/>
                <w:lang w:val="en-US" w:eastAsia="zh-CN"/>
              </w:rPr>
              <w:t>及</w:t>
            </w:r>
            <w:r>
              <w:rPr>
                <w:rFonts w:hint="default" w:ascii="Times New Roman" w:hAnsi="Times New Roman" w:cs="Times New Roman"/>
                <w:b w:val="0"/>
                <w:bCs w:val="0"/>
                <w:color w:val="auto"/>
                <w:highlight w:val="none"/>
              </w:rPr>
              <w:t>无组织排放监控浓度限值要求。</w:t>
            </w:r>
          </w:p>
          <w:p w14:paraId="598220A8">
            <w:pPr>
              <w:pStyle w:val="4"/>
              <w:numPr>
                <w:ilvl w:val="0"/>
                <w:numId w:val="0"/>
              </w:numPr>
              <w:suppressLineNumbers w:val="0"/>
              <w:spacing w:before="0" w:beforeAutospacing="0" w:after="0" w:afterAutospacing="0"/>
              <w:ind w:left="0" w:leftChars="0" w:right="0" w:rightChars="0" w:firstLine="4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b/>
                <w:bCs/>
                <w:color w:val="auto"/>
                <w:kern w:val="0"/>
                <w:sz w:val="21"/>
                <w:szCs w:val="21"/>
                <w:highlight w:val="none"/>
                <w:lang w:val="en-US" w:eastAsia="zh-CN" w:bidi="ar"/>
              </w:rPr>
              <w:t>表3-</w:t>
            </w:r>
            <w:r>
              <w:rPr>
                <w:rFonts w:hint="eastAsia" w:cs="Times New Roman"/>
                <w:b/>
                <w:bCs/>
                <w:color w:val="auto"/>
                <w:kern w:val="0"/>
                <w:sz w:val="21"/>
                <w:szCs w:val="21"/>
                <w:highlight w:val="none"/>
                <w:lang w:val="en-US" w:eastAsia="zh-CN" w:bidi="ar"/>
              </w:rPr>
              <w:t>8 生产废气中</w:t>
            </w:r>
            <w:r>
              <w:rPr>
                <w:rFonts w:hint="eastAsia" w:cs="Times New Roman"/>
                <w:color w:val="auto"/>
                <w:kern w:val="0"/>
                <w:sz w:val="21"/>
                <w:szCs w:val="21"/>
                <w:highlight w:val="none"/>
                <w:lang w:val="en-US" w:eastAsia="zh-CN" w:bidi="ar"/>
              </w:rPr>
              <w:t>颗粒物</w:t>
            </w:r>
            <w:r>
              <w:rPr>
                <w:rFonts w:hint="default" w:ascii="Times New Roman" w:hAnsi="Times New Roman" w:cs="Times New Roman"/>
                <w:color w:val="auto"/>
                <w:kern w:val="0"/>
                <w:sz w:val="21"/>
                <w:szCs w:val="21"/>
                <w:highlight w:val="none"/>
                <w:lang w:bidi="ar"/>
              </w:rPr>
              <w:t>排放限值标准</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901"/>
              <w:gridCol w:w="661"/>
              <w:gridCol w:w="1474"/>
              <w:gridCol w:w="1290"/>
              <w:gridCol w:w="1633"/>
              <w:gridCol w:w="2848"/>
            </w:tblGrid>
            <w:tr w14:paraId="3992D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restart"/>
                  <w:vAlign w:val="center"/>
                </w:tcPr>
                <w:p w14:paraId="6C9940C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901" w:type="dxa"/>
                  <w:vMerge w:val="restart"/>
                  <w:vAlign w:val="center"/>
                </w:tcPr>
                <w:p w14:paraId="5B6BE35D">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排气筒编号</w:t>
                  </w:r>
                </w:p>
              </w:tc>
              <w:tc>
                <w:tcPr>
                  <w:tcW w:w="661" w:type="dxa"/>
                  <w:vMerge w:val="restart"/>
                  <w:vAlign w:val="center"/>
                </w:tcPr>
                <w:p w14:paraId="429122D8">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排放高度</w:t>
                  </w:r>
                </w:p>
              </w:tc>
              <w:tc>
                <w:tcPr>
                  <w:tcW w:w="2764" w:type="dxa"/>
                  <w:gridSpan w:val="2"/>
                  <w:vAlign w:val="center"/>
                </w:tcPr>
                <w:p w14:paraId="001D2449">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eastAsia"/>
                      <w:b/>
                      <w:bCs/>
                      <w:color w:val="auto"/>
                      <w:sz w:val="21"/>
                      <w:szCs w:val="21"/>
                      <w:highlight w:val="none"/>
                    </w:rPr>
                    <w:t>有组织排放要求</w:t>
                  </w:r>
                </w:p>
              </w:tc>
              <w:tc>
                <w:tcPr>
                  <w:tcW w:w="1633" w:type="dxa"/>
                  <w:vMerge w:val="restart"/>
                  <w:vAlign w:val="center"/>
                </w:tcPr>
                <w:p w14:paraId="6608990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厂界无组织排放监控浓度限值（mg/m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2848" w:type="dxa"/>
                  <w:vMerge w:val="restart"/>
                  <w:vAlign w:val="center"/>
                </w:tcPr>
                <w:p w14:paraId="45DBDE6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标准来源</w:t>
                  </w:r>
                </w:p>
              </w:tc>
            </w:tr>
            <w:tr w14:paraId="368AF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491" w:type="dxa"/>
                  <w:vMerge w:val="continue"/>
                  <w:vAlign w:val="center"/>
                </w:tcPr>
                <w:p w14:paraId="43E9A213">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901" w:type="dxa"/>
                  <w:vMerge w:val="continue"/>
                  <w:vAlign w:val="center"/>
                </w:tcPr>
                <w:p w14:paraId="63BC8539">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661" w:type="dxa"/>
                  <w:vMerge w:val="continue"/>
                  <w:vAlign w:val="center"/>
                </w:tcPr>
                <w:p w14:paraId="142A9043">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1474" w:type="dxa"/>
                  <w:vAlign w:val="center"/>
                </w:tcPr>
                <w:p w14:paraId="66FC853F">
                  <w:pPr>
                    <w:keepNext w:val="0"/>
                    <w:keepLines w:val="0"/>
                    <w:suppressLineNumbers w:val="0"/>
                    <w:spacing w:before="0" w:beforeAutospacing="0" w:after="0" w:afterAutospacing="0"/>
                    <w:ind w:left="0" w:right="0"/>
                    <w:jc w:val="center"/>
                    <w:rPr>
                      <w:rFonts w:hint="eastAsia"/>
                      <w:color w:val="auto"/>
                      <w:sz w:val="21"/>
                      <w:szCs w:val="21"/>
                      <w:highlight w:val="none"/>
                    </w:rPr>
                  </w:pPr>
                  <w:r>
                    <w:rPr>
                      <w:rFonts w:hint="eastAsia"/>
                      <w:b/>
                      <w:bCs/>
                      <w:color w:val="auto"/>
                      <w:sz w:val="21"/>
                      <w:szCs w:val="21"/>
                      <w:highlight w:val="none"/>
                    </w:rPr>
                    <w:t>最高允许排放浓度</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1290" w:type="dxa"/>
                  <w:vAlign w:val="center"/>
                </w:tcPr>
                <w:p w14:paraId="6D5FA8FC">
                  <w:pPr>
                    <w:keepNext w:val="0"/>
                    <w:keepLines w:val="0"/>
                    <w:suppressLineNumbers w:val="0"/>
                    <w:spacing w:before="0" w:beforeAutospacing="0" w:after="0" w:afterAutospacing="0"/>
                    <w:ind w:left="0" w:right="0"/>
                    <w:jc w:val="center"/>
                    <w:rPr>
                      <w:rFonts w:hint="eastAsia"/>
                      <w:color w:val="auto"/>
                      <w:sz w:val="21"/>
                      <w:szCs w:val="21"/>
                      <w:highlight w:val="none"/>
                    </w:rPr>
                  </w:pPr>
                  <w:r>
                    <w:rPr>
                      <w:rFonts w:hint="eastAsia"/>
                      <w:b/>
                      <w:bCs/>
                      <w:color w:val="auto"/>
                      <w:sz w:val="21"/>
                      <w:szCs w:val="21"/>
                      <w:highlight w:val="none"/>
                    </w:rPr>
                    <w:t>最高允许排放速率</w:t>
                  </w: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kg/h</w:t>
                  </w:r>
                  <w:r>
                    <w:rPr>
                      <w:rFonts w:hint="default" w:ascii="Times New Roman" w:hAnsi="Times New Roman" w:cs="Times New Roman"/>
                      <w:b/>
                      <w:bCs/>
                      <w:color w:val="auto"/>
                      <w:sz w:val="21"/>
                      <w:szCs w:val="21"/>
                      <w:highlight w:val="none"/>
                    </w:rPr>
                    <w:t>）</w:t>
                  </w:r>
                </w:p>
              </w:tc>
              <w:tc>
                <w:tcPr>
                  <w:tcW w:w="1633" w:type="dxa"/>
                  <w:vMerge w:val="continue"/>
                  <w:vAlign w:val="center"/>
                </w:tcPr>
                <w:p w14:paraId="76200E81">
                  <w:pPr>
                    <w:keepNext w:val="0"/>
                    <w:keepLines w:val="0"/>
                    <w:suppressLineNumbers w:val="0"/>
                    <w:spacing w:before="0" w:beforeAutospacing="0" w:after="0" w:afterAutospacing="0" w:line="240" w:lineRule="auto"/>
                    <w:ind w:left="0" w:right="0"/>
                    <w:jc w:val="center"/>
                    <w:rPr>
                      <w:rFonts w:hint="eastAsia"/>
                      <w:color w:val="auto"/>
                      <w:highlight w:val="none"/>
                    </w:rPr>
                  </w:pPr>
                </w:p>
              </w:tc>
              <w:tc>
                <w:tcPr>
                  <w:tcW w:w="2848" w:type="dxa"/>
                  <w:vMerge w:val="continue"/>
                  <w:vAlign w:val="center"/>
                </w:tcPr>
                <w:p w14:paraId="2B03ABFF">
                  <w:pPr>
                    <w:keepNext w:val="0"/>
                    <w:keepLines w:val="0"/>
                    <w:suppressLineNumbers w:val="0"/>
                    <w:spacing w:before="0" w:beforeAutospacing="0" w:after="0" w:afterAutospacing="0" w:line="240" w:lineRule="auto"/>
                    <w:ind w:left="0" w:right="0"/>
                    <w:jc w:val="center"/>
                    <w:rPr>
                      <w:rFonts w:hint="eastAsia"/>
                      <w:color w:val="auto"/>
                      <w:highlight w:val="none"/>
                    </w:rPr>
                  </w:pPr>
                </w:p>
              </w:tc>
            </w:tr>
            <w:tr w14:paraId="3E8DC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491" w:type="dxa"/>
                  <w:vAlign w:val="center"/>
                </w:tcPr>
                <w:p w14:paraId="7D4057B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901" w:type="dxa"/>
                  <w:vAlign w:val="center"/>
                </w:tcPr>
                <w:p w14:paraId="310FE64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DA003</w:t>
                  </w:r>
                </w:p>
              </w:tc>
              <w:tc>
                <w:tcPr>
                  <w:tcW w:w="661" w:type="dxa"/>
                  <w:vAlign w:val="center"/>
                </w:tcPr>
                <w:p w14:paraId="7A2E446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15m</w:t>
                  </w:r>
                </w:p>
              </w:tc>
              <w:tc>
                <w:tcPr>
                  <w:tcW w:w="1474" w:type="dxa"/>
                  <w:vAlign w:val="center"/>
                </w:tcPr>
                <w:p w14:paraId="5E80527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w:t>
                  </w:r>
                </w:p>
              </w:tc>
              <w:tc>
                <w:tcPr>
                  <w:tcW w:w="1290" w:type="dxa"/>
                  <w:vAlign w:val="center"/>
                </w:tcPr>
                <w:p w14:paraId="4977D99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1.45</w:t>
                  </w:r>
                </w:p>
              </w:tc>
              <w:tc>
                <w:tcPr>
                  <w:tcW w:w="1633" w:type="dxa"/>
                  <w:vAlign w:val="center"/>
                </w:tcPr>
                <w:p w14:paraId="4708F2D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2848" w:type="dxa"/>
                  <w:vAlign w:val="center"/>
                </w:tcPr>
                <w:p w14:paraId="0E5C353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广东省《大气污染物排放限值》（DB44/27-2001）第二时段</w:t>
                  </w:r>
                  <w:r>
                    <w:rPr>
                      <w:rFonts w:hint="eastAsia" w:cs="Times New Roman"/>
                      <w:color w:val="auto"/>
                      <w:sz w:val="21"/>
                      <w:szCs w:val="21"/>
                      <w:highlight w:val="none"/>
                      <w:lang w:val="en-US" w:eastAsia="zh-CN"/>
                    </w:rPr>
                    <w:t>及</w:t>
                  </w:r>
                  <w:r>
                    <w:rPr>
                      <w:rFonts w:hint="default" w:ascii="Times New Roman" w:hAnsi="Times New Roman" w:cs="Times New Roman"/>
                      <w:color w:val="auto"/>
                      <w:sz w:val="21"/>
                      <w:szCs w:val="21"/>
                      <w:highlight w:val="none"/>
                    </w:rPr>
                    <w:t>无组织排放监控浓度限值</w:t>
                  </w:r>
                </w:p>
              </w:tc>
            </w:tr>
            <w:tr w14:paraId="6772B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98" w:type="dxa"/>
                  <w:gridSpan w:val="7"/>
                  <w:vAlign w:val="center"/>
                </w:tcPr>
                <w:p w14:paraId="2DD7611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注：DA003未高出周围200m半径范围的建筑5m以上，最高允许排放速率按50％执行</w:t>
                  </w:r>
                </w:p>
              </w:tc>
            </w:tr>
          </w:tbl>
          <w:p w14:paraId="17245A06">
            <w:pPr>
              <w:pStyle w:val="4"/>
              <w:numPr>
                <w:ilvl w:val="2"/>
                <w:numId w:val="0"/>
              </w:numPr>
              <w:suppressLineNumbers w:val="0"/>
              <w:spacing w:before="0" w:beforeAutospacing="0" w:after="0" w:afterAutospacing="0"/>
              <w:ind w:left="0" w:right="0" w:firstLine="480" w:firstLineChars="200"/>
              <w:rPr>
                <w:rFonts w:hint="eastAsia" w:cs="Times New Roman"/>
                <w:color w:val="auto"/>
                <w:highlight w:val="none"/>
                <w:lang w:val="en-US" w:eastAsia="zh-CN"/>
              </w:rPr>
            </w:pPr>
            <w:r>
              <w:rPr>
                <w:rFonts w:hint="eastAsia" w:ascii="宋体" w:hAnsi="宋体" w:cs="宋体"/>
                <w:color w:val="auto"/>
                <w:highlight w:val="none"/>
                <w:lang w:val="en-US" w:eastAsia="zh-CN"/>
              </w:rPr>
              <w:t>③</w:t>
            </w:r>
            <w:r>
              <w:rPr>
                <w:rFonts w:hint="eastAsia" w:cs="Times New Roman"/>
                <w:color w:val="auto"/>
                <w:highlight w:val="none"/>
                <w:lang w:val="en-US" w:eastAsia="zh-CN"/>
              </w:rPr>
              <w:t>污水处理站恶臭</w:t>
            </w:r>
          </w:p>
          <w:p w14:paraId="1DE49EC9">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本项目自建污水处理站运行过程会产生少量恶臭污染物（氨气、硫化氢以及臭气浓度等），污水处理站恶臭在厂区内无组织排放。</w:t>
            </w:r>
            <w:r>
              <w:rPr>
                <w:rFonts w:hint="default" w:ascii="Times New Roman" w:hAnsi="Times New Roman" w:cs="Times New Roman"/>
                <w:color w:val="auto"/>
                <w:kern w:val="0"/>
                <w:sz w:val="24"/>
                <w:szCs w:val="24"/>
                <w:highlight w:val="none"/>
                <w:lang w:val="en-US" w:eastAsia="zh-CN" w:bidi="ar"/>
              </w:rPr>
              <w:t>厂界</w:t>
            </w:r>
            <w:r>
              <w:rPr>
                <w:rFonts w:hint="default" w:ascii="Times New Roman" w:hAnsi="Times New Roman" w:eastAsia="宋体" w:cs="Times New Roman"/>
                <w:color w:val="auto"/>
                <w:kern w:val="0"/>
                <w:sz w:val="24"/>
                <w:szCs w:val="24"/>
                <w:highlight w:val="none"/>
                <w:lang w:val="en-US" w:eastAsia="zh-CN" w:bidi="ar"/>
              </w:rPr>
              <w:t>氨气、硫化氢、臭气浓度排放浓度执行《恶臭污染物排放标准》（GB14554-93）中表1二级标准中“新改扩建”限值要求。</w:t>
            </w:r>
          </w:p>
          <w:p w14:paraId="0AE8775F">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cs="Times New Roman"/>
                <w:color w:val="auto"/>
                <w:highlight w:val="none"/>
                <w:lang w:val="en-US" w:eastAsia="zh-CN"/>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ascii="Times New Roman" w:cs="Times New Roman"/>
                <w:b/>
                <w:color w:val="auto"/>
                <w:kern w:val="2"/>
                <w:sz w:val="21"/>
                <w:szCs w:val="21"/>
                <w:highlight w:val="none"/>
                <w:lang w:val="en-US" w:eastAsia="zh-CN" w:bidi="ar-SA"/>
              </w:rPr>
              <w:t xml:space="preserve">9 </w:t>
            </w:r>
            <w:r>
              <w:rPr>
                <w:rFonts w:hint="default" w:ascii="Times New Roman" w:hAnsi="Times New Roman" w:cs="Times New Roman"/>
                <w:b/>
                <w:bCs/>
                <w:color w:val="auto"/>
                <w:sz w:val="21"/>
                <w:szCs w:val="21"/>
                <w:highlight w:val="none"/>
              </w:rPr>
              <w:t>污水处理站恶臭排放标准（单位：mg/m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bl>
            <w:tblPr>
              <w:tblStyle w:val="38"/>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39"/>
              <w:gridCol w:w="1798"/>
              <w:gridCol w:w="2099"/>
              <w:gridCol w:w="3484"/>
            </w:tblGrid>
            <w:tr w14:paraId="3C2D2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0FCD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污染物类别</w:t>
                  </w:r>
                </w:p>
              </w:tc>
              <w:tc>
                <w:tcPr>
                  <w:tcW w:w="9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CE5E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位置</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BEF5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AAB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无组织排放限值</w:t>
                  </w:r>
                </w:p>
              </w:tc>
            </w:tr>
            <w:tr w14:paraId="7B8B4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7" w:hRule="atLeast"/>
                <w:jc w:val="center"/>
              </w:trPr>
              <w:tc>
                <w:tcPr>
                  <w:tcW w:w="99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C5878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恶臭污染物</w:t>
                  </w:r>
                </w:p>
              </w:tc>
              <w:tc>
                <w:tcPr>
                  <w:tcW w:w="9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FFD8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AF1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43F8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r>
            <w:tr w14:paraId="316532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85CF6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9A593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6A6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硫化氢</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BAB6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r>
            <w:tr w14:paraId="71402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jc w:val="center"/>
              </w:trPr>
              <w:tc>
                <w:tcPr>
                  <w:tcW w:w="99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385F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5762C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D2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8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D46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20（无量纲）</w:t>
                  </w:r>
                </w:p>
              </w:tc>
            </w:tr>
          </w:tbl>
          <w:p w14:paraId="0DC5CAAE">
            <w:pPr>
              <w:pStyle w:val="4"/>
              <w:pageBreakBefore w:val="0"/>
              <w:widowControl w:val="0"/>
              <w:numPr>
                <w:ilvl w:val="2"/>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④食堂油烟</w:t>
            </w:r>
          </w:p>
          <w:p w14:paraId="4B26BC0E">
            <w:pPr>
              <w:keepNext w:val="0"/>
              <w:keepLines w:val="0"/>
              <w:suppressLineNumbers w:val="0"/>
              <w:spacing w:before="0" w:beforeAutospacing="0" w:after="0" w:afterAutospacing="0"/>
              <w:ind w:left="0" w:right="0" w:firstLine="480" w:firstLineChars="200"/>
              <w:rPr>
                <w:rFonts w:hint="eastAsia" w:eastAsia="宋体"/>
                <w:color w:val="auto"/>
                <w:highlight w:val="none"/>
                <w:lang w:val="en-US" w:eastAsia="zh-CN"/>
              </w:rPr>
            </w:pP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食堂油烟执行《饮食业油烟排放标准（试行）》（GB18483-2001）</w:t>
            </w:r>
            <w:r>
              <w:rPr>
                <w:rFonts w:hint="eastAsia"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rPr>
              <w:t>型规模标准，最高允许排放浓度为2.0mg/m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，净化设施最低去除效率为</w:t>
            </w:r>
            <w:r>
              <w:rPr>
                <w:rFonts w:hint="eastAsia" w:ascii="Times New Roman" w:hAnsi="Times New Roman" w:eastAsia="宋体" w:cs="Times New Roman"/>
                <w:color w:val="auto"/>
                <w:sz w:val="24"/>
                <w:szCs w:val="24"/>
                <w:highlight w:val="none"/>
                <w:lang w:val="en-US" w:eastAsia="zh-CN"/>
              </w:rPr>
              <w:t>75</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p>
          <w:p w14:paraId="441C5ED0">
            <w:pPr>
              <w:pStyle w:val="4"/>
              <w:pageBreakBefore w:val="0"/>
              <w:widowControl w:val="0"/>
              <w:numPr>
                <w:ilvl w:val="2"/>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二、废水排放标准</w:t>
            </w:r>
          </w:p>
          <w:p w14:paraId="1E9967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本项目运营期废水主要为员工生活污水和前处理清洗废水。</w:t>
            </w:r>
          </w:p>
          <w:p w14:paraId="22D6C9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处理</w:t>
            </w:r>
            <w:r>
              <w:rPr>
                <w:rFonts w:hint="eastAsia" w:cs="Times New Roman"/>
                <w:color w:val="auto"/>
                <w:highlight w:val="none"/>
                <w:lang w:eastAsia="zh-CN"/>
              </w:rPr>
              <w:t>；根据《电镀水污染物排放标准》（DB44/1597-2015），钝化工艺属于化学转移膜类，适用电镀行业标准，生产废水应满足中间接排放标准，</w:t>
            </w:r>
            <w:r>
              <w:rPr>
                <w:rFonts w:hint="eastAsia" w:cs="Times New Roman"/>
                <w:color w:val="auto"/>
                <w:highlight w:val="none"/>
                <w:lang w:val="en-US" w:eastAsia="zh-CN"/>
              </w:rPr>
              <w:t>因此</w:t>
            </w:r>
            <w:r>
              <w:rPr>
                <w:rFonts w:hint="default" w:ascii="Times New Roman" w:hAnsi="Times New Roman" w:cs="Times New Roman"/>
                <w:color w:val="auto"/>
                <w:highlight w:val="none"/>
              </w:rPr>
              <w:t>前处理清洗废水经自建污水处理站处理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达到</w:t>
            </w:r>
            <w:r>
              <w:rPr>
                <w:rFonts w:hint="default" w:ascii="Times New Roman" w:hAnsi="Times New Roman" w:cs="Times New Roman"/>
                <w:color w:val="auto"/>
                <w:highlight w:val="none"/>
                <w:lang w:eastAsia="zh-CN"/>
              </w:rPr>
              <w:t>园区污水处理厂接管水质</w:t>
            </w:r>
            <w:r>
              <w:rPr>
                <w:rFonts w:hint="default" w:ascii="Times New Roman" w:hAnsi="Times New Roman" w:cs="Times New Roman"/>
                <w:color w:val="auto"/>
                <w:highlight w:val="none"/>
                <w:lang w:val="en-US" w:eastAsia="zh-CN"/>
              </w:rPr>
              <w:t>要求</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广东省《</w:t>
            </w:r>
            <w:r>
              <w:rPr>
                <w:rFonts w:hint="eastAsia" w:cs="Times New Roman"/>
                <w:color w:val="auto"/>
                <w:highlight w:val="none"/>
                <w:lang w:val="en-US" w:eastAsia="zh-CN"/>
              </w:rPr>
              <w:t>水污染物排放限值</w:t>
            </w:r>
            <w:r>
              <w:rPr>
                <w:rFonts w:hint="default" w:ascii="Times New Roman" w:hAnsi="Times New Roman" w:cs="Times New Roman"/>
                <w:color w:val="auto"/>
                <w:highlight w:val="none"/>
                <w:lang w:val="en-US" w:eastAsia="zh-CN"/>
              </w:rPr>
              <w:t>》（DB44/26-2001）第二时段三级标准</w:t>
            </w:r>
            <w:r>
              <w:rPr>
                <w:rFonts w:hint="eastAsia" w:cs="Times New Roman"/>
                <w:color w:val="auto"/>
                <w:highlight w:val="none"/>
                <w:lang w:val="en-US" w:eastAsia="zh-CN"/>
              </w:rPr>
              <w:t>以及</w:t>
            </w:r>
            <w:r>
              <w:rPr>
                <w:rFonts w:hint="eastAsia" w:cs="Times New Roman"/>
                <w:color w:val="auto"/>
                <w:highlight w:val="none"/>
                <w:lang w:eastAsia="zh-CN"/>
              </w:rPr>
              <w:t>《电镀水污染物排放标准》（DB44/1597-2015）</w:t>
            </w:r>
            <w:r>
              <w:rPr>
                <w:rFonts w:hint="eastAsia" w:cs="Times New Roman"/>
                <w:color w:val="auto"/>
                <w:highlight w:val="none"/>
                <w:lang w:val="en-US" w:eastAsia="zh-CN"/>
              </w:rPr>
              <w:t>表2新建项目水污染物排放限值三</w:t>
            </w:r>
            <w:r>
              <w:rPr>
                <w:rFonts w:hint="default" w:ascii="Times New Roman" w:hAnsi="Times New Roman" w:cs="Times New Roman"/>
                <w:color w:val="auto"/>
                <w:highlight w:val="none"/>
                <w:lang w:val="en-US" w:eastAsia="zh-CN"/>
              </w:rPr>
              <w:t>者较严值要求</w:t>
            </w:r>
            <w:r>
              <w:rPr>
                <w:rFonts w:hint="default" w:ascii="Times New Roman" w:hAnsi="Times New Roman" w:cs="Times New Roman"/>
                <w:color w:val="auto"/>
                <w:highlight w:val="none"/>
              </w:rPr>
              <w:t>后</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排入园区污水处理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处理。</w:t>
            </w:r>
          </w:p>
          <w:p w14:paraId="1851D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园区</w:t>
            </w:r>
            <w:r>
              <w:rPr>
                <w:rFonts w:hint="default" w:ascii="Times New Roman" w:hAnsi="Times New Roman" w:cs="Times New Roman"/>
                <w:color w:val="auto"/>
                <w:highlight w:val="none"/>
                <w:lang w:eastAsia="zh-CN"/>
              </w:rPr>
              <w:t>污水</w:t>
            </w:r>
            <w:r>
              <w:rPr>
                <w:rFonts w:hint="default" w:ascii="Times New Roman" w:hAnsi="Times New Roman" w:cs="Times New Roman"/>
                <w:color w:val="auto"/>
                <w:highlight w:val="none"/>
              </w:rPr>
              <w:t>处理</w:t>
            </w:r>
            <w:r>
              <w:rPr>
                <w:rFonts w:hint="default" w:ascii="Times New Roman" w:hAnsi="Times New Roman" w:cs="Times New Roman"/>
                <w:color w:val="auto"/>
                <w:highlight w:val="none"/>
                <w:lang w:val="en-US" w:eastAsia="zh-CN"/>
              </w:rPr>
              <w:t>厂</w:t>
            </w:r>
            <w:r>
              <w:rPr>
                <w:rFonts w:hint="default" w:ascii="Times New Roman" w:hAnsi="Times New Roman" w:cs="Times New Roman"/>
                <w:color w:val="auto"/>
                <w:highlight w:val="none"/>
              </w:rPr>
              <w:t>出水水质标准执行广东省《</w:t>
            </w:r>
            <w:r>
              <w:rPr>
                <w:rFonts w:hint="eastAsia"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w:t>
            </w:r>
            <w:r>
              <w:rPr>
                <w:rFonts w:hint="default" w:ascii="Times New Roman" w:hAnsi="Times New Roman" w:cs="Times New Roman"/>
                <w:color w:val="auto"/>
                <w:highlight w:val="none"/>
                <w:lang w:val="zh-CN"/>
              </w:rPr>
              <w:t>相关排放标准情况</w:t>
            </w:r>
            <w:r>
              <w:rPr>
                <w:rFonts w:hint="default" w:ascii="Times New Roman" w:hAnsi="Times New Roman" w:cs="Times New Roman"/>
                <w:color w:val="auto"/>
                <w:highlight w:val="none"/>
              </w:rPr>
              <w:t>见下表：</w:t>
            </w:r>
          </w:p>
          <w:p w14:paraId="5B174AFE">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cs="Times New Roman"/>
                <w:b/>
                <w:bCs/>
                <w:color w:val="auto"/>
                <w:kern w:val="2"/>
                <w:sz w:val="21"/>
                <w:szCs w:val="21"/>
                <w:highlight w:val="none"/>
                <w:lang w:val="en-US" w:eastAsia="zh-CN" w:bidi="ar-SA"/>
              </w:rPr>
              <w:t>11</w:t>
            </w:r>
            <w:r>
              <w:rPr>
                <w:rFonts w:hint="default" w:ascii="Times New Roman" w:hAnsi="Times New Roman" w:cs="Times New Roman"/>
                <w:b/>
                <w:bCs/>
                <w:color w:val="auto"/>
                <w:sz w:val="21"/>
                <w:szCs w:val="21"/>
                <w:highlight w:val="none"/>
                <w:lang w:val="en-US" w:eastAsia="zh-CN"/>
              </w:rPr>
              <w:t>本项目水污染物排放标准</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单位：</w:t>
            </w:r>
            <w:r>
              <w:rPr>
                <w:rFonts w:hint="default" w:ascii="Times New Roman" w:hAnsi="Times New Roman" w:cs="Times New Roman"/>
                <w:b/>
                <w:bCs/>
                <w:color w:val="auto"/>
                <w:sz w:val="21"/>
                <w:szCs w:val="21"/>
                <w:highlight w:val="none"/>
              </w:rPr>
              <w:t>mg/L，pH为无量纲</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72"/>
              <w:gridCol w:w="861"/>
              <w:gridCol w:w="572"/>
              <w:gridCol w:w="684"/>
              <w:gridCol w:w="496"/>
              <w:gridCol w:w="592"/>
              <w:gridCol w:w="581"/>
              <w:gridCol w:w="782"/>
              <w:gridCol w:w="782"/>
              <w:gridCol w:w="592"/>
            </w:tblGrid>
            <w:tr w14:paraId="2B95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1775" w:type="pct"/>
                  <w:tcBorders>
                    <w:tl2br w:val="nil"/>
                    <w:tr2bl w:val="nil"/>
                  </w:tcBorders>
                  <w:noWrap/>
                  <w:tcMar>
                    <w:left w:w="0" w:type="dxa"/>
                    <w:right w:w="0" w:type="dxa"/>
                  </w:tcMar>
                  <w:vAlign w:val="center"/>
                </w:tcPr>
                <w:p w14:paraId="56FAC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467" w:type="pct"/>
                  <w:tcBorders>
                    <w:tl2br w:val="nil"/>
                    <w:tr2bl w:val="nil"/>
                  </w:tcBorders>
                  <w:noWrap/>
                  <w:tcMar>
                    <w:left w:w="0" w:type="dxa"/>
                    <w:right w:w="0" w:type="dxa"/>
                  </w:tcMar>
                  <w:vAlign w:val="center"/>
                </w:tcPr>
                <w:p w14:paraId="733EB0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310" w:type="pct"/>
                  <w:tcBorders>
                    <w:tl2br w:val="nil"/>
                    <w:tr2bl w:val="nil"/>
                  </w:tcBorders>
                  <w:noWrap/>
                  <w:tcMar>
                    <w:left w:w="0" w:type="dxa"/>
                    <w:right w:w="0" w:type="dxa"/>
                  </w:tcMar>
                  <w:vAlign w:val="center"/>
                </w:tcPr>
                <w:p w14:paraId="237DA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371" w:type="pct"/>
                  <w:tcBorders>
                    <w:tl2br w:val="nil"/>
                    <w:tr2bl w:val="nil"/>
                  </w:tcBorders>
                  <w:noWrap/>
                  <w:vAlign w:val="center"/>
                </w:tcPr>
                <w:p w14:paraId="1BB389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269" w:type="pct"/>
                  <w:tcBorders>
                    <w:tl2br w:val="nil"/>
                    <w:tr2bl w:val="nil"/>
                  </w:tcBorders>
                  <w:noWrap/>
                  <w:vAlign w:val="center"/>
                </w:tcPr>
                <w:p w14:paraId="28C8C5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321" w:type="pct"/>
                  <w:tcBorders>
                    <w:tl2br w:val="nil"/>
                    <w:tr2bl w:val="nil"/>
                  </w:tcBorders>
                  <w:noWrap/>
                  <w:vAlign w:val="center"/>
                </w:tcPr>
                <w:p w14:paraId="184A6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315" w:type="pct"/>
                  <w:tcBorders>
                    <w:tl2br w:val="nil"/>
                    <w:tr2bl w:val="nil"/>
                  </w:tcBorders>
                  <w:noWrap/>
                  <w:vAlign w:val="center"/>
                </w:tcPr>
                <w:p w14:paraId="148A5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LAS</w:t>
                  </w:r>
                </w:p>
              </w:tc>
              <w:tc>
                <w:tcPr>
                  <w:tcW w:w="424" w:type="pct"/>
                  <w:tcBorders>
                    <w:tl2br w:val="nil"/>
                    <w:tr2bl w:val="nil"/>
                  </w:tcBorders>
                  <w:noWrap/>
                  <w:vAlign w:val="center"/>
                </w:tcPr>
                <w:p w14:paraId="2DA739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氟化物</w:t>
                  </w:r>
                </w:p>
              </w:tc>
              <w:tc>
                <w:tcPr>
                  <w:tcW w:w="424" w:type="pct"/>
                  <w:tcBorders>
                    <w:tl2br w:val="nil"/>
                    <w:tr2bl w:val="nil"/>
                  </w:tcBorders>
                  <w:noWrap/>
                  <w:vAlign w:val="center"/>
                </w:tcPr>
                <w:p w14:paraId="4FFE2F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石油类</w:t>
                  </w:r>
                </w:p>
              </w:tc>
              <w:tc>
                <w:tcPr>
                  <w:tcW w:w="321" w:type="pct"/>
                  <w:tcBorders>
                    <w:tl2br w:val="nil"/>
                    <w:tr2bl w:val="nil"/>
                  </w:tcBorders>
                  <w:noWrap/>
                  <w:vAlign w:val="center"/>
                </w:tcPr>
                <w:p w14:paraId="660F50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总磷</w:t>
                  </w:r>
                </w:p>
              </w:tc>
            </w:tr>
            <w:tr w14:paraId="36A71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6F2698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园区污水处理厂接管水质要求</w:t>
                  </w:r>
                </w:p>
              </w:tc>
              <w:tc>
                <w:tcPr>
                  <w:tcW w:w="467" w:type="pct"/>
                  <w:tcBorders>
                    <w:tl2br w:val="nil"/>
                    <w:tr2bl w:val="nil"/>
                  </w:tcBorders>
                  <w:noWrap/>
                  <w:tcMar>
                    <w:left w:w="0" w:type="dxa"/>
                    <w:right w:w="0" w:type="dxa"/>
                  </w:tcMar>
                  <w:vAlign w:val="center"/>
                </w:tcPr>
                <w:p w14:paraId="6B28F4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4E780F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371" w:type="pct"/>
                  <w:tcBorders>
                    <w:tl2br w:val="nil"/>
                    <w:tr2bl w:val="nil"/>
                  </w:tcBorders>
                  <w:noWrap/>
                  <w:vAlign w:val="center"/>
                </w:tcPr>
                <w:p w14:paraId="0BB7C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269" w:type="pct"/>
                  <w:tcBorders>
                    <w:tl2br w:val="nil"/>
                    <w:tr2bl w:val="nil"/>
                  </w:tcBorders>
                  <w:noWrap/>
                  <w:vAlign w:val="center"/>
                </w:tcPr>
                <w:p w14:paraId="0A268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321" w:type="pct"/>
                  <w:tcBorders>
                    <w:tl2br w:val="nil"/>
                    <w:tr2bl w:val="nil"/>
                  </w:tcBorders>
                  <w:noWrap/>
                  <w:vAlign w:val="center"/>
                </w:tcPr>
                <w:p w14:paraId="682DB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315" w:type="pct"/>
                  <w:tcBorders>
                    <w:tl2br w:val="nil"/>
                    <w:tr2bl w:val="nil"/>
                  </w:tcBorders>
                  <w:noWrap/>
                  <w:vAlign w:val="center"/>
                </w:tcPr>
                <w:p w14:paraId="37A65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24" w:type="pct"/>
                  <w:tcBorders>
                    <w:tl2br w:val="nil"/>
                    <w:tr2bl w:val="nil"/>
                  </w:tcBorders>
                  <w:noWrap/>
                  <w:vAlign w:val="center"/>
                </w:tcPr>
                <w:p w14:paraId="0C60F0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24" w:type="pct"/>
                  <w:tcBorders>
                    <w:tl2br w:val="nil"/>
                    <w:tr2bl w:val="nil"/>
                  </w:tcBorders>
                  <w:noWrap/>
                  <w:vAlign w:val="center"/>
                </w:tcPr>
                <w:p w14:paraId="59701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21" w:type="pct"/>
                  <w:tcBorders>
                    <w:tl2br w:val="nil"/>
                    <w:tr2bl w:val="nil"/>
                  </w:tcBorders>
                  <w:noWrap/>
                  <w:vAlign w:val="center"/>
                </w:tcPr>
                <w:p w14:paraId="5818A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p>
              </w:tc>
            </w:tr>
            <w:tr w14:paraId="58760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401DD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DB44/26-2001第二时段三级标准</w:t>
                  </w:r>
                </w:p>
              </w:tc>
              <w:tc>
                <w:tcPr>
                  <w:tcW w:w="467" w:type="pct"/>
                  <w:tcBorders>
                    <w:tl2br w:val="nil"/>
                    <w:tr2bl w:val="nil"/>
                  </w:tcBorders>
                  <w:noWrap/>
                  <w:tcMar>
                    <w:left w:w="0" w:type="dxa"/>
                    <w:right w:w="0" w:type="dxa"/>
                  </w:tcMar>
                  <w:vAlign w:val="center"/>
                </w:tcPr>
                <w:p w14:paraId="7B2BF6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5DE4B9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371" w:type="pct"/>
                  <w:tcBorders>
                    <w:tl2br w:val="nil"/>
                    <w:tr2bl w:val="nil"/>
                  </w:tcBorders>
                  <w:noWrap/>
                  <w:vAlign w:val="center"/>
                </w:tcPr>
                <w:p w14:paraId="39DA56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269" w:type="pct"/>
                  <w:tcBorders>
                    <w:tl2br w:val="nil"/>
                    <w:tr2bl w:val="nil"/>
                  </w:tcBorders>
                  <w:noWrap/>
                  <w:vAlign w:val="center"/>
                </w:tcPr>
                <w:p w14:paraId="14ED6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321" w:type="pct"/>
                  <w:tcBorders>
                    <w:tl2br w:val="nil"/>
                    <w:tr2bl w:val="nil"/>
                  </w:tcBorders>
                  <w:noWrap/>
                  <w:vAlign w:val="center"/>
                </w:tcPr>
                <w:p w14:paraId="537C6A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15" w:type="pct"/>
                  <w:tcBorders>
                    <w:tl2br w:val="nil"/>
                    <w:tr2bl w:val="nil"/>
                  </w:tcBorders>
                  <w:noWrap/>
                  <w:vAlign w:val="center"/>
                </w:tcPr>
                <w:p w14:paraId="61F1AA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13039C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7DAA7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321" w:type="pct"/>
                  <w:tcBorders>
                    <w:tl2br w:val="nil"/>
                    <w:tr2bl w:val="nil"/>
                  </w:tcBorders>
                  <w:noWrap/>
                  <w:vAlign w:val="center"/>
                </w:tcPr>
                <w:p w14:paraId="768C2B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D2F4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8" w:hRule="atLeast"/>
                <w:jc w:val="center"/>
              </w:trPr>
              <w:tc>
                <w:tcPr>
                  <w:tcW w:w="1775" w:type="pct"/>
                  <w:tcBorders>
                    <w:tl2br w:val="nil"/>
                    <w:tr2bl w:val="nil"/>
                  </w:tcBorders>
                  <w:noWrap/>
                  <w:tcMar>
                    <w:left w:w="0" w:type="dxa"/>
                    <w:right w:w="0" w:type="dxa"/>
                  </w:tcMar>
                  <w:vAlign w:val="center"/>
                </w:tcPr>
                <w:p w14:paraId="39853B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eastAsia="zh-CN"/>
                    </w:rPr>
                    <w:t>DB44/1597-2015</w:t>
                  </w:r>
                  <w:r>
                    <w:rPr>
                      <w:rFonts w:hint="eastAsia" w:cs="Times New Roman"/>
                      <w:color w:val="auto"/>
                      <w:sz w:val="21"/>
                      <w:szCs w:val="21"/>
                      <w:highlight w:val="none"/>
                      <w:lang w:val="en-US" w:eastAsia="zh-CN"/>
                    </w:rPr>
                    <w:t xml:space="preserve"> 表2新建项目水污染排放限值-非珠三角</w:t>
                  </w:r>
                </w:p>
              </w:tc>
              <w:tc>
                <w:tcPr>
                  <w:tcW w:w="467" w:type="pct"/>
                  <w:tcBorders>
                    <w:tl2br w:val="nil"/>
                    <w:tr2bl w:val="nil"/>
                  </w:tcBorders>
                  <w:noWrap/>
                  <w:tcMar>
                    <w:left w:w="0" w:type="dxa"/>
                    <w:right w:w="0" w:type="dxa"/>
                  </w:tcMar>
                  <w:vAlign w:val="center"/>
                </w:tcPr>
                <w:p w14:paraId="1571B1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6015C9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71" w:type="pct"/>
                  <w:tcBorders>
                    <w:tl2br w:val="nil"/>
                    <w:tr2bl w:val="nil"/>
                  </w:tcBorders>
                  <w:noWrap/>
                  <w:vAlign w:val="center"/>
                </w:tcPr>
                <w:p w14:paraId="26504F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69" w:type="pct"/>
                  <w:tcBorders>
                    <w:tl2br w:val="nil"/>
                    <w:tr2bl w:val="nil"/>
                  </w:tcBorders>
                  <w:noWrap/>
                  <w:vAlign w:val="center"/>
                </w:tcPr>
                <w:p w14:paraId="1190A4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321" w:type="pct"/>
                  <w:tcBorders>
                    <w:tl2br w:val="nil"/>
                    <w:tr2bl w:val="nil"/>
                  </w:tcBorders>
                  <w:noWrap/>
                  <w:vAlign w:val="center"/>
                </w:tcPr>
                <w:p w14:paraId="2814A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15" w:type="pct"/>
                  <w:tcBorders>
                    <w:tl2br w:val="nil"/>
                    <w:tr2bl w:val="nil"/>
                  </w:tcBorders>
                  <w:noWrap/>
                  <w:vAlign w:val="center"/>
                </w:tcPr>
                <w:p w14:paraId="6031BD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4" w:type="pct"/>
                  <w:tcBorders>
                    <w:tl2br w:val="nil"/>
                    <w:tr2bl w:val="nil"/>
                  </w:tcBorders>
                  <w:noWrap/>
                  <w:vAlign w:val="center"/>
                </w:tcPr>
                <w:p w14:paraId="73C34F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424" w:type="pct"/>
                  <w:tcBorders>
                    <w:tl2br w:val="nil"/>
                    <w:tr2bl w:val="nil"/>
                  </w:tcBorders>
                  <w:noWrap/>
                  <w:vAlign w:val="center"/>
                </w:tcPr>
                <w:p w14:paraId="61ED2F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1" w:type="pct"/>
                  <w:tcBorders>
                    <w:tl2br w:val="nil"/>
                    <w:tr2bl w:val="nil"/>
                  </w:tcBorders>
                  <w:noWrap/>
                  <w:vAlign w:val="center"/>
                </w:tcPr>
                <w:p w14:paraId="7EDA3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5CDB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1775" w:type="pct"/>
                  <w:tcBorders>
                    <w:tl2br w:val="nil"/>
                    <w:tr2bl w:val="nil"/>
                  </w:tcBorders>
                  <w:noWrap/>
                  <w:tcMar>
                    <w:left w:w="0" w:type="dxa"/>
                    <w:right w:w="0" w:type="dxa"/>
                  </w:tcMar>
                  <w:vAlign w:val="center"/>
                </w:tcPr>
                <w:p w14:paraId="31A100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执行限值</w:t>
                  </w:r>
                </w:p>
              </w:tc>
              <w:tc>
                <w:tcPr>
                  <w:tcW w:w="467" w:type="pct"/>
                  <w:tcBorders>
                    <w:tl2br w:val="nil"/>
                    <w:tr2bl w:val="nil"/>
                  </w:tcBorders>
                  <w:noWrap/>
                  <w:tcMar>
                    <w:left w:w="0" w:type="dxa"/>
                    <w:right w:w="0" w:type="dxa"/>
                  </w:tcMar>
                  <w:vAlign w:val="center"/>
                </w:tcPr>
                <w:p w14:paraId="6753A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310" w:type="pct"/>
                  <w:tcBorders>
                    <w:tl2br w:val="nil"/>
                    <w:tr2bl w:val="nil"/>
                  </w:tcBorders>
                  <w:noWrap/>
                  <w:tcMar>
                    <w:left w:w="0" w:type="dxa"/>
                    <w:right w:w="0" w:type="dxa"/>
                  </w:tcMar>
                  <w:vAlign w:val="center"/>
                </w:tcPr>
                <w:p w14:paraId="05227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71" w:type="pct"/>
                  <w:tcBorders>
                    <w:tl2br w:val="nil"/>
                    <w:tr2bl w:val="nil"/>
                  </w:tcBorders>
                  <w:noWrap/>
                  <w:vAlign w:val="center"/>
                </w:tcPr>
                <w:p w14:paraId="46BA3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269" w:type="pct"/>
                  <w:tcBorders>
                    <w:tl2br w:val="nil"/>
                    <w:tr2bl w:val="nil"/>
                  </w:tcBorders>
                  <w:noWrap/>
                  <w:vAlign w:val="center"/>
                </w:tcPr>
                <w:p w14:paraId="62FD6D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321" w:type="pct"/>
                  <w:tcBorders>
                    <w:tl2br w:val="nil"/>
                    <w:tr2bl w:val="nil"/>
                  </w:tcBorders>
                  <w:noWrap/>
                  <w:vAlign w:val="center"/>
                </w:tcPr>
                <w:p w14:paraId="49137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15" w:type="pct"/>
                  <w:tcBorders>
                    <w:tl2br w:val="nil"/>
                    <w:tr2bl w:val="nil"/>
                  </w:tcBorders>
                  <w:noWrap/>
                  <w:vAlign w:val="center"/>
                </w:tcPr>
                <w:p w14:paraId="5178C7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24" w:type="pct"/>
                  <w:tcBorders>
                    <w:tl2br w:val="nil"/>
                    <w:tr2bl w:val="nil"/>
                  </w:tcBorders>
                  <w:noWrap/>
                  <w:vAlign w:val="center"/>
                </w:tcPr>
                <w:p w14:paraId="1FFE5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424" w:type="pct"/>
                  <w:tcBorders>
                    <w:tl2br w:val="nil"/>
                    <w:tr2bl w:val="nil"/>
                  </w:tcBorders>
                  <w:noWrap/>
                  <w:vAlign w:val="center"/>
                </w:tcPr>
                <w:p w14:paraId="25BD27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21" w:type="pct"/>
                  <w:tcBorders>
                    <w:tl2br w:val="nil"/>
                    <w:tr2bl w:val="nil"/>
                  </w:tcBorders>
                  <w:noWrap/>
                  <w:vAlign w:val="center"/>
                </w:tcPr>
                <w:p w14:paraId="5CCB2E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018CD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jc w:val="center"/>
              </w:trPr>
              <w:tc>
                <w:tcPr>
                  <w:tcW w:w="5000" w:type="pct"/>
                  <w:gridSpan w:val="10"/>
                  <w:tcBorders>
                    <w:tl2br w:val="nil"/>
                    <w:tr2bl w:val="nil"/>
                  </w:tcBorders>
                  <w:noWrap/>
                  <w:tcMar>
                    <w:left w:w="0" w:type="dxa"/>
                    <w:right w:w="0" w:type="dxa"/>
                  </w:tcMar>
                  <w:vAlign w:val="center"/>
                </w:tcPr>
                <w:p w14:paraId="7D0084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eastAsia" w:cs="Times New Roman"/>
                      <w:color w:val="auto"/>
                      <w:sz w:val="21"/>
                      <w:szCs w:val="21"/>
                      <w:highlight w:val="none"/>
                      <w:lang w:val="en-US" w:eastAsia="zh-CN"/>
                    </w:rPr>
                  </w:pPr>
                </w:p>
              </w:tc>
            </w:tr>
          </w:tbl>
          <w:p w14:paraId="417AF224">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 xml:space="preserve">2 </w:t>
            </w:r>
            <w:r>
              <w:rPr>
                <w:rFonts w:hint="default" w:ascii="Times New Roman" w:hAnsi="Times New Roman" w:cs="Times New Roman"/>
                <w:b/>
                <w:bCs/>
                <w:color w:val="auto"/>
                <w:sz w:val="21"/>
                <w:szCs w:val="21"/>
                <w:highlight w:val="none"/>
              </w:rPr>
              <w:t>园区污水处理厂水污染物排放限值（摘录）</w:t>
            </w:r>
            <w:r>
              <w:rPr>
                <w:rFonts w:hint="eastAsia" w:cs="Times New Roman"/>
                <w:b/>
                <w:bCs/>
                <w:color w:val="auto"/>
                <w:sz w:val="21"/>
                <w:szCs w:val="21"/>
                <w:highlight w:val="none"/>
                <w:lang w:val="en-US" w:eastAsia="zh-CN"/>
              </w:rPr>
              <w:t xml:space="preserve"> 单位：</w:t>
            </w:r>
            <w:r>
              <w:rPr>
                <w:rFonts w:hint="default" w:ascii="Times New Roman" w:hAnsi="Times New Roman" w:cs="Times New Roman"/>
                <w:b/>
                <w:bCs/>
                <w:color w:val="auto"/>
                <w:sz w:val="21"/>
                <w:szCs w:val="21"/>
                <w:highlight w:val="none"/>
              </w:rPr>
              <w:t>mg/L</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pH为无量纲</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990"/>
              <w:gridCol w:w="809"/>
              <w:gridCol w:w="772"/>
              <w:gridCol w:w="1080"/>
              <w:gridCol w:w="1769"/>
              <w:gridCol w:w="1346"/>
            </w:tblGrid>
            <w:tr w14:paraId="61E46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1328" w:type="pct"/>
                  <w:tcBorders>
                    <w:bottom w:val="single" w:color="auto" w:sz="4" w:space="0"/>
                    <w:tl2br w:val="nil"/>
                    <w:tr2bl w:val="nil"/>
                  </w:tcBorders>
                  <w:noWrap/>
                  <w:tcMar>
                    <w:left w:w="0" w:type="dxa"/>
                    <w:right w:w="0" w:type="dxa"/>
                  </w:tcMar>
                  <w:vAlign w:val="center"/>
                </w:tcPr>
                <w:p w14:paraId="6D66C8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bottom w:val="single" w:color="auto" w:sz="4" w:space="0"/>
                    <w:tl2br w:val="nil"/>
                    <w:tr2bl w:val="nil"/>
                  </w:tcBorders>
                  <w:noWrap/>
                  <w:tcMar>
                    <w:left w:w="0" w:type="dxa"/>
                    <w:right w:w="0" w:type="dxa"/>
                  </w:tcMar>
                  <w:vAlign w:val="center"/>
                </w:tcPr>
                <w:p w14:paraId="08C04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439" w:type="pct"/>
                  <w:tcBorders>
                    <w:bottom w:val="single" w:color="auto" w:sz="4" w:space="0"/>
                    <w:tl2br w:val="nil"/>
                    <w:tr2bl w:val="nil"/>
                  </w:tcBorders>
                  <w:noWrap/>
                  <w:vAlign w:val="center"/>
                </w:tcPr>
                <w:p w14:paraId="35F3F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19" w:type="pct"/>
                  <w:tcBorders>
                    <w:bottom w:val="single" w:color="auto" w:sz="4" w:space="0"/>
                    <w:tl2br w:val="nil"/>
                    <w:tr2bl w:val="nil"/>
                  </w:tcBorders>
                  <w:noWrap/>
                  <w:vAlign w:val="center"/>
                </w:tcPr>
                <w:p w14:paraId="2070B4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586" w:type="pct"/>
                  <w:tcBorders>
                    <w:bottom w:val="single" w:color="auto" w:sz="4" w:space="0"/>
                    <w:tl2br w:val="nil"/>
                    <w:tr2bl w:val="nil"/>
                  </w:tcBorders>
                  <w:noWrap/>
                  <w:vAlign w:val="center"/>
                </w:tcPr>
                <w:p w14:paraId="450803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960" w:type="pct"/>
                  <w:tcBorders>
                    <w:bottom w:val="single" w:color="auto" w:sz="4" w:space="0"/>
                    <w:tl2br w:val="nil"/>
                    <w:tr2bl w:val="nil"/>
                  </w:tcBorders>
                  <w:noWrap/>
                  <w:vAlign w:val="center"/>
                </w:tcPr>
                <w:p w14:paraId="14A96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阴离子表面活性剂</w:t>
                  </w:r>
                </w:p>
              </w:tc>
              <w:tc>
                <w:tcPr>
                  <w:tcW w:w="728" w:type="pct"/>
                  <w:tcBorders>
                    <w:bottom w:val="single" w:color="auto" w:sz="4" w:space="0"/>
                    <w:tl2br w:val="nil"/>
                    <w:tr2bl w:val="nil"/>
                  </w:tcBorders>
                  <w:noWrap/>
                  <w:vAlign w:val="center"/>
                </w:tcPr>
                <w:p w14:paraId="07E42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动植物油</w:t>
                  </w:r>
                </w:p>
              </w:tc>
            </w:tr>
            <w:tr w14:paraId="26E26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690397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4B976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2EF69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FAAF0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268835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69BA1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A42E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731E8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B837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A685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392525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1246E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8A5D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8(15①)</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23C83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1D3AEC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618B3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0854C7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6872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683AE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40299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6BC43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15C02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24DD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r>
            <w:tr w14:paraId="7304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467CC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4FAF4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总氮</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00755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总磷</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52144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3D247C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石油类</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7BF4A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色度（稀释倍数）</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6005C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14:paraId="64A95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2399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398FCA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400CF7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42637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50F29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F16A6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240A4E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50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5A5F8B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GB18918-2002一级B标准</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26515D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5D263F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627EC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755DAA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E7275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CAF82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62551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6D913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537"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7C816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39" w:type="pct"/>
                  <w:tcBorders>
                    <w:top w:val="single" w:color="auto" w:sz="4" w:space="0"/>
                    <w:left w:val="single" w:color="auto" w:sz="4" w:space="0"/>
                    <w:bottom w:val="single" w:color="auto" w:sz="4" w:space="0"/>
                    <w:right w:val="single" w:color="auto" w:sz="4" w:space="0"/>
                    <w:tl2br w:val="nil"/>
                    <w:tr2bl w:val="nil"/>
                  </w:tcBorders>
                  <w:noWrap/>
                  <w:vAlign w:val="center"/>
                </w:tcPr>
                <w:p w14:paraId="7E63DC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19" w:type="pct"/>
                  <w:tcBorders>
                    <w:top w:val="single" w:color="auto" w:sz="4" w:space="0"/>
                    <w:left w:val="single" w:color="auto" w:sz="4" w:space="0"/>
                    <w:bottom w:val="single" w:color="auto" w:sz="4" w:space="0"/>
                    <w:right w:val="single" w:color="auto" w:sz="4" w:space="0"/>
                    <w:tl2br w:val="nil"/>
                    <w:tr2bl w:val="nil"/>
                  </w:tcBorders>
                  <w:noWrap/>
                  <w:vAlign w:val="center"/>
                </w:tcPr>
                <w:p w14:paraId="7F5495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586" w:type="pct"/>
                  <w:tcBorders>
                    <w:top w:val="single" w:color="auto" w:sz="4" w:space="0"/>
                    <w:left w:val="single" w:color="auto" w:sz="4" w:space="0"/>
                    <w:bottom w:val="single" w:color="auto" w:sz="4" w:space="0"/>
                    <w:right w:val="single" w:color="auto" w:sz="4" w:space="0"/>
                    <w:tl2br w:val="nil"/>
                    <w:tr2bl w:val="nil"/>
                  </w:tcBorders>
                  <w:noWrap/>
                  <w:vAlign w:val="center"/>
                </w:tcPr>
                <w:p w14:paraId="6A6B38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960" w:type="pct"/>
                  <w:tcBorders>
                    <w:top w:val="single" w:color="auto" w:sz="4" w:space="0"/>
                    <w:left w:val="single" w:color="auto" w:sz="4" w:space="0"/>
                    <w:bottom w:val="single" w:color="auto" w:sz="4" w:space="0"/>
                    <w:right w:val="single" w:color="auto" w:sz="4" w:space="0"/>
                    <w:tl2br w:val="nil"/>
                    <w:tr2bl w:val="nil"/>
                  </w:tcBorders>
                  <w:noWrap/>
                  <w:vAlign w:val="center"/>
                </w:tcPr>
                <w:p w14:paraId="1992C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28" w:type="pct"/>
                  <w:tcBorders>
                    <w:top w:val="single" w:color="auto" w:sz="4" w:space="0"/>
                    <w:left w:val="single" w:color="auto" w:sz="4" w:space="0"/>
                    <w:bottom w:val="single" w:color="auto" w:sz="4" w:space="0"/>
                    <w:right w:val="single" w:color="auto" w:sz="4" w:space="0"/>
                    <w:tl2br w:val="nil"/>
                    <w:tr2bl w:val="nil"/>
                  </w:tcBorders>
                  <w:noWrap/>
                  <w:vAlign w:val="center"/>
                </w:tcPr>
                <w:p w14:paraId="43E9C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10000个/L</w:t>
                  </w:r>
                </w:p>
              </w:tc>
            </w:tr>
            <w:tr w14:paraId="55B49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 w:hRule="atLeast"/>
                <w:jc w:val="center"/>
              </w:trPr>
              <w:tc>
                <w:tcPr>
                  <w:tcW w:w="1328" w:type="pct"/>
                  <w:tcBorders>
                    <w:top w:val="single" w:color="auto" w:sz="4" w:space="0"/>
                    <w:left w:val="single" w:color="auto" w:sz="4" w:space="0"/>
                    <w:bottom w:val="single" w:color="auto" w:sz="4" w:space="0"/>
                    <w:right w:val="single" w:color="auto" w:sz="4" w:space="0"/>
                    <w:tl2br w:val="nil"/>
                    <w:tr2bl w:val="nil"/>
                  </w:tcBorders>
                  <w:noWrap/>
                  <w:tcMar>
                    <w:left w:w="0" w:type="dxa"/>
                    <w:right w:w="0" w:type="dxa"/>
                  </w:tcMar>
                  <w:vAlign w:val="center"/>
                </w:tcPr>
                <w:p w14:paraId="4036BD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671" w:type="pct"/>
                  <w:gridSpan w:val="6"/>
                  <w:tcBorders>
                    <w:top w:val="single" w:color="auto" w:sz="4" w:space="0"/>
                    <w:left w:val="single" w:color="auto" w:sz="4" w:space="0"/>
                    <w:bottom w:val="single" w:color="auto" w:sz="4" w:space="0"/>
                    <w:right w:val="single" w:color="auto" w:sz="4" w:space="0"/>
                    <w:tl2br w:val="nil"/>
                    <w:tr2bl w:val="nil"/>
                  </w:tcBorders>
                  <w:noWrap/>
                  <w:vAlign w:val="center"/>
                </w:tcPr>
                <w:p w14:paraId="25DBDD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ja-JP"/>
                    </w:rPr>
                    <w:t>①</w:t>
                  </w:r>
                  <w:r>
                    <w:rPr>
                      <w:rFonts w:hint="default" w:ascii="Times New Roman" w:hAnsi="Times New Roman" w:cs="Times New Roman"/>
                      <w:color w:val="auto"/>
                      <w:sz w:val="21"/>
                      <w:szCs w:val="21"/>
                      <w:highlight w:val="none"/>
                    </w:rPr>
                    <w:t>括号内为水温&lt;12℃时的限值，括号外为水温在12℃以上的限值</w:t>
                  </w:r>
                </w:p>
              </w:tc>
            </w:tr>
          </w:tbl>
          <w:p w14:paraId="77AC4C0C">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三、噪声排放标准</w:t>
            </w:r>
          </w:p>
          <w:p w14:paraId="05F24491">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施工期</w:t>
            </w:r>
          </w:p>
          <w:p w14:paraId="5C9CF05E">
            <w:pPr>
              <w:keepNext w:val="0"/>
              <w:keepLines w:val="0"/>
              <w:suppressLineNumbers w:val="0"/>
              <w:wordWrap w:val="0"/>
              <w:spacing w:before="0" w:beforeAutospacing="0" w:after="0" w:afterAutospacing="0"/>
              <w:ind w:left="0" w:right="0" w:firstLine="480" w:firstLineChars="200"/>
              <w:jc w:val="left"/>
              <w:rPr>
                <w:rFonts w:hint="eastAsia" w:eastAsia="宋体" w:cs="Times New Roman"/>
                <w:color w:val="auto"/>
                <w:highlight w:val="none"/>
                <w:lang w:eastAsia="zh-CN"/>
              </w:rPr>
            </w:pPr>
            <w:r>
              <w:rPr>
                <w:rFonts w:hint="default" w:ascii="Times New Roman" w:hAnsi="Times New Roman" w:eastAsia="宋体" w:cs="Times New Roman"/>
                <w:color w:val="auto"/>
                <w:sz w:val="24"/>
                <w:highlight w:val="none"/>
              </w:rPr>
              <w:t>施工期项目边界噪声执行《建筑施工场界环境噪声排放标准》（GB12523-2011）（昼间≤70dB，夜间≤55dB）</w:t>
            </w:r>
            <w:r>
              <w:rPr>
                <w:rFonts w:hint="eastAsia" w:ascii="Times New Roman" w:hAnsi="Times New Roman" w:eastAsia="宋体" w:cs="Times New Roman"/>
                <w:color w:val="auto"/>
                <w:sz w:val="24"/>
                <w:highlight w:val="none"/>
                <w:lang w:eastAsia="zh-CN"/>
              </w:rPr>
              <w:t>。</w:t>
            </w:r>
          </w:p>
          <w:p w14:paraId="3A2B3225">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运营期</w:t>
            </w:r>
          </w:p>
          <w:p w14:paraId="22E05AD0">
            <w:pPr>
              <w:keepNext w:val="0"/>
              <w:keepLines w:val="0"/>
              <w:suppressLineNumbers w:val="0"/>
              <w:wordWrap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本项目厂界噪声排放执行《工业企业厂界环境噪声排放标准》（GB12348-2008）3类标准。</w:t>
            </w:r>
          </w:p>
          <w:p w14:paraId="47291766">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表3-1</w:t>
            </w:r>
            <w:r>
              <w:rPr>
                <w:rFonts w:hint="eastAsia" w:cs="Times New Roman"/>
                <w:b/>
                <w:bCs/>
                <w:color w:val="auto"/>
                <w:kern w:val="2"/>
                <w:sz w:val="21"/>
                <w:szCs w:val="21"/>
                <w:highlight w:val="none"/>
                <w:lang w:val="en-US" w:eastAsia="zh-CN" w:bidi="ar-SA"/>
              </w:rPr>
              <w:t xml:space="preserve">3 </w:t>
            </w:r>
            <w:r>
              <w:rPr>
                <w:rFonts w:hint="default" w:ascii="Times New Roman" w:hAnsi="Times New Roman" w:cs="Times New Roman"/>
                <w:color w:val="auto"/>
                <w:highlight w:val="none"/>
              </w:rPr>
              <w:t>环境噪声排放标准</w:t>
            </w:r>
          </w:p>
          <w:tbl>
            <w:tblPr>
              <w:tblStyle w:val="38"/>
              <w:tblW w:w="923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09"/>
              <w:gridCol w:w="2309"/>
              <w:gridCol w:w="2309"/>
              <w:gridCol w:w="2311"/>
            </w:tblGrid>
            <w:tr w14:paraId="1DA02B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1249" w:type="pct"/>
                  <w:noWrap/>
                  <w:vAlign w:val="center"/>
                </w:tcPr>
                <w:p w14:paraId="4587310A">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w:t>
                  </w:r>
                </w:p>
              </w:tc>
              <w:tc>
                <w:tcPr>
                  <w:tcW w:w="1249" w:type="pct"/>
                  <w:tcBorders>
                    <w:right w:val="single" w:color="auto" w:sz="4" w:space="0"/>
                  </w:tcBorders>
                  <w:noWrap/>
                  <w:vAlign w:val="center"/>
                </w:tcPr>
                <w:p w14:paraId="7846B0E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昼间</w:t>
                  </w:r>
                </w:p>
              </w:tc>
              <w:tc>
                <w:tcPr>
                  <w:tcW w:w="1249" w:type="pct"/>
                  <w:tcBorders>
                    <w:left w:val="single" w:color="auto" w:sz="4" w:space="0"/>
                  </w:tcBorders>
                  <w:noWrap/>
                  <w:vAlign w:val="center"/>
                </w:tcPr>
                <w:p w14:paraId="0FC62924">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夜间</w:t>
                  </w:r>
                </w:p>
              </w:tc>
              <w:tc>
                <w:tcPr>
                  <w:tcW w:w="1250" w:type="pct"/>
                  <w:tcBorders>
                    <w:left w:val="single" w:color="auto" w:sz="4" w:space="0"/>
                  </w:tcBorders>
                  <w:noWrap/>
                  <w:vAlign w:val="center"/>
                </w:tcPr>
                <w:p w14:paraId="17444B8C">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单位</w:t>
                  </w:r>
                </w:p>
              </w:tc>
            </w:tr>
            <w:tr w14:paraId="5E6C89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7" w:hRule="atLeast"/>
                <w:jc w:val="center"/>
              </w:trPr>
              <w:tc>
                <w:tcPr>
                  <w:tcW w:w="1249" w:type="pct"/>
                  <w:noWrap/>
                  <w:vAlign w:val="center"/>
                </w:tcPr>
                <w:p w14:paraId="3C746C05">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厂界噪声</w:t>
                  </w:r>
                </w:p>
              </w:tc>
              <w:tc>
                <w:tcPr>
                  <w:tcW w:w="1249" w:type="pct"/>
                  <w:noWrap/>
                  <w:vAlign w:val="center"/>
                </w:tcPr>
                <w:p w14:paraId="72E826C8">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65</w:t>
                  </w:r>
                </w:p>
              </w:tc>
              <w:tc>
                <w:tcPr>
                  <w:tcW w:w="1249" w:type="pct"/>
                  <w:noWrap/>
                  <w:vAlign w:val="center"/>
                </w:tcPr>
                <w:p w14:paraId="04431B8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55</w:t>
                  </w:r>
                </w:p>
              </w:tc>
              <w:tc>
                <w:tcPr>
                  <w:tcW w:w="1250" w:type="pct"/>
                  <w:noWrap/>
                  <w:vAlign w:val="center"/>
                </w:tcPr>
                <w:p w14:paraId="19540E7D">
                  <w:pPr>
                    <w:pStyle w:val="56"/>
                    <w:keepNext w:val="0"/>
                    <w:keepLines w:val="0"/>
                    <w:pageBreakBefore w:val="0"/>
                    <w:widowControl/>
                    <w:suppressLineNumbers w:val="0"/>
                    <w:kinsoku/>
                    <w:wordWrap w:val="0"/>
                    <w:overflowPunct/>
                    <w:topLinePunct w:val="0"/>
                    <w:autoSpaceDE w:val="0"/>
                    <w:autoSpaceDN w:val="0"/>
                    <w:bidi w:val="0"/>
                    <w:adjustRightInd/>
                    <w:snapToGrid/>
                    <w:spacing w:before="0" w:beforeAutospacing="0" w:after="0" w:afterAutospacing="0" w:line="276" w:lineRule="auto"/>
                    <w:ind w:left="0" w:right="0"/>
                    <w:textAlignment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dB（A）</w:t>
                  </w:r>
                </w:p>
              </w:tc>
            </w:tr>
          </w:tbl>
          <w:p w14:paraId="38916354">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四、固体废物污染控制标准</w:t>
            </w:r>
          </w:p>
          <w:p w14:paraId="7C796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456"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cs="Times New Roman"/>
                <w:color w:val="auto"/>
                <w:spacing w:val="-6"/>
                <w:highlight w:val="none"/>
                <w:lang w:eastAsia="zh-CN"/>
              </w:rPr>
              <w:t>和《危险废物收集贮存运输技术规范》（HJ2025-2012）</w:t>
            </w:r>
            <w:r>
              <w:rPr>
                <w:rFonts w:hint="default" w:ascii="Times New Roman" w:hAnsi="Times New Roman" w:cs="Times New Roman"/>
                <w:color w:val="auto"/>
                <w:spacing w:val="-6"/>
                <w:highlight w:val="none"/>
              </w:rPr>
              <w:t>。</w:t>
            </w:r>
          </w:p>
        </w:tc>
      </w:tr>
      <w:tr w14:paraId="3E6B1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trPr>
        <w:tc>
          <w:tcPr>
            <w:tcW w:w="262" w:type="pct"/>
            <w:vAlign w:val="center"/>
          </w:tcPr>
          <w:p w14:paraId="13EEBD83">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line="360" w:lineRule="auto"/>
              <w:ind w:left="0" w:right="0"/>
              <w:textAlignment w:val="auto"/>
              <w:outlineLvl w:val="9"/>
              <w:rPr>
                <w:rFonts w:hint="default" w:ascii="Times New Roman" w:hAnsi="Times New Roman" w:cs="Times New Roman"/>
                <w:color w:val="auto"/>
                <w:kern w:val="2"/>
                <w:highlight w:val="none"/>
              </w:rPr>
            </w:pPr>
            <w:bookmarkStart w:id="104" w:name="_Toc8540"/>
            <w:bookmarkStart w:id="105" w:name="_Toc7590"/>
            <w:bookmarkStart w:id="106" w:name="_Toc10891"/>
            <w:bookmarkStart w:id="107" w:name="_Toc31892"/>
            <w:bookmarkStart w:id="108" w:name="_Toc23450"/>
            <w:bookmarkStart w:id="109" w:name="_Toc21080"/>
            <w:bookmarkStart w:id="110" w:name="_Toc6465"/>
            <w:bookmarkStart w:id="111" w:name="_Toc9431"/>
            <w:bookmarkStart w:id="112" w:name="_Toc12454"/>
            <w:bookmarkStart w:id="113" w:name="_Toc18024"/>
            <w:bookmarkStart w:id="114" w:name="_Toc23863"/>
            <w:bookmarkStart w:id="115" w:name="_Toc8863"/>
            <w:bookmarkStart w:id="116" w:name="_Toc14770"/>
            <w:bookmarkStart w:id="117" w:name="_Toc4557"/>
            <w:r>
              <w:rPr>
                <w:rFonts w:hint="default" w:ascii="Times New Roman" w:hAnsi="Times New Roman" w:cs="Times New Roman"/>
                <w:b/>
                <w:bCs/>
                <w:color w:val="auto"/>
                <w:kern w:val="2"/>
                <w:highlight w:val="none"/>
              </w:rPr>
              <w:t>总量控制指标</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tc>
        <w:tc>
          <w:tcPr>
            <w:tcW w:w="4737" w:type="pct"/>
          </w:tcPr>
          <w:p w14:paraId="51A09BF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73308AA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5F5755BD">
            <w:pPr>
              <w:pStyle w:val="18"/>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0"/>
                <w:highlight w:val="none"/>
                <w:lang w:bidi="ar"/>
              </w:rPr>
            </w:pPr>
            <w:r>
              <w:rPr>
                <w:rFonts w:hint="default" w:ascii="Times New Roman" w:hAnsi="Times New Roman" w:cs="Times New Roman"/>
                <w:b/>
                <w:bCs/>
                <w:color w:val="auto"/>
                <w:kern w:val="0"/>
                <w:highlight w:val="none"/>
                <w:lang w:bidi="ar"/>
              </w:rPr>
              <w:t>（1）废水总量控制指标</w:t>
            </w:r>
          </w:p>
          <w:p w14:paraId="65F127A7">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项目生产废水排放量为</w:t>
            </w:r>
            <w:r>
              <w:rPr>
                <w:rFonts w:hint="eastAsia" w:cs="Times New Roman"/>
                <w:color w:val="auto"/>
                <w:highlight w:val="none"/>
                <w:lang w:val="en-US" w:eastAsia="zh-CN"/>
              </w:rPr>
              <w:t>8073.6</w:t>
            </w:r>
            <w:r>
              <w:rPr>
                <w:rFonts w:hint="default" w:ascii="Times New Roman" w:hAnsi="Times New Roman" w:cs="Times New Roman"/>
                <w:color w:val="auto"/>
                <w:highlight w:val="none"/>
              </w:rPr>
              <w:t>t/a，生活污水排放量为</w:t>
            </w:r>
            <w:r>
              <w:rPr>
                <w:rFonts w:hint="eastAsia" w:cs="Times New Roman"/>
                <w:color w:val="auto"/>
                <w:highlight w:val="none"/>
                <w:lang w:val="en-US" w:eastAsia="zh-CN"/>
              </w:rPr>
              <w:t>2025</w:t>
            </w:r>
            <w:r>
              <w:rPr>
                <w:rFonts w:hint="default" w:ascii="Times New Roman" w:hAnsi="Times New Roman" w:cs="Times New Roman"/>
                <w:color w:val="auto"/>
                <w:highlight w:val="none"/>
              </w:rPr>
              <w:t>t/a，</w:t>
            </w:r>
            <w:r>
              <w:rPr>
                <w:rFonts w:hint="eastAsia" w:cs="Times New Roman"/>
                <w:color w:val="auto"/>
                <w:highlight w:val="none"/>
                <w:lang w:val="en-US" w:eastAsia="zh-CN"/>
              </w:rPr>
              <w:t>综合废水合计为10098.6/a，</w:t>
            </w:r>
            <w:r>
              <w:rPr>
                <w:rFonts w:hint="default" w:ascii="Times New Roman" w:hAnsi="Times New Roman" w:cs="Times New Roman"/>
                <w:color w:val="auto"/>
                <w:highlight w:val="none"/>
              </w:rPr>
              <w:t>均经预处理后排入园区污水处理厂进行处理，</w:t>
            </w:r>
            <w:r>
              <w:rPr>
                <w:rFonts w:hint="default" w:ascii="Times New Roman" w:hAnsi="Times New Roman" w:cs="Times New Roman"/>
                <w:color w:val="auto"/>
                <w:kern w:val="0"/>
                <w:highlight w:val="none"/>
                <w:lang w:bidi="ar"/>
              </w:rPr>
              <w:t>因此，CODcr</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0.768</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、NH</w:t>
            </w:r>
            <w:r>
              <w:rPr>
                <w:rFonts w:hint="default" w:ascii="Times New Roman" w:hAnsi="Times New Roman" w:cs="Times New Roman"/>
                <w:color w:val="auto"/>
                <w:kern w:val="0"/>
                <w:highlight w:val="none"/>
                <w:vertAlign w:val="subscript"/>
                <w:lang w:val="en-US" w:eastAsia="zh-CN" w:bidi="ar"/>
              </w:rPr>
              <w:t>3</w:t>
            </w:r>
            <w:r>
              <w:rPr>
                <w:rFonts w:hint="default" w:ascii="Times New Roman" w:hAnsi="Times New Roman" w:cs="Times New Roman"/>
                <w:color w:val="auto"/>
                <w:kern w:val="0"/>
                <w:highlight w:val="none"/>
                <w:lang w:val="en-US" w:eastAsia="zh-CN" w:bidi="ar"/>
              </w:rPr>
              <w:t>-</w:t>
            </w:r>
            <w:r>
              <w:rPr>
                <w:rFonts w:hint="default" w:ascii="Times New Roman" w:hAnsi="Times New Roman" w:cs="Times New Roman"/>
                <w:color w:val="auto"/>
                <w:kern w:val="0"/>
                <w:highlight w:val="none"/>
                <w:lang w:bidi="ar"/>
              </w:rPr>
              <w:t>N</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0.061</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纳入园区污水处理厂的总量控制指标，不需再增加新的总量分配指标</w:t>
            </w:r>
            <w:r>
              <w:rPr>
                <w:rFonts w:hint="default" w:ascii="Times New Roman" w:hAnsi="Times New Roman" w:cs="Times New Roman"/>
                <w:color w:val="auto"/>
                <w:highlight w:val="none"/>
              </w:rPr>
              <w:t>。</w:t>
            </w:r>
          </w:p>
          <w:p w14:paraId="2F6231BF">
            <w:pPr>
              <w:pStyle w:val="18"/>
              <w:keepNext w:val="0"/>
              <w:keepLines w:val="0"/>
              <w:widowControl/>
              <w:suppressLineNumbers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（2）废气总量控制指标</w:t>
            </w:r>
          </w:p>
          <w:p w14:paraId="423016D4">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lang w:bidi="ar"/>
              </w:rPr>
              <w:t>本项目建成后大气污染物总排放量为氮氧化物总量为</w:t>
            </w:r>
            <w:r>
              <w:rPr>
                <w:rFonts w:hint="eastAsia" w:cs="Times New Roman"/>
                <w:color w:val="auto"/>
                <w:kern w:val="0"/>
                <w:highlight w:val="none"/>
                <w:lang w:val="en-US" w:eastAsia="zh-CN" w:bidi="ar"/>
              </w:rPr>
              <w:t>0.111</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p>
          <w:p w14:paraId="2AB7701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根据《广东省生态环境厅关于做好重点行业建设项目挥发性有机物总量指标管理工作的通知》</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粤环发</w:t>
            </w:r>
            <w:r>
              <w:rPr>
                <w:rFonts w:hint="eastAsia" w:cs="Times New Roman"/>
                <w:color w:val="auto"/>
                <w:kern w:val="0"/>
                <w:highlight w:val="none"/>
                <w:lang w:eastAsia="zh-CN" w:bidi="ar"/>
              </w:rPr>
              <w:t>〔2019〕2号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，氮氧化物等量替代需向韶关市生态环境局乐昌分局申请分配。</w:t>
            </w:r>
          </w:p>
          <w:p w14:paraId="23601F98">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3343F53F">
            <w:pPr>
              <w:pStyle w:val="4"/>
              <w:numPr>
                <w:ilvl w:val="2"/>
                <w:numId w:val="0"/>
              </w:numPr>
              <w:suppressLineNumbers w:val="0"/>
              <w:spacing w:before="0" w:beforeAutospacing="0" w:after="0" w:afterAutospacing="0"/>
              <w:ind w:left="0" w:right="0" w:firstLine="480" w:firstLineChars="200"/>
              <w:rPr>
                <w:rFonts w:hint="eastAsia" w:cs="Times New Roman"/>
                <w:b w:val="0"/>
                <w:bCs w:val="0"/>
                <w:color w:val="auto"/>
                <w:highlight w:val="none"/>
                <w:lang w:eastAsia="zh-CN"/>
              </w:rPr>
            </w:pPr>
            <w:r>
              <w:rPr>
                <w:rFonts w:hint="default" w:ascii="Times New Roman" w:hAnsi="Times New Roman" w:cs="Times New Roman"/>
                <w:b w:val="0"/>
                <w:bCs w:val="0"/>
                <w:color w:val="auto"/>
                <w:highlight w:val="none"/>
              </w:rPr>
              <w:t>本项目固体废物不自行处理排放，不设置固体废物总量控制指标</w:t>
            </w:r>
            <w:r>
              <w:rPr>
                <w:rFonts w:hint="eastAsia" w:cs="Times New Roman"/>
                <w:b w:val="0"/>
                <w:bCs w:val="0"/>
                <w:color w:val="auto"/>
                <w:highlight w:val="none"/>
                <w:lang w:eastAsia="zh-CN"/>
              </w:rPr>
              <w:t>。</w:t>
            </w:r>
          </w:p>
          <w:p w14:paraId="62EFD3E1">
            <w:pPr>
              <w:pStyle w:val="43"/>
              <w:keepNext w:val="0"/>
              <w:keepLines w:val="0"/>
              <w:suppressLineNumbers w:val="0"/>
              <w:spacing w:before="0" w:beforeAutospacing="0" w:after="0" w:afterAutospacing="0"/>
              <w:ind w:left="0" w:right="0"/>
              <w:rPr>
                <w:rFonts w:hint="default"/>
                <w:color w:val="auto"/>
                <w:highlight w:val="none"/>
                <w:lang w:val="en-US" w:eastAsia="zh-CN"/>
              </w:rPr>
            </w:pPr>
          </w:p>
        </w:tc>
      </w:tr>
    </w:tbl>
    <w:p w14:paraId="657B21C5">
      <w:pPr>
        <w:pStyle w:val="2"/>
        <w:rPr>
          <w:rFonts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57E56E8B">
      <w:pPr>
        <w:pStyle w:val="2"/>
        <w:numPr>
          <w:ilvl w:val="0"/>
          <w:numId w:val="0"/>
        </w:numPr>
        <w:rPr>
          <w:rFonts w:cs="Times New Roman"/>
          <w:b/>
          <w:bCs/>
          <w:color w:val="auto"/>
          <w:highlight w:val="none"/>
        </w:rPr>
      </w:pPr>
      <w:bookmarkStart w:id="118" w:name="_Toc3425"/>
      <w:bookmarkStart w:id="119" w:name="_Toc3944"/>
      <w:bookmarkStart w:id="120" w:name="_Toc32008"/>
      <w:r>
        <w:rPr>
          <w:rFonts w:hint="eastAsia" w:cs="Times New Roman"/>
          <w:b/>
          <w:bCs/>
          <w:color w:val="auto"/>
          <w:highlight w:val="none"/>
        </w:rPr>
        <w:t>四、</w:t>
      </w:r>
      <w:r>
        <w:rPr>
          <w:rFonts w:cs="Times New Roman"/>
          <w:b/>
          <w:bCs/>
          <w:color w:val="auto"/>
          <w:highlight w:val="none"/>
        </w:rPr>
        <w:t>主要环境影响和保护措施</w:t>
      </w:r>
      <w:bookmarkEnd w:id="118"/>
      <w:bookmarkEnd w:id="119"/>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9515"/>
      </w:tblGrid>
      <w:tr w14:paraId="4A63C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4" w:hRule="atLeast"/>
        </w:trPr>
        <w:tc>
          <w:tcPr>
            <w:tcW w:w="224" w:type="pct"/>
            <w:vAlign w:val="center"/>
          </w:tcPr>
          <w:p w14:paraId="048C2006">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21" w:name="_Toc25331"/>
            <w:bookmarkStart w:id="122" w:name="_Toc3227"/>
            <w:bookmarkStart w:id="123" w:name="_Toc16612"/>
            <w:bookmarkStart w:id="124" w:name="_Toc7895"/>
            <w:bookmarkStart w:id="125" w:name="_Toc32016"/>
            <w:bookmarkStart w:id="126" w:name="_Toc4550"/>
            <w:bookmarkStart w:id="127" w:name="_Toc8812"/>
            <w:bookmarkStart w:id="128" w:name="_Toc18588"/>
            <w:bookmarkStart w:id="129" w:name="_Toc25142"/>
            <w:bookmarkStart w:id="130" w:name="_Toc25551"/>
            <w:bookmarkStart w:id="131" w:name="_Toc30266"/>
            <w:r>
              <w:rPr>
                <w:rFonts w:hint="default" w:ascii="Times New Roman" w:hAnsi="Times New Roman" w:cs="Times New Roman"/>
                <w:color w:val="auto"/>
                <w:kern w:val="2"/>
                <w:highlight w:val="none"/>
              </w:rPr>
              <w:t>施工期环境保护措施</w:t>
            </w:r>
            <w:bookmarkEnd w:id="121"/>
            <w:bookmarkEnd w:id="122"/>
            <w:bookmarkEnd w:id="123"/>
            <w:bookmarkEnd w:id="124"/>
            <w:bookmarkEnd w:id="125"/>
            <w:bookmarkEnd w:id="126"/>
            <w:bookmarkEnd w:id="127"/>
            <w:bookmarkEnd w:id="128"/>
            <w:bookmarkEnd w:id="129"/>
            <w:bookmarkEnd w:id="130"/>
            <w:bookmarkEnd w:id="131"/>
          </w:p>
        </w:tc>
        <w:tc>
          <w:tcPr>
            <w:tcW w:w="4775" w:type="pct"/>
            <w:vAlign w:val="center"/>
          </w:tcPr>
          <w:p w14:paraId="52B4C7F6">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sz w:val="24"/>
                <w:highlight w:val="none"/>
                <w:lang w:val="en-US" w:eastAsia="zh-CN"/>
              </w:rPr>
              <w:t>韶关市乐昌市乐昌产业转移工业园GL-01-15-02地块</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目前厂房仍未建设。</w:t>
            </w:r>
            <w:r>
              <w:rPr>
                <w:rFonts w:hint="default" w:ascii="Times New Roman" w:hAnsi="Times New Roman" w:cs="Times New Roman"/>
                <w:color w:val="auto"/>
                <w:highlight w:val="none"/>
              </w:rPr>
              <w:t>项目施工期间产生的污染物主要为：①施工过程中工地扬尘和施工车辆排放的尾气；②暴雨造成地表径流并携带了大量施工现场</w:t>
            </w:r>
            <w:r>
              <w:rPr>
                <w:rFonts w:hint="default" w:ascii="Times New Roman" w:hAnsi="Times New Roman" w:cs="Times New Roman"/>
                <w:color w:val="auto"/>
                <w:highlight w:val="none"/>
                <w:lang w:eastAsia="zh-CN"/>
              </w:rPr>
              <w:t>泥沙</w:t>
            </w:r>
            <w:r>
              <w:rPr>
                <w:rFonts w:hint="default" w:ascii="Times New Roman" w:hAnsi="Times New Roman" w:cs="Times New Roman"/>
                <w:color w:val="auto"/>
                <w:highlight w:val="none"/>
              </w:rPr>
              <w:t>而成的污水、开挖和钻孔产生的泥浆水、机械设备运转的冷却水和洗涤水、开挖基础时为降低地下水位的排水、车辆和设备清洗废水等施工废水、施工人员的生活废水；③施工机械设备和车辆产生的噪声；④施工过程产生的建筑垃圾、生活垃圾。</w:t>
            </w:r>
          </w:p>
          <w:p w14:paraId="318A293E">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一、施工期废水环境影响和保护措施</w:t>
            </w:r>
          </w:p>
          <w:p w14:paraId="58DD1A4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施工期间产生的废水主要来自三个方面。一是降雨和地下水渗出形成的地表径流，通常夹带着大量泥沙，同时伴有水泥、油类等污染物；二是施工机械、运输车辆的冷却水和冲洗水，主要含有大量的泥沙、石油类；三是现场施工人员的生活污水，现场施工人员依托</w:t>
            </w:r>
            <w:r>
              <w:rPr>
                <w:rFonts w:hint="default" w:ascii="Times New Roman" w:hAnsi="Times New Roman" w:cs="Times New Roman"/>
                <w:color w:val="auto"/>
                <w:sz w:val="24"/>
                <w:szCs w:val="24"/>
                <w:highlight w:val="none"/>
                <w:lang w:val="en-US" w:eastAsia="zh-CN"/>
              </w:rPr>
              <w:t>工业园区及</w:t>
            </w:r>
            <w:r>
              <w:rPr>
                <w:rFonts w:hint="default" w:ascii="Times New Roman" w:hAnsi="Times New Roman" w:cs="Times New Roman"/>
                <w:color w:val="auto"/>
                <w:sz w:val="24"/>
                <w:szCs w:val="24"/>
                <w:highlight w:val="none"/>
              </w:rPr>
              <w:t>周边村落现有生活设施，现场不产生生活污水。</w:t>
            </w:r>
          </w:p>
          <w:p w14:paraId="7E9FA3B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针对施工场地内各类废水、污水，建设单位、施工单位在施工过程中落实以下措施：</w:t>
            </w:r>
          </w:p>
          <w:p w14:paraId="08D43D7D">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施工区域内设置临时污水处理设施，包括但不限于沉淀池、沉砂池、隔油隔渣池等，施工废水经处理后全部回用，不对外排放。</w:t>
            </w:r>
          </w:p>
          <w:p w14:paraId="28AD385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根据当地降雨特征建立雨季排水应急响应机制，雨水经排水沟渠引流至沉砂池处理后再排放，避免降雨期间排水不畅而对周围地表水环境造成不良影响。</w:t>
            </w:r>
          </w:p>
          <w:p w14:paraId="57CB7FC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基础开挖过程产生的高浓度泥浆水、废弃土石方等掺和后外运至规定</w:t>
            </w:r>
            <w:r>
              <w:rPr>
                <w:rFonts w:hint="default" w:ascii="Times New Roman" w:hAnsi="Times New Roman" w:cs="Times New Roman"/>
                <w:bCs/>
                <w:color w:val="auto"/>
                <w:spacing w:val="-10"/>
                <w:sz w:val="24"/>
                <w:szCs w:val="24"/>
                <w:highlight w:val="none"/>
              </w:rPr>
              <w:t>地点处置，不得弃置于现场和周围环境。</w:t>
            </w:r>
          </w:p>
          <w:p w14:paraId="4333515E">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bCs/>
                <w:color w:val="auto"/>
                <w:spacing w:val="-10"/>
                <w:sz w:val="24"/>
                <w:szCs w:val="24"/>
                <w:highlight w:val="none"/>
                <w:lang w:val="en-US" w:eastAsia="zh-CN"/>
              </w:rPr>
              <w:t>4、</w:t>
            </w:r>
            <w:r>
              <w:rPr>
                <w:rFonts w:hint="default" w:ascii="Times New Roman" w:hAnsi="Times New Roman" w:cs="Times New Roman"/>
                <w:bCs/>
                <w:color w:val="auto"/>
                <w:spacing w:val="-10"/>
                <w:sz w:val="24"/>
                <w:szCs w:val="24"/>
                <w:highlight w:val="none"/>
              </w:rPr>
              <w:t>定时清洁去除施工机械表面不必要的油污，尽量减少机械设备与水体的直接接触；加强设备维修保养，避免设备配套的燃料油出现跑冒滴漏现象。</w:t>
            </w:r>
          </w:p>
          <w:p w14:paraId="0BECF88A">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Cs/>
                <w:color w:val="auto"/>
                <w:spacing w:val="-10"/>
                <w:sz w:val="24"/>
                <w:szCs w:val="24"/>
                <w:highlight w:val="none"/>
              </w:rPr>
            </w:pPr>
            <w:r>
              <w:rPr>
                <w:rFonts w:hint="default" w:ascii="Times New Roman" w:hAnsi="Times New Roman" w:cs="Times New Roman"/>
                <w:bCs/>
                <w:color w:val="auto"/>
                <w:spacing w:val="-10"/>
                <w:sz w:val="24"/>
                <w:szCs w:val="24"/>
                <w:highlight w:val="none"/>
                <w:lang w:val="en-US" w:eastAsia="zh-CN"/>
              </w:rPr>
              <w:t>5、</w:t>
            </w:r>
            <w:r>
              <w:rPr>
                <w:rFonts w:hint="default" w:ascii="Times New Roman" w:hAnsi="Times New Roman" w:cs="Times New Roman"/>
                <w:bCs/>
                <w:color w:val="auto"/>
                <w:spacing w:val="-10"/>
                <w:sz w:val="24"/>
                <w:szCs w:val="24"/>
                <w:highlight w:val="none"/>
              </w:rPr>
              <w:t>各类物料的现场贮存设施布置在远离周围地表水体的位置，落实防渗漏措施，防止跑冒滴漏污染水体。</w:t>
            </w:r>
          </w:p>
          <w:p w14:paraId="2BB61D71">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bCs/>
                <w:color w:val="auto"/>
                <w:spacing w:val="-10"/>
                <w:sz w:val="24"/>
                <w:szCs w:val="24"/>
                <w:highlight w:val="none"/>
              </w:rPr>
              <w:t>采取上述措施之后，施工期废水、污水不会对周围地表水环境造成不良影响。</w:t>
            </w:r>
          </w:p>
          <w:p w14:paraId="15BEFE67">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二、</w:t>
            </w:r>
            <w:r>
              <w:rPr>
                <w:rFonts w:hint="default" w:ascii="Times New Roman" w:hAnsi="Times New Roman" w:cs="Times New Roman"/>
                <w:b/>
                <w:bCs/>
                <w:color w:val="auto"/>
                <w:highlight w:val="none"/>
              </w:rPr>
              <w:t>施工期废气环境影响和保护措施</w:t>
            </w:r>
          </w:p>
          <w:p w14:paraId="71996F8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项目施工过程中造成大气污染的主要产生源有：建筑施工扬尘、物料堆场扬尘、运输车辆运输扬尘以及施工机械及运输车辆机动车尾气。</w:t>
            </w:r>
          </w:p>
          <w:p w14:paraId="30AB693A">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1、扬尘</w:t>
            </w:r>
          </w:p>
          <w:p w14:paraId="70DA00AD">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为使施工过程中产生的废气对周围环境空气的影响降低到最小程度，本项目建议采取以下防护措施：</w:t>
            </w:r>
          </w:p>
          <w:p w14:paraId="1B06839A">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（1）平整场地、开挖、钻孔等过程中，洒水使作业面保持一定的湿度；对施工场地内松散、干涸的地块，经常洒水防止扬尘。</w:t>
            </w:r>
          </w:p>
          <w:p w14:paraId="1289D11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（2）设置物料、废料专用堆放场所，采用围蔽或防尘网覆盖堆放处理，不准乱堆乱放，不长时间堆积。</w:t>
            </w:r>
          </w:p>
          <w:p w14:paraId="5D598E8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（3）施工范围进行围蔽</w:t>
            </w:r>
            <w:r>
              <w:rPr>
                <w:rFonts w:hint="default" w:ascii="Times New Roman" w:hAnsi="Times New Roman" w:cs="Times New Roman"/>
                <w:color w:val="auto"/>
                <w:highlight w:val="none"/>
                <w:lang w:eastAsia="zh-CN"/>
              </w:rPr>
              <w:t>，并在上方设置喷淋措施，</w:t>
            </w:r>
            <w:r>
              <w:rPr>
                <w:rFonts w:hint="default" w:ascii="Times New Roman" w:hAnsi="Times New Roman" w:cs="Times New Roman"/>
                <w:color w:val="auto"/>
                <w:highlight w:val="none"/>
              </w:rPr>
              <w:t>物料及废料运输车辆采取密闭运输方式、进出限速行驶并进行出场前冲洗</w:t>
            </w:r>
            <w:r>
              <w:rPr>
                <w:rFonts w:hint="default" w:ascii="Times New Roman" w:hAnsi="Times New Roman" w:cs="Times New Roman"/>
                <w:color w:val="auto"/>
                <w:highlight w:val="none"/>
                <w:lang w:eastAsia="zh-CN"/>
              </w:rPr>
              <w:t>，施工现场安装颗粒物、噪声监控设施</w:t>
            </w:r>
            <w:r>
              <w:rPr>
                <w:rFonts w:hint="default" w:ascii="Times New Roman" w:hAnsi="Times New Roman" w:cs="Times New Roman"/>
                <w:color w:val="auto"/>
                <w:highlight w:val="none"/>
              </w:rPr>
              <w:t>。</w:t>
            </w:r>
          </w:p>
          <w:p w14:paraId="5B55739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（4）采取性能良好的施工机械，加强施工管理、规范施工作业方式。</w:t>
            </w:r>
          </w:p>
          <w:p w14:paraId="3DEC1027">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（5）运输过程中散落在路面上的泥土要及时清扫，以减少运输过程中扬尘。</w:t>
            </w:r>
            <w:r>
              <w:rPr>
                <w:rFonts w:hint="default" w:ascii="Times New Roman" w:hAnsi="Times New Roman" w:cs="Times New Roman"/>
                <w:color w:val="auto"/>
                <w:highlight w:val="none"/>
                <w:lang w:eastAsia="zh-CN"/>
              </w:rPr>
              <w:t>施工现场要设置洗车槽、沉淀池等环保措施。</w:t>
            </w:r>
          </w:p>
          <w:p w14:paraId="6A05409F">
            <w:pPr>
              <w:keepNext w:val="0"/>
              <w:keepLines w:val="0"/>
              <w:suppressLineNumbers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（6）使用商品混凝土。</w:t>
            </w:r>
          </w:p>
          <w:p w14:paraId="6124A112">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（7）落实建筑工地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六个100%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要求，即施工现场100%围蔽，</w:t>
            </w:r>
            <w:r>
              <w:rPr>
                <w:rFonts w:hint="default" w:ascii="Times New Roman" w:hAnsi="Times New Roman" w:cs="Times New Roman"/>
                <w:color w:val="auto"/>
                <w:highlight w:val="none"/>
                <w:lang w:eastAsia="zh-CN"/>
              </w:rPr>
              <w:t>物料</w:t>
            </w:r>
            <w:r>
              <w:rPr>
                <w:rFonts w:hint="default" w:ascii="Times New Roman" w:hAnsi="Times New Roman" w:cs="Times New Roman"/>
                <w:color w:val="auto"/>
                <w:highlight w:val="none"/>
              </w:rPr>
              <w:t>不用时100%覆盖，工地路面100%硬底化，</w:t>
            </w:r>
            <w:r>
              <w:rPr>
                <w:rFonts w:hint="default" w:ascii="Times New Roman" w:hAnsi="Times New Roman" w:cs="Times New Roman"/>
                <w:color w:val="auto"/>
                <w:highlight w:val="none"/>
                <w:lang w:eastAsia="zh-CN"/>
              </w:rPr>
              <w:t>施工作业</w:t>
            </w:r>
            <w:r>
              <w:rPr>
                <w:rFonts w:hint="default" w:ascii="Times New Roman" w:hAnsi="Times New Roman" w:cs="Times New Roman"/>
                <w:color w:val="auto"/>
                <w:highlight w:val="none"/>
              </w:rPr>
              <w:t>100%洒水压尘，驶出工地车辆100%冲净车轮车身，施工现场长期裸土100%覆盖或绿化。</w:t>
            </w:r>
          </w:p>
          <w:p w14:paraId="3538B160">
            <w:pPr>
              <w:keepNext w:val="0"/>
              <w:keepLines w:val="0"/>
              <w:suppressLineNumbers w:val="0"/>
              <w:snapToGrid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2、施工机械及运输车辆机动车尾气</w:t>
            </w:r>
          </w:p>
          <w:p w14:paraId="449814C3">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施工机械一般使用柴油作动力，开动时会产生一些燃油废气；施工运输车辆一般是大型柴油车，产生机动车尾气。施工机械和运输车辆产生的废气污染物主要为CO、NO</w:t>
            </w:r>
            <w:r>
              <w:rPr>
                <w:rFonts w:hint="default" w:ascii="Times New Roman" w:hAnsi="Times New Roman" w:cs="Times New Roman"/>
                <w:color w:val="auto"/>
                <w:highlight w:val="none"/>
                <w:vertAlign w:val="subscript"/>
              </w:rPr>
              <w:t>x</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w:t>
            </w:r>
          </w:p>
          <w:p w14:paraId="5CCB2E85">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机械和施工运输车辆机动车尾气，采取以下措施：建设单位应采用先进符合标准的机械，使用清洁能源（如轻质柴油），以减少尾气排放；同时施工车辆必须定期检查，破损的车厢应及时修补，注意车辆维修保养，以减少尾气排放。</w:t>
            </w:r>
          </w:p>
          <w:p w14:paraId="557C550F">
            <w:pPr>
              <w:keepNext w:val="0"/>
              <w:keepLines w:val="0"/>
              <w:suppressLineNumbers w:val="0"/>
              <w:adjustRightInd w:val="0"/>
              <w:snapToGri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采取上述措施之后，施工期对</w:t>
            </w:r>
            <w:r>
              <w:rPr>
                <w:rFonts w:hint="default" w:ascii="Times New Roman" w:hAnsi="Times New Roman" w:cs="Times New Roman"/>
                <w:color w:val="auto"/>
                <w:highlight w:val="none"/>
                <w:lang w:val="en-US"/>
              </w:rPr>
              <w:t>周围环境</w:t>
            </w:r>
            <w:r>
              <w:rPr>
                <w:rFonts w:hint="default" w:ascii="Times New Roman" w:hAnsi="Times New Roman" w:cs="Times New Roman"/>
                <w:color w:val="auto"/>
                <w:highlight w:val="none"/>
              </w:rPr>
              <w:t>空气和大气保护目标拓美产业园公寓</w:t>
            </w:r>
            <w:r>
              <w:rPr>
                <w:rFonts w:hint="default" w:ascii="Times New Roman" w:hAnsi="Times New Roman" w:cs="Times New Roman"/>
                <w:color w:val="auto"/>
                <w:highlight w:val="none"/>
                <w:lang w:eastAsia="zh-CN"/>
              </w:rPr>
              <w:t>、猴牯岭居民区</w:t>
            </w:r>
            <w:r>
              <w:rPr>
                <w:rFonts w:hint="default" w:ascii="Times New Roman" w:hAnsi="Times New Roman" w:cs="Times New Roman"/>
                <w:color w:val="auto"/>
                <w:highlight w:val="none"/>
              </w:rPr>
              <w:t>的影响可以控制在可接受程度之内。</w:t>
            </w:r>
          </w:p>
          <w:p w14:paraId="2F5C4B62">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三、</w:t>
            </w:r>
            <w:r>
              <w:rPr>
                <w:rFonts w:hint="default" w:ascii="Times New Roman" w:hAnsi="Times New Roman" w:cs="Times New Roman"/>
                <w:b/>
                <w:bCs/>
                <w:color w:val="auto"/>
                <w:highlight w:val="none"/>
              </w:rPr>
              <w:t>施工期噪声环境影响和保护措施</w:t>
            </w:r>
          </w:p>
          <w:p w14:paraId="0E64F938">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施工期间所产生的噪声不可避免，施工机械和运输车辆的单体声级一般在70~85dB(A)，经过围蔽阻隔后，项目噪声对周边环境影响较小。根据施工期间的各种噪声污染源的特点，常用施工机械设备在作业期间的噪声值详见下表。</w:t>
            </w:r>
          </w:p>
          <w:p w14:paraId="75B47C81">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表4-1</w:t>
            </w:r>
            <w:r>
              <w:rPr>
                <w:rFonts w:hint="default" w:ascii="Times New Roman" w:hAnsi="Times New Roman" w:cs="Times New Roman"/>
                <w:b/>
                <w:color w:val="auto"/>
                <w:sz w:val="21"/>
                <w:szCs w:val="21"/>
                <w:highlight w:val="none"/>
              </w:rPr>
              <w:t>常用施工机械设备的噪声值一览表</w:t>
            </w:r>
          </w:p>
          <w:tbl>
            <w:tblPr>
              <w:tblStyle w:val="3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82"/>
              <w:gridCol w:w="862"/>
              <w:gridCol w:w="2000"/>
              <w:gridCol w:w="1674"/>
              <w:gridCol w:w="2465"/>
            </w:tblGrid>
            <w:tr w14:paraId="5E39DF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493887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施工阶段</w:t>
                  </w:r>
                </w:p>
              </w:tc>
              <w:tc>
                <w:tcPr>
                  <w:tcW w:w="464" w:type="pct"/>
                  <w:vAlign w:val="center"/>
                </w:tcPr>
                <w:p w14:paraId="2BA497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077" w:type="pct"/>
                  <w:vAlign w:val="center"/>
                </w:tcPr>
                <w:p w14:paraId="208E79F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设备名称</w:t>
                  </w:r>
                </w:p>
              </w:tc>
              <w:tc>
                <w:tcPr>
                  <w:tcW w:w="901" w:type="pct"/>
                  <w:vAlign w:val="center"/>
                </w:tcPr>
                <w:p w14:paraId="3494668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距离（m）</w:t>
                  </w:r>
                </w:p>
              </w:tc>
              <w:tc>
                <w:tcPr>
                  <w:tcW w:w="1327" w:type="pct"/>
                  <w:vAlign w:val="center"/>
                </w:tcPr>
                <w:p w14:paraId="436BF0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噪声值（dB(A)）</w:t>
                  </w:r>
                </w:p>
              </w:tc>
            </w:tr>
            <w:tr w14:paraId="73BC4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36FD0F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土石方工程阶段</w:t>
                  </w:r>
                </w:p>
              </w:tc>
              <w:tc>
                <w:tcPr>
                  <w:tcW w:w="464" w:type="pct"/>
                  <w:vAlign w:val="center"/>
                </w:tcPr>
                <w:p w14:paraId="291A859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077" w:type="pct"/>
                  <w:vAlign w:val="center"/>
                </w:tcPr>
                <w:p w14:paraId="6D16F3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推土机</w:t>
                  </w:r>
                </w:p>
              </w:tc>
              <w:tc>
                <w:tcPr>
                  <w:tcW w:w="901" w:type="pct"/>
                  <w:vAlign w:val="center"/>
                </w:tcPr>
                <w:p w14:paraId="7D8E316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425131D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70~75</w:t>
                  </w:r>
                </w:p>
              </w:tc>
            </w:tr>
            <w:tr w14:paraId="0D546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58E3E7E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19C4921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1077" w:type="pct"/>
                  <w:vAlign w:val="center"/>
                </w:tcPr>
                <w:p w14:paraId="7F51557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液压挖掘车</w:t>
                  </w:r>
                </w:p>
              </w:tc>
              <w:tc>
                <w:tcPr>
                  <w:tcW w:w="901" w:type="pct"/>
                  <w:vAlign w:val="center"/>
                </w:tcPr>
                <w:p w14:paraId="2B7D7D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1E7F1C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672770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67BB0A0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6FE800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1077" w:type="pct"/>
                  <w:vAlign w:val="center"/>
                </w:tcPr>
                <w:p w14:paraId="03EA07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重型运输车</w:t>
                  </w:r>
                </w:p>
              </w:tc>
              <w:tc>
                <w:tcPr>
                  <w:tcW w:w="901" w:type="pct"/>
                  <w:vAlign w:val="center"/>
                </w:tcPr>
                <w:p w14:paraId="4E1E2B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03C4B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70~80</w:t>
                  </w:r>
                </w:p>
              </w:tc>
            </w:tr>
            <w:tr w14:paraId="5E781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5DCF743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基础施工阶段</w:t>
                  </w:r>
                </w:p>
              </w:tc>
              <w:tc>
                <w:tcPr>
                  <w:tcW w:w="464" w:type="pct"/>
                  <w:vAlign w:val="center"/>
                </w:tcPr>
                <w:p w14:paraId="334962A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1077" w:type="pct"/>
                  <w:vAlign w:val="center"/>
                </w:tcPr>
                <w:p w14:paraId="0DAF510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静力压桩机</w:t>
                  </w:r>
                </w:p>
              </w:tc>
              <w:tc>
                <w:tcPr>
                  <w:tcW w:w="901" w:type="pct"/>
                  <w:vAlign w:val="center"/>
                </w:tcPr>
                <w:p w14:paraId="056FF36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43675FD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36E99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0BFCC02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424EFF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077" w:type="pct"/>
                  <w:vAlign w:val="center"/>
                </w:tcPr>
                <w:p w14:paraId="2B7C2F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振动夯锤</w:t>
                  </w:r>
                </w:p>
              </w:tc>
              <w:tc>
                <w:tcPr>
                  <w:tcW w:w="901" w:type="pct"/>
                  <w:vAlign w:val="center"/>
                </w:tcPr>
                <w:p w14:paraId="75EC50F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87B981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38811D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7A85E11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结构施工阶段</w:t>
                  </w:r>
                </w:p>
              </w:tc>
              <w:tc>
                <w:tcPr>
                  <w:tcW w:w="464" w:type="pct"/>
                  <w:vAlign w:val="center"/>
                </w:tcPr>
                <w:p w14:paraId="0A74AB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w:t>
                  </w:r>
                </w:p>
              </w:tc>
              <w:tc>
                <w:tcPr>
                  <w:tcW w:w="1077" w:type="pct"/>
                  <w:vAlign w:val="center"/>
                </w:tcPr>
                <w:p w14:paraId="57A377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混凝土振捣器</w:t>
                  </w:r>
                </w:p>
              </w:tc>
              <w:tc>
                <w:tcPr>
                  <w:tcW w:w="901" w:type="pct"/>
                  <w:vAlign w:val="center"/>
                </w:tcPr>
                <w:p w14:paraId="0684500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E43EA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1D398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49E984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2B501C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w:t>
                  </w:r>
                </w:p>
              </w:tc>
              <w:tc>
                <w:tcPr>
                  <w:tcW w:w="1077" w:type="pct"/>
                  <w:vAlign w:val="center"/>
                </w:tcPr>
                <w:p w14:paraId="24F85E7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混凝土搅拌车</w:t>
                  </w:r>
                </w:p>
              </w:tc>
              <w:tc>
                <w:tcPr>
                  <w:tcW w:w="901" w:type="pct"/>
                  <w:vAlign w:val="center"/>
                </w:tcPr>
                <w:p w14:paraId="444816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FBE599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1261B5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2A42B9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p>
              </w:tc>
              <w:tc>
                <w:tcPr>
                  <w:tcW w:w="464" w:type="pct"/>
                  <w:vAlign w:val="center"/>
                </w:tcPr>
                <w:p w14:paraId="7FC0CCD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w:t>
                  </w:r>
                </w:p>
              </w:tc>
              <w:tc>
                <w:tcPr>
                  <w:tcW w:w="1077" w:type="pct"/>
                  <w:vAlign w:val="center"/>
                </w:tcPr>
                <w:p w14:paraId="17EC7E30">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风镐</w:t>
                  </w:r>
                </w:p>
              </w:tc>
              <w:tc>
                <w:tcPr>
                  <w:tcW w:w="901" w:type="pct"/>
                  <w:vAlign w:val="center"/>
                </w:tcPr>
                <w:p w14:paraId="27F9881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238E1F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r w14:paraId="613F13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29" w:type="pct"/>
                  <w:vAlign w:val="center"/>
                </w:tcPr>
                <w:p w14:paraId="494B189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装修阶段</w:t>
                  </w:r>
                </w:p>
              </w:tc>
              <w:tc>
                <w:tcPr>
                  <w:tcW w:w="464" w:type="pct"/>
                  <w:vAlign w:val="center"/>
                </w:tcPr>
                <w:p w14:paraId="159B3A8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9</w:t>
                  </w:r>
                </w:p>
              </w:tc>
              <w:tc>
                <w:tcPr>
                  <w:tcW w:w="1077" w:type="pct"/>
                  <w:vAlign w:val="center"/>
                </w:tcPr>
                <w:p w14:paraId="4CB5EB2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角磨机</w:t>
                  </w:r>
                </w:p>
              </w:tc>
              <w:tc>
                <w:tcPr>
                  <w:tcW w:w="901" w:type="pct"/>
                  <w:vAlign w:val="center"/>
                </w:tcPr>
                <w:p w14:paraId="3DA4A38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327" w:type="pct"/>
                  <w:vAlign w:val="center"/>
                </w:tcPr>
                <w:p w14:paraId="560F1E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80~85</w:t>
                  </w:r>
                </w:p>
              </w:tc>
            </w:tr>
          </w:tbl>
          <w:p w14:paraId="18841EE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针对施工期各类高噪声提出施工期噪声污染防治对策。建设单位应采取以下的措施来减轻其噪声的影响：</w:t>
            </w:r>
          </w:p>
          <w:p w14:paraId="5BCC2384">
            <w:pPr>
              <w:keepNext w:val="0"/>
              <w:keepLines w:val="0"/>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（1）合理组织施工，施工前需张贴告示告知周围人群。</w:t>
            </w:r>
          </w:p>
          <w:p w14:paraId="7F958DF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（2）合理安排施工时间，严禁高噪声设备在作息时间中午（12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00～14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00）和夜间（22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00）期间自由作业，高噪声设备作业时间应避开企业员工休息时间。</w:t>
            </w:r>
          </w:p>
          <w:p w14:paraId="3067056F">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（3）合理安排现场作业，制定合理的分区域分时段作业计划，尽可能避免大量高噪声设备同时运行。</w:t>
            </w:r>
          </w:p>
          <w:p w14:paraId="6803B75B">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（4）对高噪声设备进行适当屏蔽，作临时隔声、消声和减振等综合治理。</w:t>
            </w:r>
          </w:p>
          <w:p w14:paraId="174A0C20">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（5）加强施工队伍的教育，提高职工的环保意识，不野蛮作业，坚持文明施工、科学施工，制定施工环境管理制度，降低人为噪声，施工现场装卸材料做到轻拿轻放，减少不必要的碰撞噪声。</w:t>
            </w:r>
          </w:p>
          <w:p w14:paraId="048F38A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（6）加强场内运输车辆管理，合理划定运输通道，路面保持平坦，严禁鸣笛，限速行驶，减少因道路颠簸引起的车辆噪声。</w:t>
            </w:r>
          </w:p>
          <w:p w14:paraId="35D2B31B">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综上所述，本项目在施工期间采取积极有效措施对施工噪声进行控制后，项目施工期噪声对周围环境影响较小。</w:t>
            </w:r>
          </w:p>
          <w:p w14:paraId="36009E1F">
            <w:pPr>
              <w:pStyle w:val="43"/>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四、施工期固废环境影响和保护措施</w:t>
            </w:r>
          </w:p>
          <w:p w14:paraId="4C39E5D7">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10"/>
                <w:highlight w:val="none"/>
              </w:rPr>
            </w:pPr>
            <w:r>
              <w:rPr>
                <w:rFonts w:hint="default" w:ascii="Times New Roman" w:hAnsi="Times New Roman" w:cs="Times New Roman"/>
                <w:color w:val="auto"/>
                <w:highlight w:val="none"/>
              </w:rPr>
              <w:t>本项目施工期产生的固废主要有厂房施工等过程产生的</w:t>
            </w:r>
            <w:r>
              <w:rPr>
                <w:rFonts w:hint="default" w:ascii="Times New Roman" w:hAnsi="Times New Roman" w:cs="Times New Roman"/>
                <w:color w:val="auto"/>
                <w:highlight w:val="none"/>
                <w:lang w:eastAsia="zh-CN"/>
              </w:rPr>
              <w:t>废弃土石方</w:t>
            </w:r>
            <w:r>
              <w:rPr>
                <w:rFonts w:hint="default" w:ascii="Times New Roman" w:hAnsi="Times New Roman" w:cs="Times New Roman"/>
                <w:color w:val="auto"/>
                <w:highlight w:val="none"/>
              </w:rPr>
              <w:t>、建筑垃圾、施工人员的生活垃圾等。其中建筑垃圾多为水泥、木材、砖石、包装材料等，具体产生量跟施工方式和选用材料有关，也与废弃材料的回用程度有关。</w:t>
            </w:r>
            <w:r>
              <w:rPr>
                <w:rFonts w:hint="default" w:ascii="Times New Roman" w:hAnsi="Times New Roman" w:cs="Times New Roman"/>
                <w:bCs/>
                <w:color w:val="auto"/>
                <w:spacing w:val="-10"/>
                <w:highlight w:val="none"/>
              </w:rPr>
              <w:t>本项目施工过程产生的土石方回填利用不外运，产生的固体废物主要为建筑垃圾、施工人员生活垃圾。</w:t>
            </w:r>
          </w:p>
          <w:p w14:paraId="4C05C958">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
                <w:bCs w:val="0"/>
                <w:color w:val="auto"/>
                <w:spacing w:val="-10"/>
                <w:highlight w:val="none"/>
              </w:rPr>
            </w:pPr>
            <w:r>
              <w:rPr>
                <w:rFonts w:hint="default" w:ascii="Times New Roman" w:hAnsi="Times New Roman" w:cs="Times New Roman"/>
                <w:b/>
                <w:bCs w:val="0"/>
                <w:color w:val="auto"/>
                <w:spacing w:val="-10"/>
                <w:highlight w:val="none"/>
              </w:rPr>
              <w:t>（1）建筑垃圾</w:t>
            </w:r>
          </w:p>
          <w:p w14:paraId="41526D2E">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cs="Times New Roman"/>
                <w:bCs/>
                <w:color w:val="auto"/>
                <w:spacing w:val="0"/>
                <w:sz w:val="24"/>
                <w:highlight w:val="none"/>
              </w:rPr>
            </w:pPr>
            <w:r>
              <w:rPr>
                <w:rFonts w:hint="default" w:ascii="Times New Roman" w:hAnsi="Times New Roman" w:cs="Times New Roman"/>
                <w:bCs/>
                <w:color w:val="auto"/>
                <w:spacing w:val="0"/>
                <w:sz w:val="24"/>
                <w:highlight w:val="none"/>
              </w:rPr>
              <w:t>项目采用钢结构构件厂房，产生的建筑废物主要成分有废铁丝和各种废钢配件、金属管线废料、散落的砂浆和混凝土等，施工固废产生量约为30t。建筑垃圾应按有关规定报地方建设主管部门，将建筑废弃物运送至建筑垃圾处置场处置。</w:t>
            </w:r>
          </w:p>
          <w:p w14:paraId="6C4D578D">
            <w:pPr>
              <w:keepNext w:val="0"/>
              <w:keepLines w:val="0"/>
              <w:widowControl/>
              <w:suppressLineNumbers w:val="0"/>
              <w:spacing w:before="0" w:beforeAutospacing="0" w:after="0" w:afterAutospacing="0"/>
              <w:ind w:left="0" w:right="0" w:firstLine="440" w:firstLineChars="200"/>
              <w:jc w:val="left"/>
              <w:rPr>
                <w:rFonts w:hint="default" w:ascii="Times New Roman" w:hAnsi="Times New Roman" w:cs="Times New Roman"/>
                <w:b/>
                <w:bCs w:val="0"/>
                <w:color w:val="auto"/>
                <w:spacing w:val="-10"/>
                <w:highlight w:val="none"/>
              </w:rPr>
            </w:pPr>
            <w:r>
              <w:rPr>
                <w:rFonts w:hint="default" w:ascii="Times New Roman" w:hAnsi="Times New Roman" w:cs="Times New Roman"/>
                <w:b/>
                <w:bCs w:val="0"/>
                <w:color w:val="auto"/>
                <w:spacing w:val="-10"/>
                <w:highlight w:val="none"/>
              </w:rPr>
              <w:t>（2）施工人员产生的生活垃圾</w:t>
            </w:r>
          </w:p>
          <w:p w14:paraId="3D64A2A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pacing w:val="0"/>
                <w:sz w:val="24"/>
                <w:highlight w:val="none"/>
              </w:rPr>
            </w:pPr>
            <w:r>
              <w:rPr>
                <w:rFonts w:hint="default" w:ascii="Times New Roman" w:hAnsi="Times New Roman" w:cs="Times New Roman"/>
                <w:bCs/>
                <w:color w:val="auto"/>
                <w:spacing w:val="0"/>
                <w:sz w:val="24"/>
                <w:highlight w:val="none"/>
              </w:rPr>
              <w:t>生活垃圾的主要成分有塑料饭盒和塑料袋、碎玻璃、果皮核屑等。预计该项目生活垃圾产生量约为15kg/d，施工期间产生量为1.35t（按90天计），统一收集后交环卫部门清运。</w:t>
            </w:r>
          </w:p>
          <w:p w14:paraId="2506F39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针对施工期各类固体废物，建设单位、施工单位在施工过程中落实以下措施：</w:t>
            </w:r>
          </w:p>
          <w:p w14:paraId="1FDBDAAD">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施工期根据施工作业产生的土石方、建筑垃圾数量，设置容量足够，有围栏和覆盖设施的临时堆放场地，分类管理，可利用的土石方尽量在场地内周转，就地利用；对于实在无法回用的建筑垃圾，及时向余泥渣土管理部门提出申请，办理相关转移运输和排放手续，获得批准后运至</w:t>
            </w:r>
            <w:r>
              <w:rPr>
                <w:rFonts w:hint="default" w:ascii="Times New Roman" w:hAnsi="Times New Roman" w:cs="Times New Roman"/>
                <w:color w:val="auto"/>
                <w:highlight w:val="none"/>
                <w:lang w:val="en-US" w:eastAsia="zh-CN"/>
              </w:rPr>
              <w:t>指</w:t>
            </w:r>
            <w:r>
              <w:rPr>
                <w:rFonts w:hint="default" w:ascii="Times New Roman" w:hAnsi="Times New Roman" w:cs="Times New Roman"/>
                <w:color w:val="auto"/>
                <w:highlight w:val="none"/>
              </w:rPr>
              <w:t>定消纳场所处置。</w:t>
            </w:r>
          </w:p>
          <w:p w14:paraId="710A5EF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从事建筑垃圾运输的车辆必须保持外形完好、整洁装载物料时保持密闭，不得遗撒、泄漏，驶出场地时必须冲洗干净车轮、车身，并按照制定路线和有关规定行驶。</w:t>
            </w:r>
          </w:p>
          <w:p w14:paraId="32F99DFF">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③</w:t>
            </w:r>
            <w:r>
              <w:rPr>
                <w:rFonts w:hint="default" w:ascii="Times New Roman" w:hAnsi="Times New Roman" w:cs="Times New Roman"/>
                <w:color w:val="auto"/>
                <w:highlight w:val="none"/>
              </w:rPr>
              <w:t>建筑垃圾的运输委托具有相关资质的单位承担，运输时间和行驶路线报有关主管部门批准后再实施。</w:t>
            </w:r>
          </w:p>
          <w:p w14:paraId="56D11A8A">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④</w:t>
            </w:r>
            <w:r>
              <w:rPr>
                <w:rFonts w:hint="default" w:ascii="Times New Roman" w:hAnsi="Times New Roman" w:cs="Times New Roman"/>
                <w:color w:val="auto"/>
                <w:highlight w:val="none"/>
              </w:rPr>
              <w:t>施工场地的生活垃圾分类收集，交由环卫部门统一收运处置，不得将生活垃圾混入余泥渣土或建筑垃圾中。</w:t>
            </w:r>
          </w:p>
          <w:p w14:paraId="7B6AF64D">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⑤</w:t>
            </w:r>
            <w:r>
              <w:rPr>
                <w:rFonts w:hint="default" w:ascii="Times New Roman" w:hAnsi="Times New Roman" w:cs="Times New Roman"/>
                <w:color w:val="auto"/>
                <w:highlight w:val="none"/>
              </w:rPr>
              <w:t>工程竣工后，施工单位及时拆除各种临时施工设施，负责将工地剩余的余泥渣土、建筑垃圾处理干净。</w:t>
            </w:r>
          </w:p>
          <w:p w14:paraId="2784F11C">
            <w:pPr>
              <w:keepNext w:val="0"/>
              <w:keepLines w:val="0"/>
              <w:suppressLineNumbers w:val="0"/>
              <w:tabs>
                <w:tab w:val="left" w:pos="8266"/>
              </w:tabs>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落实上述措施后，施工期固体废物不会对周围环境造成不良影响。</w:t>
            </w:r>
          </w:p>
          <w:p w14:paraId="4EEE6646">
            <w:pPr>
              <w:keepNext w:val="0"/>
              <w:keepLines w:val="0"/>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五、水土流失影响和保护措施</w:t>
            </w:r>
          </w:p>
          <w:p w14:paraId="65F15D4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过程中，土方的开挖、回填、建筑材料及建筑废弃物的暂时堆放等因素，都将对地表造成扰动，改变原有的地形地貌及土壤的物理结构，破坏地表植被，使地表裸露，在降雨径流作用下，导致项目区的水土流失加剧，破坏项目原有的生态环境。建设单位应采取以下措施减少水土流失的影响：</w:t>
            </w:r>
          </w:p>
          <w:p w14:paraId="04307442">
            <w:pPr>
              <w:keepNext w:val="0"/>
              <w:keepLines w:val="0"/>
              <w:numPr>
                <w:ilvl w:val="25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（1）布设护坡、截排水工程</w:t>
            </w:r>
          </w:p>
          <w:p w14:paraId="6CF4919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建议建设单位进行场地平整时应落实相关的措施，布设相关的护坡，截排水措施，改善区内的水土流失状况。</w:t>
            </w:r>
          </w:p>
          <w:p w14:paraId="56369A0A">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（2）采用先进的施工方法</w:t>
            </w:r>
          </w:p>
          <w:p w14:paraId="412D1B6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项目土方开挖和回填应以机械化施工为主，在减少扰动面积的同时，缩短施工期，尤其要注意开挖土的临时防护问题，并且要及时对不再扰动区进行植被恢复，减少水土流失量和水土流失危害。</w:t>
            </w:r>
          </w:p>
          <w:p w14:paraId="76471A07">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（3）严格控制扰动地表</w:t>
            </w:r>
          </w:p>
          <w:p w14:paraId="5F69935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避免施工期对项目区外的地表造成扰动，需要加强对施工队伍的管理，提高水土保持意识，将水土流失防治责任和工程建设放在同等重要的位置，列入施工合同中，作为项目建设质量和文明施工的考核指标之一。</w:t>
            </w:r>
          </w:p>
          <w:p w14:paraId="1574E785">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（4）合理安排施工时序</w:t>
            </w:r>
          </w:p>
          <w:p w14:paraId="2DAC795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首先实施填方边坡的临时拦挡和排水工程，再实施场地平整，场平结束后对不再扰动区实施工程和植物措施防护；建构筑物基础开挖、回填，必须在围墙内进行，</w:t>
            </w:r>
          </w:p>
          <w:p w14:paraId="75A98049">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并实施必要的临时覆盖，以减少水土流失量。</w:t>
            </w:r>
          </w:p>
          <w:p w14:paraId="7A327484">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（5）施工要求</w:t>
            </w:r>
          </w:p>
          <w:p w14:paraId="08C89BA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1）加强挖填施工过程中的临时拦挡措施，减少施工过程中的水土流失；</w:t>
            </w:r>
          </w:p>
          <w:p w14:paraId="6EEB45D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2）土方开挖时，应尽量避免在雨天施工，如果雨天施工，注意采取防护措施，防止水土流失发生；</w:t>
            </w:r>
          </w:p>
          <w:p w14:paraId="573C4EC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3）明确防治责任范围，限定作业面，在容许的范围内施工，减少水土流失范围。</w:t>
            </w:r>
          </w:p>
          <w:p w14:paraId="7BEAA85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施工过程中还应注意水土保持应急措施，主要包括下雨的时候彩条布覆盖裸露地表，覆盖松散土体，做好排水措施，避免场地积水，造成地基松软，影响稳定、安全。同时应避免流沙、流土流入雨水管网。</w:t>
            </w:r>
          </w:p>
          <w:p w14:paraId="2DB49A74">
            <w:pPr>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水土保持防治措施</w:t>
            </w:r>
          </w:p>
          <w:p w14:paraId="554E827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1）植物措施</w:t>
            </w:r>
          </w:p>
          <w:p w14:paraId="140432E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植物措施具有工程措施没有的生态和景观效果，能够十分有效的防治水土流失。而且，项目区大部分地区土壤和降雨条件能够满足造林种草需求。因此，植物措施是必要而且可行的。本项目主要施工工区的植被恢复，选择生长迅速、耐瘠薄的草种。</w:t>
            </w:r>
          </w:p>
          <w:p w14:paraId="0F4469D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2）主体工程区</w:t>
            </w:r>
          </w:p>
          <w:p w14:paraId="6FABF239">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工程施工前主体工程施工后期设置实行生态恢复，使临时占用的绿地恢复原有状态，在一定程度上有效防治由于土方开挖破坏的地表植被以及水土流失。</w:t>
            </w:r>
          </w:p>
          <w:p w14:paraId="74F90D8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中还应注意水土保持应急措施，主要包括下雨的时候彩条布覆盖裸露地表，覆盖松散土体，做好排水措施，避免场地积水，造成地基松软，影响稳定、安全。同时应避免流沙、流土流入项目河涌。施工单位应派专人负责沉砂池排水沟的清淤工作，平时注意定期清淤，在下雨前和下雨过程中加大清淤力度，以免造成雨水管网堵塞。若施工过程中及时采取水保措施，如在现场低洼处构筑足够容量的临时沉淀池截留</w:t>
            </w:r>
            <w:r>
              <w:rPr>
                <w:rFonts w:hint="default" w:ascii="Times New Roman" w:hAnsi="Times New Roman" w:cs="Times New Roman"/>
                <w:color w:val="auto"/>
                <w:highlight w:val="none"/>
                <w:lang w:eastAsia="zh-CN"/>
              </w:rPr>
              <w:t>泥沙</w:t>
            </w:r>
            <w:r>
              <w:rPr>
                <w:rFonts w:hint="default" w:ascii="Times New Roman" w:hAnsi="Times New Roman" w:cs="Times New Roman"/>
                <w:color w:val="auto"/>
                <w:highlight w:val="none"/>
              </w:rPr>
              <w:t>、优化土石方的调配、合理安排施工进度、土方工程和排水工程同步进行等措施后，建设项目所在地施工期的水土流失量可有效降低。</w:t>
            </w:r>
          </w:p>
          <w:p w14:paraId="708ECC0A">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综上所述，施工期间的环境污染经采取相关措施后，不会对周围环境产生明显不良影响。随着施工期的结束，产生的环境影响也随着消失</w:t>
            </w:r>
            <w:r>
              <w:rPr>
                <w:rFonts w:hint="default" w:ascii="Times New Roman" w:hAnsi="Times New Roman" w:cs="Times New Roman"/>
                <w:color w:val="auto"/>
                <w:highlight w:val="none"/>
                <w:lang w:eastAsia="zh-CN"/>
              </w:rPr>
              <w:t>。</w:t>
            </w:r>
          </w:p>
        </w:tc>
      </w:tr>
      <w:tr w14:paraId="29EF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2" w:hRule="atLeast"/>
        </w:trPr>
        <w:tc>
          <w:tcPr>
            <w:tcW w:w="224" w:type="pct"/>
            <w:vAlign w:val="center"/>
          </w:tcPr>
          <w:p w14:paraId="1556F329">
            <w:pPr>
              <w:keepNext/>
              <w:keepLines w:val="0"/>
              <w:pageBreakBefore w:val="0"/>
              <w:widowControl/>
              <w:numPr>
                <w:ilvl w:val="1"/>
                <w:numId w:val="0"/>
              </w:numPr>
              <w:suppressLineNumbers w:val="0"/>
              <w:tabs>
                <w:tab w:val="left" w:pos="420"/>
              </w:tabs>
              <w:kinsoku/>
              <w:wordWrap/>
              <w:overflowPunct/>
              <w:topLinePunct w:val="0"/>
              <w:autoSpaceDE/>
              <w:autoSpaceDN/>
              <w:bidi w:val="0"/>
              <w:adjustRightInd/>
              <w:snapToGrid/>
              <w:spacing w:before="0" w:beforeAutospacing="0" w:after="0" w:afterAutospacing="0"/>
              <w:ind w:left="0" w:right="0"/>
              <w:textAlignment w:val="auto"/>
              <w:outlineLvl w:val="9"/>
              <w:rPr>
                <w:rFonts w:hint="default" w:ascii="Times New Roman" w:hAnsi="Times New Roman" w:cs="Times New Roman"/>
                <w:color w:val="auto"/>
                <w:kern w:val="2"/>
                <w:highlight w:val="none"/>
              </w:rPr>
            </w:pPr>
            <w:bookmarkStart w:id="132" w:name="_Toc25969"/>
            <w:bookmarkStart w:id="133" w:name="_Toc665"/>
            <w:bookmarkStart w:id="134" w:name="_Toc297"/>
            <w:bookmarkStart w:id="135" w:name="_Toc31655"/>
            <w:bookmarkStart w:id="136" w:name="_Toc15252"/>
            <w:bookmarkStart w:id="137" w:name="_Toc14651"/>
            <w:bookmarkStart w:id="138" w:name="_Toc15885"/>
            <w:bookmarkStart w:id="139" w:name="_Toc8375"/>
            <w:bookmarkStart w:id="140" w:name="_Toc27971"/>
            <w:bookmarkStart w:id="141" w:name="_Toc12228"/>
            <w:bookmarkStart w:id="142" w:name="_Toc29600"/>
            <w:r>
              <w:rPr>
                <w:rFonts w:hint="default" w:ascii="Times New Roman" w:hAnsi="Times New Roman" w:cs="Times New Roman"/>
                <w:b/>
                <w:bCs/>
                <w:color w:val="auto"/>
                <w:kern w:val="2"/>
                <w:highlight w:val="none"/>
              </w:rPr>
              <w:t>运营期环境影响和保护措施</w:t>
            </w:r>
            <w:bookmarkEnd w:id="132"/>
            <w:bookmarkEnd w:id="133"/>
            <w:bookmarkEnd w:id="134"/>
            <w:bookmarkEnd w:id="135"/>
            <w:bookmarkEnd w:id="136"/>
            <w:bookmarkEnd w:id="137"/>
            <w:bookmarkEnd w:id="138"/>
            <w:bookmarkEnd w:id="139"/>
            <w:bookmarkEnd w:id="140"/>
            <w:bookmarkEnd w:id="141"/>
            <w:bookmarkEnd w:id="142"/>
          </w:p>
        </w:tc>
        <w:tc>
          <w:tcPr>
            <w:tcW w:w="4775" w:type="pct"/>
            <w:vAlign w:val="center"/>
          </w:tcPr>
          <w:p w14:paraId="6C58AA7E">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一、废气污染源</w:t>
            </w:r>
          </w:p>
          <w:p w14:paraId="73FD8335">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24"/>
                <w:highlight w:val="none"/>
              </w:rPr>
              <w:t>本项目营运期产生的废气主要为钣金</w:t>
            </w:r>
            <w:r>
              <w:rPr>
                <w:rFonts w:hint="default" w:ascii="Times New Roman" w:hAnsi="Times New Roman" w:cs="Times New Roman"/>
                <w:b w:val="0"/>
                <w:bCs w:val="0"/>
                <w:color w:val="auto"/>
                <w:szCs w:val="24"/>
                <w:highlight w:val="none"/>
                <w:lang w:eastAsia="zh-CN"/>
              </w:rPr>
              <w:t>机</w:t>
            </w:r>
            <w:r>
              <w:rPr>
                <w:rFonts w:hint="default" w:ascii="Times New Roman" w:hAnsi="Times New Roman" w:cs="Times New Roman"/>
                <w:b w:val="0"/>
                <w:bCs w:val="0"/>
                <w:color w:val="auto"/>
                <w:szCs w:val="24"/>
                <w:highlight w:val="none"/>
              </w:rPr>
              <w:t>加工车间的焊接烟尘、打磨、抛光粉尘；铝卷表面预处理生产线的</w:t>
            </w:r>
            <w:r>
              <w:rPr>
                <w:rFonts w:hint="default" w:ascii="Times New Roman" w:hAnsi="Times New Roman" w:cs="Times New Roman"/>
                <w:b w:val="0"/>
                <w:bCs w:val="0"/>
                <w:color w:val="auto"/>
                <w:szCs w:val="24"/>
                <w:highlight w:val="none"/>
                <w:lang w:val="en-US" w:eastAsia="zh-CN"/>
              </w:rPr>
              <w:t>天然气</w:t>
            </w:r>
            <w:r>
              <w:rPr>
                <w:rFonts w:hint="default" w:ascii="Times New Roman" w:hAnsi="Times New Roman" w:cs="Times New Roman"/>
                <w:b w:val="0"/>
                <w:bCs w:val="0"/>
                <w:color w:val="auto"/>
                <w:szCs w:val="24"/>
                <w:highlight w:val="none"/>
              </w:rPr>
              <w:t>燃烧废气</w:t>
            </w:r>
            <w:r>
              <w:rPr>
                <w:rFonts w:hint="default" w:ascii="Times New Roman" w:hAnsi="Times New Roman" w:cs="Times New Roman"/>
                <w:b w:val="0"/>
                <w:bCs w:val="0"/>
                <w:color w:val="auto"/>
                <w:szCs w:val="24"/>
                <w:highlight w:val="none"/>
                <w:lang w:eastAsia="zh-CN"/>
              </w:rPr>
              <w:t>、</w:t>
            </w:r>
            <w:r>
              <w:rPr>
                <w:rFonts w:hint="default" w:ascii="Times New Roman" w:hAnsi="Times New Roman" w:cs="Times New Roman"/>
                <w:b w:val="0"/>
                <w:bCs w:val="0"/>
                <w:color w:val="auto"/>
                <w:szCs w:val="24"/>
                <w:highlight w:val="none"/>
                <w:lang w:val="en-US" w:eastAsia="zh-CN"/>
              </w:rPr>
              <w:t>废水处理设施恶臭、食堂油烟</w:t>
            </w:r>
            <w:r>
              <w:rPr>
                <w:rFonts w:hint="default" w:ascii="Times New Roman" w:hAnsi="Times New Roman" w:cs="Times New Roman"/>
                <w:b w:val="0"/>
                <w:bCs w:val="0"/>
                <w:color w:val="auto"/>
                <w:szCs w:val="32"/>
                <w:highlight w:val="none"/>
              </w:rPr>
              <w:t>。</w:t>
            </w:r>
          </w:p>
          <w:p w14:paraId="48DBD1C7">
            <w:pPr>
              <w:keepNext w:val="0"/>
              <w:keepLines w:val="0"/>
              <w:suppressLineNumbers w:val="0"/>
              <w:spacing w:before="0" w:beforeAutospacing="0" w:after="0" w:afterAutospacing="0"/>
              <w:ind w:left="480" w:leftChars="200" w:right="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1、废气产排源强计算</w:t>
            </w:r>
          </w:p>
          <w:p w14:paraId="46F41AA5">
            <w:pPr>
              <w:keepNext w:val="0"/>
              <w:keepLines w:val="0"/>
              <w:suppressLineNumbers w:val="0"/>
              <w:spacing w:before="0" w:beforeAutospacing="0" w:after="0" w:afterAutospacing="0"/>
              <w:ind w:left="480" w:leftChars="20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焊接烟尘</w:t>
            </w:r>
          </w:p>
          <w:p w14:paraId="44520F43">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项目需要对钣金制品工件进行焊接，焊接工序会产生焊接烟尘，焊接烟尘是金属物质在加热条件下产生的蒸汽经氧化和冷凝而形成的，主要成分为金属氧化物</w:t>
            </w:r>
            <w:r>
              <w:rPr>
                <w:rFonts w:hint="default" w:ascii="Times New Roman" w:hAnsi="Times New Roman" w:cs="Times New Roman"/>
                <w:color w:val="auto"/>
                <w:highlight w:val="none"/>
                <w:lang w:eastAsia="zh-CN"/>
              </w:rPr>
              <w:t>。</w:t>
            </w:r>
          </w:p>
          <w:p w14:paraId="31AF668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vertAlign w:val="baseline"/>
                <w:lang w:val="en-US" w:eastAsia="zh-CN"/>
              </w:rPr>
            </w:pPr>
            <w:r>
              <w:rPr>
                <w:rFonts w:hint="default" w:ascii="Times New Roman" w:hAnsi="Times New Roman" w:cs="Times New Roman"/>
                <w:color w:val="auto"/>
                <w:highlight w:val="none"/>
                <w:lang w:val="en-US" w:eastAsia="zh-CN"/>
              </w:rPr>
              <w:t>本项目利用铝卷开卷产生的边角料作为焊料，按单件产品焊接长度为1.5m（取钣金件长宽的平均值）、宽度为0.01m，厚度为0.001m计算，计算得单件产品所需焊料为0.000015m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，项目设计年加工工件50万件（年加工100万</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，单件工件按2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vertAlign w:val="baseline"/>
                <w:lang w:val="en-US" w:eastAsia="zh-CN"/>
              </w:rPr>
              <w:t>折算），约</w:t>
            </w:r>
            <w:r>
              <w:rPr>
                <w:rFonts w:hint="default" w:ascii="Times New Roman" w:hAnsi="Times New Roman" w:cs="Times New Roman"/>
                <w:color w:val="auto"/>
                <w:highlight w:val="none"/>
                <w:lang w:val="en-US" w:eastAsia="zh-CN"/>
              </w:rPr>
              <w:t>30%的产品需要进行焊接，即为焊接工件15万件，</w:t>
            </w:r>
            <w:r>
              <w:rPr>
                <w:rFonts w:hint="default" w:ascii="Times New Roman" w:hAnsi="Times New Roman" w:cs="Times New Roman"/>
                <w:color w:val="auto"/>
                <w:highlight w:val="none"/>
                <w:vertAlign w:val="baseline"/>
                <w:lang w:val="en-US" w:eastAsia="zh-CN"/>
              </w:rPr>
              <w:t>计算得出所需焊料量为2.25m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，铝密度按2.7t/m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计算，计算得焊料用量为6.08t。</w:t>
            </w:r>
          </w:p>
          <w:p w14:paraId="7D24411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边角料产生量约为铝卷使用量的5%，铝卷使用量为4300t/a，计算得边角料产生量为215t/a。产生的边角料并不能全部利用于焊接工序，根据建设单位提供的生产经验，边角料利用率约为20%，计算得出本项目可利用边角料为43t，可满足本项目焊接工序需要。</w:t>
            </w:r>
          </w:p>
          <w:p w14:paraId="003A7DEF">
            <w:pPr>
              <w:pStyle w:val="106"/>
              <w:keepNext w:val="0"/>
              <w:keepLines w:val="0"/>
              <w:suppressLineNumbers w:val="0"/>
              <w:snapToGrid/>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参考“《排放源统计调查产排污核算方法和系数手册》33-37机械行业系数手册”中“焊接核算环节-焊接-焊接原料：铝和铝合金焊条”的产污系数作为焊接烟尘产污源强计算依据。本项目焊接烟尘（颗粒物）产污系数为20.2kg/t-原料，末端治理由“移动式焊烟净化器”收集处理后，于车间内无组织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项目年工作2400小时</w:t>
            </w:r>
            <w:r>
              <w:rPr>
                <w:rFonts w:hint="default" w:ascii="Times New Roman" w:hAnsi="Times New Roman" w:eastAsia="宋体" w:cs="Times New Roman"/>
                <w:color w:val="auto"/>
                <w:highlight w:val="none"/>
                <w:lang w:val="en-US" w:eastAsia="zh-CN"/>
              </w:rPr>
              <w:t>。</w:t>
            </w:r>
          </w:p>
          <w:p w14:paraId="267C1FD8">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表4-2</w:t>
            </w:r>
            <w:r>
              <w:rPr>
                <w:rFonts w:hint="default" w:ascii="Times New Roman" w:hAnsi="Times New Roman" w:cs="Times New Roman"/>
                <w:b/>
                <w:bCs/>
                <w:color w:val="auto"/>
                <w:sz w:val="21"/>
                <w:szCs w:val="21"/>
                <w:highlight w:val="none"/>
                <w:lang w:val="en-US" w:eastAsia="zh-CN"/>
              </w:rPr>
              <w:t>本项目焊接烟尘产生情况</w:t>
            </w:r>
          </w:p>
          <w:tbl>
            <w:tblPr>
              <w:tblStyle w:val="38"/>
              <w:tblW w:w="91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52"/>
              <w:gridCol w:w="1892"/>
              <w:gridCol w:w="1572"/>
              <w:gridCol w:w="1853"/>
              <w:gridCol w:w="1811"/>
            </w:tblGrid>
            <w:tr w14:paraId="4E4BEA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7"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EF4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焊料用量</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C6F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186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05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焊接烟尘</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81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年工作小时</w:t>
                  </w:r>
                </w:p>
              </w:tc>
            </w:tr>
            <w:tr w14:paraId="11B591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8"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1C0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1EC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kg/t-原料</w:t>
                  </w:r>
                </w:p>
              </w:tc>
              <w:tc>
                <w:tcPr>
                  <w:tcW w:w="8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DAA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10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E3E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CA6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4EFC5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 w:hRule="atLeast"/>
                <w:jc w:val="center"/>
              </w:trPr>
              <w:tc>
                <w:tcPr>
                  <w:tcW w:w="11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AC1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6.08</w:t>
                  </w:r>
                </w:p>
              </w:tc>
              <w:tc>
                <w:tcPr>
                  <w:tcW w:w="10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90B7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8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30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0.123</w:t>
                  </w:r>
                </w:p>
              </w:tc>
              <w:tc>
                <w:tcPr>
                  <w:tcW w:w="10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CC5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0.0513</w:t>
                  </w:r>
                </w:p>
              </w:tc>
              <w:tc>
                <w:tcPr>
                  <w:tcW w:w="9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0F4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bl>
          <w:p w14:paraId="4E5CFE7C">
            <w:pPr>
              <w:pStyle w:val="106"/>
              <w:keepNext w:val="0"/>
              <w:keepLines w:val="0"/>
              <w:suppressLineNumbers w:val="0"/>
              <w:snapToGrid/>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考虑到工艺的特殊性和焊接烟尘收集系统的局限性，焊烟未处于密闭空间收集，</w:t>
            </w:r>
            <w:bookmarkStart w:id="143" w:name="OLE_LINK48"/>
            <w:r>
              <w:rPr>
                <w:rFonts w:hint="default" w:ascii="Times New Roman" w:hAnsi="Times New Roman" w:eastAsia="宋体" w:cs="Times New Roman"/>
                <w:color w:val="auto"/>
                <w:highlight w:val="none"/>
                <w:lang w:val="en-US" w:eastAsia="zh-CN"/>
              </w:rPr>
              <w:t>根据《广东省工业源挥发性有机物减排量核算方法》（2023年修订版）中“表3.3-2废气收集集气效率参考值”的说明，外部集气罩的污染物逸散点控制风速不小于0.3m/s，废气收集效率按30%计。</w:t>
            </w:r>
            <w:bookmarkEnd w:id="143"/>
          </w:p>
          <w:p w14:paraId="7BA4ECC9">
            <w:pPr>
              <w:pStyle w:val="106"/>
              <w:keepNext w:val="0"/>
              <w:keepLines w:val="0"/>
              <w:suppressLineNumbers w:val="0"/>
              <w:snapToGrid/>
              <w:spacing w:before="0" w:beforeAutospacing="0" w:after="0" w:afterAutospacing="0"/>
              <w:ind w:left="0" w:right="0"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焊烟净化器原理：通过风机引力作用，焊烟废气经万向吸尘罩吸入设备进风口，设备进风口处设有阻火器，火花经阻火器被阻留，烟尘气体进入沉降室，利用重力与上行气流，首先将粗粒尘直接降至灰斗，微粒烟尘被滤芯捕集在外表面，洁净气体经滤芯过滤净化后，由滤芯中心流入洁净室，洁净空气又经活性炭过滤器吸附进一步净化后经出风口达标排出。设备操作简单，容易清理维护，可灵活移动于厂房的任意位置，不受发尘点和岗位不固定的约束</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val="en-US" w:eastAsia="zh-CN"/>
              </w:rPr>
              <w:t>参考《滤筒式除尘器》（JB/T10341-2014），滤料的除尘效率应达到99.5%以上，本项目</w:t>
            </w:r>
            <w:r>
              <w:rPr>
                <w:rFonts w:hint="default" w:ascii="Times New Roman" w:hAnsi="Times New Roman" w:cs="Times New Roman"/>
                <w:color w:val="auto"/>
                <w:highlight w:val="none"/>
              </w:rPr>
              <w:t>移动式焊烟净化器</w:t>
            </w:r>
            <w:r>
              <w:rPr>
                <w:rFonts w:hint="default" w:ascii="Times New Roman" w:hAnsi="Times New Roman" w:cs="Times New Roman"/>
                <w:color w:val="auto"/>
                <w:highlight w:val="none"/>
                <w:lang w:val="en-US" w:eastAsia="zh-CN"/>
              </w:rPr>
              <w:t>处理效率</w:t>
            </w:r>
            <w:r>
              <w:rPr>
                <w:rFonts w:hint="default" w:ascii="Times New Roman" w:hAnsi="Times New Roman" w:eastAsia="宋体" w:cs="Times New Roman"/>
                <w:color w:val="auto"/>
                <w:highlight w:val="none"/>
                <w:lang w:val="en-US" w:eastAsia="zh-CN"/>
              </w:rPr>
              <w:t>按99%计。本项目焊接烟尘排放情况如下表所示。</w:t>
            </w:r>
          </w:p>
          <w:p w14:paraId="4C484CE0">
            <w:pPr>
              <w:pStyle w:val="106"/>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表4-3</w:t>
            </w:r>
            <w:r>
              <w:rPr>
                <w:rFonts w:hint="default" w:ascii="Times New Roman" w:hAnsi="Times New Roman" w:eastAsia="宋体" w:cs="Times New Roman"/>
                <w:b/>
                <w:bCs/>
                <w:color w:val="auto"/>
                <w:sz w:val="21"/>
                <w:szCs w:val="21"/>
                <w:highlight w:val="none"/>
                <w:lang w:val="en-US" w:eastAsia="zh-CN"/>
              </w:rPr>
              <w:t>本项目焊接烟尘排放情况</w:t>
            </w:r>
          </w:p>
          <w:tbl>
            <w:tblPr>
              <w:tblStyle w:val="38"/>
              <w:tblW w:w="493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71"/>
              <w:gridCol w:w="1175"/>
              <w:gridCol w:w="1118"/>
              <w:gridCol w:w="1177"/>
              <w:gridCol w:w="663"/>
              <w:gridCol w:w="777"/>
              <w:gridCol w:w="900"/>
              <w:gridCol w:w="1087"/>
              <w:gridCol w:w="1208"/>
            </w:tblGrid>
            <w:tr w14:paraId="2C32A1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8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CE4FF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污染因子</w:t>
                  </w:r>
                </w:p>
              </w:tc>
              <w:tc>
                <w:tcPr>
                  <w:tcW w:w="6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BEFD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6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8B3EA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w:t>
                  </w:r>
                </w:p>
                <w:p w14:paraId="0C081FA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（kg/h）</w:t>
                  </w:r>
                </w:p>
              </w:tc>
              <w:tc>
                <w:tcPr>
                  <w:tcW w:w="6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3728E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废气处理工艺</w:t>
                  </w:r>
                </w:p>
              </w:tc>
              <w:tc>
                <w:tcPr>
                  <w:tcW w:w="361" w:type="pct"/>
                  <w:vMerge w:val="restart"/>
                  <w:tcBorders>
                    <w:top w:val="single" w:color="000000" w:sz="4" w:space="0"/>
                    <w:left w:val="single" w:color="000000" w:sz="4" w:space="0"/>
                    <w:right w:val="single" w:color="000000" w:sz="4" w:space="0"/>
                  </w:tcBorders>
                  <w:shd w:val="clear" w:color="auto" w:fill="auto"/>
                  <w:vAlign w:val="center"/>
                </w:tcPr>
                <w:p w14:paraId="7F95C89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p>
              </w:tc>
              <w:tc>
                <w:tcPr>
                  <w:tcW w:w="423" w:type="pct"/>
                  <w:vMerge w:val="restart"/>
                  <w:tcBorders>
                    <w:top w:val="single" w:color="000000" w:sz="4" w:space="0"/>
                    <w:left w:val="single" w:color="000000" w:sz="4" w:space="0"/>
                    <w:right w:val="single" w:color="000000" w:sz="4" w:space="0"/>
                  </w:tcBorders>
                  <w:shd w:val="clear" w:color="auto" w:fill="auto"/>
                  <w:vAlign w:val="center"/>
                </w:tcPr>
                <w:p w14:paraId="0BECBF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4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3CE11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处理量（t/a）</w:t>
                  </w:r>
                </w:p>
              </w:tc>
              <w:tc>
                <w:tcPr>
                  <w:tcW w:w="12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3B57A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无组织排放</w:t>
                  </w:r>
                </w:p>
              </w:tc>
            </w:tr>
            <w:tr w14:paraId="68E45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5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FC55D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1CA22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D194C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D3A7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61" w:type="pct"/>
                  <w:vMerge w:val="continue"/>
                  <w:tcBorders>
                    <w:left w:val="single" w:color="000000" w:sz="4" w:space="0"/>
                    <w:bottom w:val="single" w:color="000000" w:sz="4" w:space="0"/>
                    <w:right w:val="single" w:color="000000" w:sz="4" w:space="0"/>
                  </w:tcBorders>
                  <w:shd w:val="clear" w:color="auto" w:fill="auto"/>
                  <w:vAlign w:val="center"/>
                </w:tcPr>
                <w:p w14:paraId="2AE3608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423" w:type="pct"/>
                  <w:vMerge w:val="continue"/>
                  <w:tcBorders>
                    <w:left w:val="single" w:color="000000" w:sz="4" w:space="0"/>
                    <w:bottom w:val="single" w:color="000000" w:sz="4" w:space="0"/>
                    <w:right w:val="single" w:color="000000" w:sz="4" w:space="0"/>
                  </w:tcBorders>
                  <w:shd w:val="clear" w:color="auto" w:fill="auto"/>
                  <w:vAlign w:val="center"/>
                </w:tcPr>
                <w:p w14:paraId="644FECC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p>
              </w:tc>
              <w:tc>
                <w:tcPr>
                  <w:tcW w:w="4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00629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11714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6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7EE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排放速率（kg/h）</w:t>
                  </w:r>
                </w:p>
              </w:tc>
            </w:tr>
            <w:tr w14:paraId="019AA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C573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CC54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0.123</w:t>
                  </w:r>
                </w:p>
              </w:tc>
              <w:tc>
                <w:tcPr>
                  <w:tcW w:w="6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0CCF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0.0513</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4306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移动式焊烟净化器</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8C15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4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E22F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4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AB151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0.037</w:t>
                  </w:r>
                </w:p>
              </w:tc>
              <w:tc>
                <w:tcPr>
                  <w:tcW w:w="59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0C6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0.0865</w:t>
                  </w:r>
                </w:p>
              </w:tc>
              <w:tc>
                <w:tcPr>
                  <w:tcW w:w="6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E545F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0.036</w:t>
                  </w:r>
                </w:p>
              </w:tc>
            </w:tr>
          </w:tbl>
          <w:p w14:paraId="16F8CFC4">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）天然气燃烧废气</w:t>
            </w:r>
          </w:p>
          <w:p w14:paraId="7F4B44A3">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GB"/>
              </w:rPr>
              <w:t>本项目烘水炉以天然气为燃料，</w:t>
            </w:r>
            <w:r>
              <w:rPr>
                <w:rFonts w:hint="default" w:ascii="Times New Roman" w:hAnsi="Times New Roman" w:eastAsia="宋体" w:cs="Times New Roman"/>
                <w:color w:val="auto"/>
                <w:highlight w:val="none"/>
                <w:lang w:val="en-US" w:eastAsia="zh-CN"/>
              </w:rPr>
              <w:t>本项目天然气用量为</w:t>
            </w:r>
            <w:r>
              <w:rPr>
                <w:rFonts w:hint="default" w:ascii="Times New Roman" w:hAnsi="Times New Roman" w:cs="Times New Roman"/>
                <w:color w:val="auto"/>
                <w:highlight w:val="none"/>
                <w:lang w:val="en-US" w:eastAsia="zh-CN"/>
              </w:rPr>
              <w:t>59443</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/a。本项目使用天然气属于《天然气》（GB17820-2018）中的二类气体，其含硫量≤100mg/m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。天然气燃烧过程中，氮氧化物、二氧化硫和工业废气量参考《排放源统计调查产排污核算方法和系数手册》中“机械行业系数手册”内“14涂装天然气工业炉窑”产污系数。</w:t>
            </w:r>
            <w:r>
              <w:rPr>
                <w:rFonts w:hint="default" w:ascii="Times New Roman" w:hAnsi="Times New Roman" w:cs="Times New Roman"/>
                <w:color w:val="auto"/>
                <w:kern w:val="0"/>
                <w:highlight w:val="none"/>
                <w:lang w:bidi="ar"/>
              </w:rPr>
              <w:t>本项目烘水炉年工作时间2400h</w:t>
            </w:r>
            <w:r>
              <w:rPr>
                <w:rFonts w:hint="default" w:ascii="Times New Roman" w:hAnsi="Times New Roman" w:cs="Times New Roman"/>
                <w:color w:val="auto"/>
                <w:kern w:val="0"/>
                <w:highlight w:val="none"/>
                <w:lang w:eastAsia="zh-CN" w:bidi="ar"/>
              </w:rPr>
              <w:t>。</w:t>
            </w:r>
          </w:p>
          <w:p w14:paraId="355AB5D7">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燃烧机燃烧天然气的污染物产生情况如下：</w:t>
            </w:r>
          </w:p>
          <w:p w14:paraId="66F9A2CD">
            <w:pPr>
              <w:keepNext w:val="0"/>
              <w:keepLines w:val="0"/>
              <w:widowControl/>
              <w:numPr>
                <w:ilvl w:val="0"/>
                <w:numId w:val="0"/>
              </w:numPr>
              <w:suppressLineNumbers w:val="0"/>
              <w:tabs>
                <w:tab w:val="left" w:pos="0"/>
              </w:tabs>
              <w:spacing w:before="0" w:beforeAutospacing="0" w:after="0" w:afterAutospacing="0" w:line="360" w:lineRule="auto"/>
              <w:ind w:left="0" w:leftChars="0" w:right="0" w:rightChars="0" w:firstLine="4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表4-4</w:t>
            </w:r>
            <w:r>
              <w:rPr>
                <w:rFonts w:hint="default" w:ascii="Times New Roman" w:hAnsi="Times New Roman" w:cs="Times New Roman"/>
                <w:b/>
                <w:bCs/>
                <w:color w:val="auto"/>
                <w:sz w:val="21"/>
                <w:szCs w:val="21"/>
                <w:highlight w:val="none"/>
                <w:lang w:bidi="ar"/>
              </w:rPr>
              <w:t>天然气燃烧废气产生情况一览表</w:t>
            </w:r>
          </w:p>
          <w:tbl>
            <w:tblPr>
              <w:tblStyle w:val="38"/>
              <w:tblW w:w="4991"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6"/>
              <w:gridCol w:w="1450"/>
              <w:gridCol w:w="1940"/>
              <w:gridCol w:w="1270"/>
              <w:gridCol w:w="1921"/>
              <w:gridCol w:w="1615"/>
            </w:tblGrid>
            <w:tr w14:paraId="26EAE3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7"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F04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56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参数</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7A55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6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0EE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天然气消耗量</w:t>
                  </w: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75F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E6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r>
            <w:tr w14:paraId="68EE2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632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45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工业废气量</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CECF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p w14:paraId="41F50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2B5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59443</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7C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80.84</w:t>
                  </w:r>
                  <w:r>
                    <w:rPr>
                      <w:rFonts w:hint="default" w:ascii="Times New Roman" w:hAnsi="Times New Roman" w:eastAsia="宋体" w:cs="Times New Roman"/>
                      <w:i w:val="0"/>
                      <w:iCs w:val="0"/>
                      <w:color w:val="auto"/>
                      <w:kern w:val="0"/>
                      <w:sz w:val="21"/>
                      <w:szCs w:val="21"/>
                      <w:highlight w:val="none"/>
                      <w:u w:val="none"/>
                      <w:lang w:val="en-US" w:eastAsia="zh-CN" w:bidi="ar"/>
                    </w:rPr>
                    <w:t>万Nm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6D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336.84</w:t>
                  </w:r>
                  <w:r>
                    <w:rPr>
                      <w:rFonts w:hint="default" w:ascii="Times New Roman" w:hAnsi="Times New Roman" w:eastAsia="宋体" w:cs="Times New Roman"/>
                      <w:i w:val="0"/>
                      <w:iCs w:val="0"/>
                      <w:color w:val="auto"/>
                      <w:kern w:val="0"/>
                      <w:sz w:val="21"/>
                      <w:szCs w:val="21"/>
                      <w:highlight w:val="none"/>
                      <w:u w:val="none"/>
                      <w:lang w:val="en-US" w:eastAsia="zh-CN" w:bidi="ar"/>
                    </w:rPr>
                    <w:t>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r>
            <w:tr w14:paraId="495C8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B77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AC86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0998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0.000002S</w:t>
                  </w:r>
                </w:p>
                <w:p w14:paraId="46EBD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52E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8967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0.012</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93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5</w:t>
                  </w:r>
                </w:p>
              </w:tc>
            </w:tr>
            <w:tr w14:paraId="0EB2A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39BE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9E9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D4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0.00187</w:t>
                  </w:r>
                </w:p>
                <w:p w14:paraId="0ED1C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BB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86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0.111</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EE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0.0463</w:t>
                  </w:r>
                </w:p>
              </w:tc>
            </w:tr>
            <w:tr w14:paraId="677B7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4" w:hRule="atLeast"/>
                <w:jc w:val="center"/>
              </w:trPr>
              <w:tc>
                <w:tcPr>
                  <w:tcW w:w="5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6A7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8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88E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烟尘</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F10B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0.000286</w:t>
                  </w:r>
                </w:p>
                <w:p w14:paraId="377660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（kg/m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-燃料）</w:t>
                  </w:r>
                </w:p>
              </w:tc>
              <w:tc>
                <w:tcPr>
                  <w:tcW w:w="68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3A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2C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17</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8D7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071</w:t>
                  </w:r>
                </w:p>
              </w:tc>
            </w:tr>
            <w:tr w14:paraId="6A816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3" w:hRule="atLeast"/>
                <w:jc w:val="center"/>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45148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的产生系数为0.000002S，其中S为燃料中的含硫量，根据《天然气》（GB17820-2018）中的二类标准含S量最高不超100mg/m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计算，即S取100。</w:t>
                  </w:r>
                </w:p>
              </w:tc>
            </w:tr>
          </w:tbl>
          <w:p w14:paraId="21DC645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烘水炉燃烧机燃烧天然气产生的热烟气，经烘水通道首尾两端设置的集气罩收集，与烘水通道设置的直连排风管一并引至15m高排气筒</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DA001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高空排放。</w:t>
            </w:r>
          </w:p>
          <w:p w14:paraId="45B05AD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根据建设项目提供环保工程资料，</w:t>
            </w:r>
            <w:r>
              <w:rPr>
                <w:rFonts w:hint="default" w:ascii="Times New Roman" w:hAnsi="Times New Roman" w:cs="Times New Roman"/>
                <w:color w:val="auto"/>
                <w:sz w:val="24"/>
                <w:highlight w:val="none"/>
                <w:lang w:val="en-US" w:eastAsia="zh-CN"/>
              </w:rPr>
              <w:t>烘水通道</w:t>
            </w:r>
            <w:r>
              <w:rPr>
                <w:rFonts w:hint="default" w:ascii="Times New Roman" w:hAnsi="Times New Roman" w:cs="Times New Roman"/>
                <w:color w:val="auto"/>
                <w:sz w:val="24"/>
                <w:highlight w:val="none"/>
              </w:rPr>
              <w:t>集气罩尺寸配置及风量计算如下表所示。</w:t>
            </w:r>
          </w:p>
          <w:p w14:paraId="6131D89B">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表4-5</w:t>
            </w:r>
            <w:r>
              <w:rPr>
                <w:rFonts w:hint="default" w:ascii="Times New Roman" w:hAnsi="Times New Roman" w:cs="Times New Roman"/>
                <w:b/>
                <w:bCs/>
                <w:color w:val="auto"/>
                <w:sz w:val="21"/>
                <w:szCs w:val="21"/>
                <w:highlight w:val="none"/>
                <w:lang w:val="en-US" w:eastAsia="zh-CN"/>
              </w:rPr>
              <w:t>天然气燃烧</w:t>
            </w:r>
            <w:r>
              <w:rPr>
                <w:rFonts w:hint="default" w:ascii="Times New Roman" w:hAnsi="Times New Roman" w:cs="Times New Roman"/>
                <w:b/>
                <w:bCs/>
                <w:color w:val="auto"/>
                <w:sz w:val="21"/>
                <w:szCs w:val="21"/>
                <w:highlight w:val="none"/>
              </w:rPr>
              <w:t>废气集气罩风量一览表</w:t>
            </w:r>
          </w:p>
          <w:tbl>
            <w:tblPr>
              <w:tblStyle w:val="38"/>
              <w:tblW w:w="91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26"/>
              <w:gridCol w:w="1056"/>
              <w:gridCol w:w="684"/>
              <w:gridCol w:w="639"/>
              <w:gridCol w:w="696"/>
              <w:gridCol w:w="929"/>
              <w:gridCol w:w="837"/>
              <w:gridCol w:w="1031"/>
              <w:gridCol w:w="754"/>
              <w:gridCol w:w="1224"/>
            </w:tblGrid>
            <w:tr w14:paraId="32D95D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0" w:hRule="atLeast"/>
                <w:jc w:val="center"/>
              </w:trPr>
              <w:tc>
                <w:tcPr>
                  <w:tcW w:w="72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666C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产污类别</w:t>
                  </w:r>
                </w:p>
              </w:tc>
              <w:tc>
                <w:tcPr>
                  <w:tcW w:w="57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6232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产污设备</w:t>
                  </w:r>
                </w:p>
              </w:tc>
              <w:tc>
                <w:tcPr>
                  <w:tcW w:w="3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2A3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设备数量</w:t>
                  </w:r>
                </w:p>
              </w:tc>
              <w:tc>
                <w:tcPr>
                  <w:tcW w:w="1689"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F3F74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集气罩参数</w:t>
                  </w:r>
                </w:p>
              </w:tc>
              <w:tc>
                <w:tcPr>
                  <w:tcW w:w="5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4B3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单个集气罩风量m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4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A1D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总集气罩数量</w:t>
                  </w:r>
                </w:p>
              </w:tc>
              <w:tc>
                <w:tcPr>
                  <w:tcW w:w="6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46D7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集气罩计算总风量m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510566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72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46CB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7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299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150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F39A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长度m</w:t>
                  </w:r>
                </w:p>
              </w:tc>
              <w:tc>
                <w:tcPr>
                  <w:tcW w:w="3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AA6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宽度m</w:t>
                  </w:r>
                </w:p>
              </w:tc>
              <w:tc>
                <w:tcPr>
                  <w:tcW w:w="5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E53A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至罩口距离m</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B70A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控制风速m/s</w:t>
                  </w:r>
                </w:p>
              </w:tc>
              <w:tc>
                <w:tcPr>
                  <w:tcW w:w="5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ED7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0697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5FF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4ACE4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7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BA7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天然气燃烧废气（DA001）</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C0D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烘水通道</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315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3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52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default" w:ascii="Times New Roman" w:hAnsi="Times New Roman" w:cs="Times New Roman"/>
                      <w:i w:val="0"/>
                      <w:iCs w:val="0"/>
                      <w:color w:val="auto"/>
                      <w:kern w:val="0"/>
                      <w:sz w:val="21"/>
                      <w:szCs w:val="21"/>
                      <w:highlight w:val="none"/>
                      <w:u w:val="none"/>
                      <w:lang w:val="en-US" w:eastAsia="zh-CN" w:bidi="ar"/>
                    </w:rPr>
                    <w:t>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3F5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6C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C59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5</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4E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3326.4</w:t>
                  </w:r>
                </w:p>
              </w:tc>
              <w:tc>
                <w:tcPr>
                  <w:tcW w:w="4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4C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2</w:t>
                  </w:r>
                </w:p>
              </w:tc>
              <w:tc>
                <w:tcPr>
                  <w:tcW w:w="6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D96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6652.8</w:t>
                  </w:r>
                </w:p>
              </w:tc>
            </w:tr>
            <w:tr w14:paraId="759415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5000" w:type="pct"/>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6108D0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注：在烘干通道两端各设置1集气罩。</w:t>
                  </w:r>
                </w:p>
              </w:tc>
            </w:tr>
            <w:tr w14:paraId="0BB09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00" w:type="pct"/>
                  <w:gridSpan w:val="10"/>
                  <w:tcBorders>
                    <w:top w:val="single" w:color="000000" w:sz="4" w:space="0"/>
                    <w:left w:val="single" w:color="000000" w:sz="4" w:space="0"/>
                    <w:bottom w:val="single" w:color="000000" w:sz="4" w:space="0"/>
                    <w:right w:val="single" w:color="000000" w:sz="4" w:space="0"/>
                  </w:tcBorders>
                  <w:shd w:val="clear" w:color="auto" w:fill="auto"/>
                  <w:vAlign w:val="center"/>
                </w:tcPr>
                <w:p w14:paraId="51AA1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420" w:firstLineChars="200"/>
                    <w:jc w:val="both"/>
                    <w:textAlignment w:val="auto"/>
                    <w:rPr>
                      <w:rStyle w:val="80"/>
                      <w:rFonts w:hint="default" w:ascii="Times New Roman" w:hAnsi="Times New Roman" w:cs="Times New Roman"/>
                      <w:color w:val="auto"/>
                      <w:sz w:val="21"/>
                      <w:szCs w:val="21"/>
                      <w:highlight w:val="none"/>
                    </w:rPr>
                  </w:pPr>
                  <w:r>
                    <w:rPr>
                      <w:rStyle w:val="80"/>
                      <w:rFonts w:hint="default" w:ascii="Times New Roman" w:hAnsi="Times New Roman" w:cs="Times New Roman"/>
                      <w:color w:val="auto"/>
                      <w:sz w:val="21"/>
                      <w:szCs w:val="21"/>
                      <w:highlight w:val="none"/>
                    </w:rPr>
                    <w:t>依据《简明通风设计手册》[主编：孙一坚（湖南大学），中国建筑工业出版社出版]，上吸式集气罩的排风量计算公式为：</w:t>
                  </w:r>
                </w:p>
                <w:p w14:paraId="4F916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630" w:firstLineChars="30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Q=K×P×H×V</w:t>
                  </w:r>
                  <w:r>
                    <w:rPr>
                      <w:rFonts w:hint="default" w:ascii="Times New Roman" w:hAnsi="Times New Roman" w:cs="Times New Roman"/>
                      <w:color w:val="auto"/>
                      <w:sz w:val="21"/>
                      <w:szCs w:val="21"/>
                      <w:highlight w:val="none"/>
                      <w:vertAlign w:val="subscript"/>
                    </w:rPr>
                    <w:t>x</w:t>
                  </w:r>
                  <w:r>
                    <w:rPr>
                      <w:rFonts w:hint="default" w:ascii="Times New Roman" w:hAnsi="Times New Roman" w:cs="Times New Roman"/>
                      <w:color w:val="auto"/>
                      <w:sz w:val="21"/>
                      <w:szCs w:val="21"/>
                      <w:highlight w:val="none"/>
                    </w:rPr>
                    <w:t>×3600</w:t>
                  </w:r>
                </w:p>
                <w:p w14:paraId="25F28F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auto"/>
                    <w:rPr>
                      <w:rStyle w:val="80"/>
                      <w:rFonts w:hint="default" w:ascii="Times New Roman" w:hAnsi="Times New Roman" w:cs="Times New Roman"/>
                      <w:color w:val="auto"/>
                      <w:sz w:val="21"/>
                      <w:szCs w:val="21"/>
                      <w:highlight w:val="none"/>
                    </w:rPr>
                  </w:pPr>
                  <w:r>
                    <w:rPr>
                      <w:rStyle w:val="80"/>
                      <w:rFonts w:hint="default" w:ascii="Times New Roman" w:hAnsi="Times New Roman" w:cs="Times New Roman"/>
                      <w:color w:val="auto"/>
                      <w:sz w:val="21"/>
                      <w:szCs w:val="21"/>
                      <w:highlight w:val="none"/>
                    </w:rPr>
                    <w:t>式中：</w:t>
                  </w:r>
                </w:p>
                <w:p w14:paraId="47088B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840" w:firstLineChars="400"/>
                    <w:jc w:val="both"/>
                    <w:textAlignment w:val="auto"/>
                    <w:rPr>
                      <w:rStyle w:val="80"/>
                      <w:rFonts w:hint="default" w:ascii="Times New Roman" w:hAnsi="Times New Roman" w:cs="Times New Roman"/>
                      <w:color w:val="auto"/>
                      <w:sz w:val="21"/>
                      <w:szCs w:val="21"/>
                      <w:highlight w:val="none"/>
                    </w:rPr>
                  </w:pPr>
                  <w:r>
                    <w:rPr>
                      <w:rStyle w:val="107"/>
                      <w:rFonts w:hint="default" w:ascii="Times New Roman" w:hAnsi="Times New Roman" w:cs="Times New Roman"/>
                      <w:color w:val="auto"/>
                      <w:sz w:val="21"/>
                      <w:szCs w:val="21"/>
                      <w:highlight w:val="none"/>
                    </w:rPr>
                    <w:t>Q</w:t>
                  </w:r>
                  <w:r>
                    <w:rPr>
                      <w:rStyle w:val="80"/>
                      <w:rFonts w:hint="default" w:ascii="Times New Roman" w:hAnsi="Times New Roman" w:cs="Times New Roman"/>
                      <w:color w:val="auto"/>
                      <w:sz w:val="21"/>
                      <w:szCs w:val="21"/>
                      <w:highlight w:val="none"/>
                    </w:rPr>
                    <w:t>：集气罩排风量，</w:t>
                  </w:r>
                  <w:r>
                    <w:rPr>
                      <w:rStyle w:val="107"/>
                      <w:rFonts w:hint="default" w:ascii="Times New Roman" w:hAnsi="Times New Roman" w:cs="Times New Roman"/>
                      <w:color w:val="auto"/>
                      <w:sz w:val="21"/>
                      <w:szCs w:val="21"/>
                      <w:highlight w:val="none"/>
                    </w:rPr>
                    <w:t>m</w:t>
                  </w:r>
                  <w:r>
                    <w:rPr>
                      <w:rStyle w:val="107"/>
                      <w:rFonts w:hint="default" w:ascii="Times New Roman" w:hAnsi="Times New Roman" w:cs="Times New Roman"/>
                      <w:color w:val="auto"/>
                      <w:sz w:val="21"/>
                      <w:szCs w:val="21"/>
                      <w:highlight w:val="none"/>
                      <w:vertAlign w:val="superscript"/>
                    </w:rPr>
                    <w:t>3</w:t>
                  </w:r>
                  <w:r>
                    <w:rPr>
                      <w:rStyle w:val="107"/>
                      <w:rFonts w:hint="default" w:ascii="Times New Roman" w:hAnsi="Times New Roman" w:cs="Times New Roman"/>
                      <w:color w:val="auto"/>
                      <w:sz w:val="21"/>
                      <w:szCs w:val="21"/>
                      <w:highlight w:val="none"/>
                    </w:rPr>
                    <w:t>/h</w:t>
                  </w:r>
                  <w:r>
                    <w:rPr>
                      <w:rStyle w:val="80"/>
                      <w:rFonts w:hint="default" w:ascii="Times New Roman" w:hAnsi="Times New Roman" w:cs="Times New Roman"/>
                      <w:color w:val="auto"/>
                      <w:sz w:val="21"/>
                      <w:szCs w:val="21"/>
                      <w:highlight w:val="none"/>
                    </w:rPr>
                    <w:t>；</w:t>
                  </w:r>
                </w:p>
                <w:p w14:paraId="1F2304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840" w:firstLineChars="400"/>
                    <w:jc w:val="both"/>
                    <w:textAlignment w:val="auto"/>
                    <w:rPr>
                      <w:rStyle w:val="107"/>
                      <w:rFonts w:hint="default" w:ascii="Times New Roman" w:hAnsi="Times New Roman" w:eastAsia="宋体" w:cs="Times New Roman"/>
                      <w:color w:val="auto"/>
                      <w:sz w:val="21"/>
                      <w:szCs w:val="21"/>
                      <w:highlight w:val="none"/>
                    </w:rPr>
                  </w:pPr>
                  <w:r>
                    <w:rPr>
                      <w:rStyle w:val="107"/>
                      <w:rFonts w:hint="default" w:ascii="Times New Roman" w:hAnsi="Times New Roman" w:cs="Times New Roman"/>
                      <w:color w:val="auto"/>
                      <w:sz w:val="21"/>
                      <w:szCs w:val="21"/>
                      <w:highlight w:val="none"/>
                    </w:rPr>
                    <w:t>K</w:t>
                  </w:r>
                  <w:r>
                    <w:rPr>
                      <w:rStyle w:val="80"/>
                      <w:rFonts w:hint="default" w:ascii="Times New Roman" w:hAnsi="Times New Roman" w:cs="Times New Roman"/>
                      <w:color w:val="auto"/>
                      <w:sz w:val="21"/>
                      <w:szCs w:val="21"/>
                      <w:highlight w:val="none"/>
                    </w:rPr>
                    <w:t>：考虑沿高度分布不均匀的安全系数，通常取</w:t>
                  </w:r>
                  <w:r>
                    <w:rPr>
                      <w:rStyle w:val="107"/>
                      <w:rFonts w:hint="default" w:ascii="Times New Roman" w:hAnsi="Times New Roman" w:eastAsia="宋体" w:cs="Times New Roman"/>
                      <w:color w:val="auto"/>
                      <w:sz w:val="21"/>
                      <w:szCs w:val="21"/>
                      <w:highlight w:val="none"/>
                    </w:rPr>
                    <w:t>1.4；</w:t>
                  </w:r>
                </w:p>
                <w:p w14:paraId="55D36B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840" w:firstLineChars="400"/>
                    <w:jc w:val="both"/>
                    <w:textAlignment w:val="auto"/>
                    <w:rPr>
                      <w:rStyle w:val="80"/>
                      <w:rFonts w:hint="default" w:ascii="Times New Roman" w:hAnsi="Times New Roman" w:cs="Times New Roman"/>
                      <w:color w:val="auto"/>
                      <w:sz w:val="21"/>
                      <w:szCs w:val="21"/>
                      <w:highlight w:val="none"/>
                    </w:rPr>
                  </w:pPr>
                  <w:r>
                    <w:rPr>
                      <w:rStyle w:val="107"/>
                      <w:rFonts w:hint="default" w:ascii="Times New Roman" w:hAnsi="Times New Roman" w:cs="Times New Roman"/>
                      <w:color w:val="auto"/>
                      <w:sz w:val="21"/>
                      <w:szCs w:val="21"/>
                      <w:highlight w:val="none"/>
                    </w:rPr>
                    <w:t>P</w:t>
                  </w:r>
                  <w:r>
                    <w:rPr>
                      <w:rStyle w:val="80"/>
                      <w:rFonts w:hint="default" w:ascii="Times New Roman" w:hAnsi="Times New Roman" w:cs="Times New Roman"/>
                      <w:color w:val="auto"/>
                      <w:sz w:val="21"/>
                      <w:szCs w:val="21"/>
                      <w:highlight w:val="none"/>
                    </w:rPr>
                    <w:t>：集气罩的周长，</w:t>
                  </w:r>
                  <w:r>
                    <w:rPr>
                      <w:rStyle w:val="107"/>
                      <w:rFonts w:hint="default" w:ascii="Times New Roman" w:hAnsi="Times New Roman" w:cs="Times New Roman"/>
                      <w:color w:val="auto"/>
                      <w:sz w:val="21"/>
                      <w:szCs w:val="21"/>
                      <w:highlight w:val="none"/>
                    </w:rPr>
                    <w:t>m；P=2（a+b），a和b分别为集气罩罩口的长宽尺寸</w:t>
                  </w:r>
                  <w:r>
                    <w:rPr>
                      <w:rStyle w:val="80"/>
                      <w:rFonts w:hint="default" w:ascii="Times New Roman" w:hAnsi="Times New Roman" w:cs="Times New Roman"/>
                      <w:color w:val="auto"/>
                      <w:sz w:val="21"/>
                      <w:szCs w:val="21"/>
                      <w:highlight w:val="none"/>
                    </w:rPr>
                    <w:t>，应确保集气罩罩口的长宽大于废气发生源的长宽，a和b可按照废气发生源长宽的110%</w:t>
                  </w:r>
                  <w:r>
                    <w:rPr>
                      <w:rStyle w:val="80"/>
                      <w:rFonts w:hint="default" w:ascii="Times New Roman" w:hAnsi="Times New Roman" w:cs="Times New Roman"/>
                      <w:color w:val="auto"/>
                      <w:sz w:val="21"/>
                      <w:szCs w:val="21"/>
                      <w:highlight w:val="none"/>
                      <w:lang w:eastAsia="zh-CN"/>
                    </w:rPr>
                    <w:t>～</w:t>
                  </w:r>
                  <w:r>
                    <w:rPr>
                      <w:rStyle w:val="80"/>
                      <w:rFonts w:hint="default" w:ascii="Times New Roman" w:hAnsi="Times New Roman" w:cs="Times New Roman"/>
                      <w:color w:val="auto"/>
                      <w:sz w:val="21"/>
                      <w:szCs w:val="21"/>
                      <w:highlight w:val="none"/>
                    </w:rPr>
                    <w:t>120%进行设计。</w:t>
                  </w:r>
                </w:p>
                <w:p w14:paraId="58412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840" w:firstLineChars="400"/>
                    <w:jc w:val="both"/>
                    <w:textAlignment w:val="auto"/>
                    <w:rPr>
                      <w:rFonts w:hint="default" w:ascii="Times New Roman" w:hAnsi="Times New Roman" w:cs="Times New Roman"/>
                      <w:color w:val="auto"/>
                      <w:sz w:val="21"/>
                      <w:szCs w:val="21"/>
                      <w:highlight w:val="none"/>
                    </w:rPr>
                  </w:pPr>
                  <w:r>
                    <w:rPr>
                      <w:rStyle w:val="107"/>
                      <w:rFonts w:hint="default" w:ascii="Times New Roman" w:hAnsi="Times New Roman" w:cs="Times New Roman"/>
                      <w:color w:val="auto"/>
                      <w:sz w:val="21"/>
                      <w:szCs w:val="21"/>
                      <w:highlight w:val="none"/>
                    </w:rPr>
                    <w:t>H</w:t>
                  </w:r>
                  <w:r>
                    <w:rPr>
                      <w:rStyle w:val="80"/>
                      <w:rFonts w:hint="default" w:ascii="Times New Roman" w:hAnsi="Times New Roman" w:cs="Times New Roman"/>
                      <w:color w:val="auto"/>
                      <w:sz w:val="21"/>
                      <w:szCs w:val="21"/>
                      <w:highlight w:val="none"/>
                    </w:rPr>
                    <w:t>：控制点（废气发生源）至罩口的距离，</w:t>
                  </w:r>
                  <w:r>
                    <w:rPr>
                      <w:rStyle w:val="107"/>
                      <w:rFonts w:hint="default" w:ascii="Times New Roman" w:hAnsi="Times New Roman" w:cs="Times New Roman"/>
                      <w:color w:val="auto"/>
                      <w:sz w:val="21"/>
                      <w:szCs w:val="21"/>
                      <w:highlight w:val="none"/>
                    </w:rPr>
                    <w:t>m</w:t>
                  </w:r>
                  <w:r>
                    <w:rPr>
                      <w:rStyle w:val="80"/>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rPr>
                    <w:t>为确保集气罩对废气有较高的收集效率，H应尽可能小于集气罩长边0.3倍，即是H≤0.3a。</w:t>
                  </w:r>
                </w:p>
                <w:p w14:paraId="53295F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firstLine="840" w:firstLineChars="400"/>
                    <w:textAlignment w:val="auto"/>
                    <w:rPr>
                      <w:rFonts w:hint="default" w:ascii="Times New Roman" w:hAnsi="Times New Roman" w:eastAsia="宋体" w:cs="Times New Roman"/>
                      <w:b/>
                      <w:bCs/>
                      <w:i w:val="0"/>
                      <w:iCs w:val="0"/>
                      <w:color w:val="auto"/>
                      <w:kern w:val="0"/>
                      <w:sz w:val="21"/>
                      <w:szCs w:val="21"/>
                      <w:highlight w:val="none"/>
                      <w:u w:val="single"/>
                      <w:lang w:val="en-US" w:eastAsia="zh-CN" w:bidi="ar"/>
                    </w:rPr>
                  </w:pPr>
                  <w:r>
                    <w:rPr>
                      <w:rStyle w:val="107"/>
                      <w:rFonts w:hint="default" w:ascii="Times New Roman" w:hAnsi="Times New Roman" w:cs="Times New Roman"/>
                      <w:color w:val="auto"/>
                      <w:sz w:val="21"/>
                      <w:szCs w:val="21"/>
                      <w:highlight w:val="none"/>
                    </w:rPr>
                    <w:t>V</w:t>
                  </w:r>
                  <w:r>
                    <w:rPr>
                      <w:rStyle w:val="107"/>
                      <w:rFonts w:hint="default" w:ascii="Times New Roman" w:hAnsi="Times New Roman" w:cs="Times New Roman"/>
                      <w:color w:val="auto"/>
                      <w:sz w:val="21"/>
                      <w:szCs w:val="21"/>
                      <w:highlight w:val="none"/>
                      <w:vertAlign w:val="subscript"/>
                    </w:rPr>
                    <w:t>x</w:t>
                  </w:r>
                  <w:r>
                    <w:rPr>
                      <w:rStyle w:val="80"/>
                      <w:rFonts w:hint="default" w:ascii="Times New Roman" w:hAnsi="Times New Roman" w:cs="Times New Roman"/>
                      <w:color w:val="auto"/>
                      <w:sz w:val="21"/>
                      <w:szCs w:val="21"/>
                      <w:highlight w:val="none"/>
                    </w:rPr>
                    <w:t>：控制风速，m/s；本项目取0.</w:t>
                  </w:r>
                  <w:r>
                    <w:rPr>
                      <w:rStyle w:val="80"/>
                      <w:rFonts w:hint="default" w:ascii="Times New Roman" w:hAnsi="Times New Roman" w:cs="Times New Roman"/>
                      <w:color w:val="auto"/>
                      <w:sz w:val="21"/>
                      <w:szCs w:val="21"/>
                      <w:highlight w:val="none"/>
                      <w:lang w:val="en-US" w:eastAsia="zh-CN"/>
                    </w:rPr>
                    <w:t>5</w:t>
                  </w:r>
                  <w:r>
                    <w:rPr>
                      <w:rStyle w:val="80"/>
                      <w:rFonts w:hint="default" w:ascii="Times New Roman" w:hAnsi="Times New Roman" w:cs="Times New Roman"/>
                      <w:color w:val="auto"/>
                      <w:sz w:val="21"/>
                      <w:szCs w:val="21"/>
                      <w:highlight w:val="none"/>
                    </w:rPr>
                    <w:t>m/s</w:t>
                  </w:r>
                </w:p>
              </w:tc>
            </w:tr>
          </w:tbl>
          <w:p w14:paraId="4632B06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val="en-US" w:eastAsia="zh-CN"/>
              </w:rPr>
              <w:t>每条</w:t>
            </w:r>
            <w:r>
              <w:rPr>
                <w:rFonts w:hint="default" w:ascii="Times New Roman" w:hAnsi="Times New Roman" w:cs="Times New Roman"/>
                <w:color w:val="auto"/>
                <w:sz w:val="24"/>
                <w:highlight w:val="none"/>
              </w:rPr>
              <w:t>烘水通道</w:t>
            </w:r>
            <w:r>
              <w:rPr>
                <w:rFonts w:hint="default" w:ascii="Times New Roman" w:hAnsi="Times New Roman" w:cs="Times New Roman"/>
                <w:color w:val="auto"/>
                <w:sz w:val="24"/>
                <w:highlight w:val="none"/>
                <w:lang w:val="en-US" w:eastAsia="zh-CN"/>
              </w:rPr>
              <w:t>各</w:t>
            </w:r>
            <w:r>
              <w:rPr>
                <w:rFonts w:hint="default" w:ascii="Times New Roman" w:hAnsi="Times New Roman" w:cs="Times New Roman"/>
                <w:color w:val="auto"/>
                <w:sz w:val="24"/>
                <w:highlight w:val="none"/>
              </w:rPr>
              <w:t>设置的</w:t>
            </w:r>
            <w:r>
              <w:rPr>
                <w:rFonts w:hint="default" w:ascii="Times New Roman" w:hAnsi="Times New Roman" w:cs="Times New Roman"/>
                <w:color w:val="auto"/>
                <w:sz w:val="24"/>
                <w:highlight w:val="none"/>
                <w:lang w:val="en-US" w:eastAsia="zh-CN"/>
              </w:rPr>
              <w:t>1条</w:t>
            </w:r>
            <w:r>
              <w:rPr>
                <w:rFonts w:hint="default" w:ascii="Times New Roman" w:hAnsi="Times New Roman" w:cs="Times New Roman"/>
                <w:color w:val="auto"/>
                <w:sz w:val="24"/>
                <w:highlight w:val="none"/>
              </w:rPr>
              <w:t>直连排风管</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参考《环境工程设计手册》中圆形分管的风量计算公式：</w:t>
            </w:r>
          </w:p>
          <w:p w14:paraId="2C42F9F0">
            <w:pPr>
              <w:keepNext w:val="0"/>
              <w:keepLines w:val="0"/>
              <w:suppressLineNumbers w:val="0"/>
              <w:spacing w:before="0" w:beforeAutospacing="0" w:after="0" w:afterAutospacing="0"/>
              <w:ind w:left="480" w:leftChars="200" w:right="0"/>
              <w:jc w:val="center"/>
              <w:rPr>
                <w:rFonts w:hint="default" w:ascii="Times New Roman" w:hAnsi="Times New Roman" w:cs="Times New Roman"/>
                <w:color w:val="auto"/>
                <w:sz w:val="24"/>
                <w:highlight w:val="none"/>
                <w:lang w:eastAsia="zh-CN"/>
              </w:rPr>
            </w:pPr>
            <w:r>
              <w:rPr>
                <w:rFonts w:hint="default" w:ascii="Times New Roman" w:hAnsi="Times New Roman" w:cs="Times New Roman"/>
                <w:color w:val="auto"/>
                <w:highlight w:val="none"/>
              </w:rPr>
              <w:drawing>
                <wp:inline distT="0" distB="0" distL="114300" distR="114300">
                  <wp:extent cx="1827530" cy="391795"/>
                  <wp:effectExtent l="0" t="0" r="1270" b="8255"/>
                  <wp:docPr id="21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0"/>
                          <pic:cNvPicPr>
                            <a:picLocks noChangeAspect="1"/>
                          </pic:cNvPicPr>
                        </pic:nvPicPr>
                        <pic:blipFill>
                          <a:blip r:embed="rId20"/>
                          <a:stretch>
                            <a:fillRect/>
                          </a:stretch>
                        </pic:blipFill>
                        <pic:spPr>
                          <a:xfrm>
                            <a:off x="0" y="0"/>
                            <a:ext cx="1827530" cy="391795"/>
                          </a:xfrm>
                          <a:prstGeom prst="rect">
                            <a:avLst/>
                          </a:prstGeom>
                          <a:noFill/>
                          <a:ln>
                            <a:noFill/>
                          </a:ln>
                        </pic:spPr>
                      </pic:pic>
                    </a:graphicData>
                  </a:graphic>
                </wp:inline>
              </w:drawing>
            </w:r>
          </w:p>
          <w:p w14:paraId="26F4A2BA">
            <w:pPr>
              <w:keepNext w:val="0"/>
              <w:keepLines w:val="0"/>
              <w:suppressLineNumbers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式中：</w:t>
            </w:r>
          </w:p>
          <w:p w14:paraId="56F285A4">
            <w:pPr>
              <w:keepNext w:val="0"/>
              <w:keepLines w:val="0"/>
              <w:suppressLineNumbers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L---集气罩排风量，m</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/h；</w:t>
            </w:r>
          </w:p>
          <w:p w14:paraId="6D41FC1D">
            <w:pPr>
              <w:keepNext w:val="0"/>
              <w:keepLines w:val="0"/>
              <w:suppressLineNumbers w:val="0"/>
              <w:spacing w:before="0" w:beforeAutospacing="0" w:after="0" w:afterAutospacing="0"/>
              <w:ind w:left="480" w:leftChars="200" w:right="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D---分管直径，m，</w:t>
            </w:r>
            <w:r>
              <w:rPr>
                <w:rFonts w:hint="default" w:ascii="Times New Roman" w:hAnsi="Times New Roman" w:cs="Times New Roman"/>
                <w:color w:val="auto"/>
                <w:sz w:val="24"/>
                <w:highlight w:val="none"/>
                <w:lang w:val="en-US" w:eastAsia="zh-CN"/>
              </w:rPr>
              <w:t>本项目分管直径取0.15m</w:t>
            </w:r>
            <w:r>
              <w:rPr>
                <w:rFonts w:hint="default" w:ascii="Times New Roman" w:hAnsi="Times New Roman" w:cs="Times New Roman"/>
                <w:color w:val="auto"/>
                <w:sz w:val="24"/>
                <w:highlight w:val="none"/>
                <w:lang w:eastAsia="zh-CN"/>
              </w:rPr>
              <w:t>；</w:t>
            </w:r>
          </w:p>
          <w:p w14:paraId="5DD72785">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V---断面平均风速，m/s，根据《简明通风设计手册》中表6-10一般通风系统风管内的风速，项目采用钢板及塑料风管，项目干管采用风速为14m/s，本项目断面平均风速取</w:t>
            </w:r>
            <w:r>
              <w:rPr>
                <w:rFonts w:hint="default" w:ascii="Times New Roman" w:hAnsi="Times New Roman" w:cs="Times New Roman"/>
                <w:color w:val="auto"/>
                <w:sz w:val="24"/>
                <w:highlight w:val="none"/>
                <w:lang w:val="en-US" w:eastAsia="zh-CN"/>
              </w:rPr>
              <w:t>14</w:t>
            </w:r>
            <w:r>
              <w:rPr>
                <w:rFonts w:hint="default" w:ascii="Times New Roman" w:hAnsi="Times New Roman" w:cs="Times New Roman"/>
                <w:color w:val="auto"/>
                <w:sz w:val="24"/>
                <w:highlight w:val="none"/>
                <w:lang w:eastAsia="zh-CN"/>
              </w:rPr>
              <w:t>m/s。</w:t>
            </w:r>
          </w:p>
          <w:p w14:paraId="1BFCEF75">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b w:val="0"/>
                <w:bCs w:val="0"/>
                <w:color w:val="auto"/>
                <w:sz w:val="24"/>
                <w:highlight w:val="none"/>
                <w:vertAlign w:val="baseline"/>
                <w:lang w:val="en-US" w:eastAsia="zh-CN"/>
              </w:rPr>
            </w:pPr>
            <w:r>
              <w:rPr>
                <w:rFonts w:hint="default" w:ascii="Times New Roman" w:hAnsi="Times New Roman" w:cs="Times New Roman"/>
                <w:b w:val="0"/>
                <w:bCs w:val="0"/>
                <w:color w:val="auto"/>
                <w:sz w:val="24"/>
                <w:highlight w:val="none"/>
                <w:lang w:val="en-US" w:eastAsia="zh-CN"/>
              </w:rPr>
              <w:t>单条直连排风管风量=3600s×3.14÷4×0.15</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m</w:t>
            </w:r>
            <w:r>
              <w:rPr>
                <w:rFonts w:hint="default" w:ascii="Times New Roman" w:hAnsi="Times New Roman" w:cs="Times New Roman"/>
                <w:b w:val="0"/>
                <w:bCs w:val="0"/>
                <w:color w:val="auto"/>
                <w:sz w:val="24"/>
                <w:highlight w:val="none"/>
                <w:vertAlign w:val="superscript"/>
                <w:lang w:val="en-US" w:eastAsia="zh-CN"/>
              </w:rPr>
              <w:t>2</w:t>
            </w:r>
            <w:r>
              <w:rPr>
                <w:rFonts w:hint="default" w:ascii="Times New Roman" w:hAnsi="Times New Roman" w:cs="Times New Roman"/>
                <w:b w:val="0"/>
                <w:bCs w:val="0"/>
                <w:color w:val="auto"/>
                <w:sz w:val="24"/>
                <w:highlight w:val="none"/>
                <w:vertAlign w:val="baseline"/>
                <w:lang w:val="en-US" w:eastAsia="zh-CN"/>
              </w:rPr>
              <w:t>×14m/s=890.2m</w:t>
            </w:r>
            <w:r>
              <w:rPr>
                <w:rFonts w:hint="default" w:ascii="Times New Roman" w:hAnsi="Times New Roman" w:cs="Times New Roman"/>
                <w:b w:val="0"/>
                <w:bCs w:val="0"/>
                <w:color w:val="auto"/>
                <w:sz w:val="24"/>
                <w:highlight w:val="none"/>
                <w:vertAlign w:val="superscript"/>
                <w:lang w:val="en-US" w:eastAsia="zh-CN"/>
              </w:rPr>
              <w:t>3</w:t>
            </w:r>
            <w:r>
              <w:rPr>
                <w:rFonts w:hint="default" w:ascii="Times New Roman" w:hAnsi="Times New Roman" w:cs="Times New Roman"/>
                <w:b w:val="0"/>
                <w:bCs w:val="0"/>
                <w:color w:val="auto"/>
                <w:sz w:val="24"/>
                <w:highlight w:val="none"/>
                <w:vertAlign w:val="baseline"/>
                <w:lang w:val="en-US" w:eastAsia="zh-CN"/>
              </w:rPr>
              <w:t>/h</w:t>
            </w:r>
          </w:p>
          <w:p w14:paraId="72765412">
            <w:pPr>
              <w:keepNext w:val="0"/>
              <w:keepLines w:val="0"/>
              <w:suppressLineNumbers w:val="0"/>
              <w:spacing w:before="0" w:beforeAutospacing="0" w:after="0" w:afterAutospacing="0"/>
              <w:ind w:left="480" w:leftChars="200" w:right="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本项目天然气燃烧废气收集风量统计如下表所示。</w:t>
            </w:r>
          </w:p>
          <w:p w14:paraId="661F8A00">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表4-6</w:t>
            </w:r>
            <w:r>
              <w:rPr>
                <w:rFonts w:hint="default" w:ascii="Times New Roman" w:hAnsi="Times New Roman" w:cs="Times New Roman"/>
                <w:b/>
                <w:bCs/>
                <w:color w:val="auto"/>
                <w:sz w:val="21"/>
                <w:szCs w:val="21"/>
                <w:highlight w:val="none"/>
                <w:lang w:val="en-US" w:eastAsia="zh-CN"/>
              </w:rPr>
              <w:t>烘水通道天然气燃烧废气合计收集风量一览表</w:t>
            </w:r>
          </w:p>
          <w:tbl>
            <w:tblPr>
              <w:tblStyle w:val="38"/>
              <w:tblW w:w="91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586"/>
              <w:gridCol w:w="2385"/>
              <w:gridCol w:w="1988"/>
              <w:gridCol w:w="2340"/>
            </w:tblGrid>
            <w:tr w14:paraId="661D25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1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097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产污类别</w:t>
                  </w:r>
                </w:p>
              </w:tc>
              <w:tc>
                <w:tcPr>
                  <w:tcW w:w="128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4EF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产污设备</w:t>
                  </w:r>
                </w:p>
              </w:tc>
              <w:tc>
                <w:tcPr>
                  <w:tcW w:w="10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35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集气方式</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A10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计算风量（m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r>
            <w:tr w14:paraId="2680B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255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AD8D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天然气燃烧废气</w:t>
                  </w:r>
                </w:p>
              </w:tc>
              <w:tc>
                <w:tcPr>
                  <w:tcW w:w="2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77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烘水通道首尾两端</w:t>
                  </w:r>
                </w:p>
              </w:tc>
              <w:tc>
                <w:tcPr>
                  <w:tcW w:w="19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609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集气罩</w:t>
                  </w:r>
                </w:p>
              </w:tc>
              <w:tc>
                <w:tcPr>
                  <w:tcW w:w="23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422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6652.8</w:t>
                  </w:r>
                </w:p>
              </w:tc>
            </w:tr>
            <w:tr w14:paraId="467B9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255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1C6DA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2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AC5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烘水通道</w:t>
                  </w:r>
                </w:p>
              </w:tc>
              <w:tc>
                <w:tcPr>
                  <w:tcW w:w="19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DB4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直连管道</w:t>
                  </w:r>
                </w:p>
              </w:tc>
              <w:tc>
                <w:tcPr>
                  <w:tcW w:w="23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B4A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890.2</w:t>
                  </w:r>
                </w:p>
              </w:tc>
            </w:tr>
            <w:tr w14:paraId="41DFF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68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A73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计算风量合计</w:t>
                  </w:r>
                </w:p>
              </w:tc>
              <w:tc>
                <w:tcPr>
                  <w:tcW w:w="2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242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7543</w:t>
                  </w:r>
                </w:p>
              </w:tc>
            </w:tr>
            <w:tr w14:paraId="5759DB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87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03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本环评选取风量</w:t>
                  </w:r>
                </w:p>
              </w:tc>
              <w:tc>
                <w:tcPr>
                  <w:tcW w:w="23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843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500</w:t>
                  </w:r>
                </w:p>
              </w:tc>
            </w:tr>
            <w:tr w14:paraId="63A82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4BC3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备注：本环评考虑到风阻损失等，保守设计风量取</w:t>
                  </w:r>
                  <w:r>
                    <w:rPr>
                      <w:rFonts w:hint="eastAsia" w:cs="Times New Roman"/>
                      <w:b w:val="0"/>
                      <w:bCs w:val="0"/>
                      <w:i w:val="0"/>
                      <w:iCs w:val="0"/>
                      <w:color w:val="auto"/>
                      <w:kern w:val="0"/>
                      <w:sz w:val="21"/>
                      <w:szCs w:val="21"/>
                      <w:highlight w:val="none"/>
                      <w:u w:val="none"/>
                      <w:lang w:val="en-US" w:eastAsia="zh-CN" w:bidi="ar"/>
                    </w:rPr>
                    <w:t>8</w:t>
                  </w:r>
                  <w:r>
                    <w:rPr>
                      <w:rFonts w:hint="default" w:ascii="Times New Roman" w:hAnsi="Times New Roman" w:cs="Times New Roman"/>
                      <w:b w:val="0"/>
                      <w:bCs w:val="0"/>
                      <w:i w:val="0"/>
                      <w:iCs w:val="0"/>
                      <w:color w:val="auto"/>
                      <w:kern w:val="0"/>
                      <w:sz w:val="21"/>
                      <w:szCs w:val="21"/>
                      <w:highlight w:val="none"/>
                      <w:u w:val="none"/>
                      <w:lang w:val="en-US" w:eastAsia="zh-CN" w:bidi="ar"/>
                    </w:rPr>
                    <w:t>500</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/h</w:t>
                  </w:r>
                  <w:r>
                    <w:rPr>
                      <w:rFonts w:hint="default" w:ascii="Times New Roman" w:hAnsi="Times New Roman" w:cs="Times New Roman"/>
                      <w:b w:val="0"/>
                      <w:bCs w:val="0"/>
                      <w:i w:val="0"/>
                      <w:iCs w:val="0"/>
                      <w:color w:val="auto"/>
                      <w:kern w:val="0"/>
                      <w:sz w:val="21"/>
                      <w:szCs w:val="21"/>
                      <w:highlight w:val="none"/>
                      <w:u w:val="none"/>
                      <w:lang w:val="en-US" w:eastAsia="zh-CN" w:bidi="ar"/>
                    </w:rPr>
                    <w:t>，且已包含天然气自身产生的工业废气量。</w:t>
                  </w:r>
                </w:p>
              </w:tc>
            </w:tr>
          </w:tbl>
          <w:p w14:paraId="1F8E2F98">
            <w:pPr>
              <w:pStyle w:val="106"/>
              <w:keepNext w:val="0"/>
              <w:keepLines w:val="0"/>
              <w:suppressLineNumbers w:val="0"/>
              <w:snapToGrid/>
              <w:spacing w:before="0" w:beforeAutospacing="0" w:after="0" w:afterAutospacing="0"/>
              <w:ind w:left="0" w:right="0" w:firstLine="480"/>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根据前文废气产生量和风量计算，本项目燃烧废气产排情况如下表所示。</w:t>
            </w:r>
          </w:p>
          <w:p w14:paraId="6C796194">
            <w:pPr>
              <w:pStyle w:val="106"/>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outlineLvl w:val="9"/>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表4-7</w:t>
            </w:r>
            <w:r>
              <w:rPr>
                <w:rFonts w:hint="default" w:ascii="Times New Roman" w:hAnsi="Times New Roman" w:eastAsia="宋体" w:cs="Times New Roman"/>
                <w:b/>
                <w:bCs/>
                <w:color w:val="auto"/>
                <w:sz w:val="21"/>
                <w:szCs w:val="21"/>
                <w:highlight w:val="none"/>
                <w:lang w:val="en-US" w:eastAsia="zh-CN"/>
              </w:rPr>
              <w:t>本项目燃烧废气产排情况一览表</w:t>
            </w:r>
          </w:p>
          <w:tbl>
            <w:tblPr>
              <w:tblStyle w:val="38"/>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209"/>
              <w:gridCol w:w="1671"/>
              <w:gridCol w:w="1746"/>
              <w:gridCol w:w="1669"/>
            </w:tblGrid>
            <w:tr w14:paraId="6C24D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5269F">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9FFCE">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c>
                <w:tcPr>
                  <w:tcW w:w="9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75AD55">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SO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2</w:t>
                  </w:r>
                </w:p>
              </w:tc>
              <w:tc>
                <w:tcPr>
                  <w:tcW w:w="8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DFD45B">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NO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X</w:t>
                  </w:r>
                </w:p>
              </w:tc>
            </w:tr>
            <w:tr w14:paraId="0F882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7E75E5">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产生总量（t/a）</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F54928">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0.017</w:t>
                  </w:r>
                </w:p>
              </w:tc>
              <w:tc>
                <w:tcPr>
                  <w:tcW w:w="9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0AD73">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0.012</w:t>
                  </w:r>
                </w:p>
              </w:tc>
              <w:tc>
                <w:tcPr>
                  <w:tcW w:w="8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EA4BD0">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0.111</w:t>
                  </w:r>
                </w:p>
              </w:tc>
            </w:tr>
            <w:tr w14:paraId="55095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6C2786">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产生速率（kg/h）</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6A89E">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071</w:t>
                  </w:r>
                </w:p>
              </w:tc>
              <w:tc>
                <w:tcPr>
                  <w:tcW w:w="9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258991">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5</w:t>
                  </w:r>
                </w:p>
              </w:tc>
              <w:tc>
                <w:tcPr>
                  <w:tcW w:w="8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219088">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463</w:t>
                  </w:r>
                </w:p>
              </w:tc>
            </w:tr>
            <w:tr w14:paraId="60D6E5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010A23">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废气量</w:t>
                  </w:r>
                </w:p>
              </w:tc>
              <w:tc>
                <w:tcPr>
                  <w:tcW w:w="2735"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EB1CFD8">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cs="Times New Roman"/>
                      <w:i w:val="0"/>
                      <w:iCs w:val="0"/>
                      <w:color w:val="auto"/>
                      <w:kern w:val="0"/>
                      <w:sz w:val="21"/>
                      <w:szCs w:val="21"/>
                      <w:highlight w:val="none"/>
                      <w:u w:val="none"/>
                      <w:lang w:val="en-US" w:eastAsia="zh-CN" w:bidi="ar"/>
                    </w:rPr>
                    <w:t>500</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r>
            <w:tr w14:paraId="4842AD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500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946D6F2">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排气筒编号：</w:t>
                  </w:r>
                  <w:r>
                    <w:rPr>
                      <w:rFonts w:hint="default" w:ascii="Times New Roman" w:hAnsi="Times New Roman" w:eastAsia="宋体" w:cs="Times New Roman"/>
                      <w:i w:val="0"/>
                      <w:iCs w:val="0"/>
                      <w:color w:val="auto"/>
                      <w:kern w:val="0"/>
                      <w:sz w:val="21"/>
                      <w:szCs w:val="21"/>
                      <w:highlight w:val="none"/>
                      <w:u w:val="none"/>
                      <w:lang w:val="en-US" w:eastAsia="zh-CN" w:bidi="ar"/>
                    </w:rPr>
                    <w:t>DA001</w:t>
                  </w:r>
                </w:p>
              </w:tc>
            </w:tr>
            <w:tr w14:paraId="51EFEE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131C97">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9AC68D">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c>
                <w:tcPr>
                  <w:tcW w:w="93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5429E">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SO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2</w:t>
                  </w:r>
                </w:p>
              </w:tc>
              <w:tc>
                <w:tcPr>
                  <w:tcW w:w="89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B28EE">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NO</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X</w:t>
                  </w:r>
                </w:p>
              </w:tc>
            </w:tr>
            <w:tr w14:paraId="73C4B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55518">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排放量（t/a）</w:t>
                  </w:r>
                </w:p>
              </w:tc>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6B5D2">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0.017</w:t>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D1AE6">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0.012</w:t>
                  </w:r>
                </w:p>
              </w:tc>
              <w:tc>
                <w:tcPr>
                  <w:tcW w:w="1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E8BBB">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0.111</w:t>
                  </w:r>
                </w:p>
              </w:tc>
            </w:tr>
            <w:tr w14:paraId="35C3D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9C2866">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排放速率（kg/h）</w:t>
                  </w:r>
                </w:p>
              </w:tc>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47389">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071</w:t>
                  </w:r>
                </w:p>
              </w:tc>
              <w:tc>
                <w:tcPr>
                  <w:tcW w:w="17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9355D">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5</w:t>
                  </w:r>
                </w:p>
              </w:tc>
              <w:tc>
                <w:tcPr>
                  <w:tcW w:w="1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A7EB2">
                  <w:pPr>
                    <w:keepNext w:val="0"/>
                    <w:keepLines w:val="0"/>
                    <w:widowControl/>
                    <w:suppressLineNumbers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463</w:t>
                  </w:r>
                </w:p>
              </w:tc>
            </w:tr>
            <w:tr w14:paraId="2B9D9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jc w:val="center"/>
              </w:trPr>
              <w:tc>
                <w:tcPr>
                  <w:tcW w:w="2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F52A3C">
                  <w:pPr>
                    <w:keepNext w:val="0"/>
                    <w:keepLines w:val="0"/>
                    <w:widowControl/>
                    <w:suppressLineNumbers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排放浓度（mg/m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67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AF8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99F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6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3A1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r>
          </w:tbl>
          <w:p w14:paraId="1A5ED24D">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（3）打磨、抛光粉尘</w:t>
            </w:r>
          </w:p>
          <w:p w14:paraId="3505E508">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本项目金属粉尘主要来自金属原料打磨、抛光过程，该工序主要使用角磨机、振磨机、气动抛光机在独立密闭</w:t>
            </w:r>
            <w:r>
              <w:rPr>
                <w:rFonts w:hint="default" w:ascii="Times New Roman" w:hAnsi="Times New Roman" w:cs="Times New Roman"/>
                <w:b w:val="0"/>
                <w:bCs w:val="0"/>
                <w:color w:val="auto"/>
                <w:sz w:val="24"/>
                <w:szCs w:val="24"/>
                <w:highlight w:val="none"/>
                <w:lang w:val="en-US" w:eastAsia="zh-CN"/>
              </w:rPr>
              <w:t>打磨车间</w:t>
            </w:r>
            <w:r>
              <w:rPr>
                <w:rFonts w:hint="default" w:ascii="Times New Roman" w:hAnsi="Times New Roman" w:eastAsia="宋体" w:cs="Times New Roman"/>
                <w:b w:val="0"/>
                <w:bCs w:val="0"/>
                <w:color w:val="auto"/>
                <w:sz w:val="24"/>
                <w:szCs w:val="24"/>
                <w:highlight w:val="none"/>
                <w:lang w:val="en-US" w:eastAsia="zh-CN"/>
              </w:rPr>
              <w:t>（可视作集尘室）中进行。</w:t>
            </w:r>
          </w:p>
          <w:p w14:paraId="4BE381CC">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参考“《排放源统计调查产排污核算方法和系数手册》33-37机械行业系数手册”中“预处理核算环节-预处理-干式预处理件：抛丸、喷砂、打磨”的产污系数作为打磨、抛光粉尘产污源强计算依据</w:t>
            </w:r>
            <w:r>
              <w:rPr>
                <w:rFonts w:hint="default" w:ascii="Times New Roman" w:hAnsi="Times New Roman" w:cs="Times New Roman"/>
                <w:color w:val="auto"/>
                <w:highlight w:val="none"/>
                <w:lang w:eastAsia="zh-CN"/>
              </w:rPr>
              <w:t>。本项目</w:t>
            </w:r>
            <w:r>
              <w:rPr>
                <w:rFonts w:hint="default" w:ascii="Times New Roman" w:hAnsi="Times New Roman" w:cs="Times New Roman"/>
                <w:b w:val="0"/>
                <w:bCs w:val="0"/>
                <w:color w:val="auto"/>
                <w:sz w:val="24"/>
                <w:szCs w:val="24"/>
                <w:highlight w:val="none"/>
                <w:lang w:val="en-US" w:eastAsia="zh-CN"/>
              </w:rPr>
              <w:t>铝卷原料使用量为4300t/a，</w:t>
            </w:r>
            <w:r>
              <w:rPr>
                <w:rFonts w:hint="default" w:ascii="Times New Roman" w:hAnsi="Times New Roman" w:cs="Times New Roman"/>
                <w:color w:val="auto"/>
                <w:highlight w:val="none"/>
                <w:lang w:eastAsia="zh-CN"/>
              </w:rPr>
              <w:t>打磨、抛光粉尘产污系数</w:t>
            </w:r>
            <w:r>
              <w:rPr>
                <w:rFonts w:hint="default" w:ascii="Times New Roman" w:hAnsi="Times New Roman" w:cs="Times New Roman"/>
                <w:color w:val="auto"/>
                <w:highlight w:val="none"/>
                <w:lang w:val="en-US" w:eastAsia="zh-CN"/>
              </w:rPr>
              <w:t>均取</w:t>
            </w:r>
            <w:r>
              <w:rPr>
                <w:rFonts w:hint="default" w:ascii="Times New Roman" w:hAnsi="Times New Roman" w:cs="Times New Roman"/>
                <w:color w:val="auto"/>
                <w:highlight w:val="none"/>
                <w:lang w:eastAsia="zh-CN"/>
              </w:rPr>
              <w:t>2.19kg/t-原料</w:t>
            </w:r>
            <w:r>
              <w:rPr>
                <w:rFonts w:hint="eastAsia" w:cs="Times New Roman"/>
                <w:color w:val="auto"/>
                <w:highlight w:val="none"/>
                <w:lang w:eastAsia="zh-CN"/>
              </w:rPr>
              <w:t>，</w:t>
            </w:r>
            <w:r>
              <w:rPr>
                <w:rFonts w:hint="eastAsia" w:ascii="Times New Roman" w:hAnsi="Times New Roman" w:eastAsia="宋体" w:cs="Times New Roman"/>
                <w:bCs/>
                <w:color w:val="auto"/>
                <w:spacing w:val="-10"/>
                <w:kern w:val="2"/>
                <w:sz w:val="24"/>
                <w:szCs w:val="24"/>
                <w:highlight w:val="none"/>
                <w:lang w:val="en-US" w:eastAsia="zh-CN" w:bidi="ar-SA"/>
              </w:rPr>
              <w:t>工业废气量为8500m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eastAsia" w:ascii="Times New Roman" w:hAnsi="Times New Roman" w:eastAsia="宋体" w:cs="Times New Roman"/>
                <w:bCs/>
                <w:color w:val="auto"/>
                <w:spacing w:val="-10"/>
                <w:kern w:val="2"/>
                <w:sz w:val="24"/>
                <w:szCs w:val="24"/>
                <w:highlight w:val="none"/>
                <w:lang w:val="en-US" w:eastAsia="zh-CN" w:bidi="ar-SA"/>
              </w:rPr>
              <w:t>/t-原料</w:t>
            </w:r>
            <w:r>
              <w:rPr>
                <w:rFonts w:hint="default" w:ascii="Times New Roman" w:hAnsi="Times New Roman" w:cs="Times New Roman"/>
                <w:color w:val="auto"/>
                <w:highlight w:val="none"/>
                <w:lang w:eastAsia="zh-CN"/>
              </w:rPr>
              <w:t>。</w:t>
            </w:r>
          </w:p>
          <w:p w14:paraId="5BC757CE">
            <w:pPr>
              <w:keepNext w:val="0"/>
              <w:keepLines w:val="0"/>
              <w:numPr>
                <w:ilvl w:val="0"/>
                <w:numId w:val="0"/>
              </w:numPr>
              <w:suppressLineNumbers w:val="0"/>
              <w:tabs>
                <w:tab w:val="left" w:pos="0"/>
              </w:tabs>
              <w:spacing w:before="0" w:beforeAutospacing="0" w:after="0" w:afterAutospacing="0"/>
              <w:ind w:left="40" w:leftChars="0" w:right="0" w:firstLine="480" w:firstLineChars="20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打磨、抛光粉尘产生情况如下表所示。</w:t>
            </w:r>
          </w:p>
          <w:p w14:paraId="1BA05B62">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bookmarkStart w:id="144" w:name="OLE_LINK43"/>
            <w:r>
              <w:rPr>
                <w:rFonts w:hint="default" w:ascii="Times New Roman" w:hAnsi="Times New Roman" w:eastAsia="宋体" w:cs="Times New Roman"/>
                <w:b/>
                <w:bCs/>
                <w:color w:val="auto"/>
                <w:kern w:val="2"/>
                <w:sz w:val="21"/>
                <w:szCs w:val="21"/>
                <w:highlight w:val="none"/>
                <w:lang w:val="en-US" w:eastAsia="zh-CN" w:bidi="ar-SA"/>
              </w:rPr>
              <w:t>表4-8</w:t>
            </w:r>
            <w:r>
              <w:rPr>
                <w:rFonts w:hint="default" w:ascii="Times New Roman" w:hAnsi="Times New Roman" w:cs="Times New Roman"/>
                <w:b/>
                <w:bCs/>
                <w:color w:val="auto"/>
                <w:sz w:val="21"/>
                <w:szCs w:val="21"/>
                <w:highlight w:val="none"/>
                <w:lang w:val="en-US" w:eastAsia="zh-CN"/>
              </w:rPr>
              <w:t>本项目打磨、抛光粉尘产生情况</w:t>
            </w:r>
          </w:p>
          <w:tbl>
            <w:tblPr>
              <w:tblStyle w:val="38"/>
              <w:tblW w:w="918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98"/>
              <w:gridCol w:w="911"/>
              <w:gridCol w:w="911"/>
              <w:gridCol w:w="1067"/>
              <w:gridCol w:w="1505"/>
              <w:gridCol w:w="1879"/>
              <w:gridCol w:w="1810"/>
            </w:tblGrid>
            <w:tr w14:paraId="738F0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1" w:hRule="atLeast"/>
                <w:jc w:val="center"/>
              </w:trPr>
              <w:tc>
                <w:tcPr>
                  <w:tcW w:w="8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035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rPr>
                    <w:t>铝卷原料使用量</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177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产污系数</w:t>
                  </w:r>
                </w:p>
              </w:tc>
              <w:tc>
                <w:tcPr>
                  <w:tcW w:w="148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0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bookmarkStart w:id="145" w:name="OLE_LINK23"/>
                  <w:r>
                    <w:rPr>
                      <w:rFonts w:hint="default" w:ascii="Times New Roman" w:hAnsi="Times New Roman" w:eastAsia="宋体" w:cs="Times New Roman"/>
                      <w:b/>
                      <w:bCs/>
                      <w:i w:val="0"/>
                      <w:iCs w:val="0"/>
                      <w:color w:val="auto"/>
                      <w:sz w:val="21"/>
                      <w:szCs w:val="21"/>
                      <w:highlight w:val="none"/>
                      <w:u w:val="none"/>
                    </w:rPr>
                    <w:t>打磨</w:t>
                  </w:r>
                  <w:bookmarkStart w:id="146" w:name="OLE_LINK26"/>
                  <w:r>
                    <w:rPr>
                      <w:rFonts w:hint="default" w:ascii="Times New Roman" w:hAnsi="Times New Roman" w:eastAsia="宋体" w:cs="Times New Roman"/>
                      <w:b/>
                      <w:bCs/>
                      <w:i w:val="0"/>
                      <w:iCs w:val="0"/>
                      <w:color w:val="auto"/>
                      <w:sz w:val="21"/>
                      <w:szCs w:val="21"/>
                      <w:highlight w:val="none"/>
                      <w:u w:val="none"/>
                    </w:rPr>
                    <w:t>粉尘</w:t>
                  </w:r>
                  <w:bookmarkEnd w:id="145"/>
                  <w:bookmarkEnd w:id="146"/>
                </w:p>
              </w:tc>
              <w:tc>
                <w:tcPr>
                  <w:tcW w:w="143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0D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sz w:val="21"/>
                      <w:szCs w:val="21"/>
                      <w:highlight w:val="none"/>
                      <w:u w:val="none"/>
                    </w:rPr>
                    <w:t>抛光粉尘</w:t>
                  </w:r>
                </w:p>
              </w:tc>
              <w:tc>
                <w:tcPr>
                  <w:tcW w:w="578" w:type="pct"/>
                  <w:vMerge w:val="restart"/>
                  <w:tcBorders>
                    <w:top w:val="single" w:color="000000" w:sz="4" w:space="0"/>
                    <w:left w:val="single" w:color="000000" w:sz="4" w:space="0"/>
                    <w:right w:val="single" w:color="000000" w:sz="4" w:space="0"/>
                  </w:tcBorders>
                  <w:shd w:val="clear" w:color="auto" w:fill="auto"/>
                  <w:noWrap/>
                  <w:vAlign w:val="center"/>
                </w:tcPr>
                <w:p w14:paraId="33723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年工作小时（h）</w:t>
                  </w:r>
                </w:p>
              </w:tc>
            </w:tr>
            <w:tr w14:paraId="53C85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1" w:hRule="atLeast"/>
                <w:jc w:val="center"/>
              </w:trPr>
              <w:tc>
                <w:tcPr>
                  <w:tcW w:w="8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B1D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bookmarkStart w:id="147" w:name="OLE_LINK27" w:colFirst="2" w:colLast="3"/>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28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kg/t-原料</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250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7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3B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6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290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033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578" w:type="pct"/>
                  <w:vMerge w:val="continue"/>
                  <w:tcBorders>
                    <w:left w:val="single" w:color="000000" w:sz="4" w:space="0"/>
                    <w:bottom w:val="single" w:color="000000" w:sz="4" w:space="0"/>
                    <w:right w:val="single" w:color="000000" w:sz="4" w:space="0"/>
                  </w:tcBorders>
                  <w:shd w:val="clear" w:color="auto" w:fill="auto"/>
                  <w:noWrap/>
                  <w:vAlign w:val="center"/>
                </w:tcPr>
                <w:p w14:paraId="08B2A8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b/>
                      <w:bCs/>
                      <w:i w:val="0"/>
                      <w:iCs w:val="0"/>
                      <w:color w:val="auto"/>
                      <w:kern w:val="2"/>
                      <w:sz w:val="21"/>
                      <w:szCs w:val="21"/>
                      <w:highlight w:val="none"/>
                      <w:u w:val="none"/>
                      <w:lang w:val="en-US" w:eastAsia="zh-CN" w:bidi="ar-SA"/>
                    </w:rPr>
                  </w:pPr>
                </w:p>
              </w:tc>
            </w:tr>
            <w:bookmarkEnd w:id="147"/>
            <w:tr w14:paraId="444565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2" w:hRule="atLeast"/>
                <w:jc w:val="center"/>
              </w:trPr>
              <w:tc>
                <w:tcPr>
                  <w:tcW w:w="80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B1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bookmarkStart w:id="148" w:name="OLE_LINK28" w:colFirst="2" w:colLast="3"/>
                  <w:r>
                    <w:rPr>
                      <w:rFonts w:hint="default" w:ascii="Times New Roman" w:hAnsi="Times New Roman" w:cs="Times New Roman"/>
                      <w:i w:val="0"/>
                      <w:iCs w:val="0"/>
                      <w:color w:val="auto"/>
                      <w:kern w:val="0"/>
                      <w:sz w:val="21"/>
                      <w:szCs w:val="21"/>
                      <w:highlight w:val="none"/>
                      <w:u w:val="none"/>
                      <w:lang w:val="en-US" w:eastAsia="zh-CN" w:bidi="ar"/>
                    </w:rPr>
                    <w:t>4300</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65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00F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9.42</w:t>
                  </w:r>
                </w:p>
              </w:tc>
              <w:tc>
                <w:tcPr>
                  <w:tcW w:w="7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844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3.93</w:t>
                  </w:r>
                </w:p>
              </w:tc>
              <w:tc>
                <w:tcPr>
                  <w:tcW w:w="12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16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9.42</w:t>
                  </w:r>
                </w:p>
              </w:tc>
              <w:tc>
                <w:tcPr>
                  <w:tcW w:w="14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0CB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3.93</w:t>
                  </w:r>
                </w:p>
              </w:tc>
              <w:tc>
                <w:tcPr>
                  <w:tcW w:w="5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92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bookmarkEnd w:id="144"/>
            <w:bookmarkEnd w:id="148"/>
          </w:tbl>
          <w:p w14:paraId="06EDD7F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建设单位拟通过设置独立密闭</w:t>
            </w:r>
            <w:r>
              <w:rPr>
                <w:rFonts w:hint="default" w:ascii="Times New Roman" w:hAnsi="Times New Roman" w:cs="Times New Roman"/>
                <w:b w:val="0"/>
                <w:bCs w:val="0"/>
                <w:color w:val="auto"/>
                <w:sz w:val="24"/>
                <w:szCs w:val="24"/>
                <w:highlight w:val="none"/>
                <w:lang w:val="en-US" w:eastAsia="zh-CN"/>
              </w:rPr>
              <w:t>打磨车间</w:t>
            </w:r>
            <w:r>
              <w:rPr>
                <w:rFonts w:hint="default" w:ascii="Times New Roman" w:hAnsi="Times New Roman" w:cs="Times New Roman"/>
                <w:color w:val="auto"/>
                <w:highlight w:val="none"/>
              </w:rPr>
              <w:t>作为集尘室，</w:t>
            </w:r>
            <w:r>
              <w:rPr>
                <w:rFonts w:hint="default" w:ascii="Times New Roman" w:hAnsi="Times New Roman" w:cs="Times New Roman"/>
                <w:color w:val="auto"/>
                <w:highlight w:val="none"/>
                <w:lang w:val="en-US" w:eastAsia="zh-CN"/>
              </w:rPr>
              <w:t>采用负压收集并</w:t>
            </w:r>
            <w:r>
              <w:rPr>
                <w:rFonts w:hint="default" w:ascii="Times New Roman" w:hAnsi="Times New Roman" w:cs="Times New Roman"/>
                <w:color w:val="auto"/>
                <w:highlight w:val="none"/>
              </w:rPr>
              <w:t>配备</w:t>
            </w:r>
            <w:r>
              <w:rPr>
                <w:rFonts w:hint="default" w:ascii="Times New Roman" w:hAnsi="Times New Roman" w:cs="Times New Roman"/>
                <w:color w:val="auto"/>
                <w:kern w:val="0"/>
                <w:highlight w:val="none"/>
                <w:lang w:bidi="ar"/>
              </w:rPr>
              <w:t>密闭罩，将粉尘尽可能截留在操作工位处，</w:t>
            </w:r>
            <w:r>
              <w:rPr>
                <w:rFonts w:hint="default" w:ascii="Times New Roman" w:hAnsi="Times New Roman" w:cs="Times New Roman"/>
                <w:color w:val="auto"/>
                <w:highlight w:val="none"/>
                <w:lang w:val="en-US" w:eastAsia="zh-CN"/>
              </w:rPr>
              <w:t>粉尘收集后进入</w:t>
            </w:r>
            <w:r>
              <w:rPr>
                <w:rFonts w:hint="default" w:ascii="Times New Roman" w:hAnsi="Times New Roman" w:cs="Times New Roman"/>
                <w:color w:val="auto"/>
                <w:highlight w:val="none"/>
              </w:rPr>
              <w:t>大旋风+滤芯式二级回收系统处理后</w:t>
            </w:r>
            <w:bookmarkStart w:id="149" w:name="OLE_LINK25"/>
            <w:r>
              <w:rPr>
                <w:rFonts w:hint="eastAsia" w:cs="Times New Roman"/>
                <w:color w:val="auto"/>
                <w:highlight w:val="none"/>
                <w:lang w:val="en-US" w:eastAsia="zh-CN"/>
              </w:rPr>
              <w:t>经引风机引至15m高排气筒DA003</w:t>
            </w:r>
            <w:r>
              <w:rPr>
                <w:rFonts w:hint="default" w:ascii="Times New Roman" w:hAnsi="Times New Roman" w:cs="Times New Roman"/>
                <w:color w:val="auto"/>
                <w:highlight w:val="none"/>
                <w:lang w:val="en-US" w:eastAsia="zh-CN"/>
              </w:rPr>
              <w:t>排放</w:t>
            </w:r>
            <w:bookmarkEnd w:id="149"/>
            <w:r>
              <w:rPr>
                <w:rFonts w:hint="eastAsia" w:cs="Times New Roman"/>
                <w:color w:val="auto"/>
                <w:highlight w:val="none"/>
                <w:lang w:val="en-US" w:eastAsia="zh-CN"/>
              </w:rPr>
              <w:t>，</w:t>
            </w:r>
            <w:r>
              <w:rPr>
                <w:rFonts w:hint="eastAsia" w:ascii="Times New Roman" w:hAnsi="Times New Roman" w:eastAsia="宋体" w:cs="Times New Roman"/>
                <w:bCs/>
                <w:color w:val="auto"/>
                <w:spacing w:val="-10"/>
                <w:kern w:val="2"/>
                <w:sz w:val="24"/>
                <w:szCs w:val="24"/>
                <w:highlight w:val="none"/>
                <w:lang w:val="en-US" w:eastAsia="zh-CN" w:bidi="ar-SA"/>
              </w:rPr>
              <w:t>对应工业废气量为8500m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eastAsia" w:ascii="Times New Roman" w:hAnsi="Times New Roman" w:eastAsia="宋体" w:cs="Times New Roman"/>
                <w:bCs/>
                <w:color w:val="auto"/>
                <w:spacing w:val="-10"/>
                <w:kern w:val="2"/>
                <w:sz w:val="24"/>
                <w:szCs w:val="24"/>
                <w:highlight w:val="none"/>
                <w:lang w:val="en-US" w:eastAsia="zh-CN" w:bidi="ar-SA"/>
              </w:rPr>
              <w:t>/t-原料</w:t>
            </w:r>
            <w:r>
              <w:rPr>
                <w:rFonts w:hint="default" w:ascii="Times New Roman" w:hAnsi="Times New Roman" w:eastAsia="宋体" w:cs="Times New Roman"/>
                <w:bCs/>
                <w:color w:val="auto"/>
                <w:spacing w:val="-10"/>
                <w:kern w:val="2"/>
                <w:sz w:val="24"/>
                <w:szCs w:val="24"/>
                <w:highlight w:val="none"/>
                <w:lang w:val="en-US" w:eastAsia="zh-CN" w:bidi="ar-SA"/>
              </w:rPr>
              <w:t>×</w:t>
            </w:r>
            <w:r>
              <w:rPr>
                <w:rFonts w:hint="eastAsia" w:ascii="Times New Roman" w:hAnsi="Times New Roman" w:eastAsia="宋体" w:cs="Times New Roman"/>
                <w:bCs/>
                <w:color w:val="auto"/>
                <w:spacing w:val="-10"/>
                <w:kern w:val="2"/>
                <w:sz w:val="24"/>
                <w:szCs w:val="24"/>
                <w:highlight w:val="none"/>
                <w:lang w:val="en-US" w:eastAsia="zh-CN" w:bidi="ar-SA"/>
              </w:rPr>
              <w:t>4300</w:t>
            </w:r>
            <w:r>
              <w:rPr>
                <w:rFonts w:hint="default" w:ascii="Times New Roman" w:hAnsi="Times New Roman" w:eastAsia="宋体" w:cs="Times New Roman"/>
                <w:bCs/>
                <w:color w:val="auto"/>
                <w:spacing w:val="-10"/>
                <w:kern w:val="2"/>
                <w:sz w:val="24"/>
                <w:szCs w:val="24"/>
                <w:highlight w:val="none"/>
                <w:lang w:val="en-US" w:eastAsia="zh-CN" w:bidi="ar-SA"/>
              </w:rPr>
              <w:t>t/a=</w:t>
            </w:r>
            <w:r>
              <w:rPr>
                <w:rFonts w:hint="eastAsia" w:ascii="Times New Roman" w:hAnsi="Times New Roman" w:eastAsia="宋体" w:cs="Times New Roman"/>
                <w:bCs/>
                <w:color w:val="auto"/>
                <w:spacing w:val="-10"/>
                <w:kern w:val="2"/>
                <w:sz w:val="24"/>
                <w:szCs w:val="24"/>
                <w:highlight w:val="none"/>
                <w:lang w:val="en-US" w:eastAsia="zh-CN" w:bidi="ar-SA"/>
              </w:rPr>
              <w:t>36550000m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default" w:ascii="Times New Roman" w:hAnsi="Times New Roman" w:eastAsia="宋体" w:cs="Times New Roman"/>
                <w:bCs/>
                <w:color w:val="auto"/>
                <w:spacing w:val="-10"/>
                <w:kern w:val="2"/>
                <w:sz w:val="24"/>
                <w:szCs w:val="24"/>
                <w:highlight w:val="none"/>
                <w:lang w:val="en-US" w:eastAsia="zh-CN" w:bidi="ar-SA"/>
              </w:rPr>
              <w:t>/a</w:t>
            </w:r>
            <w:r>
              <w:rPr>
                <w:rFonts w:hint="eastAsia" w:ascii="Times New Roman" w:hAnsi="Times New Roman" w:eastAsia="宋体" w:cs="Times New Roman"/>
                <w:bCs/>
                <w:color w:val="auto"/>
                <w:spacing w:val="-10"/>
                <w:kern w:val="2"/>
                <w:sz w:val="24"/>
                <w:szCs w:val="24"/>
                <w:highlight w:val="none"/>
                <w:lang w:val="en-US" w:eastAsia="zh-CN" w:bidi="ar-SA"/>
              </w:rPr>
              <w:t>，废气产生速率为15229m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default" w:ascii="Times New Roman" w:hAnsi="Times New Roman" w:eastAsia="宋体" w:cs="Times New Roman"/>
                <w:bCs/>
                <w:color w:val="auto"/>
                <w:spacing w:val="-10"/>
                <w:kern w:val="2"/>
                <w:sz w:val="24"/>
                <w:szCs w:val="24"/>
                <w:highlight w:val="none"/>
                <w:lang w:val="en-US" w:eastAsia="zh-CN" w:bidi="ar-SA"/>
              </w:rPr>
              <w:t>/</w:t>
            </w:r>
            <w:r>
              <w:rPr>
                <w:rFonts w:hint="eastAsia" w:ascii="Times New Roman" w:hAnsi="Times New Roman" w:eastAsia="宋体" w:cs="Times New Roman"/>
                <w:bCs/>
                <w:color w:val="auto"/>
                <w:spacing w:val="-10"/>
                <w:kern w:val="2"/>
                <w:sz w:val="24"/>
                <w:szCs w:val="24"/>
                <w:highlight w:val="none"/>
                <w:lang w:val="en-US" w:eastAsia="zh-CN" w:bidi="ar-SA"/>
              </w:rPr>
              <w:t>h。参考《吸附法工业有机废气治理工程技术规范》（HJ2026-2013）要求，设计风量宜按照最大废气排放量的120%进行设计，则设计风机风量为15229m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default" w:ascii="Times New Roman" w:hAnsi="Times New Roman" w:eastAsia="宋体" w:cs="Times New Roman"/>
                <w:bCs/>
                <w:color w:val="auto"/>
                <w:spacing w:val="-10"/>
                <w:kern w:val="2"/>
                <w:sz w:val="24"/>
                <w:szCs w:val="24"/>
                <w:highlight w:val="none"/>
                <w:lang w:val="en-US" w:eastAsia="zh-CN" w:bidi="ar-SA"/>
              </w:rPr>
              <w:t>/</w:t>
            </w:r>
            <w:r>
              <w:rPr>
                <w:rFonts w:hint="eastAsia" w:ascii="Times New Roman" w:hAnsi="Times New Roman" w:eastAsia="宋体" w:cs="Times New Roman"/>
                <w:bCs/>
                <w:color w:val="auto"/>
                <w:spacing w:val="-10"/>
                <w:kern w:val="2"/>
                <w:sz w:val="24"/>
                <w:szCs w:val="24"/>
                <w:highlight w:val="none"/>
                <w:lang w:val="en-US" w:eastAsia="zh-CN" w:bidi="ar-SA"/>
              </w:rPr>
              <w:t>h×120%=18274.8m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default" w:ascii="Times New Roman" w:hAnsi="Times New Roman" w:eastAsia="宋体" w:cs="Times New Roman"/>
                <w:bCs/>
                <w:color w:val="auto"/>
                <w:spacing w:val="-10"/>
                <w:kern w:val="2"/>
                <w:sz w:val="24"/>
                <w:szCs w:val="24"/>
                <w:highlight w:val="none"/>
                <w:lang w:val="en-US" w:eastAsia="zh-CN" w:bidi="ar-SA"/>
              </w:rPr>
              <w:t>/</w:t>
            </w:r>
            <w:r>
              <w:rPr>
                <w:rFonts w:hint="eastAsia" w:ascii="Times New Roman" w:hAnsi="Times New Roman" w:eastAsia="宋体" w:cs="Times New Roman"/>
                <w:bCs/>
                <w:color w:val="auto"/>
                <w:spacing w:val="-10"/>
                <w:kern w:val="2"/>
                <w:sz w:val="24"/>
                <w:szCs w:val="24"/>
                <w:highlight w:val="none"/>
                <w:lang w:val="en-US" w:eastAsia="zh-CN" w:bidi="ar-SA"/>
              </w:rPr>
              <w:t>h，取整为18500m</w:t>
            </w:r>
            <w:r>
              <w:rPr>
                <w:rFonts w:hint="eastAsia" w:ascii="Times New Roman" w:hAnsi="Times New Roman" w:eastAsia="宋体" w:cs="Times New Roman"/>
                <w:bCs/>
                <w:color w:val="auto"/>
                <w:spacing w:val="-10"/>
                <w:kern w:val="2"/>
                <w:sz w:val="24"/>
                <w:szCs w:val="24"/>
                <w:highlight w:val="none"/>
                <w:vertAlign w:val="superscript"/>
                <w:lang w:val="en-US" w:eastAsia="zh-CN" w:bidi="ar-SA"/>
              </w:rPr>
              <w:t>3</w:t>
            </w:r>
            <w:r>
              <w:rPr>
                <w:rFonts w:hint="default" w:ascii="Times New Roman" w:hAnsi="Times New Roman" w:eastAsia="宋体" w:cs="Times New Roman"/>
                <w:bCs/>
                <w:color w:val="auto"/>
                <w:spacing w:val="-10"/>
                <w:kern w:val="2"/>
                <w:sz w:val="24"/>
                <w:szCs w:val="24"/>
                <w:highlight w:val="none"/>
                <w:lang w:val="en-US" w:eastAsia="zh-CN" w:bidi="ar-SA"/>
              </w:rPr>
              <w:t>/</w:t>
            </w:r>
            <w:r>
              <w:rPr>
                <w:rFonts w:hint="eastAsia" w:ascii="Times New Roman" w:hAnsi="Times New Roman" w:eastAsia="宋体" w:cs="Times New Roman"/>
                <w:bCs/>
                <w:color w:val="auto"/>
                <w:spacing w:val="-10"/>
                <w:kern w:val="2"/>
                <w:sz w:val="24"/>
                <w:szCs w:val="24"/>
                <w:highlight w:val="none"/>
                <w:lang w:val="en-US" w:eastAsia="zh-CN" w:bidi="ar-SA"/>
              </w:rPr>
              <w:t>h</w:t>
            </w:r>
            <w:r>
              <w:rPr>
                <w:rFonts w:hint="default" w:ascii="Times New Roman" w:hAnsi="Times New Roman" w:cs="Times New Roman"/>
                <w:color w:val="auto"/>
                <w:highlight w:val="none"/>
              </w:rPr>
              <w:t>。</w:t>
            </w:r>
          </w:p>
          <w:p w14:paraId="0D9D2811">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本项目打磨、抛光粉尘属于金属粉末，</w:t>
            </w:r>
            <w:r>
              <w:rPr>
                <w:rFonts w:hint="default" w:ascii="Times New Roman" w:hAnsi="Times New Roman" w:eastAsia="宋体" w:cs="Times New Roman"/>
                <w:color w:val="auto"/>
                <w:sz w:val="24"/>
                <w:szCs w:val="24"/>
                <w:highlight w:val="none"/>
              </w:rPr>
              <w:t>尘粒大于100微米，该类粉尘比重和粒径较大，类比其他项目，</w:t>
            </w:r>
            <w:r>
              <w:rPr>
                <w:rFonts w:hint="default" w:ascii="Times New Roman" w:hAnsi="Times New Roman" w:eastAsia="宋体" w:cs="Times New Roman"/>
                <w:color w:val="auto"/>
                <w:sz w:val="24"/>
                <w:szCs w:val="24"/>
                <w:highlight w:val="none"/>
                <w:lang w:val="en-US" w:eastAsia="zh-CN"/>
              </w:rPr>
              <w:t>打磨、抛光</w:t>
            </w:r>
            <w:r>
              <w:rPr>
                <w:rFonts w:hint="default" w:ascii="Times New Roman" w:hAnsi="Times New Roman" w:eastAsia="宋体" w:cs="Times New Roman"/>
                <w:color w:val="auto"/>
                <w:sz w:val="24"/>
                <w:szCs w:val="24"/>
                <w:highlight w:val="none"/>
              </w:rPr>
              <w:t>金属粉尘80%沉降在工作台附近，20%逸散到</w:t>
            </w:r>
            <w:r>
              <w:rPr>
                <w:rFonts w:hint="default" w:ascii="Times New Roman" w:hAnsi="Times New Roman" w:cs="Times New Roman"/>
                <w:color w:val="auto"/>
                <w:sz w:val="24"/>
                <w:szCs w:val="24"/>
                <w:highlight w:val="none"/>
                <w:lang w:val="en-US" w:eastAsia="zh-CN"/>
              </w:rPr>
              <w:t>车间</w:t>
            </w:r>
            <w:r>
              <w:rPr>
                <w:rFonts w:hint="default" w:ascii="Times New Roman" w:hAnsi="Times New Roman" w:eastAsia="宋体" w:cs="Times New Roman"/>
                <w:color w:val="auto"/>
                <w:sz w:val="24"/>
                <w:szCs w:val="24"/>
                <w:highlight w:val="none"/>
              </w:rPr>
              <w:t>空气中。</w:t>
            </w:r>
            <w:r>
              <w:rPr>
                <w:rFonts w:hint="default" w:ascii="Times New Roman" w:hAnsi="Times New Roman" w:cs="Times New Roman"/>
                <w:color w:val="auto"/>
                <w:sz w:val="24"/>
                <w:szCs w:val="24"/>
                <w:highlight w:val="none"/>
                <w:lang w:val="en-US" w:eastAsia="zh-CN"/>
              </w:rPr>
              <w:t>计算得出打磨、抛光粉尘逸散量为如下表所示。</w:t>
            </w:r>
          </w:p>
          <w:p w14:paraId="233FB134">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color w:val="auto"/>
                <w:kern w:val="2"/>
                <w:sz w:val="21"/>
                <w:szCs w:val="21"/>
                <w:highlight w:val="none"/>
                <w:lang w:val="en-US" w:eastAsia="zh-CN" w:bidi="ar-SA"/>
              </w:rPr>
              <w:t>表4-9</w:t>
            </w:r>
            <w:r>
              <w:rPr>
                <w:rFonts w:hint="default" w:ascii="Times New Roman" w:hAnsi="Times New Roman" w:cs="Times New Roman"/>
                <w:b/>
                <w:bCs/>
                <w:color w:val="auto"/>
                <w:sz w:val="21"/>
                <w:szCs w:val="21"/>
                <w:highlight w:val="none"/>
                <w:lang w:val="en-US" w:eastAsia="zh-CN"/>
              </w:rPr>
              <w:t>本项目打磨、抛光粉尘逸散到空气产生量</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03"/>
              <w:gridCol w:w="1736"/>
              <w:gridCol w:w="1884"/>
              <w:gridCol w:w="1215"/>
              <w:gridCol w:w="1464"/>
              <w:gridCol w:w="1780"/>
            </w:tblGrid>
            <w:tr w14:paraId="7B6AC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48" w:type="pct"/>
                  <w:shd w:val="clear" w:color="auto" w:fill="auto"/>
                  <w:vAlign w:val="center"/>
                </w:tcPr>
                <w:p w14:paraId="26BE4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cs="Times New Roman"/>
                      <w:b/>
                      <w:bCs/>
                      <w:i w:val="0"/>
                      <w:iCs w:val="0"/>
                      <w:color w:val="auto"/>
                      <w:sz w:val="21"/>
                      <w:szCs w:val="21"/>
                      <w:highlight w:val="none"/>
                      <w:u w:val="none"/>
                      <w:lang w:val="en-US" w:eastAsia="zh-CN"/>
                    </w:rPr>
                    <w:t>废气类别</w:t>
                  </w:r>
                </w:p>
              </w:tc>
              <w:tc>
                <w:tcPr>
                  <w:tcW w:w="935" w:type="pct"/>
                  <w:shd w:val="clear" w:color="auto" w:fill="auto"/>
                  <w:vAlign w:val="center"/>
                </w:tcPr>
                <w:p w14:paraId="19FB5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总产生量（t/a）</w:t>
                  </w:r>
                </w:p>
              </w:tc>
              <w:tc>
                <w:tcPr>
                  <w:tcW w:w="1014" w:type="pct"/>
                  <w:shd w:val="clear" w:color="auto" w:fill="auto"/>
                  <w:vAlign w:val="center"/>
                </w:tcPr>
                <w:p w14:paraId="59062F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产生速率（kg/h）</w:t>
                  </w:r>
                </w:p>
              </w:tc>
              <w:tc>
                <w:tcPr>
                  <w:tcW w:w="654" w:type="pct"/>
                  <w:shd w:val="clear" w:color="auto" w:fill="auto"/>
                  <w:vAlign w:val="center"/>
                </w:tcPr>
                <w:p w14:paraId="3A765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沉降率</w:t>
                  </w:r>
                </w:p>
              </w:tc>
              <w:tc>
                <w:tcPr>
                  <w:tcW w:w="788" w:type="pct"/>
                  <w:shd w:val="clear" w:color="auto" w:fill="auto"/>
                  <w:vAlign w:val="center"/>
                </w:tcPr>
                <w:p w14:paraId="435D82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沉降量（t/a）</w:t>
                  </w:r>
                </w:p>
              </w:tc>
              <w:tc>
                <w:tcPr>
                  <w:tcW w:w="958" w:type="pct"/>
                  <w:shd w:val="clear" w:color="auto" w:fill="auto"/>
                  <w:vAlign w:val="center"/>
                </w:tcPr>
                <w:p w14:paraId="663881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粉尘逸散到</w:t>
                  </w:r>
                  <w:r>
                    <w:rPr>
                      <w:rFonts w:hint="default" w:ascii="Times New Roman" w:hAnsi="Times New Roman" w:cs="Times New Roman"/>
                      <w:b/>
                      <w:bCs/>
                      <w:i w:val="0"/>
                      <w:iCs w:val="0"/>
                      <w:color w:val="auto"/>
                      <w:kern w:val="0"/>
                      <w:sz w:val="21"/>
                      <w:szCs w:val="21"/>
                      <w:highlight w:val="none"/>
                      <w:u w:val="none"/>
                      <w:lang w:val="en-US" w:eastAsia="zh-CN" w:bidi="ar"/>
                    </w:rPr>
                    <w:t>车间</w:t>
                  </w:r>
                  <w:r>
                    <w:rPr>
                      <w:rFonts w:hint="default" w:ascii="Times New Roman" w:hAnsi="Times New Roman" w:eastAsia="宋体" w:cs="Times New Roman"/>
                      <w:b/>
                      <w:bCs/>
                      <w:i w:val="0"/>
                      <w:iCs w:val="0"/>
                      <w:color w:val="auto"/>
                      <w:kern w:val="0"/>
                      <w:sz w:val="21"/>
                      <w:szCs w:val="21"/>
                      <w:highlight w:val="none"/>
                      <w:u w:val="none"/>
                      <w:lang w:val="en-US" w:eastAsia="zh-CN" w:bidi="ar"/>
                    </w:rPr>
                    <w:t>空气产生量（t/a）</w:t>
                  </w:r>
                </w:p>
              </w:tc>
            </w:tr>
            <w:tr w14:paraId="7DDEC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5" w:hRule="atLeast"/>
                <w:jc w:val="center"/>
              </w:trPr>
              <w:tc>
                <w:tcPr>
                  <w:tcW w:w="648" w:type="pct"/>
                  <w:shd w:val="clear" w:color="auto" w:fill="auto"/>
                  <w:vAlign w:val="center"/>
                </w:tcPr>
                <w:p w14:paraId="311044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bookmarkStart w:id="150" w:name="OLE_LINK29" w:colFirst="1" w:colLast="5"/>
                  <w:r>
                    <w:rPr>
                      <w:rFonts w:hint="default" w:ascii="Times New Roman" w:hAnsi="Times New Roman" w:eastAsia="宋体" w:cs="Times New Roman"/>
                      <w:b w:val="0"/>
                      <w:bCs w:val="0"/>
                      <w:i w:val="0"/>
                      <w:iCs w:val="0"/>
                      <w:color w:val="auto"/>
                      <w:kern w:val="0"/>
                      <w:sz w:val="21"/>
                      <w:szCs w:val="21"/>
                      <w:highlight w:val="none"/>
                      <w:u w:val="none"/>
                      <w:lang w:val="en-US" w:eastAsia="zh-CN" w:bidi="ar"/>
                    </w:rPr>
                    <w:t>打磨粉尘</w:t>
                  </w:r>
                </w:p>
              </w:tc>
              <w:tc>
                <w:tcPr>
                  <w:tcW w:w="1714" w:type="dxa"/>
                  <w:shd w:val="clear" w:color="auto" w:fill="auto"/>
                  <w:vAlign w:val="center"/>
                </w:tcPr>
                <w:p w14:paraId="013293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9.42</w:t>
                  </w:r>
                </w:p>
              </w:tc>
              <w:tc>
                <w:tcPr>
                  <w:tcW w:w="1860" w:type="dxa"/>
                  <w:shd w:val="clear" w:color="auto" w:fill="auto"/>
                  <w:vAlign w:val="center"/>
                </w:tcPr>
                <w:p w14:paraId="503C2B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3.93</w:t>
                  </w:r>
                </w:p>
              </w:tc>
              <w:tc>
                <w:tcPr>
                  <w:tcW w:w="654" w:type="pct"/>
                  <w:shd w:val="clear" w:color="auto" w:fill="auto"/>
                  <w:vAlign w:val="center"/>
                </w:tcPr>
                <w:p w14:paraId="06F47B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88" w:type="pct"/>
                  <w:shd w:val="clear" w:color="auto" w:fill="auto"/>
                  <w:vAlign w:val="center"/>
                </w:tcPr>
                <w:p w14:paraId="1E2C01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7.54</w:t>
                  </w:r>
                </w:p>
              </w:tc>
              <w:tc>
                <w:tcPr>
                  <w:tcW w:w="958" w:type="pct"/>
                  <w:shd w:val="clear" w:color="auto" w:fill="auto"/>
                  <w:noWrap/>
                  <w:vAlign w:val="center"/>
                </w:tcPr>
                <w:p w14:paraId="39194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1.88</w:t>
                  </w:r>
                </w:p>
              </w:tc>
            </w:tr>
            <w:bookmarkEnd w:id="150"/>
            <w:tr w14:paraId="7D380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8" w:type="pct"/>
                  <w:shd w:val="clear" w:color="auto" w:fill="auto"/>
                  <w:vAlign w:val="center"/>
                </w:tcPr>
                <w:p w14:paraId="6DBAB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抛光粉尘</w:t>
                  </w:r>
                </w:p>
              </w:tc>
              <w:tc>
                <w:tcPr>
                  <w:tcW w:w="1714" w:type="dxa"/>
                  <w:shd w:val="clear" w:color="auto" w:fill="auto"/>
                  <w:vAlign w:val="center"/>
                </w:tcPr>
                <w:p w14:paraId="453535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9.42</w:t>
                  </w:r>
                </w:p>
              </w:tc>
              <w:tc>
                <w:tcPr>
                  <w:tcW w:w="1860" w:type="dxa"/>
                  <w:shd w:val="clear" w:color="auto" w:fill="auto"/>
                  <w:vAlign w:val="center"/>
                </w:tcPr>
                <w:p w14:paraId="56F17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3.93</w:t>
                  </w:r>
                </w:p>
              </w:tc>
              <w:tc>
                <w:tcPr>
                  <w:tcW w:w="654" w:type="pct"/>
                  <w:shd w:val="clear" w:color="auto" w:fill="auto"/>
                  <w:vAlign w:val="center"/>
                </w:tcPr>
                <w:p w14:paraId="66748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1445" w:type="dxa"/>
                  <w:shd w:val="clear" w:color="auto" w:fill="auto"/>
                  <w:vAlign w:val="center"/>
                </w:tcPr>
                <w:p w14:paraId="32DA2F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7.54</w:t>
                  </w:r>
                </w:p>
              </w:tc>
              <w:tc>
                <w:tcPr>
                  <w:tcW w:w="1757" w:type="dxa"/>
                  <w:shd w:val="clear" w:color="auto" w:fill="auto"/>
                  <w:noWrap/>
                  <w:vAlign w:val="center"/>
                </w:tcPr>
                <w:p w14:paraId="344BD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1.88</w:t>
                  </w:r>
                </w:p>
              </w:tc>
            </w:tr>
            <w:tr w14:paraId="0831D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8" w:type="pct"/>
                  <w:shd w:val="clear" w:color="auto" w:fill="auto"/>
                  <w:vAlign w:val="center"/>
                </w:tcPr>
                <w:p w14:paraId="14F2A6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合计</w:t>
                  </w:r>
                </w:p>
              </w:tc>
              <w:tc>
                <w:tcPr>
                  <w:tcW w:w="1714" w:type="dxa"/>
                  <w:shd w:val="clear" w:color="auto" w:fill="auto"/>
                  <w:vAlign w:val="center"/>
                </w:tcPr>
                <w:p w14:paraId="382128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18.84</w:t>
                  </w:r>
                </w:p>
              </w:tc>
              <w:tc>
                <w:tcPr>
                  <w:tcW w:w="1860" w:type="dxa"/>
                  <w:shd w:val="clear" w:color="auto" w:fill="auto"/>
                  <w:vAlign w:val="center"/>
                </w:tcPr>
                <w:p w14:paraId="6B5003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7.86</w:t>
                  </w:r>
                </w:p>
              </w:tc>
              <w:tc>
                <w:tcPr>
                  <w:tcW w:w="1200" w:type="dxa"/>
                  <w:shd w:val="clear" w:color="auto" w:fill="auto"/>
                  <w:vAlign w:val="center"/>
                </w:tcPr>
                <w:p w14:paraId="2C0DD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45" w:type="dxa"/>
                  <w:shd w:val="clear" w:color="auto" w:fill="auto"/>
                  <w:vAlign w:val="center"/>
                </w:tcPr>
                <w:p w14:paraId="52AFE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15.08</w:t>
                  </w:r>
                </w:p>
              </w:tc>
              <w:tc>
                <w:tcPr>
                  <w:tcW w:w="1757" w:type="dxa"/>
                  <w:shd w:val="clear" w:color="auto" w:fill="auto"/>
                  <w:noWrap/>
                  <w:vAlign w:val="center"/>
                </w:tcPr>
                <w:p w14:paraId="62F2F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3.76</w:t>
                  </w:r>
                </w:p>
              </w:tc>
            </w:tr>
          </w:tbl>
          <w:p w14:paraId="39E67B4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根据《广东省工业源挥发性有机物减排量核算方法（2023年修订版）》（粤环函〔2023〕538号）中，表3.3-2 废气收集集气效率参考值对全密封设备/空间的情况：“产生源设置在密闭车间、密闭设备（含反应釜）、密闭管道内，所有开口处，包括人员或物料进出口处呈负压”，此时收集效率取值为</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本项目取集气效率为90%。</w:t>
            </w:r>
          </w:p>
          <w:p w14:paraId="04A3F42B">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highlight w:val="none"/>
                <w:lang w:val="en-US" w:eastAsia="zh-CN"/>
              </w:rPr>
              <w:t>参考《滤筒式除尘器》（JB/T10341-2014），滤料的除尘效率应达到99.5%以上，</w:t>
            </w:r>
            <w:r>
              <w:rPr>
                <w:rFonts w:hint="default" w:ascii="Times New Roman" w:hAnsi="Times New Roman" w:cs="Times New Roman"/>
                <w:color w:val="auto"/>
                <w:sz w:val="24"/>
                <w:szCs w:val="24"/>
                <w:highlight w:val="none"/>
              </w:rPr>
              <w:t>环评在核算时则按照9</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%去除效率来核算粉尘排放量</w:t>
            </w:r>
            <w:r>
              <w:rPr>
                <w:rFonts w:hint="default" w:ascii="Times New Roman" w:hAnsi="Times New Roman" w:cs="Times New Roman"/>
                <w:color w:val="auto"/>
                <w:sz w:val="24"/>
                <w:szCs w:val="24"/>
                <w:highlight w:val="none"/>
                <w:lang w:eastAsia="zh-CN"/>
              </w:rPr>
              <w:t>。</w:t>
            </w:r>
          </w:p>
          <w:p w14:paraId="56F2FA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项目打磨、抛光粉尘排放情况如下表所示。</w:t>
            </w:r>
          </w:p>
          <w:p w14:paraId="77E4E17F">
            <w:pPr>
              <w:pStyle w:val="106"/>
              <w:keepNext w:val="0"/>
              <w:keepLines w:val="0"/>
              <w:numPr>
                <w:ilvl w:val="0"/>
                <w:numId w:val="0"/>
              </w:numPr>
              <w:suppressLineNumbers w:val="0"/>
              <w:tabs>
                <w:tab w:val="left" w:pos="0"/>
              </w:tabs>
              <w:snapToGrid/>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bidi="ar-SA"/>
              </w:rPr>
              <w:t>表4-10</w:t>
            </w:r>
            <w:r>
              <w:rPr>
                <w:rFonts w:hint="default" w:ascii="Times New Roman" w:hAnsi="Times New Roman" w:eastAsia="宋体" w:cs="Times New Roman"/>
                <w:b/>
                <w:bCs/>
                <w:color w:val="auto"/>
                <w:sz w:val="21"/>
                <w:szCs w:val="21"/>
                <w:highlight w:val="none"/>
                <w:lang w:val="en-US" w:eastAsia="zh-CN"/>
              </w:rPr>
              <w:t>本项目打磨、抛光粉尘排放情况</w:t>
            </w:r>
          </w:p>
          <w:tbl>
            <w:tblPr>
              <w:tblStyle w:val="38"/>
              <w:tblW w:w="498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495"/>
              <w:gridCol w:w="5780"/>
            </w:tblGrid>
            <w:tr w14:paraId="0F23D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1ED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bookmarkStart w:id="151" w:name="OLE_LINK30"/>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DF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颗粒物</w:t>
                  </w:r>
                </w:p>
              </w:tc>
            </w:tr>
            <w:tr w14:paraId="00034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01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产生总量（t/a）</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17AF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3.76</w:t>
                  </w:r>
                </w:p>
              </w:tc>
            </w:tr>
            <w:tr w14:paraId="186A2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AE9D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产生速率（kg/h）</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AB1D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1.56</w:t>
                  </w:r>
                  <w:r>
                    <w:rPr>
                      <w:rFonts w:hint="eastAsia" w:cs="Times New Roman"/>
                      <w:i w:val="0"/>
                      <w:iCs w:val="0"/>
                      <w:color w:val="auto"/>
                      <w:kern w:val="0"/>
                      <w:sz w:val="21"/>
                      <w:szCs w:val="21"/>
                      <w:highlight w:val="none"/>
                      <w:u w:val="none"/>
                      <w:lang w:val="en-US" w:eastAsia="zh-CN" w:bidi="ar"/>
                    </w:rPr>
                    <w:t>7</w:t>
                  </w:r>
                </w:p>
              </w:tc>
            </w:tr>
            <w:tr w14:paraId="7066D1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6B268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集气效率取90%，</w:t>
                  </w:r>
                  <w:bookmarkStart w:id="152" w:name="OLE_LINK24"/>
                  <w:r>
                    <w:rPr>
                      <w:rFonts w:hint="default" w:ascii="Times New Roman" w:hAnsi="Times New Roman" w:eastAsia="宋体" w:cs="Times New Roman"/>
                      <w:i w:val="0"/>
                      <w:iCs w:val="0"/>
                      <w:color w:val="auto"/>
                      <w:kern w:val="0"/>
                      <w:sz w:val="21"/>
                      <w:szCs w:val="21"/>
                      <w:highlight w:val="none"/>
                      <w:u w:val="none"/>
                      <w:lang w:val="en-US" w:eastAsia="zh-CN" w:bidi="ar"/>
                    </w:rPr>
                    <w:t>大旋风+滤芯式二级回收系统处理</w:t>
                  </w:r>
                  <w:bookmarkEnd w:id="152"/>
                  <w:r>
                    <w:rPr>
                      <w:rFonts w:hint="default" w:ascii="Times New Roman" w:hAnsi="Times New Roman" w:eastAsia="宋体" w:cs="Times New Roman"/>
                      <w:i w:val="0"/>
                      <w:iCs w:val="0"/>
                      <w:color w:val="auto"/>
                      <w:kern w:val="0"/>
                      <w:sz w:val="21"/>
                      <w:szCs w:val="21"/>
                      <w:highlight w:val="none"/>
                      <w:u w:val="none"/>
                      <w:lang w:val="en-US" w:eastAsia="zh-CN" w:bidi="ar"/>
                    </w:rPr>
                    <w:t>效率取</w:t>
                  </w:r>
                  <w:r>
                    <w:rPr>
                      <w:rFonts w:hint="eastAsia" w:cs="Times New Roman"/>
                      <w:i w:val="0"/>
                      <w:iCs w:val="0"/>
                      <w:color w:val="auto"/>
                      <w:kern w:val="0"/>
                      <w:sz w:val="21"/>
                      <w:szCs w:val="21"/>
                      <w:highlight w:val="none"/>
                      <w:u w:val="none"/>
                      <w:lang w:val="en-US" w:eastAsia="zh-CN" w:bidi="ar"/>
                    </w:rPr>
                    <w:t>95</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5EBBA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F27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Style w:val="109"/>
                      <w:rFonts w:hint="default" w:ascii="Times New Roman" w:hAnsi="Times New Roman" w:cs="Times New Roman"/>
                      <w:color w:val="auto"/>
                      <w:sz w:val="21"/>
                      <w:szCs w:val="21"/>
                      <w:highlight w:val="none"/>
                      <w:lang w:val="en-US" w:eastAsia="zh-CN" w:bidi="ar"/>
                    </w:rPr>
                    <w:t>处理量（</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Style w:val="109"/>
                      <w:rFonts w:hint="default" w:ascii="Times New Roman" w:hAnsi="Times New Roman" w:cs="Times New Roman"/>
                      <w:color w:val="auto"/>
                      <w:sz w:val="21"/>
                      <w:szCs w:val="21"/>
                      <w:highlight w:val="none"/>
                      <w:lang w:val="en-US" w:eastAsia="zh-CN" w:bidi="ar"/>
                    </w:rPr>
                    <w:t>）</w:t>
                  </w:r>
                </w:p>
              </w:tc>
              <w:tc>
                <w:tcPr>
                  <w:tcW w:w="31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063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3.215</w:t>
                  </w:r>
                </w:p>
              </w:tc>
            </w:tr>
            <w:tr w14:paraId="7549B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955F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cs="Times New Roman"/>
                      <w:b/>
                      <w:bCs/>
                      <w:i w:val="0"/>
                      <w:iCs w:val="0"/>
                      <w:color w:val="auto"/>
                      <w:kern w:val="0"/>
                      <w:sz w:val="21"/>
                      <w:szCs w:val="21"/>
                      <w:highlight w:val="none"/>
                      <w:u w:val="none"/>
                      <w:lang w:val="en-US" w:eastAsia="zh-CN" w:bidi="ar"/>
                    </w:rPr>
                    <w:t>有</w:t>
                  </w:r>
                  <w:r>
                    <w:rPr>
                      <w:rFonts w:hint="default" w:ascii="Times New Roman" w:hAnsi="Times New Roman" w:eastAsia="宋体" w:cs="Times New Roman"/>
                      <w:b/>
                      <w:bCs/>
                      <w:i w:val="0"/>
                      <w:iCs w:val="0"/>
                      <w:color w:val="auto"/>
                      <w:kern w:val="0"/>
                      <w:sz w:val="21"/>
                      <w:szCs w:val="21"/>
                      <w:highlight w:val="none"/>
                      <w:u w:val="none"/>
                      <w:lang w:val="en-US" w:eastAsia="zh-CN" w:bidi="ar"/>
                    </w:rPr>
                    <w:t>组织排放</w:t>
                  </w:r>
                </w:p>
              </w:tc>
            </w:tr>
            <w:tr w14:paraId="23544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F5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排放量（t/a）</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B330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0.169</w:t>
                  </w:r>
                </w:p>
              </w:tc>
            </w:tr>
            <w:tr w14:paraId="0275A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188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1C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排放速率（kg/h）</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8C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0.07</w:t>
                  </w:r>
                </w:p>
              </w:tc>
            </w:tr>
            <w:tr w14:paraId="131B8D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500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0DA3A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b/>
                      <w:bCs/>
                      <w:i w:val="0"/>
                      <w:iCs w:val="0"/>
                      <w:color w:val="auto"/>
                      <w:kern w:val="0"/>
                      <w:sz w:val="21"/>
                      <w:szCs w:val="21"/>
                      <w:highlight w:val="none"/>
                      <w:u w:val="none"/>
                      <w:lang w:val="en-US" w:eastAsia="zh-CN" w:bidi="ar"/>
                    </w:rPr>
                    <w:t>无组织排放</w:t>
                  </w:r>
                </w:p>
              </w:tc>
            </w:tr>
            <w:tr w14:paraId="60B62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3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E0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排放量（t/a）</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E35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0.376</w:t>
                  </w:r>
                </w:p>
              </w:tc>
            </w:tr>
            <w:tr w14:paraId="41E54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34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AD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排放速率（kg/h）</w:t>
                  </w:r>
                </w:p>
              </w:tc>
              <w:tc>
                <w:tcPr>
                  <w:tcW w:w="31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348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0.157</w:t>
                  </w:r>
                </w:p>
              </w:tc>
            </w:tr>
            <w:bookmarkEnd w:id="151"/>
          </w:tbl>
          <w:p w14:paraId="4C0AAC7D">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（4）污水处理站恶臭</w:t>
            </w:r>
          </w:p>
          <w:p w14:paraId="57B86500">
            <w:pPr>
              <w:pStyle w:val="106"/>
              <w:keepNext w:val="0"/>
              <w:keepLines w:val="0"/>
              <w:suppressLineNumbers w:val="0"/>
              <w:snapToGrid/>
              <w:spacing w:before="0" w:beforeAutospacing="0" w:after="0" w:afterAutospacing="0"/>
              <w:ind w:left="0" w:right="0" w:firstLine="48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污水处理站废水处理产生的废气主要为硫化氢、氨、</w:t>
            </w:r>
            <w:r>
              <w:rPr>
                <w:rFonts w:hint="eastAsia" w:ascii="Times New Roman" w:hAnsi="Times New Roman" w:cs="Times New Roman"/>
                <w:color w:val="auto"/>
                <w:highlight w:val="none"/>
                <w:lang w:val="en-US" w:eastAsia="zh-CN"/>
              </w:rPr>
              <w:t>酸雾、</w:t>
            </w:r>
            <w:r>
              <w:rPr>
                <w:rFonts w:hint="default" w:ascii="Times New Roman" w:hAnsi="Times New Roman" w:cs="Times New Roman"/>
                <w:color w:val="auto"/>
                <w:highlight w:val="none"/>
              </w:rPr>
              <w:t>臭气浓度</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其中酸雾来源于</w:t>
            </w:r>
            <w:r>
              <w:rPr>
                <w:rFonts w:hint="default" w:ascii="Times New Roman" w:hAnsi="Times New Roman" w:cs="Times New Roman"/>
                <w:color w:val="auto"/>
                <w:highlight w:val="none"/>
                <w:lang w:val="en-US" w:eastAsia="zh-CN"/>
              </w:rPr>
              <w:t>pH调整剂（70%硫酸）</w:t>
            </w:r>
            <w:r>
              <w:rPr>
                <w:rFonts w:hint="eastAsia" w:cs="Times New Roman"/>
                <w:color w:val="auto"/>
                <w:highlight w:val="none"/>
                <w:lang w:val="en-US" w:eastAsia="zh-CN"/>
              </w:rPr>
              <w:t>的使用，由于其</w:t>
            </w:r>
            <w:r>
              <w:rPr>
                <w:rFonts w:hint="default" w:ascii="Times New Roman" w:hAnsi="Times New Roman" w:cs="Times New Roman"/>
                <w:color w:val="auto"/>
                <w:highlight w:val="none"/>
                <w:lang w:val="en-US" w:eastAsia="zh-CN"/>
              </w:rPr>
              <w:t>储存于密闭的容器中，非取用状态时加盖、封口，保持密闭，项目仅为调节废水PH，不存在酸洗等过程，常温下只会有极少酸雾随着水汽蒸发而挥发出来，本项目忽略不计</w:t>
            </w:r>
            <w:r>
              <w:rPr>
                <w:rFonts w:hint="eastAsia" w:cs="Times New Roman"/>
                <w:color w:val="auto"/>
                <w:highlight w:val="none"/>
                <w:lang w:val="en-US" w:eastAsia="zh-CN"/>
              </w:rPr>
              <w:t>；</w:t>
            </w:r>
            <w:r>
              <w:rPr>
                <w:rFonts w:hint="default" w:ascii="Times New Roman" w:hAnsi="Times New Roman" w:cs="Times New Roman"/>
                <w:color w:val="auto"/>
                <w:highlight w:val="none"/>
              </w:rPr>
              <w:t>硫化氢、氨、臭气浓度由于产生量少，本次评价不作定量分析，污水处理站采取加盖密闭、加强通风措施后无组织排放，经处理后预计能够满足《恶臭污染物排放标准》（GB14554-1993）表1恶臭污染物新扩改建厂界标准值二级标准，生产异味对周边环境的影响不大。</w:t>
            </w:r>
          </w:p>
          <w:p w14:paraId="168F0AD7">
            <w:pPr>
              <w:keepNext w:val="0"/>
              <w:keepLines w:val="0"/>
              <w:numPr>
                <w:ilvl w:val="0"/>
                <w:numId w:val="0"/>
              </w:numPr>
              <w:suppressLineNumbers w:val="0"/>
              <w:adjustRightInd w:val="0"/>
              <w:snapToGrid w:val="0"/>
              <w:spacing w:before="0" w:beforeAutospacing="0" w:after="0" w:afterAutospacing="0"/>
              <w:ind w:left="0" w:right="0" w:firstLine="480" w:firstLineChars="20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（5）食堂油烟</w:t>
            </w:r>
          </w:p>
          <w:p w14:paraId="16BDB36A">
            <w:pPr>
              <w:keepNext w:val="0"/>
              <w:keepLines w:val="0"/>
              <w:numPr>
                <w:ilvl w:val="0"/>
                <w:numId w:val="0"/>
              </w:numPr>
              <w:suppressLineNumbers w:val="0"/>
              <w:adjustRightInd w:val="0"/>
              <w:snapToGrid w:val="0"/>
              <w:spacing w:before="0" w:beforeAutospacing="0" w:after="0" w:afterAutospacing="0"/>
              <w:ind w:left="0" w:right="0"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拟雇佣员工150人，均在厂区内就餐。食堂在烹饪、加工过程中会挥发出油脂、有机质及热分解产物，从而产生油烟废气。根据饮食业油烟浓度经验数据，目前居民人均食用油日用量约30g/人·d，一般油烟挥发量占总耗油量的2~4%，本项目取3%，油烟的产生量为0.0405t/a，开炉时间按4h/d计，拟设置2个灶头，单个灶头风量为2000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/h，油烟经集气装置（收集效率为70%）收集后经1套静电油烟净化装置（处理效率为85%）处理后由专用的排烟管道引至楼顶排放，则油烟排放量为有组织排放量为0.00425‬t/a，排放速率为0.0035kg/h，排放浓度为0.8</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，油烟无组织排放量为0.01215t/a，排放速率为0.0101kg/h。</w:t>
            </w:r>
          </w:p>
          <w:p w14:paraId="3192ECDF">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2、废气治理系统可行性分析</w:t>
            </w:r>
          </w:p>
          <w:p w14:paraId="794046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default" w:ascii="Times New Roman" w:hAnsi="Times New Roman" w:eastAsia="宋体" w:cs="Times New Roman"/>
                <w:b/>
                <w:bCs/>
                <w:color w:val="auto"/>
                <w:sz w:val="24"/>
                <w:szCs w:val="24"/>
                <w:highlight w:val="none"/>
              </w:rPr>
            </w:pPr>
            <w:bookmarkStart w:id="153" w:name="_Toc20675"/>
            <w:bookmarkStart w:id="154" w:name="_Toc1330"/>
            <w:bookmarkStart w:id="155" w:name="_Toc2546"/>
            <w:r>
              <w:rPr>
                <w:rFonts w:hint="default" w:ascii="Times New Roman" w:hAnsi="Times New Roman"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rPr>
              <w:t>移动式烟尘净化器</w:t>
            </w:r>
            <w:bookmarkEnd w:id="153"/>
            <w:bookmarkEnd w:id="154"/>
            <w:bookmarkEnd w:id="155"/>
          </w:p>
          <w:p w14:paraId="5D48B50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本项目采用移动式烟尘净化器处理焊接烟尘。</w:t>
            </w:r>
          </w:p>
          <w:p w14:paraId="132020B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①</w:t>
            </w:r>
            <w:r>
              <w:rPr>
                <w:rFonts w:hint="default" w:ascii="Times New Roman" w:hAnsi="Times New Roman" w:eastAsia="宋体" w:cs="Times New Roman"/>
                <w:b/>
                <w:color w:val="auto"/>
                <w:sz w:val="24"/>
                <w:szCs w:val="24"/>
                <w:highlight w:val="none"/>
              </w:rPr>
              <w:t>移动式烟尘净化器工作原理</w:t>
            </w:r>
          </w:p>
          <w:p w14:paraId="766F0FD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移动式除尘器工作原理是含尘气体由风机通过吸尘管吸入箱体，进入滤袋过滤，粉尘颗粒被滤袋阻留在表面，经过过滤的净化气体由出风口排出，可直接排放在室内循环使用，也可根据需要排出室外。整个除尘过滤是一个重力，惯性力，碰撞，筛滤等综合效应的结果。除尘器连续工作一段时间后，滤袋表面的粉尘不断增加，继而进行清灰，粉尘抖落在集尘器（抽屉）中，再由人工进行处理。</w:t>
            </w:r>
          </w:p>
          <w:p w14:paraId="0CA2402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移动式烟尘净化器结构示意图及过滤原理图如下：</w:t>
            </w:r>
          </w:p>
          <w:p w14:paraId="36CDBB19">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0" distR="0">
                  <wp:extent cx="5205730" cy="2606040"/>
                  <wp:effectExtent l="0" t="0" r="1397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5205730" cy="2606040"/>
                          </a:xfrm>
                          <a:prstGeom prst="rect">
                            <a:avLst/>
                          </a:prstGeom>
                        </pic:spPr>
                      </pic:pic>
                    </a:graphicData>
                  </a:graphic>
                </wp:inline>
              </w:drawing>
            </w:r>
          </w:p>
          <w:p w14:paraId="3C7A72F9">
            <w:pPr>
              <w:keepNext/>
              <w:keepLines/>
              <w:numPr>
                <w:ilvl w:val="0"/>
                <w:numId w:val="8"/>
              </w:numPr>
              <w:suppressLineNumbers w:val="0"/>
              <w:spacing w:before="0" w:beforeAutospacing="0" w:after="0" w:afterAutospacing="0"/>
              <w:ind w:left="0" w:leftChars="0" w:right="0" w:firstLine="0" w:firstLineChars="0"/>
              <w:jc w:val="center"/>
              <w:outlineLvl w:val="3"/>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移动式烟尘净化器结构示意图及过滤原理图</w:t>
            </w:r>
          </w:p>
          <w:p w14:paraId="7FD3AA16">
            <w:pPr>
              <w:keepNext w:val="0"/>
              <w:keepLines w:val="0"/>
              <w:suppressLineNumbers w:val="0"/>
              <w:spacing w:before="0" w:beforeAutospacing="0" w:after="0" w:afterAutospacing="0" w:line="360" w:lineRule="auto"/>
              <w:ind w:left="480" w:leftChars="200" w:right="0"/>
              <w:rPr>
                <w:rStyle w:val="80"/>
                <w:rFonts w:hint="default" w:ascii="Times New Roman" w:hAnsi="Times New Roman" w:cs="Times New Roman"/>
                <w:b/>
                <w:color w:val="auto"/>
                <w:highlight w:val="none"/>
              </w:rPr>
            </w:pPr>
            <w:r>
              <w:rPr>
                <w:rStyle w:val="80"/>
                <w:rFonts w:hint="default" w:ascii="Times New Roman" w:hAnsi="Times New Roman" w:cs="Times New Roman"/>
                <w:b/>
                <w:color w:val="auto"/>
                <w:highlight w:val="none"/>
                <w:lang w:val="en-US" w:eastAsia="zh-CN"/>
              </w:rPr>
              <w:t>②</w:t>
            </w:r>
            <w:r>
              <w:rPr>
                <w:rStyle w:val="80"/>
                <w:rFonts w:hint="default" w:ascii="Times New Roman" w:hAnsi="Times New Roman" w:cs="Times New Roman"/>
                <w:b/>
                <w:color w:val="auto"/>
                <w:highlight w:val="none"/>
              </w:rPr>
              <w:t>移动式烟尘净化器的适用范围</w:t>
            </w:r>
          </w:p>
          <w:p w14:paraId="55604E9E">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color w:val="auto"/>
                <w:highlight w:val="none"/>
              </w:rPr>
              <w:t>移动式烟尘净化器用于焊接、抛光、切割、打磨等工序中产生烟尘和粉尘的净化以及对稀有金属、贵重物料的回收等，可净化大量悬浮在空气中对人体有害的细小废气颗粒物。具有净化效率高、噪声低、使用灵活、占地面积小等特点。适用于电弧焊、二氧化碳保护焊、</w:t>
            </w:r>
            <w:r>
              <w:rPr>
                <w:rStyle w:val="108"/>
                <w:rFonts w:hint="default" w:ascii="Times New Roman" w:hAnsi="Times New Roman" w:eastAsia="宋体" w:cs="Times New Roman"/>
                <w:color w:val="auto"/>
                <w:highlight w:val="none"/>
              </w:rPr>
              <w:t>MAG</w:t>
            </w:r>
            <w:r>
              <w:rPr>
                <w:rStyle w:val="80"/>
                <w:rFonts w:hint="default" w:ascii="Times New Roman" w:hAnsi="Times New Roman" w:cs="Times New Roman"/>
                <w:color w:val="auto"/>
                <w:highlight w:val="none"/>
              </w:rPr>
              <w:t>焊接、碳弧气刨焊、气熔割、特殊焊接等产生烟气的作业场所。烟尘去除率</w:t>
            </w:r>
            <w:r>
              <w:rPr>
                <w:rStyle w:val="108"/>
                <w:rFonts w:hint="default" w:ascii="Times New Roman" w:hAnsi="Times New Roman" w:eastAsia="宋体" w:cs="Times New Roman"/>
                <w:color w:val="auto"/>
                <w:highlight w:val="none"/>
              </w:rPr>
              <w:t>≥99.0%</w:t>
            </w:r>
            <w:r>
              <w:rPr>
                <w:rStyle w:val="80"/>
                <w:rFonts w:hint="default" w:ascii="Times New Roman" w:hAnsi="Times New Roman" w:cs="Times New Roman"/>
                <w:color w:val="auto"/>
                <w:highlight w:val="none"/>
              </w:rPr>
              <w:t>，处理后排出的洁净空气可以直接在车间内循环排放。</w:t>
            </w:r>
          </w:p>
          <w:p w14:paraId="39953B5C">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b/>
                <w:color w:val="auto"/>
                <w:highlight w:val="none"/>
                <w:lang w:val="en-US" w:eastAsia="zh-CN"/>
              </w:rPr>
              <w:t>③</w:t>
            </w:r>
            <w:r>
              <w:rPr>
                <w:rStyle w:val="80"/>
                <w:rFonts w:hint="default" w:ascii="Times New Roman" w:hAnsi="Times New Roman" w:cs="Times New Roman"/>
                <w:b/>
                <w:color w:val="auto"/>
                <w:highlight w:val="none"/>
              </w:rPr>
              <w:t>移动式烟尘净化器的优缺点</w:t>
            </w:r>
          </w:p>
          <w:p w14:paraId="034326A2">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color w:val="auto"/>
                <w:highlight w:val="none"/>
                <w:lang w:val="en-US" w:eastAsia="zh-CN"/>
              </w:rPr>
              <w:t>a.</w:t>
            </w:r>
            <w:r>
              <w:rPr>
                <w:rStyle w:val="80"/>
                <w:rFonts w:hint="default" w:ascii="Times New Roman" w:hAnsi="Times New Roman" w:cs="Times New Roman"/>
                <w:color w:val="auto"/>
                <w:highlight w:val="none"/>
              </w:rPr>
              <w:t>可灵活移动于厂房的任意位置，不受发尘点不固定的约束。</w:t>
            </w:r>
          </w:p>
          <w:p w14:paraId="04284812">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color w:val="auto"/>
                <w:highlight w:val="none"/>
                <w:lang w:val="en-US" w:eastAsia="zh-CN"/>
              </w:rPr>
              <w:t>b.</w:t>
            </w:r>
            <w:r>
              <w:rPr>
                <w:rStyle w:val="80"/>
                <w:rFonts w:hint="default" w:ascii="Times New Roman" w:hAnsi="Times New Roman" w:cs="Times New Roman"/>
                <w:color w:val="auto"/>
                <w:highlight w:val="none"/>
              </w:rPr>
              <w:t>设备配有万向脚轮，方便设备的定位。</w:t>
            </w:r>
          </w:p>
          <w:p w14:paraId="45578D75">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color w:val="auto"/>
                <w:highlight w:val="none"/>
                <w:lang w:val="en-US" w:eastAsia="zh-CN"/>
              </w:rPr>
              <w:t>c.</w:t>
            </w:r>
            <w:r>
              <w:rPr>
                <w:rStyle w:val="80"/>
                <w:rFonts w:hint="default" w:ascii="Times New Roman" w:hAnsi="Times New Roman" w:cs="Times New Roman"/>
                <w:color w:val="auto"/>
                <w:highlight w:val="none"/>
              </w:rPr>
              <w:t>无与伦比的处理效率，在额定处理风量下，烟尘去除率</w:t>
            </w:r>
            <w:r>
              <w:rPr>
                <w:rStyle w:val="108"/>
                <w:rFonts w:hint="default" w:ascii="Times New Roman" w:hAnsi="Times New Roman" w:eastAsia="宋体" w:cs="Times New Roman"/>
                <w:color w:val="auto"/>
                <w:highlight w:val="none"/>
              </w:rPr>
              <w:t>≥99.0%</w:t>
            </w:r>
            <w:r>
              <w:rPr>
                <w:rStyle w:val="80"/>
                <w:rFonts w:hint="default" w:ascii="Times New Roman" w:hAnsi="Times New Roman" w:cs="Times New Roman"/>
                <w:color w:val="auto"/>
                <w:highlight w:val="none"/>
              </w:rPr>
              <w:t>，处理后排出的洁净空气可以直接在车间内循环排放。</w:t>
            </w:r>
          </w:p>
          <w:p w14:paraId="50424B5F">
            <w:pPr>
              <w:keepNext w:val="0"/>
              <w:keepLines w:val="0"/>
              <w:suppressLineNumbers w:val="0"/>
              <w:spacing w:before="0" w:beforeAutospacing="0" w:after="0" w:afterAutospacing="0" w:line="360" w:lineRule="auto"/>
              <w:ind w:left="0" w:right="0" w:firstLine="480" w:firstLineChars="200"/>
              <w:rPr>
                <w:rStyle w:val="80"/>
                <w:rFonts w:hint="default" w:ascii="Times New Roman" w:hAnsi="Times New Roman" w:cs="Times New Roman"/>
                <w:color w:val="auto"/>
                <w:highlight w:val="none"/>
              </w:rPr>
            </w:pPr>
            <w:r>
              <w:rPr>
                <w:rStyle w:val="80"/>
                <w:rFonts w:hint="default" w:ascii="Times New Roman" w:hAnsi="Times New Roman" w:cs="Times New Roman"/>
                <w:color w:val="auto"/>
                <w:highlight w:val="none"/>
                <w:lang w:val="en-US" w:eastAsia="zh-CN"/>
              </w:rPr>
              <w:t>d.</w:t>
            </w:r>
            <w:r>
              <w:rPr>
                <w:rStyle w:val="80"/>
                <w:rFonts w:hint="default" w:ascii="Times New Roman" w:hAnsi="Times New Roman" w:cs="Times New Roman"/>
                <w:color w:val="auto"/>
                <w:highlight w:val="none"/>
              </w:rPr>
              <w:t>设备内置自动脉冲清灰装置，保持设备恒定的吸风量，和恒定的净化能力。</w:t>
            </w:r>
          </w:p>
          <w:p w14:paraId="5A079FE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e.</w:t>
            </w:r>
            <w:r>
              <w:rPr>
                <w:rFonts w:hint="default" w:ascii="Times New Roman" w:hAnsi="Times New Roman" w:eastAsia="宋体" w:cs="Times New Roman"/>
                <w:color w:val="auto"/>
                <w:sz w:val="24"/>
                <w:szCs w:val="24"/>
                <w:highlight w:val="none"/>
              </w:rPr>
              <w:t>使用万向吸气臂，可在悬停于三维空间的任意位置，360°轻松灵活到达任意方位发尘点，工人可更有效率的工作。</w:t>
            </w:r>
          </w:p>
          <w:p w14:paraId="2AA2C11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f.</w:t>
            </w:r>
            <w:r>
              <w:rPr>
                <w:rFonts w:hint="default" w:ascii="Times New Roman" w:hAnsi="Times New Roman" w:eastAsia="宋体" w:cs="Times New Roman"/>
                <w:color w:val="auto"/>
                <w:sz w:val="24"/>
                <w:szCs w:val="24"/>
                <w:highlight w:val="none"/>
              </w:rPr>
              <w:t>设备操作简单，容易清理维护。</w:t>
            </w:r>
          </w:p>
          <w:p w14:paraId="716F8D3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sz w:val="24"/>
                <w:szCs w:val="24"/>
                <w:highlight w:val="none"/>
                <w:lang w:val="en-US" w:eastAsia="zh-CN"/>
              </w:rPr>
              <w:t>③</w:t>
            </w:r>
            <w:r>
              <w:rPr>
                <w:rFonts w:hint="default" w:ascii="Times New Roman" w:hAnsi="Times New Roman" w:eastAsia="宋体" w:cs="Times New Roman"/>
                <w:b/>
                <w:color w:val="auto"/>
                <w:sz w:val="24"/>
                <w:szCs w:val="24"/>
                <w:highlight w:val="none"/>
              </w:rPr>
              <w:t>使用</w:t>
            </w:r>
            <w:r>
              <w:rPr>
                <w:rStyle w:val="80"/>
                <w:rFonts w:hint="default" w:ascii="Times New Roman" w:hAnsi="Times New Roman" w:cs="Times New Roman"/>
                <w:b/>
                <w:color w:val="auto"/>
                <w:highlight w:val="none"/>
              </w:rPr>
              <w:t>移动式烟尘净化器的可行性分析</w:t>
            </w:r>
          </w:p>
          <w:p w14:paraId="1A46586A">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bookmarkStart w:id="156" w:name="OLE_LINK47"/>
            <w:r>
              <w:rPr>
                <w:rFonts w:hint="default" w:ascii="Times New Roman" w:hAnsi="Times New Roman" w:eastAsia="宋体" w:cs="Times New Roman"/>
                <w:b/>
                <w:bCs/>
                <w:color w:val="auto"/>
                <w:kern w:val="2"/>
                <w:sz w:val="21"/>
                <w:szCs w:val="21"/>
                <w:highlight w:val="none"/>
                <w:lang w:val="en-US" w:eastAsia="zh-CN" w:bidi="ar-SA"/>
              </w:rPr>
              <w:t>表4-11</w:t>
            </w:r>
            <w:r>
              <w:rPr>
                <w:rFonts w:hint="default" w:ascii="Times New Roman" w:hAnsi="Times New Roman" w:eastAsia="宋体" w:cs="Times New Roman"/>
                <w:b/>
                <w:bCs/>
                <w:color w:val="auto"/>
                <w:sz w:val="21"/>
                <w:szCs w:val="21"/>
                <w:highlight w:val="none"/>
                <w:lang w:val="en-US" w:eastAsia="zh-CN"/>
              </w:rPr>
              <w:t>固定式和</w:t>
            </w:r>
            <w:bookmarkStart w:id="157" w:name="OLE_LINK44"/>
            <w:r>
              <w:rPr>
                <w:rFonts w:hint="default" w:ascii="Times New Roman" w:hAnsi="Times New Roman" w:eastAsia="宋体" w:cs="Times New Roman"/>
                <w:b/>
                <w:bCs/>
                <w:color w:val="auto"/>
                <w:sz w:val="21"/>
                <w:szCs w:val="21"/>
                <w:highlight w:val="none"/>
                <w:lang w:val="en-US" w:eastAsia="zh-CN"/>
              </w:rPr>
              <w:t>移动式</w:t>
            </w:r>
            <w:bookmarkEnd w:id="157"/>
            <w:r>
              <w:rPr>
                <w:rFonts w:hint="default" w:ascii="Times New Roman" w:hAnsi="Times New Roman" w:eastAsia="宋体" w:cs="Times New Roman"/>
                <w:b/>
                <w:bCs/>
                <w:color w:val="auto"/>
                <w:sz w:val="21"/>
                <w:szCs w:val="21"/>
                <w:highlight w:val="none"/>
                <w:lang w:val="en-US" w:eastAsia="zh-CN"/>
              </w:rPr>
              <w:t>焊烟净化器的优势对比</w:t>
            </w:r>
            <w:r>
              <w:rPr>
                <w:rFonts w:hint="default" w:ascii="Times New Roman" w:hAnsi="Times New Roman" w:cs="Times New Roman"/>
                <w:b/>
                <w:bCs/>
                <w:color w:val="auto"/>
                <w:sz w:val="21"/>
                <w:szCs w:val="21"/>
                <w:highlight w:val="none"/>
                <w:lang w:val="en-US" w:eastAsia="zh-CN"/>
              </w:rPr>
              <w:t>表</w:t>
            </w:r>
          </w:p>
          <w:bookmarkEnd w:id="156"/>
          <w:tbl>
            <w:tblPr>
              <w:tblStyle w:val="38"/>
              <w:tblW w:w="917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4"/>
              <w:gridCol w:w="3870"/>
              <w:gridCol w:w="3714"/>
            </w:tblGrid>
            <w:tr w14:paraId="2F8DC7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AE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cs="Times New Roman"/>
                      <w:b/>
                      <w:bCs/>
                      <w:i w:val="0"/>
                      <w:iCs w:val="0"/>
                      <w:color w:val="auto"/>
                      <w:sz w:val="21"/>
                      <w:szCs w:val="21"/>
                      <w:highlight w:val="none"/>
                      <w:u w:val="none"/>
                      <w:lang w:val="en-US" w:eastAsia="zh-CN"/>
                    </w:rPr>
                    <w:t>维度</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4FD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lang w:val="en-US" w:eastAsia="zh-CN"/>
                    </w:rPr>
                    <w:t>固定式</w:t>
                  </w:r>
                </w:p>
              </w:tc>
              <w:tc>
                <w:tcPr>
                  <w:tcW w:w="20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A8E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lang w:val="en-US" w:eastAsia="zh-CN"/>
                    </w:rPr>
                    <w:t>移动式</w:t>
                  </w:r>
                </w:p>
              </w:tc>
            </w:tr>
            <w:tr w14:paraId="0395D7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204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适用场景</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5B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b w:val="0"/>
                      <w:bCs w:val="0"/>
                      <w:i w:val="0"/>
                      <w:iCs w:val="0"/>
                      <w:color w:val="auto"/>
                      <w:sz w:val="21"/>
                      <w:szCs w:val="21"/>
                      <w:highlight w:val="none"/>
                      <w:u w:val="none"/>
                    </w:rPr>
                    <w:t>固定工位、集中焊接</w:t>
                  </w:r>
                  <w:r>
                    <w:rPr>
                      <w:rFonts w:hint="default" w:ascii="Times New Roman" w:hAnsi="Times New Roman" w:cs="Times New Roman"/>
                      <w:b w:val="0"/>
                      <w:bCs w:val="0"/>
                      <w:i w:val="0"/>
                      <w:iCs w:val="0"/>
                      <w:color w:val="auto"/>
                      <w:sz w:val="21"/>
                      <w:szCs w:val="21"/>
                      <w:highlight w:val="none"/>
                      <w:u w:val="none"/>
                      <w:lang w:eastAsia="zh-CN"/>
                    </w:rPr>
                    <w:t>，</w:t>
                  </w:r>
                  <w:r>
                    <w:rPr>
                      <w:rFonts w:hint="default" w:ascii="Times New Roman" w:hAnsi="Times New Roman" w:cs="Times New Roman"/>
                      <w:b w:val="0"/>
                      <w:bCs w:val="0"/>
                      <w:i w:val="0"/>
                      <w:iCs w:val="0"/>
                      <w:color w:val="auto"/>
                      <w:sz w:val="21"/>
                      <w:szCs w:val="21"/>
                      <w:highlight w:val="none"/>
                      <w:u w:val="none"/>
                      <w:lang w:val="en-US" w:eastAsia="zh-CN"/>
                    </w:rPr>
                    <w:t>适合机器人焊接线、大型钢结构车间等工位固定且烟尘量大的场合</w:t>
                  </w:r>
                </w:p>
              </w:tc>
              <w:tc>
                <w:tcPr>
                  <w:tcW w:w="2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8A8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分散工位、大型工件灵活转运</w:t>
                  </w:r>
                  <w:r>
                    <w:rPr>
                      <w:rFonts w:hint="default" w:ascii="Times New Roman" w:hAnsi="Times New Roman" w:cs="Times New Roman"/>
                      <w:b w:val="0"/>
                      <w:bCs w:val="0"/>
                      <w:i w:val="0"/>
                      <w:iCs w:val="0"/>
                      <w:color w:val="auto"/>
                      <w:kern w:val="0"/>
                      <w:sz w:val="21"/>
                      <w:szCs w:val="21"/>
                      <w:highlight w:val="none"/>
                      <w:u w:val="none"/>
                      <w:lang w:val="en-US" w:eastAsia="zh-CN" w:bidi="ar"/>
                    </w:rPr>
                    <w:t>，适合维修车间、异形工件焊接等工位不固定的场合</w:t>
                  </w:r>
                </w:p>
              </w:tc>
            </w:tr>
            <w:tr w14:paraId="255C68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F13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处理风量</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A4D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bookmarkStart w:id="158" w:name="OLE_LINK45"/>
                  <w:r>
                    <w:rPr>
                      <w:rFonts w:hint="default" w:ascii="Times New Roman" w:hAnsi="Times New Roman" w:eastAsia="宋体" w:cs="Times New Roman"/>
                      <w:b w:val="0"/>
                      <w:bCs w:val="0"/>
                      <w:i w:val="0"/>
                      <w:iCs w:val="0"/>
                      <w:color w:val="auto"/>
                      <w:sz w:val="21"/>
                      <w:szCs w:val="21"/>
                      <w:highlight w:val="none"/>
                      <w:u w:val="none"/>
                    </w:rPr>
                    <w:t>4000−100000m</w:t>
                  </w:r>
                  <w:r>
                    <w:rPr>
                      <w:rFonts w:hint="default" w:ascii="Times New Roman" w:hAnsi="Times New Roman" w:eastAsia="宋体" w:cs="Times New Roman"/>
                      <w:b w:val="0"/>
                      <w:bCs w:val="0"/>
                      <w:i w:val="0"/>
                      <w:iCs w:val="0"/>
                      <w:color w:val="auto"/>
                      <w:sz w:val="21"/>
                      <w:szCs w:val="21"/>
                      <w:highlight w:val="none"/>
                      <w:u w:val="none"/>
                      <w:vertAlign w:val="superscript"/>
                    </w:rPr>
                    <w:t>3</w:t>
                  </w:r>
                  <w:r>
                    <w:rPr>
                      <w:rFonts w:hint="default" w:ascii="Times New Roman" w:hAnsi="Times New Roman" w:eastAsia="宋体" w:cs="Times New Roman"/>
                      <w:b w:val="0"/>
                      <w:bCs w:val="0"/>
                      <w:i w:val="0"/>
                      <w:iCs w:val="0"/>
                      <w:color w:val="auto"/>
                      <w:sz w:val="21"/>
                      <w:szCs w:val="21"/>
                      <w:highlight w:val="none"/>
                      <w:u w:val="none"/>
                    </w:rPr>
                    <w:t>/h</w:t>
                  </w:r>
                  <w:bookmarkEnd w:id="158"/>
                  <w:r>
                    <w:rPr>
                      <w:rFonts w:hint="default" w:ascii="Times New Roman" w:hAnsi="Times New Roman" w:eastAsia="宋体" w:cs="Times New Roman"/>
                      <w:b w:val="0"/>
                      <w:bCs w:val="0"/>
                      <w:i w:val="0"/>
                      <w:iCs w:val="0"/>
                      <w:color w:val="auto"/>
                      <w:sz w:val="21"/>
                      <w:szCs w:val="21"/>
                      <w:highlight w:val="none"/>
                      <w:u w:val="none"/>
                    </w:rPr>
                    <w:t>（</w:t>
                  </w:r>
                  <w:r>
                    <w:rPr>
                      <w:rFonts w:hint="default" w:ascii="Times New Roman" w:hAnsi="Times New Roman" w:cs="Times New Roman"/>
                      <w:b w:val="0"/>
                      <w:bCs w:val="0"/>
                      <w:i w:val="0"/>
                      <w:iCs w:val="0"/>
                      <w:color w:val="auto"/>
                      <w:sz w:val="21"/>
                      <w:szCs w:val="21"/>
                      <w:highlight w:val="none"/>
                      <w:u w:val="none"/>
                      <w:lang w:val="en-US" w:eastAsia="zh-CN"/>
                    </w:rPr>
                    <w:t>可同时</w:t>
                  </w:r>
                  <w:r>
                    <w:rPr>
                      <w:rFonts w:hint="default" w:ascii="Times New Roman" w:hAnsi="Times New Roman" w:eastAsia="宋体" w:cs="Times New Roman"/>
                      <w:b w:val="0"/>
                      <w:bCs w:val="0"/>
                      <w:i w:val="0"/>
                      <w:iCs w:val="0"/>
                      <w:color w:val="auto"/>
                      <w:sz w:val="21"/>
                      <w:szCs w:val="21"/>
                      <w:highlight w:val="none"/>
                      <w:u w:val="none"/>
                    </w:rPr>
                    <w:t>覆盖多工位）</w:t>
                  </w:r>
                </w:p>
              </w:tc>
              <w:tc>
                <w:tcPr>
                  <w:tcW w:w="2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5BC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cs="Times New Roman"/>
                      <w:b w:val="0"/>
                      <w:bCs w:val="0"/>
                      <w:i w:val="0"/>
                      <w:iCs w:val="0"/>
                      <w:color w:val="auto"/>
                      <w:sz w:val="21"/>
                      <w:szCs w:val="21"/>
                      <w:highlight w:val="none"/>
                      <w:u w:val="none"/>
                      <w:lang w:val="en-US" w:eastAsia="zh-CN"/>
                    </w:rPr>
                    <w:t>2</w:t>
                  </w:r>
                  <w:r>
                    <w:rPr>
                      <w:rFonts w:hint="default" w:ascii="Times New Roman" w:hAnsi="Times New Roman" w:eastAsia="宋体" w:cs="Times New Roman"/>
                      <w:b w:val="0"/>
                      <w:bCs w:val="0"/>
                      <w:i w:val="0"/>
                      <w:iCs w:val="0"/>
                      <w:color w:val="auto"/>
                      <w:sz w:val="21"/>
                      <w:szCs w:val="21"/>
                      <w:highlight w:val="none"/>
                      <w:u w:val="none"/>
                    </w:rPr>
                    <w:t>000−</w:t>
                  </w:r>
                  <w:r>
                    <w:rPr>
                      <w:rFonts w:hint="default" w:ascii="Times New Roman" w:hAnsi="Times New Roman" w:cs="Times New Roman"/>
                      <w:b w:val="0"/>
                      <w:bCs w:val="0"/>
                      <w:i w:val="0"/>
                      <w:iCs w:val="0"/>
                      <w:color w:val="auto"/>
                      <w:sz w:val="21"/>
                      <w:szCs w:val="21"/>
                      <w:highlight w:val="none"/>
                      <w:u w:val="none"/>
                      <w:lang w:val="en-US" w:eastAsia="zh-CN"/>
                    </w:rPr>
                    <w:t>25</w:t>
                  </w:r>
                  <w:r>
                    <w:rPr>
                      <w:rFonts w:hint="default" w:ascii="Times New Roman" w:hAnsi="Times New Roman" w:eastAsia="宋体" w:cs="Times New Roman"/>
                      <w:b w:val="0"/>
                      <w:bCs w:val="0"/>
                      <w:i w:val="0"/>
                      <w:iCs w:val="0"/>
                      <w:color w:val="auto"/>
                      <w:sz w:val="21"/>
                      <w:szCs w:val="21"/>
                      <w:highlight w:val="none"/>
                      <w:u w:val="none"/>
                    </w:rPr>
                    <w:t>00m</w:t>
                  </w:r>
                  <w:r>
                    <w:rPr>
                      <w:rFonts w:hint="default" w:ascii="Times New Roman" w:hAnsi="Times New Roman" w:eastAsia="宋体" w:cs="Times New Roman"/>
                      <w:b w:val="0"/>
                      <w:bCs w:val="0"/>
                      <w:i w:val="0"/>
                      <w:iCs w:val="0"/>
                      <w:color w:val="auto"/>
                      <w:sz w:val="21"/>
                      <w:szCs w:val="21"/>
                      <w:highlight w:val="none"/>
                      <w:u w:val="none"/>
                      <w:vertAlign w:val="superscript"/>
                    </w:rPr>
                    <w:t>3</w:t>
                  </w:r>
                  <w:r>
                    <w:rPr>
                      <w:rFonts w:hint="default" w:ascii="Times New Roman" w:hAnsi="Times New Roman" w:eastAsia="宋体" w:cs="Times New Roman"/>
                      <w:b w:val="0"/>
                      <w:bCs w:val="0"/>
                      <w:i w:val="0"/>
                      <w:iCs w:val="0"/>
                      <w:color w:val="auto"/>
                      <w:sz w:val="21"/>
                      <w:szCs w:val="21"/>
                      <w:highlight w:val="none"/>
                      <w:u w:val="none"/>
                    </w:rPr>
                    <w:t>/h</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（单点处理）</w:t>
                  </w:r>
                </w:p>
              </w:tc>
            </w:tr>
            <w:tr w14:paraId="6C7AC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6E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烟尘捕集方式</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3E47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管道集中抽吸（需固定吸罩或吸气臂）</w:t>
                  </w:r>
                </w:p>
              </w:tc>
              <w:tc>
                <w:tcPr>
                  <w:tcW w:w="2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535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万向吸气臂源头捕集（360°旋转悬停）</w:t>
                  </w:r>
                </w:p>
              </w:tc>
            </w:tr>
            <w:tr w14:paraId="1F9A2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AC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适用颗粒物</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3C6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0.5μm以上金属颗粒、烟尘</w:t>
                  </w:r>
                </w:p>
              </w:tc>
              <w:tc>
                <w:tcPr>
                  <w:tcW w:w="20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FD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i w:val="0"/>
                      <w:iCs w:val="0"/>
                      <w:color w:val="auto"/>
                      <w:sz w:val="21"/>
                      <w:szCs w:val="21"/>
                      <w:highlight w:val="none"/>
                      <w:u w:val="none"/>
                      <w:lang w:val="en-US" w:eastAsia="zh-CN"/>
                    </w:rPr>
                  </w:pPr>
                  <w:r>
                    <w:rPr>
                      <w:rFonts w:hint="default" w:ascii="Times New Roman" w:hAnsi="Times New Roman" w:cs="Times New Roman"/>
                      <w:b w:val="0"/>
                      <w:bCs w:val="0"/>
                      <w:i w:val="0"/>
                      <w:iCs w:val="0"/>
                      <w:color w:val="auto"/>
                      <w:sz w:val="21"/>
                      <w:szCs w:val="21"/>
                      <w:highlight w:val="none"/>
                      <w:u w:val="none"/>
                      <w:lang w:val="en-US" w:eastAsia="zh-CN"/>
                    </w:rPr>
                    <w:t>0.3μm以上烟尘（含火花拦截）</w:t>
                  </w:r>
                </w:p>
              </w:tc>
            </w:tr>
            <w:tr w14:paraId="11E84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EBE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环保合规</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2EA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满足严格环评要求</w:t>
                  </w:r>
                </w:p>
              </w:tc>
              <w:tc>
                <w:tcPr>
                  <w:tcW w:w="20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737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适用于无固定排放要求的场景</w:t>
                  </w:r>
                </w:p>
              </w:tc>
            </w:tr>
            <w:tr w14:paraId="14013B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5E2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成本</w:t>
                  </w:r>
                </w:p>
              </w:tc>
              <w:tc>
                <w:tcPr>
                  <w:tcW w:w="210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100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b w:val="0"/>
                      <w:bCs w:val="0"/>
                      <w:i w:val="0"/>
                      <w:iCs w:val="0"/>
                      <w:color w:val="auto"/>
                      <w:sz w:val="21"/>
                      <w:szCs w:val="21"/>
                      <w:highlight w:val="none"/>
                      <w:u w:val="none"/>
                    </w:rPr>
                    <w:t>高初始投资，低运行成本</w:t>
                  </w:r>
                </w:p>
              </w:tc>
              <w:tc>
                <w:tcPr>
                  <w:tcW w:w="202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38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低初始投资</w:t>
                  </w:r>
                  <w:r>
                    <w:rPr>
                      <w:rFonts w:hint="default" w:ascii="Times New Roman" w:hAnsi="Times New Roman" w:cs="Times New Roman"/>
                      <w:b w:val="0"/>
                      <w:bCs w:val="0"/>
                      <w:i w:val="0"/>
                      <w:iCs w:val="0"/>
                      <w:color w:val="auto"/>
                      <w:kern w:val="0"/>
                      <w:sz w:val="21"/>
                      <w:szCs w:val="21"/>
                      <w:highlight w:val="none"/>
                      <w:u w:val="none"/>
                      <w:lang w:val="en-US" w:eastAsia="zh-CN" w:bidi="ar"/>
                    </w:rPr>
                    <w:t>，运行成本较高</w:t>
                  </w:r>
                </w:p>
              </w:tc>
            </w:tr>
          </w:tbl>
          <w:p w14:paraId="4E53D30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根据上表对比，</w:t>
            </w:r>
            <w:bookmarkStart w:id="159" w:name="OLE_LINK46"/>
            <w:r>
              <w:rPr>
                <w:rFonts w:hint="default" w:ascii="Times New Roman" w:hAnsi="Times New Roman" w:cs="Times New Roman"/>
                <w:color w:val="auto"/>
                <w:sz w:val="24"/>
                <w:szCs w:val="24"/>
                <w:highlight w:val="none"/>
                <w:lang w:val="en-US" w:eastAsia="zh-CN"/>
              </w:rPr>
              <w:t>固定式适合高浓度、多工位烟尘的系统性治理，</w:t>
            </w:r>
            <w:r>
              <w:rPr>
                <w:rFonts w:hint="default" w:ascii="Times New Roman" w:hAnsi="Times New Roman" w:eastAsia="宋体" w:cs="Times New Roman"/>
                <w:color w:val="auto"/>
                <w:sz w:val="24"/>
                <w:szCs w:val="24"/>
                <w:highlight w:val="none"/>
              </w:rPr>
              <w:t>适合规模化、标准化生产，</w:t>
            </w:r>
            <w:r>
              <w:rPr>
                <w:rFonts w:hint="default" w:ascii="Times New Roman" w:hAnsi="Times New Roman" w:cs="Times New Roman"/>
                <w:color w:val="auto"/>
                <w:sz w:val="24"/>
                <w:szCs w:val="24"/>
                <w:highlight w:val="none"/>
                <w:lang w:val="en-US" w:eastAsia="zh-CN"/>
              </w:rPr>
              <w:t>移动式更擅长灵活应对分散点位的瞬时烟尘</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适配灵活多变工况</w:t>
            </w:r>
            <w:bookmarkEnd w:id="159"/>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虽然焊接的工位可以</w:t>
            </w:r>
            <w:r>
              <w:rPr>
                <w:rFonts w:hint="default" w:ascii="Times New Roman" w:hAnsi="Times New Roman" w:cs="Times New Roman"/>
                <w:color w:val="auto"/>
                <w:sz w:val="24"/>
                <w:szCs w:val="24"/>
                <w:highlight w:val="none"/>
                <w:lang w:val="en-US" w:eastAsia="zh-CN"/>
              </w:rPr>
              <w:t>设置</w:t>
            </w:r>
            <w:r>
              <w:rPr>
                <w:rFonts w:hint="default" w:ascii="Times New Roman" w:hAnsi="Times New Roman" w:eastAsia="宋体" w:cs="Times New Roman"/>
                <w:color w:val="auto"/>
                <w:sz w:val="24"/>
                <w:szCs w:val="24"/>
                <w:highlight w:val="none"/>
              </w:rPr>
              <w:t>在一定车间区域内，但由于焊接的部分不同，产尘点也不同，若采取固定集气罩的方式对废气进行收集，不仅集气罩需要较大的风量，而且无法直接贴近产生源来收集废气，</w:t>
            </w:r>
            <w:r>
              <w:rPr>
                <w:rFonts w:hint="default" w:ascii="Times New Roman" w:hAnsi="Times New Roman" w:cs="Times New Roman"/>
                <w:color w:val="auto"/>
                <w:sz w:val="24"/>
                <w:szCs w:val="24"/>
                <w:highlight w:val="none"/>
                <w:lang w:val="en-US" w:eastAsia="zh-CN"/>
              </w:rPr>
              <w:t>但</w:t>
            </w:r>
            <w:r>
              <w:rPr>
                <w:rFonts w:hint="default" w:ascii="Times New Roman" w:hAnsi="Times New Roman" w:eastAsia="宋体" w:cs="Times New Roman"/>
                <w:color w:val="auto"/>
                <w:sz w:val="24"/>
                <w:szCs w:val="24"/>
                <w:highlight w:val="none"/>
              </w:rPr>
              <w:t>鉴于焊接作业灵活性的特点，而且产生的废气污染物主要是颗粒物，因此，采取灵活方便、且废气收集可针对产生源的移动式烟尘净化器是合理、可行的。</w:t>
            </w:r>
          </w:p>
          <w:p w14:paraId="6BC62A2F">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b/>
                <w:bCs/>
                <w:i w:val="0"/>
                <w:iCs w:val="0"/>
                <w:color w:val="auto"/>
                <w:kern w:val="0"/>
                <w:sz w:val="24"/>
                <w:szCs w:val="24"/>
                <w:highlight w:val="none"/>
                <w:u w:val="none"/>
                <w:lang w:val="en-US" w:eastAsia="zh-CN" w:bidi="ar"/>
              </w:rPr>
            </w:pP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i w:val="0"/>
                <w:iCs w:val="0"/>
                <w:color w:val="auto"/>
                <w:kern w:val="0"/>
                <w:sz w:val="24"/>
                <w:szCs w:val="24"/>
                <w:highlight w:val="none"/>
                <w:u w:val="none"/>
                <w:lang w:val="en-US" w:eastAsia="zh-CN" w:bidi="ar"/>
              </w:rPr>
              <w:t>大旋风+滤芯式二级回收系统</w:t>
            </w:r>
          </w:p>
          <w:p w14:paraId="4D0BE51E">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b w:val="0"/>
                <w:bCs w:val="0"/>
                <w:i w:val="0"/>
                <w:iCs w:val="0"/>
                <w:color w:val="auto"/>
                <w:kern w:val="0"/>
                <w:sz w:val="24"/>
                <w:szCs w:val="24"/>
                <w:highlight w:val="none"/>
                <w:u w:val="none"/>
                <w:lang w:val="en-US" w:eastAsia="zh-CN" w:bidi="ar"/>
              </w:rPr>
            </w:pPr>
            <w:r>
              <w:rPr>
                <w:rFonts w:hint="default" w:ascii="Times New Roman" w:hAnsi="Times New Roman" w:cs="Times New Roman"/>
                <w:b w:val="0"/>
                <w:bCs w:val="0"/>
                <w:i w:val="0"/>
                <w:iCs w:val="0"/>
                <w:color w:val="auto"/>
                <w:kern w:val="0"/>
                <w:sz w:val="24"/>
                <w:szCs w:val="24"/>
                <w:highlight w:val="none"/>
                <w:u w:val="none"/>
                <w:lang w:val="en-US" w:eastAsia="zh-CN" w:bidi="ar"/>
              </w:rPr>
              <w:t>本项目采用</w:t>
            </w:r>
            <w:r>
              <w:rPr>
                <w:rFonts w:hint="default" w:ascii="Times New Roman" w:hAnsi="Times New Roman" w:cs="Times New Roman"/>
                <w:color w:val="auto"/>
                <w:highlight w:val="none"/>
              </w:rPr>
              <w:t>大旋风+滤芯式二级回收</w:t>
            </w:r>
            <w:r>
              <w:rPr>
                <w:rFonts w:hint="default" w:ascii="Times New Roman" w:hAnsi="Times New Roman" w:cs="Times New Roman"/>
                <w:b w:val="0"/>
                <w:bCs w:val="0"/>
                <w:i w:val="0"/>
                <w:iCs w:val="0"/>
                <w:color w:val="auto"/>
                <w:kern w:val="0"/>
                <w:sz w:val="24"/>
                <w:szCs w:val="24"/>
                <w:highlight w:val="none"/>
                <w:u w:val="none"/>
                <w:lang w:val="en-US" w:eastAsia="zh-CN" w:bidi="ar"/>
              </w:rPr>
              <w:t>处理打磨、抛光粉尘，参照《排污许可证申请与核发技术规范 铁路、船舶、航空航天和其他运输设备制造业》（HJ1124—2020），</w:t>
            </w:r>
            <w:r>
              <w:rPr>
                <w:rFonts w:hint="default" w:ascii="Times New Roman" w:hAnsi="Times New Roman" w:cs="Times New Roman"/>
                <w:color w:val="auto"/>
                <w:highlight w:val="none"/>
              </w:rPr>
              <w:t>大旋风+滤芯式二级回收</w:t>
            </w:r>
            <w:r>
              <w:rPr>
                <w:rFonts w:hint="default" w:ascii="Times New Roman" w:hAnsi="Times New Roman" w:cs="Times New Roman"/>
                <w:color w:val="auto"/>
                <w:highlight w:val="none"/>
                <w:lang w:val="en-US" w:eastAsia="zh-CN"/>
              </w:rPr>
              <w:t>系统属</w:t>
            </w:r>
            <w:r>
              <w:rPr>
                <w:rFonts w:hint="default" w:ascii="Times New Roman" w:hAnsi="Times New Roman" w:cs="Times New Roman"/>
                <w:b w:val="0"/>
                <w:bCs w:val="0"/>
                <w:i w:val="0"/>
                <w:iCs w:val="0"/>
                <w:color w:val="auto"/>
                <w:kern w:val="0"/>
                <w:sz w:val="24"/>
                <w:szCs w:val="24"/>
                <w:highlight w:val="none"/>
                <w:u w:val="none"/>
                <w:lang w:val="en-US" w:eastAsia="zh-CN" w:bidi="ar"/>
              </w:rPr>
              <w:t>于排污许可技术规范中的可行技术，因此本项目使用该治理设施是可行的。</w:t>
            </w:r>
          </w:p>
          <w:p w14:paraId="789EA01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szCs w:val="28"/>
                <w:highlight w:val="none"/>
              </w:rPr>
            </w:pPr>
            <w:r>
              <w:rPr>
                <w:rFonts w:hint="default" w:ascii="Times New Roman" w:hAnsi="Times New Roman" w:cs="Times New Roman"/>
                <w:b/>
                <w:bCs/>
                <w:color w:val="auto"/>
                <w:szCs w:val="28"/>
                <w:highlight w:val="none"/>
                <w:lang w:val="en-US" w:eastAsia="zh-CN"/>
              </w:rPr>
              <w:t>3</w:t>
            </w:r>
            <w:r>
              <w:rPr>
                <w:rFonts w:hint="default" w:ascii="Times New Roman" w:hAnsi="Times New Roman" w:cs="Times New Roman"/>
                <w:b/>
                <w:bCs/>
                <w:color w:val="auto"/>
                <w:szCs w:val="28"/>
                <w:highlight w:val="none"/>
              </w:rPr>
              <w:t>、达标情况分析</w:t>
            </w:r>
          </w:p>
          <w:p w14:paraId="6644A6C0">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（1）焊接烟尘</w:t>
            </w:r>
          </w:p>
          <w:p w14:paraId="2651B51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焊接烟尘以颗粒物表征</w:t>
            </w:r>
            <w:r>
              <w:rPr>
                <w:rFonts w:hint="default" w:ascii="Times New Roman" w:hAnsi="Times New Roman" w:cs="Times New Roman"/>
                <w:color w:val="auto"/>
                <w:highlight w:val="none"/>
              </w:rPr>
              <w:t>，经移动式焊烟净化器收集处理后于车间内无组织排放，</w:t>
            </w:r>
            <w:r>
              <w:rPr>
                <w:rFonts w:hint="default" w:ascii="Times New Roman" w:hAnsi="Times New Roman" w:cs="Times New Roman"/>
                <w:color w:val="auto"/>
                <w:kern w:val="0"/>
                <w:highlight w:val="none"/>
              </w:rPr>
              <w:t>颗粒物无组织排放满足广东省《大气污染物排放限值》（DB44/27-2001）第二时段无组织排放监控浓度限值。</w:t>
            </w:r>
          </w:p>
          <w:p w14:paraId="0E85F875">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（2）打磨、抛光粉尘</w:t>
            </w:r>
          </w:p>
          <w:p w14:paraId="387BE8E4">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打磨、</w:t>
            </w:r>
            <w:r>
              <w:rPr>
                <w:rFonts w:hint="default" w:ascii="Times New Roman" w:hAnsi="Times New Roman" w:cs="Times New Roman"/>
                <w:color w:val="auto"/>
                <w:highlight w:val="none"/>
                <w:lang w:val="en-US" w:eastAsia="zh-CN"/>
              </w:rPr>
              <w:t>抛光</w:t>
            </w:r>
            <w:r>
              <w:rPr>
                <w:rFonts w:hint="default" w:ascii="Times New Roman" w:hAnsi="Times New Roman" w:cs="Times New Roman"/>
                <w:color w:val="auto"/>
                <w:highlight w:val="none"/>
              </w:rPr>
              <w:t>粉尘</w:t>
            </w:r>
            <w:r>
              <w:rPr>
                <w:rFonts w:hint="default" w:ascii="Times New Roman" w:hAnsi="Times New Roman" w:cs="Times New Roman"/>
                <w:color w:val="auto"/>
                <w:kern w:val="0"/>
                <w:highlight w:val="none"/>
              </w:rPr>
              <w:t>以颗粒物表征，</w:t>
            </w:r>
            <w:r>
              <w:rPr>
                <w:rFonts w:hint="default" w:ascii="Times New Roman" w:hAnsi="Times New Roman" w:cs="Times New Roman"/>
                <w:color w:val="auto"/>
                <w:highlight w:val="none"/>
              </w:rPr>
              <w:t>经大旋风+滤芯式二级回收系统处理后</w:t>
            </w:r>
            <w:r>
              <w:rPr>
                <w:rFonts w:hint="eastAsia" w:cs="Times New Roman"/>
                <w:color w:val="auto"/>
                <w:highlight w:val="none"/>
                <w:lang w:val="en-US" w:eastAsia="zh-CN"/>
              </w:rPr>
              <w:t>经引风机引至15m高排气筒DA003</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，处理后颗粒物排放满足广东省《大气污染物排放限值》（DB44/27-2001）第二时段</w:t>
            </w:r>
            <w:r>
              <w:rPr>
                <w:rFonts w:hint="eastAsia" w:cs="Times New Roman"/>
                <w:color w:val="auto"/>
                <w:highlight w:val="none"/>
                <w:lang w:val="en-US" w:eastAsia="zh-CN"/>
              </w:rPr>
              <w:t>及</w:t>
            </w:r>
            <w:r>
              <w:rPr>
                <w:rFonts w:hint="default" w:ascii="Times New Roman" w:hAnsi="Times New Roman" w:cs="Times New Roman"/>
                <w:color w:val="auto"/>
                <w:highlight w:val="none"/>
              </w:rPr>
              <w:t>无组织排放监控浓度限值要求。</w:t>
            </w:r>
          </w:p>
          <w:p w14:paraId="6A88E19A">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w:t>
            </w:r>
            <w:r>
              <w:rPr>
                <w:rFonts w:hint="default" w:ascii="Times New Roman" w:hAnsi="Times New Roman" w:cs="Times New Roman"/>
                <w:b/>
                <w:bCs/>
                <w:color w:val="auto"/>
                <w:highlight w:val="none"/>
                <w:lang w:val="en-US" w:eastAsia="zh-CN"/>
              </w:rPr>
              <w:t>天然气</w:t>
            </w:r>
            <w:r>
              <w:rPr>
                <w:rFonts w:hint="default" w:ascii="Times New Roman" w:hAnsi="Times New Roman" w:cs="Times New Roman"/>
                <w:b/>
                <w:bCs/>
                <w:color w:val="auto"/>
                <w:highlight w:val="none"/>
              </w:rPr>
              <w:t>燃烧废气</w:t>
            </w:r>
          </w:p>
          <w:p w14:paraId="5F718D6F">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天然气燃烧废气排放满足《关于印发&lt;工业炉窑大气污染综合治理方案&gt;的通知》（环大气〔2019〕56号）和《关于贯彻落实&lt;工业炉窑大气污染物综合治理方案&gt;的实施意见》（粤环函〔2019〕1112号）中颗粒物、二氧化硫、氮氧化物排放限值分别不高于30、200、300毫克/立方米的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烟气黑度满足《工业炉窑大气污染物排放标准》（GB 9078-1996）要求</w:t>
            </w:r>
            <w:r>
              <w:rPr>
                <w:rFonts w:hint="default" w:ascii="Times New Roman" w:hAnsi="Times New Roman" w:cs="Times New Roman"/>
                <w:color w:val="auto"/>
                <w:highlight w:val="none"/>
              </w:rPr>
              <w:t>。</w:t>
            </w:r>
          </w:p>
          <w:p w14:paraId="4FE6F020">
            <w:pPr>
              <w:pStyle w:val="5"/>
              <w:pageBreakBefore w:val="0"/>
              <w:numPr>
                <w:ilvl w:val="3"/>
                <w:numId w:val="0"/>
              </w:numPr>
              <w:suppressLineNumbers w:val="0"/>
              <w:kinsoku/>
              <w:wordWrap/>
              <w:overflowPunct/>
              <w:topLinePunct w:val="0"/>
              <w:autoSpaceDN/>
              <w:bidi w:val="0"/>
              <w:snapToGrid/>
              <w:spacing w:before="0" w:beforeAutospacing="0" w:after="0" w:afterAutospacing="0"/>
              <w:ind w:right="0" w:firstLine="480"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污水站恶臭</w:t>
            </w:r>
          </w:p>
          <w:p w14:paraId="11549DF2">
            <w:pPr>
              <w:keepNext w:val="0"/>
              <w:keepLines w:val="0"/>
              <w:pageBreakBefore w:val="0"/>
              <w:widowControl/>
              <w:suppressLineNumbers w:val="0"/>
              <w:kinsoku/>
              <w:wordWrap/>
              <w:overflowPunct/>
              <w:topLinePunct w:val="0"/>
              <w:autoSpaceDE w:val="0"/>
              <w:autoSpaceDN/>
              <w:bidi w:val="0"/>
              <w:adjustRightInd w:val="0"/>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highlight w:val="none"/>
              </w:rPr>
            </w:pPr>
            <w:r>
              <w:rPr>
                <w:rFonts w:hint="default" w:ascii="Times New Roman" w:hAnsi="Times New Roman" w:eastAsia="宋体" w:cs="Times New Roman"/>
                <w:b w:val="0"/>
                <w:bCs w:val="0"/>
                <w:color w:val="auto"/>
                <w:kern w:val="0"/>
                <w:sz w:val="24"/>
                <w:szCs w:val="24"/>
                <w:highlight w:val="none"/>
                <w:lang w:val="en-US" w:eastAsia="zh-CN" w:bidi="ar"/>
              </w:rPr>
              <w:t>本项目通过对污水处理设施</w:t>
            </w:r>
            <w:r>
              <w:rPr>
                <w:rFonts w:hint="default" w:ascii="Times New Roman" w:hAnsi="Times New Roman" w:cs="Times New Roman"/>
                <w:color w:val="auto"/>
                <w:highlight w:val="none"/>
              </w:rPr>
              <w:t>采取加盖密闭、加强通风措施后</w:t>
            </w:r>
            <w:r>
              <w:rPr>
                <w:rFonts w:hint="default" w:ascii="Times New Roman" w:hAnsi="Times New Roman" w:eastAsia="宋体" w:cs="Times New Roman"/>
                <w:b w:val="0"/>
                <w:bCs w:val="0"/>
                <w:color w:val="auto"/>
                <w:kern w:val="0"/>
                <w:sz w:val="24"/>
                <w:szCs w:val="24"/>
                <w:highlight w:val="none"/>
                <w:lang w:val="en-US" w:eastAsia="zh-CN" w:bidi="ar"/>
              </w:rPr>
              <w:t>，</w:t>
            </w:r>
            <w:r>
              <w:rPr>
                <w:rFonts w:hint="default" w:ascii="Times New Roman" w:hAnsi="Times New Roman" w:eastAsia="宋体" w:cs="Times New Roman"/>
                <w:b w:val="0"/>
                <w:bCs w:val="0"/>
                <w:color w:val="auto"/>
                <w:kern w:val="2"/>
                <w:sz w:val="24"/>
                <w:szCs w:val="24"/>
                <w:highlight w:val="none"/>
                <w:lang w:val="en-US" w:eastAsia="zh-CN" w:bidi="ar"/>
              </w:rPr>
              <w:t>臭气浓度可满足</w:t>
            </w:r>
            <w:r>
              <w:rPr>
                <w:rFonts w:hint="default" w:ascii="Times New Roman" w:hAnsi="Times New Roman" w:eastAsia="宋体" w:cs="Times New Roman"/>
                <w:b w:val="0"/>
                <w:bCs w:val="0"/>
                <w:color w:val="auto"/>
                <w:kern w:val="0"/>
                <w:sz w:val="24"/>
                <w:szCs w:val="24"/>
                <w:highlight w:val="none"/>
                <w:lang w:val="en-US" w:eastAsia="zh-CN" w:bidi="ar"/>
              </w:rPr>
              <w:t>《恶臭污染物排放标准》(GB14554-93)表1二级标准中“新改扩建”限值要求。</w:t>
            </w:r>
          </w:p>
          <w:p w14:paraId="472CAC1D">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综上所述，本项目运营期产生的废气采取上述处理措施处理后均能达标排放，不会对本项目所在区域的大气环境产生不利影响。</w:t>
            </w:r>
          </w:p>
          <w:p w14:paraId="4EBA81CD">
            <w:pPr>
              <w:keepNext w:val="0"/>
              <w:keepLines w:val="0"/>
              <w:numPr>
                <w:ilvl w:val="0"/>
                <w:numId w:val="9"/>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食堂油烟</w:t>
            </w:r>
          </w:p>
          <w:p w14:paraId="34F57909">
            <w:pPr>
              <w:pStyle w:val="43"/>
              <w:keepNext w:val="0"/>
              <w:keepLines w:val="0"/>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b w:val="0"/>
                <w:bCs/>
                <w:color w:val="auto"/>
                <w:szCs w:val="21"/>
                <w:highlight w:val="none"/>
                <w:lang w:val="en-US" w:eastAsia="zh-CN"/>
              </w:rPr>
              <w:t>本项目食堂运行过程中产生的油烟拟收集后经“静电油烟</w:t>
            </w:r>
            <w:r>
              <w:rPr>
                <w:rFonts w:hint="default" w:ascii="Times New Roman" w:hAnsi="Times New Roman" w:eastAsia="宋体" w:cs="Times New Roman"/>
                <w:color w:val="auto"/>
                <w:sz w:val="24"/>
                <w:szCs w:val="24"/>
                <w:highlight w:val="none"/>
                <w:lang w:val="en-US" w:eastAsia="zh-CN"/>
              </w:rPr>
              <w:t>净化装置</w:t>
            </w:r>
            <w:r>
              <w:rPr>
                <w:rFonts w:hint="default" w:ascii="Times New Roman" w:hAnsi="Times New Roman" w:cs="Times New Roman"/>
                <w:b w:val="0"/>
                <w:bCs/>
                <w:color w:val="auto"/>
                <w:szCs w:val="21"/>
                <w:highlight w:val="none"/>
                <w:lang w:val="en-US" w:eastAsia="zh-CN"/>
              </w:rPr>
              <w:t>”</w:t>
            </w:r>
            <w:r>
              <w:rPr>
                <w:rFonts w:hint="default" w:ascii="Times New Roman" w:hAnsi="Times New Roman" w:eastAsia="宋体" w:cs="Times New Roman"/>
                <w:color w:val="auto"/>
                <w:sz w:val="24"/>
                <w:szCs w:val="24"/>
                <w:highlight w:val="none"/>
                <w:lang w:val="en-US" w:eastAsia="zh-CN"/>
              </w:rPr>
              <w:t>处理后由专用的排烟管道引至楼顶排放</w:t>
            </w:r>
            <w:r>
              <w:rPr>
                <w:rFonts w:hint="default" w:ascii="Times New Roman" w:hAnsi="Times New Roman" w:cs="Times New Roman"/>
                <w:b w:val="0"/>
                <w:bCs/>
                <w:color w:val="auto"/>
                <w:szCs w:val="21"/>
                <w:highlight w:val="none"/>
                <w:lang w:val="en-US" w:eastAsia="zh-CN"/>
              </w:rPr>
              <w:t>，其</w:t>
            </w:r>
            <w:r>
              <w:rPr>
                <w:rFonts w:hint="default" w:ascii="Times New Roman" w:hAnsi="Times New Roman" w:eastAsia="宋体" w:cs="Times New Roman"/>
                <w:color w:val="auto"/>
                <w:sz w:val="24"/>
                <w:szCs w:val="24"/>
                <w:highlight w:val="none"/>
                <w:lang w:val="en-US" w:eastAsia="zh-CN"/>
              </w:rPr>
              <w:t>有组织排放量为</w:t>
            </w:r>
            <w:r>
              <w:rPr>
                <w:rFonts w:hint="default" w:ascii="Times New Roman" w:hAnsi="Times New Roman" w:eastAsia="宋体" w:cs="Times New Roman"/>
                <w:color w:val="auto"/>
                <w:sz w:val="24"/>
                <w:szCs w:val="24"/>
                <w:highlight w:val="none"/>
              </w:rPr>
              <w:t>0.00425‬t/a，排放速率为0.0035kg/h，排放浓度为0.8</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vertAlign w:val="baseline"/>
                <w:lang w:val="en-US" w:eastAsia="zh-CN"/>
              </w:rPr>
              <w:t>其排放可满足《饮食业油烟排放标准（试行）》（GB18483-2001）规模标准，对周围大气环境影响不大。</w:t>
            </w:r>
          </w:p>
          <w:p w14:paraId="28B0E36B">
            <w:pPr>
              <w:keepNext w:val="0"/>
              <w:keepLines w:val="0"/>
              <w:pageBreakBefore w:val="0"/>
              <w:widowControl/>
              <w:numPr>
                <w:ilvl w:val="0"/>
                <w:numId w:val="1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总结</w:t>
            </w:r>
          </w:p>
          <w:p w14:paraId="18186AD6">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480" w:leftChars="200" w:right="0" w:rightChars="0"/>
              <w:jc w:val="left"/>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本项目大气污染物的治理、排放情况见表4-1</w:t>
            </w:r>
            <w:r>
              <w:rPr>
                <w:rFonts w:hint="eastAsia" w:ascii="Times New Roman" w:hAnsi="Times New Roman" w:cs="Times New Roman"/>
                <w:color w:val="auto"/>
                <w:sz w:val="24"/>
                <w:szCs w:val="24"/>
                <w:highlight w:val="none"/>
                <w:lang w:val="en-US" w:eastAsia="zh-CN"/>
              </w:rPr>
              <w:t>2至</w:t>
            </w:r>
            <w:r>
              <w:rPr>
                <w:rFonts w:hint="default" w:ascii="Times New Roman" w:hAnsi="Times New Roman" w:cs="Times New Roman"/>
                <w:color w:val="auto"/>
                <w:sz w:val="24"/>
                <w:szCs w:val="24"/>
                <w:highlight w:val="none"/>
                <w:lang w:val="en-US" w:eastAsia="zh-CN"/>
              </w:rPr>
              <w:t>表4-1</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w:t>
            </w:r>
          </w:p>
        </w:tc>
      </w:tr>
    </w:tbl>
    <w:p w14:paraId="52CC5C57">
      <w:pPr>
        <w:keepNext/>
        <w:keepLines/>
        <w:tabs>
          <w:tab w:val="left" w:pos="0"/>
        </w:tabs>
        <w:rPr>
          <w:color w:val="auto"/>
          <w:highlight w:val="none"/>
        </w:rPr>
      </w:pPr>
    </w:p>
    <w:p w14:paraId="0A013F53">
      <w:pPr>
        <w:pStyle w:val="2"/>
        <w:numPr>
          <w:ilvl w:val="0"/>
          <w:numId w:val="0"/>
        </w:numPr>
        <w:rPr>
          <w:rFonts w:cs="Times New Roman"/>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39"/>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3552"/>
      </w:tblGrid>
      <w:tr w14:paraId="36242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8" w:hRule="atLeast"/>
        </w:trPr>
        <w:tc>
          <w:tcPr>
            <w:tcW w:w="448" w:type="dxa"/>
            <w:vAlign w:val="center"/>
          </w:tcPr>
          <w:p w14:paraId="307331AE">
            <w:pPr>
              <w:keepNext w:val="0"/>
              <w:keepLines w:val="0"/>
              <w:suppressLineNumbers w:val="0"/>
              <w:spacing w:before="0" w:beforeAutospacing="0" w:after="0" w:afterAutospacing="0"/>
              <w:ind w:left="0" w:right="0"/>
              <w:jc w:val="center"/>
              <w:rPr>
                <w:rFonts w:hint="eastAsia"/>
                <w:color w:val="auto"/>
                <w:highlight w:val="none"/>
              </w:rPr>
            </w:pPr>
            <w:r>
              <w:rPr>
                <w:rFonts w:hint="eastAsia"/>
                <w:b/>
                <w:bCs/>
                <w:color w:val="auto"/>
                <w:highlight w:val="none"/>
              </w:rPr>
              <w:t>运营期环境影响和保护措施</w:t>
            </w:r>
          </w:p>
        </w:tc>
        <w:tc>
          <w:tcPr>
            <w:tcW w:w="13552" w:type="dxa"/>
          </w:tcPr>
          <w:p w14:paraId="405EF9F9">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eastAsia" w:asci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表4-12</w:t>
            </w:r>
            <w:r>
              <w:rPr>
                <w:rFonts w:hint="eastAsia" w:ascii="Times New Roman" w:cs="Times New Roman"/>
                <w:b/>
                <w:bCs/>
                <w:color w:val="auto"/>
                <w:sz w:val="21"/>
                <w:szCs w:val="21"/>
                <w:highlight w:val="none"/>
              </w:rPr>
              <w:t>项目废气产排污节点、污染物及污染治理设施情况一览表</w:t>
            </w:r>
          </w:p>
          <w:tbl>
            <w:tblPr>
              <w:tblStyle w:val="39"/>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13"/>
              <w:gridCol w:w="1252"/>
              <w:gridCol w:w="629"/>
              <w:gridCol w:w="799"/>
              <w:gridCol w:w="514"/>
              <w:gridCol w:w="1156"/>
              <w:gridCol w:w="1351"/>
              <w:gridCol w:w="895"/>
              <w:gridCol w:w="802"/>
              <w:gridCol w:w="858"/>
              <w:gridCol w:w="903"/>
              <w:gridCol w:w="946"/>
              <w:gridCol w:w="666"/>
              <w:gridCol w:w="749"/>
              <w:gridCol w:w="1380"/>
            </w:tblGrid>
            <w:tr w14:paraId="443AA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5" w:type="pct"/>
                  <w:vMerge w:val="restart"/>
                  <w:vAlign w:val="center"/>
                </w:tcPr>
                <w:p w14:paraId="078D4FC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470" w:type="pct"/>
                  <w:vMerge w:val="restart"/>
                  <w:vAlign w:val="center"/>
                </w:tcPr>
                <w:p w14:paraId="02A0FB2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w:t>
                  </w:r>
                </w:p>
              </w:tc>
              <w:tc>
                <w:tcPr>
                  <w:tcW w:w="236" w:type="pct"/>
                  <w:vMerge w:val="restart"/>
                  <w:vAlign w:val="center"/>
                </w:tcPr>
                <w:p w14:paraId="27271A1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产污环节</w:t>
                  </w:r>
                </w:p>
              </w:tc>
              <w:tc>
                <w:tcPr>
                  <w:tcW w:w="300" w:type="pct"/>
                  <w:vMerge w:val="restart"/>
                  <w:vAlign w:val="center"/>
                </w:tcPr>
                <w:p w14:paraId="145913A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193" w:type="pct"/>
                  <w:vMerge w:val="restart"/>
                  <w:vAlign w:val="center"/>
                </w:tcPr>
                <w:p w14:paraId="630A2C5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排放形式</w:t>
                  </w:r>
                </w:p>
              </w:tc>
              <w:tc>
                <w:tcPr>
                  <w:tcW w:w="1900" w:type="pct"/>
                  <w:gridSpan w:val="5"/>
                  <w:vAlign w:val="center"/>
                </w:tcPr>
                <w:p w14:paraId="796F77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w:t>
                  </w:r>
                </w:p>
              </w:tc>
              <w:tc>
                <w:tcPr>
                  <w:tcW w:w="339" w:type="pct"/>
                  <w:vMerge w:val="restart"/>
                  <w:vAlign w:val="center"/>
                </w:tcPr>
                <w:p w14:paraId="6861047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有组织排放编号</w:t>
                  </w:r>
                </w:p>
              </w:tc>
              <w:tc>
                <w:tcPr>
                  <w:tcW w:w="355" w:type="pct"/>
                  <w:vMerge w:val="restart"/>
                  <w:vAlign w:val="center"/>
                </w:tcPr>
                <w:p w14:paraId="2E6982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有组织排放口名称</w:t>
                  </w:r>
                </w:p>
              </w:tc>
              <w:tc>
                <w:tcPr>
                  <w:tcW w:w="250" w:type="pct"/>
                  <w:vMerge w:val="restart"/>
                  <w:vAlign w:val="center"/>
                </w:tcPr>
                <w:p w14:paraId="6B0DD72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排放口设置是否符合要求</w:t>
                  </w:r>
                </w:p>
              </w:tc>
              <w:tc>
                <w:tcPr>
                  <w:tcW w:w="281" w:type="pct"/>
                  <w:vMerge w:val="restart"/>
                  <w:vAlign w:val="center"/>
                </w:tcPr>
                <w:p w14:paraId="3FC3132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排放口类型</w:t>
                  </w:r>
                </w:p>
              </w:tc>
              <w:tc>
                <w:tcPr>
                  <w:tcW w:w="518" w:type="pct"/>
                  <w:vMerge w:val="restart"/>
                  <w:vAlign w:val="center"/>
                </w:tcPr>
                <w:p w14:paraId="00162FA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其他信息</w:t>
                  </w:r>
                </w:p>
              </w:tc>
            </w:tr>
            <w:tr w14:paraId="23A9D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5" w:type="pct"/>
                  <w:vMerge w:val="continue"/>
                  <w:vAlign w:val="center"/>
                </w:tcPr>
                <w:p w14:paraId="2C264CF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70" w:type="pct"/>
                  <w:vMerge w:val="continue"/>
                  <w:vAlign w:val="center"/>
                </w:tcPr>
                <w:p w14:paraId="4C91CBE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36" w:type="pct"/>
                  <w:vMerge w:val="continue"/>
                  <w:vAlign w:val="center"/>
                </w:tcPr>
                <w:p w14:paraId="702521B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00" w:type="pct"/>
                  <w:vMerge w:val="continue"/>
                  <w:vAlign w:val="center"/>
                </w:tcPr>
                <w:p w14:paraId="765737A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193" w:type="pct"/>
                  <w:vMerge w:val="continue"/>
                  <w:vAlign w:val="center"/>
                </w:tcPr>
                <w:p w14:paraId="196E29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434" w:type="pct"/>
                  <w:vAlign w:val="center"/>
                </w:tcPr>
                <w:p w14:paraId="6FE8D36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污染防治设施编号</w:t>
                  </w:r>
                </w:p>
              </w:tc>
              <w:tc>
                <w:tcPr>
                  <w:tcW w:w="507" w:type="pct"/>
                  <w:vAlign w:val="center"/>
                </w:tcPr>
                <w:p w14:paraId="47F7C7C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污染防治设施名称</w:t>
                  </w:r>
                </w:p>
              </w:tc>
              <w:tc>
                <w:tcPr>
                  <w:tcW w:w="336" w:type="pct"/>
                  <w:vAlign w:val="center"/>
                </w:tcPr>
                <w:p w14:paraId="5CC7AE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污染防治设施工艺</w:t>
                  </w:r>
                </w:p>
              </w:tc>
              <w:tc>
                <w:tcPr>
                  <w:tcW w:w="301" w:type="pct"/>
                  <w:vAlign w:val="center"/>
                </w:tcPr>
                <w:p w14:paraId="32C712D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是否为可行性技术</w:t>
                  </w:r>
                </w:p>
              </w:tc>
              <w:tc>
                <w:tcPr>
                  <w:tcW w:w="321" w:type="pct"/>
                  <w:vAlign w:val="center"/>
                </w:tcPr>
                <w:p w14:paraId="3711FAF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污染防治设施其他信息</w:t>
                  </w:r>
                </w:p>
              </w:tc>
              <w:tc>
                <w:tcPr>
                  <w:tcW w:w="339" w:type="pct"/>
                  <w:vMerge w:val="continue"/>
                  <w:vAlign w:val="center"/>
                </w:tcPr>
                <w:p w14:paraId="64DACDF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355" w:type="pct"/>
                  <w:vMerge w:val="continue"/>
                  <w:vAlign w:val="center"/>
                </w:tcPr>
                <w:p w14:paraId="47F8DE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50" w:type="pct"/>
                  <w:vMerge w:val="continue"/>
                  <w:vAlign w:val="center"/>
                </w:tcPr>
                <w:p w14:paraId="0C94BA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281" w:type="pct"/>
                  <w:vMerge w:val="continue"/>
                  <w:vAlign w:val="center"/>
                </w:tcPr>
                <w:p w14:paraId="237FAC6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c>
                <w:tcPr>
                  <w:tcW w:w="518" w:type="pct"/>
                  <w:vMerge w:val="continue"/>
                  <w:vAlign w:val="center"/>
                </w:tcPr>
                <w:p w14:paraId="0DEBB7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p>
              </w:tc>
            </w:tr>
            <w:tr w14:paraId="52F48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55" w:type="pct"/>
                  <w:vAlign w:val="center"/>
                </w:tcPr>
                <w:p w14:paraId="1BF62D5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70" w:type="pct"/>
                  <w:vAlign w:val="center"/>
                </w:tcPr>
                <w:p w14:paraId="0701A95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氩弧焊机、手持式激光焊机</w:t>
                  </w:r>
                </w:p>
              </w:tc>
              <w:tc>
                <w:tcPr>
                  <w:tcW w:w="236" w:type="pct"/>
                  <w:vAlign w:val="center"/>
                </w:tcPr>
                <w:p w14:paraId="0337E23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焊接</w:t>
                  </w:r>
                </w:p>
              </w:tc>
              <w:tc>
                <w:tcPr>
                  <w:tcW w:w="300" w:type="pct"/>
                  <w:vAlign w:val="center"/>
                </w:tcPr>
                <w:p w14:paraId="085976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3" w:type="pct"/>
                  <w:vAlign w:val="center"/>
                </w:tcPr>
                <w:p w14:paraId="4F18A85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w:t>
                  </w:r>
                </w:p>
              </w:tc>
              <w:tc>
                <w:tcPr>
                  <w:tcW w:w="434" w:type="pct"/>
                  <w:vAlign w:val="center"/>
                </w:tcPr>
                <w:p w14:paraId="5F3CB6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TA001</w:t>
                  </w:r>
                </w:p>
              </w:tc>
              <w:tc>
                <w:tcPr>
                  <w:tcW w:w="507" w:type="pct"/>
                  <w:vAlign w:val="center"/>
                </w:tcPr>
                <w:p w14:paraId="35B8D8A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移动式焊烟净化器</w:t>
                  </w:r>
                </w:p>
              </w:tc>
              <w:tc>
                <w:tcPr>
                  <w:tcW w:w="336" w:type="pct"/>
                  <w:vAlign w:val="center"/>
                </w:tcPr>
                <w:p w14:paraId="7B7394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滤芯除尘</w:t>
                  </w:r>
                </w:p>
              </w:tc>
              <w:tc>
                <w:tcPr>
                  <w:tcW w:w="301" w:type="pct"/>
                  <w:vAlign w:val="center"/>
                </w:tcPr>
                <w:p w14:paraId="37CEB1D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321" w:type="pct"/>
                  <w:vAlign w:val="center"/>
                </w:tcPr>
                <w:p w14:paraId="6BEC4EE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9" w:type="pct"/>
                  <w:vAlign w:val="center"/>
                </w:tcPr>
                <w:p w14:paraId="1F7347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55" w:type="pct"/>
                  <w:vAlign w:val="center"/>
                </w:tcPr>
                <w:p w14:paraId="454DFAC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50" w:type="pct"/>
                  <w:vAlign w:val="center"/>
                </w:tcPr>
                <w:p w14:paraId="4BCD695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81" w:type="pct"/>
                  <w:vAlign w:val="center"/>
                </w:tcPr>
                <w:p w14:paraId="11E544D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18" w:type="pct"/>
                  <w:vAlign w:val="center"/>
                </w:tcPr>
                <w:p w14:paraId="38FBBDA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7F5D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6" w:hRule="atLeast"/>
              </w:trPr>
              <w:tc>
                <w:tcPr>
                  <w:tcW w:w="155" w:type="pct"/>
                  <w:vAlign w:val="center"/>
                </w:tcPr>
                <w:p w14:paraId="00DABD7E">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2</w:t>
                  </w:r>
                </w:p>
              </w:tc>
              <w:tc>
                <w:tcPr>
                  <w:tcW w:w="470" w:type="pct"/>
                  <w:vAlign w:val="center"/>
                </w:tcPr>
                <w:p w14:paraId="2AB51FE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烘水炉</w:t>
                  </w:r>
                </w:p>
              </w:tc>
              <w:tc>
                <w:tcPr>
                  <w:tcW w:w="236" w:type="pct"/>
                  <w:vAlign w:val="center"/>
                </w:tcPr>
                <w:p w14:paraId="5002C31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烘水</w:t>
                  </w:r>
                </w:p>
              </w:tc>
              <w:tc>
                <w:tcPr>
                  <w:tcW w:w="300" w:type="pct"/>
                  <w:vAlign w:val="center"/>
                </w:tcPr>
                <w:p w14:paraId="58DAC13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天然气</w:t>
                  </w:r>
                  <w:r>
                    <w:rPr>
                      <w:rFonts w:hint="default" w:ascii="Times New Roman" w:hAnsi="Times New Roman" w:cs="Times New Roman"/>
                      <w:color w:val="auto"/>
                      <w:sz w:val="21"/>
                      <w:szCs w:val="21"/>
                      <w:highlight w:val="none"/>
                    </w:rPr>
                    <w:t>燃烧废气</w:t>
                  </w:r>
                </w:p>
              </w:tc>
              <w:tc>
                <w:tcPr>
                  <w:tcW w:w="193" w:type="pct"/>
                  <w:vAlign w:val="center"/>
                </w:tcPr>
                <w:p w14:paraId="71A3EB8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w:t>
                  </w:r>
                </w:p>
              </w:tc>
              <w:tc>
                <w:tcPr>
                  <w:tcW w:w="434" w:type="pct"/>
                  <w:vAlign w:val="center"/>
                </w:tcPr>
                <w:p w14:paraId="12650CB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07" w:type="pct"/>
                  <w:vAlign w:val="center"/>
                </w:tcPr>
                <w:p w14:paraId="5EDFC23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6" w:type="pct"/>
                  <w:vAlign w:val="center"/>
                </w:tcPr>
                <w:p w14:paraId="3BB0D3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01" w:type="pct"/>
                  <w:vAlign w:val="center"/>
                </w:tcPr>
                <w:p w14:paraId="0F6D730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21" w:type="pct"/>
                  <w:vAlign w:val="center"/>
                </w:tcPr>
                <w:p w14:paraId="20C03CD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39" w:type="pct"/>
                  <w:vAlign w:val="center"/>
                </w:tcPr>
                <w:p w14:paraId="0F55DE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355" w:type="pct"/>
                  <w:vAlign w:val="center"/>
                </w:tcPr>
                <w:p w14:paraId="0F31444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燃烧</w:t>
                  </w:r>
                  <w:r>
                    <w:rPr>
                      <w:rFonts w:hint="default" w:ascii="Times New Roman" w:hAnsi="Times New Roman" w:cs="Times New Roman"/>
                      <w:color w:val="auto"/>
                      <w:sz w:val="21"/>
                      <w:szCs w:val="21"/>
                      <w:highlight w:val="none"/>
                    </w:rPr>
                    <w:t>废气排放口</w:t>
                  </w:r>
                </w:p>
              </w:tc>
              <w:tc>
                <w:tcPr>
                  <w:tcW w:w="250" w:type="pct"/>
                  <w:vAlign w:val="center"/>
                </w:tcPr>
                <w:p w14:paraId="09F15A5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281" w:type="pct"/>
                  <w:vAlign w:val="center"/>
                </w:tcPr>
                <w:p w14:paraId="747B0BBD">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518" w:type="pct"/>
                  <w:vAlign w:val="center"/>
                </w:tcPr>
                <w:p w14:paraId="125407C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排气筒高</w:t>
                  </w:r>
                  <w:r>
                    <w:rPr>
                      <w:rFonts w:hint="eastAsia" w:ascii="Times New Roman" w:hAnsi="Times New Roman" w:cs="Times New Roman"/>
                      <w:color w:val="auto"/>
                      <w:sz w:val="21"/>
                      <w:szCs w:val="22"/>
                      <w:highlight w:val="none"/>
                      <w:lang w:val="en-US" w:eastAsia="zh-CN"/>
                    </w:rPr>
                    <w:t>15</w:t>
                  </w:r>
                  <w:r>
                    <w:rPr>
                      <w:rFonts w:hint="default" w:ascii="Times New Roman" w:hAnsi="Times New Roman" w:cs="Times New Roman"/>
                      <w:color w:val="auto"/>
                      <w:sz w:val="21"/>
                      <w:szCs w:val="22"/>
                      <w:highlight w:val="none"/>
                    </w:rPr>
                    <w:t>m</w:t>
                  </w:r>
                  <w:r>
                    <w:rPr>
                      <w:rFonts w:hint="default" w:ascii="Times New Roman" w:hAnsi="Times New Roman" w:cs="Times New Roman"/>
                      <w:color w:val="auto"/>
                      <w:sz w:val="21"/>
                      <w:szCs w:val="21"/>
                      <w:highlight w:val="none"/>
                    </w:rPr>
                    <w:t>，内径</w:t>
                  </w:r>
                  <w:r>
                    <w:rPr>
                      <w:rFonts w:hint="eastAsia" w:cs="Times New Roman"/>
                      <w:color w:val="auto"/>
                      <w:sz w:val="21"/>
                      <w:szCs w:val="21"/>
                      <w:highlight w:val="none"/>
                      <w:lang w:val="en-US" w:eastAsia="zh-CN"/>
                    </w:rPr>
                    <w:t>0.8</w:t>
                  </w:r>
                  <w:r>
                    <w:rPr>
                      <w:rFonts w:hint="default" w:ascii="Times New Roman" w:hAnsi="Times New Roman" w:cs="Times New Roman"/>
                      <w:color w:val="auto"/>
                      <w:sz w:val="21"/>
                      <w:szCs w:val="21"/>
                      <w:highlight w:val="none"/>
                    </w:rPr>
                    <w:t>m</w:t>
                  </w:r>
                </w:p>
              </w:tc>
            </w:tr>
            <w:tr w14:paraId="52DF7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155" w:type="pct"/>
                  <w:vAlign w:val="center"/>
                </w:tcPr>
                <w:p w14:paraId="4FD7077C">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3</w:t>
                  </w:r>
                </w:p>
              </w:tc>
              <w:tc>
                <w:tcPr>
                  <w:tcW w:w="470" w:type="pct"/>
                  <w:vAlign w:val="center"/>
                </w:tcPr>
                <w:p w14:paraId="3661057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角磨机、振磨机、气动抛光机</w:t>
                  </w:r>
                </w:p>
              </w:tc>
              <w:tc>
                <w:tcPr>
                  <w:tcW w:w="236" w:type="pct"/>
                  <w:vAlign w:val="center"/>
                </w:tcPr>
                <w:p w14:paraId="5253A80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打磨、抛光</w:t>
                  </w:r>
                </w:p>
              </w:tc>
              <w:tc>
                <w:tcPr>
                  <w:tcW w:w="300" w:type="pct"/>
                  <w:vAlign w:val="center"/>
                </w:tcPr>
                <w:p w14:paraId="0FB0F21C">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93" w:type="pct"/>
                  <w:vAlign w:val="center"/>
                </w:tcPr>
                <w:p w14:paraId="4F27429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有</w:t>
                  </w:r>
                  <w:r>
                    <w:rPr>
                      <w:rFonts w:hint="default" w:ascii="Times New Roman" w:hAnsi="Times New Roman" w:cs="Times New Roman"/>
                      <w:color w:val="auto"/>
                      <w:sz w:val="21"/>
                      <w:szCs w:val="21"/>
                      <w:highlight w:val="none"/>
                    </w:rPr>
                    <w:t>组织</w:t>
                  </w:r>
                </w:p>
              </w:tc>
              <w:tc>
                <w:tcPr>
                  <w:tcW w:w="434" w:type="pct"/>
                  <w:vAlign w:val="center"/>
                </w:tcPr>
                <w:p w14:paraId="457B895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TA002</w:t>
                  </w:r>
                </w:p>
              </w:tc>
              <w:tc>
                <w:tcPr>
                  <w:tcW w:w="507" w:type="pct"/>
                  <w:vAlign w:val="center"/>
                </w:tcPr>
                <w:p w14:paraId="50AE00AD">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密闭</w:t>
                  </w:r>
                  <w:r>
                    <w:rPr>
                      <w:rFonts w:hint="eastAsia" w:ascii="Times New Roman" w:hAnsi="Times New Roman" w:cs="Times New Roman"/>
                      <w:color w:val="auto"/>
                      <w:sz w:val="21"/>
                      <w:szCs w:val="21"/>
                      <w:highlight w:val="none"/>
                      <w:lang w:val="en-US" w:eastAsia="zh-CN"/>
                    </w:rPr>
                    <w:t>车间</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大旋风+滤芯式二级回收系统</w:t>
                  </w:r>
                </w:p>
              </w:tc>
              <w:tc>
                <w:tcPr>
                  <w:tcW w:w="336" w:type="pct"/>
                  <w:vAlign w:val="center"/>
                </w:tcPr>
                <w:p w14:paraId="055A212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旋风+滤芯除尘</w:t>
                  </w:r>
                </w:p>
              </w:tc>
              <w:tc>
                <w:tcPr>
                  <w:tcW w:w="301" w:type="pct"/>
                  <w:vAlign w:val="center"/>
                </w:tcPr>
                <w:p w14:paraId="186C983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858" w:type="dxa"/>
                  <w:vAlign w:val="center"/>
                </w:tcPr>
                <w:p w14:paraId="7A21414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903" w:type="dxa"/>
                  <w:vAlign w:val="center"/>
                </w:tcPr>
                <w:p w14:paraId="6B33D24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DA003</w:t>
                  </w:r>
                </w:p>
              </w:tc>
              <w:tc>
                <w:tcPr>
                  <w:tcW w:w="946" w:type="dxa"/>
                  <w:vAlign w:val="center"/>
                </w:tcPr>
                <w:p w14:paraId="54A2EB2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粉尘废气排放口</w:t>
                  </w:r>
                </w:p>
              </w:tc>
              <w:tc>
                <w:tcPr>
                  <w:tcW w:w="666" w:type="dxa"/>
                  <w:vAlign w:val="center"/>
                </w:tcPr>
                <w:p w14:paraId="47C2964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c>
                <w:tcPr>
                  <w:tcW w:w="749" w:type="dxa"/>
                  <w:vAlign w:val="center"/>
                </w:tcPr>
                <w:p w14:paraId="02008D2E">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380" w:type="dxa"/>
                  <w:vAlign w:val="center"/>
                </w:tcPr>
                <w:p w14:paraId="63C6C1F4">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排气筒高</w:t>
                  </w:r>
                  <w:r>
                    <w:rPr>
                      <w:rFonts w:hint="eastAsia" w:ascii="Times New Roman" w:hAnsi="Times New Roman" w:cs="Times New Roman"/>
                      <w:color w:val="auto"/>
                      <w:sz w:val="21"/>
                      <w:szCs w:val="22"/>
                      <w:highlight w:val="none"/>
                      <w:lang w:val="en-US" w:eastAsia="zh-CN"/>
                    </w:rPr>
                    <w:t>15</w:t>
                  </w:r>
                  <w:r>
                    <w:rPr>
                      <w:rFonts w:hint="default" w:ascii="Times New Roman" w:hAnsi="Times New Roman" w:cs="Times New Roman"/>
                      <w:color w:val="auto"/>
                      <w:sz w:val="21"/>
                      <w:szCs w:val="22"/>
                      <w:highlight w:val="none"/>
                    </w:rPr>
                    <w:t>m</w:t>
                  </w:r>
                  <w:r>
                    <w:rPr>
                      <w:rFonts w:hint="default" w:ascii="Times New Roman" w:hAnsi="Times New Roman" w:cs="Times New Roman"/>
                      <w:color w:val="auto"/>
                      <w:sz w:val="21"/>
                      <w:szCs w:val="21"/>
                      <w:highlight w:val="none"/>
                    </w:rPr>
                    <w:t>，内径</w:t>
                  </w:r>
                  <w:r>
                    <w:rPr>
                      <w:rFonts w:hint="eastAsia" w:cs="Times New Roman"/>
                      <w:color w:val="auto"/>
                      <w:sz w:val="21"/>
                      <w:szCs w:val="21"/>
                      <w:highlight w:val="none"/>
                      <w:lang w:val="en-US" w:eastAsia="zh-CN"/>
                    </w:rPr>
                    <w:t>0.7</w:t>
                  </w:r>
                  <w:r>
                    <w:rPr>
                      <w:rFonts w:hint="default" w:ascii="Times New Roman" w:hAnsi="Times New Roman" w:cs="Times New Roman"/>
                      <w:color w:val="auto"/>
                      <w:sz w:val="21"/>
                      <w:szCs w:val="21"/>
                      <w:highlight w:val="none"/>
                    </w:rPr>
                    <w:t>m</w:t>
                  </w:r>
                </w:p>
              </w:tc>
            </w:tr>
            <w:tr w14:paraId="4C011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trPr>
              <w:tc>
                <w:tcPr>
                  <w:tcW w:w="155" w:type="pct"/>
                  <w:vAlign w:val="center"/>
                </w:tcPr>
                <w:p w14:paraId="5040A03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470" w:type="pct"/>
                  <w:vAlign w:val="center"/>
                </w:tcPr>
                <w:p w14:paraId="31E061E8">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食堂</w:t>
                  </w:r>
                </w:p>
              </w:tc>
              <w:tc>
                <w:tcPr>
                  <w:tcW w:w="236" w:type="pct"/>
                  <w:vAlign w:val="center"/>
                </w:tcPr>
                <w:p w14:paraId="07DC2A4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烹饪</w:t>
                  </w:r>
                </w:p>
              </w:tc>
              <w:tc>
                <w:tcPr>
                  <w:tcW w:w="300" w:type="pct"/>
                  <w:vAlign w:val="center"/>
                </w:tcPr>
                <w:p w14:paraId="4FE425EE">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193" w:type="pct"/>
                  <w:vAlign w:val="center"/>
                </w:tcPr>
                <w:p w14:paraId="46033615">
                  <w:pPr>
                    <w:keepNext w:val="0"/>
                    <w:keepLines w:val="0"/>
                    <w:suppressLineNumbers w:val="0"/>
                    <w:spacing w:before="0" w:beforeAutospacing="0" w:after="0" w:afterAutospacing="0" w:line="240" w:lineRule="auto"/>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有组织</w:t>
                  </w:r>
                </w:p>
              </w:tc>
              <w:tc>
                <w:tcPr>
                  <w:tcW w:w="434" w:type="pct"/>
                  <w:vAlign w:val="center"/>
                </w:tcPr>
                <w:p w14:paraId="55AA6E0D">
                  <w:pPr>
                    <w:keepNext w:val="0"/>
                    <w:keepLines w:val="0"/>
                    <w:suppressLineNumbers w:val="0"/>
                    <w:spacing w:before="0" w:beforeAutospacing="0" w:after="0" w:afterAutospacing="0" w:line="240" w:lineRule="auto"/>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TA003</w:t>
                  </w:r>
                </w:p>
              </w:tc>
              <w:tc>
                <w:tcPr>
                  <w:tcW w:w="507" w:type="pct"/>
                  <w:vAlign w:val="center"/>
                </w:tcPr>
                <w:p w14:paraId="039A06B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静电油烟净化器</w:t>
                  </w:r>
                </w:p>
              </w:tc>
              <w:tc>
                <w:tcPr>
                  <w:tcW w:w="336" w:type="pct"/>
                  <w:vAlign w:val="center"/>
                </w:tcPr>
                <w:p w14:paraId="34FBF2A4">
                  <w:pPr>
                    <w:keepNext w:val="0"/>
                    <w:keepLines w:val="0"/>
                    <w:suppressLineNumbers w:val="0"/>
                    <w:spacing w:before="0" w:beforeAutospacing="0" w:after="0" w:afterAutospacing="0" w:line="240" w:lineRule="auto"/>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静电除油</w:t>
                  </w:r>
                </w:p>
              </w:tc>
              <w:tc>
                <w:tcPr>
                  <w:tcW w:w="301" w:type="pct"/>
                  <w:vAlign w:val="center"/>
                </w:tcPr>
                <w:p w14:paraId="43ADCCB3">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858" w:type="dxa"/>
                  <w:vAlign w:val="center"/>
                </w:tcPr>
                <w:p w14:paraId="4455A069">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03" w:type="dxa"/>
                  <w:vAlign w:val="center"/>
                </w:tcPr>
                <w:p w14:paraId="166D95C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DA002</w:t>
                  </w:r>
                </w:p>
              </w:tc>
              <w:tc>
                <w:tcPr>
                  <w:tcW w:w="946" w:type="dxa"/>
                  <w:vAlign w:val="center"/>
                </w:tcPr>
                <w:p w14:paraId="1EEEBF36">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食堂油烟废气排放口</w:t>
                  </w:r>
                </w:p>
              </w:tc>
              <w:tc>
                <w:tcPr>
                  <w:tcW w:w="666" w:type="dxa"/>
                  <w:vAlign w:val="center"/>
                </w:tcPr>
                <w:p w14:paraId="6796A905">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是</w:t>
                  </w:r>
                </w:p>
              </w:tc>
              <w:tc>
                <w:tcPr>
                  <w:tcW w:w="749" w:type="dxa"/>
                  <w:vAlign w:val="center"/>
                </w:tcPr>
                <w:p w14:paraId="3E5C343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一般排放口</w:t>
                  </w:r>
                </w:p>
              </w:tc>
              <w:tc>
                <w:tcPr>
                  <w:tcW w:w="1380" w:type="dxa"/>
                  <w:vAlign w:val="center"/>
                </w:tcPr>
                <w:p w14:paraId="53837D25">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排气筒高20m，内径0.3m</w:t>
                  </w:r>
                </w:p>
              </w:tc>
            </w:tr>
          </w:tbl>
          <w:p w14:paraId="72C26A55">
            <w:pPr>
              <w:pStyle w:val="15"/>
              <w:keepNext w:val="0"/>
              <w:keepLines w:val="0"/>
              <w:numPr>
                <w:ilvl w:val="0"/>
                <w:numId w:val="0"/>
              </w:numPr>
              <w:suppressLineNumbers w:val="0"/>
              <w:tabs>
                <w:tab w:val="center" w:pos="10467"/>
                <w:tab w:val="left" w:pos="13095"/>
              </w:tabs>
              <w:spacing w:before="0" w:beforeAutospacing="0" w:after="0" w:afterAutospacing="0" w:line="240" w:lineRule="auto"/>
              <w:ind w:left="0" w:leftChars="0" w:right="0" w:rightChars="0" w:firstLine="40" w:firstLineChars="0"/>
              <w:jc w:val="center"/>
              <w:rPr>
                <w:rFonts w:hint="eastAsia" w:ascii="Times New Roman" w:hAnsi="Times New Roman" w:eastAsia="宋体"/>
                <w:b/>
                <w:bCs/>
                <w:color w:val="auto"/>
                <w:szCs w:val="21"/>
                <w:highlight w:val="none"/>
                <w:vertAlign w:val="baseline"/>
              </w:rPr>
            </w:pPr>
            <w:r>
              <w:rPr>
                <w:rFonts w:hint="default" w:ascii="Times New Roman" w:hAnsi="Times New Roman" w:eastAsia="宋体" w:cs="Times New Roman"/>
                <w:b/>
                <w:bCs/>
                <w:color w:val="auto"/>
                <w:kern w:val="2"/>
                <w:sz w:val="21"/>
                <w:szCs w:val="21"/>
                <w:highlight w:val="none"/>
                <w:vertAlign w:val="baseline"/>
                <w:lang w:val="en-US" w:eastAsia="zh-CN" w:bidi="ar-SA"/>
              </w:rPr>
              <w:t>表4-13</w:t>
            </w:r>
            <w:r>
              <w:rPr>
                <w:rFonts w:hint="eastAsia" w:ascii="Times New Roman" w:hAnsi="Times New Roman" w:eastAsia="宋体"/>
                <w:b/>
                <w:bCs/>
                <w:color w:val="auto"/>
                <w:szCs w:val="21"/>
                <w:highlight w:val="none"/>
              </w:rPr>
              <w:t>废气排放口基本情况表</w:t>
            </w:r>
          </w:p>
          <w:tbl>
            <w:tblPr>
              <w:tblStyle w:val="3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087"/>
              <w:gridCol w:w="1497"/>
              <w:gridCol w:w="2147"/>
              <w:gridCol w:w="1098"/>
              <w:gridCol w:w="1750"/>
              <w:gridCol w:w="776"/>
              <w:gridCol w:w="2981"/>
            </w:tblGrid>
            <w:tr w14:paraId="7D8F49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436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编号及名称</w:t>
                  </w:r>
                </w:p>
              </w:tc>
              <w:tc>
                <w:tcPr>
                  <w:tcW w:w="0" w:type="auto"/>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FDF2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基本情况</w:t>
                  </w:r>
                </w:p>
              </w:tc>
            </w:tr>
            <w:tr w14:paraId="40554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C20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2C14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高度（m）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4649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排气筒内径（m）</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50C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温度/℃</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E0E8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出口流速(m/s)</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110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类型</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7C4C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地理坐标</w:t>
                  </w:r>
                </w:p>
              </w:tc>
            </w:tr>
            <w:tr w14:paraId="30E3B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CE5D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燃烧废气排放口DA001</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D4CA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B0A4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0.8</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E99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1E1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14.93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8A6F3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点源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F60C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E</w:t>
                  </w:r>
                  <w:r>
                    <w:rPr>
                      <w:rFonts w:hint="default" w:ascii="Times New Roman" w:hAnsi="Times New Roman" w:eastAsia="宋体" w:cs="Times New Roman"/>
                      <w:i w:val="0"/>
                      <w:iCs w:val="0"/>
                      <w:color w:val="auto"/>
                      <w:kern w:val="0"/>
                      <w:sz w:val="21"/>
                      <w:szCs w:val="21"/>
                      <w:highlight w:val="none"/>
                      <w:u w:val="none"/>
                      <w:lang w:val="en-US" w:eastAsia="zh-CN" w:bidi="ar"/>
                    </w:rPr>
                    <w:t>113°24′13.10954″,</w:t>
                  </w:r>
                </w:p>
                <w:p w14:paraId="05B6F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N</w:t>
                  </w:r>
                  <w:r>
                    <w:rPr>
                      <w:rFonts w:hint="default" w:ascii="Times New Roman" w:hAnsi="Times New Roman" w:eastAsia="宋体" w:cs="Times New Roman"/>
                      <w:i w:val="0"/>
                      <w:iCs w:val="0"/>
                      <w:color w:val="auto"/>
                      <w:kern w:val="0"/>
                      <w:sz w:val="21"/>
                      <w:szCs w:val="21"/>
                      <w:highlight w:val="none"/>
                      <w:u w:val="none"/>
                      <w:lang w:val="en-US" w:eastAsia="zh-CN" w:bidi="ar"/>
                    </w:rPr>
                    <w:t>225°9′17.79759″</w:t>
                  </w:r>
                </w:p>
              </w:tc>
            </w:tr>
            <w:tr w14:paraId="431DF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E3F16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食堂油烟废气排放口DA002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CDE3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70F9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0.3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D67C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44E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15.72</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A42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t>点源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C59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E</w:t>
                  </w:r>
                  <w: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t>113°24′14.61587″,</w:t>
                  </w:r>
                </w:p>
                <w:p w14:paraId="4C3E9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N</w:t>
                  </w:r>
                  <w: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t>25°9′18.95630″</w:t>
                  </w:r>
                </w:p>
              </w:tc>
            </w:tr>
            <w:tr w14:paraId="6BCB1E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DDA37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粉尘废气排放口DA003</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B0DC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940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0.6</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22B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DDA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shd w:val="clear" w:color="auto" w:fill="auto"/>
                      <w:lang w:val="en-US" w:eastAsia="zh-CN" w:bidi="ar"/>
                    </w:rPr>
                    <w:t>13.35</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73F9E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shd w:val="clear" w:color="auto" w:fill="auto"/>
                      <w:lang w:val="en-US" w:eastAsia="zh-CN" w:bidi="ar"/>
                    </w:rPr>
                    <w:t>点源</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4E8A1C">
                  <w:pPr>
                    <w:keepNext w:val="0"/>
                    <w:keepLines w:val="0"/>
                    <w:suppressLineNumbers w:val="0"/>
                    <w:spacing w:before="0" w:beforeAutospacing="0" w:after="0" w:afterAutospacing="0" w:line="240" w:lineRule="auto"/>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E113°24′16.16043″</w:t>
                  </w:r>
                </w:p>
                <w:p w14:paraId="1B2F6531">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i w:val="0"/>
                      <w:iCs w:val="0"/>
                      <w:color w:val="auto"/>
                      <w:kern w:val="0"/>
                      <w:sz w:val="21"/>
                      <w:szCs w:val="21"/>
                      <w:highlight w:val="none"/>
                      <w:u w:val="none"/>
                      <w:shd w:val="clear" w:color="auto" w:fill="auto"/>
                      <w:lang w:val="en-US" w:eastAsia="zh-CN" w:bidi="ar"/>
                    </w:rPr>
                  </w:pPr>
                  <w:r>
                    <w:rPr>
                      <w:rFonts w:hint="eastAsia"/>
                      <w:color w:val="auto"/>
                      <w:sz w:val="21"/>
                      <w:szCs w:val="21"/>
                      <w:highlight w:val="none"/>
                      <w:lang w:val="en-US" w:eastAsia="zh-CN"/>
                    </w:rPr>
                    <w:t>N25°9′19.09114″</w:t>
                  </w:r>
                </w:p>
              </w:tc>
            </w:tr>
            <w:tr w14:paraId="1B2D7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0" w:type="auto"/>
                  <w:gridSpan w:val="7"/>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0CD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注：根据《大气污染物治理工程技术导则》（HJ2000-2010），排气筒的出口直径应根据出口流速确定，流速宜取15m/s左右。因此，本项目排气筒规格的设置均符合要求。</w:t>
                  </w:r>
                </w:p>
              </w:tc>
            </w:tr>
            <w:tr w14:paraId="4656BE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0" w:type="auto"/>
                  <w:gridSpan w:val="7"/>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47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0565071D">
            <w:pPr>
              <w:pStyle w:val="43"/>
              <w:keepNext w:val="0"/>
              <w:keepLines w:val="0"/>
              <w:numPr>
                <w:ilvl w:val="0"/>
                <w:numId w:val="0"/>
              </w:numPr>
              <w:suppressLineNumbers w:val="0"/>
              <w:tabs>
                <w:tab w:val="left" w:pos="0"/>
              </w:tabs>
              <w:spacing w:before="0" w:beforeAutospacing="0" w:after="0" w:afterAutospacing="0"/>
              <w:ind w:left="40" w:leftChars="0" w:right="0" w:rightChars="0"/>
              <w:jc w:val="both"/>
              <w:rPr>
                <w:rFonts w:hint="eastAsia" w:ascii="Times New Roman" w:cs="Times New Roman"/>
                <w:b/>
                <w:bCs/>
                <w:color w:val="auto"/>
                <w:sz w:val="21"/>
                <w:szCs w:val="21"/>
                <w:highlight w:val="none"/>
              </w:rPr>
            </w:pPr>
          </w:p>
          <w:p w14:paraId="050C82F5">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eastAsia" w:asci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表4-14</w:t>
            </w:r>
            <w:r>
              <w:rPr>
                <w:rFonts w:hint="eastAsia" w:ascii="Times New Roman" w:cs="Times New Roman"/>
                <w:b/>
                <w:bCs/>
                <w:color w:val="auto"/>
                <w:sz w:val="21"/>
                <w:szCs w:val="21"/>
                <w:highlight w:val="none"/>
              </w:rPr>
              <w:t>项目废气</w:t>
            </w:r>
            <w:r>
              <w:rPr>
                <w:rFonts w:hint="eastAsia" w:ascii="Times New Roman" w:cs="Times New Roman"/>
                <w:b/>
                <w:bCs/>
                <w:color w:val="auto"/>
                <w:sz w:val="21"/>
                <w:szCs w:val="21"/>
                <w:highlight w:val="none"/>
                <w:lang w:val="en-US" w:eastAsia="zh-CN"/>
              </w:rPr>
              <w:t>年</w:t>
            </w:r>
            <w:r>
              <w:rPr>
                <w:rFonts w:hint="eastAsia" w:ascii="Times New Roman" w:cs="Times New Roman"/>
                <w:b/>
                <w:bCs/>
                <w:color w:val="auto"/>
                <w:sz w:val="21"/>
                <w:szCs w:val="21"/>
                <w:highlight w:val="none"/>
              </w:rPr>
              <w:t>产排</w:t>
            </w:r>
            <w:r>
              <w:rPr>
                <w:rFonts w:hint="eastAsia" w:ascii="Times New Roman" w:cs="Times New Roman"/>
                <w:b/>
                <w:bCs/>
                <w:color w:val="auto"/>
                <w:sz w:val="21"/>
                <w:szCs w:val="21"/>
                <w:highlight w:val="none"/>
                <w:lang w:val="en-US" w:eastAsia="zh-CN"/>
              </w:rPr>
              <w:t>量</w:t>
            </w:r>
            <w:r>
              <w:rPr>
                <w:rFonts w:hint="eastAsia" w:ascii="Times New Roman" w:cs="Times New Roman"/>
                <w:b/>
                <w:bCs/>
                <w:color w:val="auto"/>
                <w:sz w:val="21"/>
                <w:szCs w:val="21"/>
                <w:highlight w:val="none"/>
              </w:rPr>
              <w:t>情况一览表</w:t>
            </w:r>
          </w:p>
          <w:tbl>
            <w:tblPr>
              <w:tblStyle w:val="38"/>
              <w:tblW w:w="133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55"/>
              <w:gridCol w:w="949"/>
              <w:gridCol w:w="1032"/>
              <w:gridCol w:w="1219"/>
              <w:gridCol w:w="978"/>
              <w:gridCol w:w="1197"/>
              <w:gridCol w:w="766"/>
              <w:gridCol w:w="1359"/>
              <w:gridCol w:w="708"/>
              <w:gridCol w:w="637"/>
              <w:gridCol w:w="1362"/>
              <w:gridCol w:w="978"/>
              <w:gridCol w:w="896"/>
            </w:tblGrid>
            <w:tr w14:paraId="5178C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2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2AF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产排污环节</w:t>
                  </w:r>
                </w:p>
              </w:tc>
              <w:tc>
                <w:tcPr>
                  <w:tcW w:w="94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34B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排放形式</w:t>
                  </w:r>
                </w:p>
              </w:tc>
              <w:tc>
                <w:tcPr>
                  <w:tcW w:w="103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DDE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219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CE6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4667"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C97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治理设施基本情况</w:t>
                  </w:r>
                </w:p>
              </w:tc>
              <w:tc>
                <w:tcPr>
                  <w:tcW w:w="23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FDF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c>
                <w:tcPr>
                  <w:tcW w:w="89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881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排放时间（h）</w:t>
                  </w:r>
                </w:p>
              </w:tc>
            </w:tr>
            <w:tr w14:paraId="23217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0" w:hRule="atLeast"/>
                <w:jc w:val="center"/>
              </w:trPr>
              <w:tc>
                <w:tcPr>
                  <w:tcW w:w="12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BAC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94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08F2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03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4A1F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DA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AD1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r>
                    <w:rPr>
                      <w:rFonts w:hint="eastAsia"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eastAsia"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11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27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处理能力（m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E01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收集效率</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E11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处理工艺</w:t>
                  </w:r>
                </w:p>
              </w:tc>
              <w:tc>
                <w:tcPr>
                  <w:tcW w:w="7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A4C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FA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136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A45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AB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w:t>
                  </w:r>
                  <w:r>
                    <w:rPr>
                      <w:rFonts w:hint="eastAsia" w:cs="Times New Roman"/>
                      <w:b/>
                      <w:bCs/>
                      <w:i w:val="0"/>
                      <w:iCs w:val="0"/>
                      <w:color w:val="auto"/>
                      <w:kern w:val="0"/>
                      <w:sz w:val="21"/>
                      <w:szCs w:val="21"/>
                      <w:highlight w:val="none"/>
                      <w:u w:val="none"/>
                      <w:lang w:val="en-US" w:eastAsia="zh-CN" w:bidi="ar"/>
                    </w:rPr>
                    <w:t>t</w:t>
                  </w:r>
                  <w:r>
                    <w:rPr>
                      <w:rFonts w:hint="default" w:ascii="Times New Roman" w:hAnsi="Times New Roman" w:eastAsia="宋体" w:cs="Times New Roman"/>
                      <w:b/>
                      <w:bCs/>
                      <w:i w:val="0"/>
                      <w:iCs w:val="0"/>
                      <w:color w:val="auto"/>
                      <w:kern w:val="0"/>
                      <w:sz w:val="21"/>
                      <w:szCs w:val="21"/>
                      <w:highlight w:val="none"/>
                      <w:u w:val="none"/>
                      <w:lang w:val="en-US" w:eastAsia="zh-CN" w:bidi="ar"/>
                    </w:rPr>
                    <w:t>/</w:t>
                  </w:r>
                  <w:r>
                    <w:rPr>
                      <w:rFonts w:hint="eastAsia"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89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6EC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38112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jc w:val="center"/>
              </w:trPr>
              <w:tc>
                <w:tcPr>
                  <w:tcW w:w="12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BB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焊接烟尘</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29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无组织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CB7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A3D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81E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0.123</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7EA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A9E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653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移动式烟尘净化器</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4EB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459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C48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28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0.0865</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904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25953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2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1833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天然气燃烧废气（DA001）</w:t>
                  </w:r>
                </w:p>
              </w:tc>
              <w:tc>
                <w:tcPr>
                  <w:tcW w:w="94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79B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2A9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ABB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E29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0.012</w:t>
                  </w:r>
                </w:p>
              </w:tc>
              <w:tc>
                <w:tcPr>
                  <w:tcW w:w="119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A44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8500</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D77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35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C73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0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5F9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10E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683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3C8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0.012</w:t>
                  </w:r>
                </w:p>
              </w:tc>
              <w:tc>
                <w:tcPr>
                  <w:tcW w:w="89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D18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12BAA1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jc w:val="center"/>
              </w:trPr>
              <w:tc>
                <w:tcPr>
                  <w:tcW w:w="12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FC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4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0AB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56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9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0.005</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59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0.111</w:t>
                  </w:r>
                </w:p>
              </w:tc>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74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45A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34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F04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BA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8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0.005</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67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0.111</w:t>
                  </w:r>
                </w:p>
              </w:tc>
              <w:tc>
                <w:tcPr>
                  <w:tcW w:w="89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27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4C900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2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7CD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94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BA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64E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396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C9B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0.017</w:t>
                  </w:r>
                </w:p>
              </w:tc>
              <w:tc>
                <w:tcPr>
                  <w:tcW w:w="119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5BB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0FC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35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BB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0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899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4D4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087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0.001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818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sz w:val="21"/>
                      <w:szCs w:val="21"/>
                      <w:highlight w:val="none"/>
                      <w:u w:val="none"/>
                      <w:lang w:val="en-US" w:eastAsia="zh-CN"/>
                    </w:rPr>
                    <w:t>0.017</w:t>
                  </w:r>
                </w:p>
              </w:tc>
              <w:tc>
                <w:tcPr>
                  <w:tcW w:w="89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C9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D8CDF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restart"/>
                  <w:tcBorders>
                    <w:top w:val="single" w:color="000000" w:sz="4" w:space="0"/>
                    <w:left w:val="single" w:color="000000" w:sz="4" w:space="0"/>
                    <w:right w:val="single" w:color="000000" w:sz="4" w:space="0"/>
                  </w:tcBorders>
                  <w:shd w:val="clear" w:color="auto" w:fill="auto"/>
                  <w:vAlign w:val="center"/>
                </w:tcPr>
                <w:p w14:paraId="049EA8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打磨、抛光粉尘（DA00</w:t>
                  </w:r>
                  <w:r>
                    <w:rPr>
                      <w:rFonts w:hint="eastAsia" w:ascii="Times New Roman" w:hAnsi="Times New Roman" w:eastAsia="宋体"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5BA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有</w:t>
                  </w:r>
                  <w:r>
                    <w:rPr>
                      <w:rFonts w:hint="default" w:ascii="Times New Roman" w:hAnsi="Times New Roman" w:eastAsia="宋体" w:cs="Times New Roman"/>
                      <w:i w:val="0"/>
                      <w:iCs w:val="0"/>
                      <w:color w:val="auto"/>
                      <w:kern w:val="0"/>
                      <w:sz w:val="21"/>
                      <w:szCs w:val="21"/>
                      <w:highlight w:val="none"/>
                      <w:u w:val="none"/>
                      <w:lang w:val="en-US" w:eastAsia="zh-CN" w:bidi="ar"/>
                    </w:rPr>
                    <w:t>组织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8D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95E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76.22</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F94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3.384</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E7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18500</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7D2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1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526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大旋风+滤芯式二级回收系统</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DD1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98E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A2B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DB7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0.169</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DD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76F0BB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7AEFC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B0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无</w:t>
                  </w:r>
                  <w:r>
                    <w:rPr>
                      <w:rFonts w:hint="default" w:ascii="Times New Roman" w:hAnsi="Times New Roman" w:eastAsia="宋体" w:cs="Times New Roman"/>
                      <w:i w:val="0"/>
                      <w:iCs w:val="0"/>
                      <w:color w:val="auto"/>
                      <w:kern w:val="0"/>
                      <w:sz w:val="21"/>
                      <w:szCs w:val="21"/>
                      <w:highlight w:val="none"/>
                      <w:u w:val="none"/>
                      <w:lang w:val="en-US" w:eastAsia="zh-CN" w:bidi="ar"/>
                    </w:rPr>
                    <w:t>组织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5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12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DB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0.376</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2D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5B7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9D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96C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9AE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D8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480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0.376</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70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6189F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restart"/>
                  <w:tcBorders>
                    <w:top w:val="single" w:color="000000" w:sz="4" w:space="0"/>
                    <w:left w:val="single" w:color="000000" w:sz="4" w:space="0"/>
                    <w:right w:val="single" w:color="000000" w:sz="4" w:space="0"/>
                  </w:tcBorders>
                  <w:shd w:val="clear" w:color="auto" w:fill="auto"/>
                  <w:vAlign w:val="center"/>
                </w:tcPr>
                <w:p w14:paraId="5318D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废水治理</w:t>
                  </w:r>
                </w:p>
              </w:tc>
              <w:tc>
                <w:tcPr>
                  <w:tcW w:w="949" w:type="dxa"/>
                  <w:vMerge w:val="restart"/>
                  <w:tcBorders>
                    <w:top w:val="single" w:color="000000" w:sz="4" w:space="0"/>
                    <w:left w:val="single" w:color="000000" w:sz="4" w:space="0"/>
                    <w:right w:val="single" w:color="000000" w:sz="4" w:space="0"/>
                  </w:tcBorders>
                  <w:shd w:val="clear" w:color="auto" w:fill="auto"/>
                  <w:noWrap/>
                  <w:vAlign w:val="center"/>
                </w:tcPr>
                <w:p w14:paraId="0DE5BF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无组织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1C9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氨</w:t>
                  </w:r>
                </w:p>
              </w:tc>
              <w:tc>
                <w:tcPr>
                  <w:tcW w:w="1219" w:type="dxa"/>
                  <w:vMerge w:val="restart"/>
                  <w:tcBorders>
                    <w:top w:val="single" w:color="000000" w:sz="4" w:space="0"/>
                    <w:left w:val="single" w:color="000000" w:sz="4" w:space="0"/>
                    <w:right w:val="single" w:color="000000" w:sz="4" w:space="0"/>
                  </w:tcBorders>
                  <w:shd w:val="clear" w:color="auto" w:fill="auto"/>
                  <w:noWrap/>
                  <w:vAlign w:val="center"/>
                </w:tcPr>
                <w:p w14:paraId="477FF5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978" w:type="dxa"/>
                  <w:vMerge w:val="restart"/>
                  <w:tcBorders>
                    <w:top w:val="single" w:color="000000" w:sz="4" w:space="0"/>
                    <w:left w:val="single" w:color="000000" w:sz="4" w:space="0"/>
                    <w:right w:val="single" w:color="000000" w:sz="4" w:space="0"/>
                  </w:tcBorders>
                  <w:shd w:val="clear" w:color="auto" w:fill="auto"/>
                  <w:noWrap/>
                  <w:vAlign w:val="center"/>
                </w:tcPr>
                <w:p w14:paraId="24F81A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1197" w:type="dxa"/>
                  <w:vMerge w:val="restart"/>
                  <w:tcBorders>
                    <w:top w:val="single" w:color="000000" w:sz="4" w:space="0"/>
                    <w:left w:val="single" w:color="000000" w:sz="4" w:space="0"/>
                    <w:right w:val="single" w:color="000000" w:sz="4" w:space="0"/>
                  </w:tcBorders>
                  <w:shd w:val="clear" w:color="auto" w:fill="auto"/>
                  <w:noWrap/>
                  <w:vAlign w:val="center"/>
                </w:tcPr>
                <w:p w14:paraId="710E9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766" w:type="dxa"/>
                  <w:vMerge w:val="restart"/>
                  <w:tcBorders>
                    <w:top w:val="single" w:color="000000" w:sz="4" w:space="0"/>
                    <w:left w:val="single" w:color="000000" w:sz="4" w:space="0"/>
                    <w:right w:val="single" w:color="000000" w:sz="4" w:space="0"/>
                  </w:tcBorders>
                  <w:shd w:val="clear" w:color="auto" w:fill="auto"/>
                  <w:noWrap/>
                  <w:vAlign w:val="center"/>
                </w:tcPr>
                <w:p w14:paraId="15222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359" w:type="dxa"/>
                  <w:vMerge w:val="restart"/>
                  <w:tcBorders>
                    <w:top w:val="single" w:color="000000" w:sz="4" w:space="0"/>
                    <w:left w:val="single" w:color="000000" w:sz="4" w:space="0"/>
                    <w:right w:val="single" w:color="000000" w:sz="4" w:space="0"/>
                  </w:tcBorders>
                  <w:shd w:val="clear" w:color="auto" w:fill="auto"/>
                  <w:vAlign w:val="center"/>
                </w:tcPr>
                <w:p w14:paraId="0EFA2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密闭加盖</w:t>
                  </w:r>
                </w:p>
              </w:tc>
              <w:tc>
                <w:tcPr>
                  <w:tcW w:w="708" w:type="dxa"/>
                  <w:vMerge w:val="restart"/>
                  <w:tcBorders>
                    <w:top w:val="single" w:color="000000" w:sz="4" w:space="0"/>
                    <w:left w:val="single" w:color="000000" w:sz="4" w:space="0"/>
                    <w:right w:val="single" w:color="000000" w:sz="4" w:space="0"/>
                  </w:tcBorders>
                  <w:shd w:val="clear" w:color="auto" w:fill="auto"/>
                  <w:noWrap/>
                  <w:vAlign w:val="center"/>
                </w:tcPr>
                <w:p w14:paraId="1F5B1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637" w:type="dxa"/>
                  <w:vMerge w:val="restart"/>
                  <w:tcBorders>
                    <w:top w:val="single" w:color="000000" w:sz="4" w:space="0"/>
                    <w:left w:val="single" w:color="000000" w:sz="4" w:space="0"/>
                    <w:right w:val="single" w:color="000000" w:sz="4" w:space="0"/>
                  </w:tcBorders>
                  <w:shd w:val="clear" w:color="auto" w:fill="auto"/>
                  <w:noWrap/>
                  <w:vAlign w:val="center"/>
                </w:tcPr>
                <w:p w14:paraId="0BC108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是</w:t>
                  </w:r>
                </w:p>
              </w:tc>
              <w:tc>
                <w:tcPr>
                  <w:tcW w:w="1362" w:type="dxa"/>
                  <w:vMerge w:val="restart"/>
                  <w:tcBorders>
                    <w:top w:val="single" w:color="000000" w:sz="4" w:space="0"/>
                    <w:left w:val="single" w:color="000000" w:sz="4" w:space="0"/>
                    <w:right w:val="single" w:color="000000" w:sz="4" w:space="0"/>
                  </w:tcBorders>
                  <w:shd w:val="clear" w:color="auto" w:fill="auto"/>
                  <w:noWrap/>
                  <w:vAlign w:val="center"/>
                </w:tcPr>
                <w:p w14:paraId="16B20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978" w:type="dxa"/>
                  <w:vMerge w:val="restart"/>
                  <w:tcBorders>
                    <w:top w:val="single" w:color="000000" w:sz="4" w:space="0"/>
                    <w:left w:val="single" w:color="000000" w:sz="4" w:space="0"/>
                    <w:right w:val="single" w:color="000000" w:sz="4" w:space="0"/>
                  </w:tcBorders>
                  <w:shd w:val="clear" w:color="auto" w:fill="auto"/>
                  <w:noWrap/>
                  <w:vAlign w:val="center"/>
                </w:tcPr>
                <w:p w14:paraId="589D46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896" w:type="dxa"/>
                  <w:vMerge w:val="restart"/>
                  <w:tcBorders>
                    <w:top w:val="single" w:color="000000" w:sz="4" w:space="0"/>
                    <w:left w:val="single" w:color="000000" w:sz="4" w:space="0"/>
                    <w:right w:val="single" w:color="000000" w:sz="4" w:space="0"/>
                  </w:tcBorders>
                  <w:shd w:val="clear" w:color="auto" w:fill="auto"/>
                  <w:noWrap/>
                  <w:vAlign w:val="center"/>
                </w:tcPr>
                <w:p w14:paraId="45BA34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2400</w:t>
                  </w:r>
                </w:p>
              </w:tc>
            </w:tr>
            <w:tr w14:paraId="22446C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continue"/>
                  <w:tcBorders>
                    <w:left w:val="single" w:color="000000" w:sz="4" w:space="0"/>
                    <w:right w:val="single" w:color="000000" w:sz="4" w:space="0"/>
                  </w:tcBorders>
                  <w:shd w:val="clear" w:color="auto" w:fill="auto"/>
                  <w:vAlign w:val="center"/>
                </w:tcPr>
                <w:p w14:paraId="211B5D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olor w:val="auto"/>
                      <w:highlight w:val="none"/>
                    </w:rPr>
                  </w:pPr>
                </w:p>
              </w:tc>
              <w:tc>
                <w:tcPr>
                  <w:tcW w:w="949" w:type="dxa"/>
                  <w:vMerge w:val="continue"/>
                  <w:tcBorders>
                    <w:left w:val="single" w:color="000000" w:sz="4" w:space="0"/>
                    <w:right w:val="single" w:color="000000" w:sz="4" w:space="0"/>
                  </w:tcBorders>
                  <w:shd w:val="clear" w:color="auto" w:fill="auto"/>
                  <w:noWrap/>
                  <w:vAlign w:val="center"/>
                </w:tcPr>
                <w:p w14:paraId="5C7283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olor w:val="auto"/>
                      <w:highlight w:val="none"/>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E3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氯化氢</w:t>
                  </w:r>
                </w:p>
              </w:tc>
              <w:tc>
                <w:tcPr>
                  <w:tcW w:w="1219" w:type="dxa"/>
                  <w:vMerge w:val="continue"/>
                  <w:tcBorders>
                    <w:left w:val="single" w:color="000000" w:sz="4" w:space="0"/>
                    <w:right w:val="single" w:color="000000" w:sz="4" w:space="0"/>
                  </w:tcBorders>
                  <w:shd w:val="clear" w:color="auto" w:fill="auto"/>
                  <w:noWrap/>
                  <w:vAlign w:val="center"/>
                </w:tcPr>
                <w:p w14:paraId="38A20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right w:val="single" w:color="000000" w:sz="4" w:space="0"/>
                  </w:tcBorders>
                  <w:shd w:val="clear" w:color="auto" w:fill="auto"/>
                  <w:noWrap/>
                  <w:vAlign w:val="center"/>
                </w:tcPr>
                <w:p w14:paraId="0AA5CC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197" w:type="dxa"/>
                  <w:vMerge w:val="continue"/>
                  <w:tcBorders>
                    <w:left w:val="single" w:color="000000" w:sz="4" w:space="0"/>
                    <w:right w:val="single" w:color="000000" w:sz="4" w:space="0"/>
                  </w:tcBorders>
                  <w:shd w:val="clear" w:color="auto" w:fill="auto"/>
                  <w:noWrap/>
                  <w:vAlign w:val="center"/>
                </w:tcPr>
                <w:p w14:paraId="4C97DC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66" w:type="dxa"/>
                  <w:vMerge w:val="continue"/>
                  <w:tcBorders>
                    <w:left w:val="single" w:color="000000" w:sz="4" w:space="0"/>
                    <w:right w:val="single" w:color="000000" w:sz="4" w:space="0"/>
                  </w:tcBorders>
                  <w:shd w:val="clear" w:color="auto" w:fill="auto"/>
                  <w:noWrap/>
                  <w:vAlign w:val="center"/>
                </w:tcPr>
                <w:p w14:paraId="3E4CA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59" w:type="dxa"/>
                  <w:vMerge w:val="continue"/>
                  <w:tcBorders>
                    <w:left w:val="single" w:color="000000" w:sz="4" w:space="0"/>
                    <w:right w:val="single" w:color="000000" w:sz="4" w:space="0"/>
                  </w:tcBorders>
                  <w:shd w:val="clear" w:color="auto" w:fill="auto"/>
                  <w:vAlign w:val="center"/>
                </w:tcPr>
                <w:p w14:paraId="757670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08" w:type="dxa"/>
                  <w:vMerge w:val="continue"/>
                  <w:tcBorders>
                    <w:left w:val="single" w:color="000000" w:sz="4" w:space="0"/>
                    <w:right w:val="single" w:color="000000" w:sz="4" w:space="0"/>
                  </w:tcBorders>
                  <w:shd w:val="clear" w:color="auto" w:fill="auto"/>
                  <w:noWrap/>
                  <w:vAlign w:val="center"/>
                </w:tcPr>
                <w:p w14:paraId="5FE41D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637" w:type="dxa"/>
                  <w:vMerge w:val="continue"/>
                  <w:tcBorders>
                    <w:left w:val="single" w:color="000000" w:sz="4" w:space="0"/>
                    <w:right w:val="single" w:color="000000" w:sz="4" w:space="0"/>
                  </w:tcBorders>
                  <w:shd w:val="clear" w:color="auto" w:fill="auto"/>
                  <w:noWrap/>
                  <w:vAlign w:val="center"/>
                </w:tcPr>
                <w:p w14:paraId="53C250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62" w:type="dxa"/>
                  <w:vMerge w:val="continue"/>
                  <w:tcBorders>
                    <w:left w:val="single" w:color="000000" w:sz="4" w:space="0"/>
                    <w:right w:val="single" w:color="000000" w:sz="4" w:space="0"/>
                  </w:tcBorders>
                  <w:shd w:val="clear" w:color="auto" w:fill="auto"/>
                  <w:noWrap/>
                  <w:vAlign w:val="center"/>
                </w:tcPr>
                <w:p w14:paraId="6BE99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right w:val="single" w:color="000000" w:sz="4" w:space="0"/>
                  </w:tcBorders>
                  <w:shd w:val="clear" w:color="auto" w:fill="auto"/>
                  <w:noWrap/>
                  <w:vAlign w:val="center"/>
                </w:tcPr>
                <w:p w14:paraId="71F4EA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896" w:type="dxa"/>
                  <w:vMerge w:val="continue"/>
                  <w:tcBorders>
                    <w:left w:val="single" w:color="000000" w:sz="4" w:space="0"/>
                    <w:right w:val="single" w:color="000000" w:sz="4" w:space="0"/>
                  </w:tcBorders>
                  <w:shd w:val="clear" w:color="auto" w:fill="auto"/>
                  <w:noWrap/>
                  <w:vAlign w:val="center"/>
                </w:tcPr>
                <w:p w14:paraId="0BBCF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r>
            <w:tr w14:paraId="655572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continue"/>
                  <w:tcBorders>
                    <w:left w:val="single" w:color="000000" w:sz="4" w:space="0"/>
                    <w:right w:val="single" w:color="000000" w:sz="4" w:space="0"/>
                  </w:tcBorders>
                  <w:shd w:val="clear" w:color="auto" w:fill="auto"/>
                  <w:vAlign w:val="center"/>
                </w:tcPr>
                <w:p w14:paraId="399B23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49" w:type="dxa"/>
                  <w:vMerge w:val="continue"/>
                  <w:tcBorders>
                    <w:left w:val="single" w:color="000000" w:sz="4" w:space="0"/>
                    <w:right w:val="single" w:color="000000" w:sz="4" w:space="0"/>
                  </w:tcBorders>
                  <w:shd w:val="clear" w:color="auto" w:fill="auto"/>
                  <w:noWrap/>
                  <w:vAlign w:val="center"/>
                </w:tcPr>
                <w:p w14:paraId="6EDD12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686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酸雾</w:t>
                  </w:r>
                </w:p>
              </w:tc>
              <w:tc>
                <w:tcPr>
                  <w:tcW w:w="1219" w:type="dxa"/>
                  <w:vMerge w:val="continue"/>
                  <w:tcBorders>
                    <w:left w:val="single" w:color="000000" w:sz="4" w:space="0"/>
                    <w:right w:val="single" w:color="000000" w:sz="4" w:space="0"/>
                  </w:tcBorders>
                  <w:shd w:val="clear" w:color="auto" w:fill="auto"/>
                  <w:noWrap/>
                  <w:vAlign w:val="center"/>
                </w:tcPr>
                <w:p w14:paraId="66E5D5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right w:val="single" w:color="000000" w:sz="4" w:space="0"/>
                  </w:tcBorders>
                  <w:shd w:val="clear" w:color="auto" w:fill="auto"/>
                  <w:noWrap/>
                  <w:vAlign w:val="center"/>
                </w:tcPr>
                <w:p w14:paraId="430EEC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197" w:type="dxa"/>
                  <w:vMerge w:val="continue"/>
                  <w:tcBorders>
                    <w:left w:val="single" w:color="000000" w:sz="4" w:space="0"/>
                    <w:right w:val="single" w:color="000000" w:sz="4" w:space="0"/>
                  </w:tcBorders>
                  <w:shd w:val="clear" w:color="auto" w:fill="auto"/>
                  <w:noWrap/>
                  <w:vAlign w:val="center"/>
                </w:tcPr>
                <w:p w14:paraId="4EE34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66" w:type="dxa"/>
                  <w:vMerge w:val="continue"/>
                  <w:tcBorders>
                    <w:left w:val="single" w:color="000000" w:sz="4" w:space="0"/>
                    <w:right w:val="single" w:color="000000" w:sz="4" w:space="0"/>
                  </w:tcBorders>
                  <w:shd w:val="clear" w:color="auto" w:fill="auto"/>
                  <w:noWrap/>
                  <w:vAlign w:val="center"/>
                </w:tcPr>
                <w:p w14:paraId="1A87B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59" w:type="dxa"/>
                  <w:vMerge w:val="continue"/>
                  <w:tcBorders>
                    <w:left w:val="single" w:color="000000" w:sz="4" w:space="0"/>
                    <w:right w:val="single" w:color="000000" w:sz="4" w:space="0"/>
                  </w:tcBorders>
                  <w:shd w:val="clear" w:color="auto" w:fill="auto"/>
                  <w:vAlign w:val="center"/>
                </w:tcPr>
                <w:p w14:paraId="57593B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08" w:type="dxa"/>
                  <w:vMerge w:val="continue"/>
                  <w:tcBorders>
                    <w:left w:val="single" w:color="000000" w:sz="4" w:space="0"/>
                    <w:right w:val="single" w:color="000000" w:sz="4" w:space="0"/>
                  </w:tcBorders>
                  <w:shd w:val="clear" w:color="auto" w:fill="auto"/>
                  <w:noWrap/>
                  <w:vAlign w:val="center"/>
                </w:tcPr>
                <w:p w14:paraId="6DDBB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637" w:type="dxa"/>
                  <w:vMerge w:val="continue"/>
                  <w:tcBorders>
                    <w:left w:val="single" w:color="000000" w:sz="4" w:space="0"/>
                    <w:right w:val="single" w:color="000000" w:sz="4" w:space="0"/>
                  </w:tcBorders>
                  <w:shd w:val="clear" w:color="auto" w:fill="auto"/>
                  <w:noWrap/>
                  <w:vAlign w:val="center"/>
                </w:tcPr>
                <w:p w14:paraId="37563F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62" w:type="dxa"/>
                  <w:vMerge w:val="continue"/>
                  <w:tcBorders>
                    <w:left w:val="single" w:color="000000" w:sz="4" w:space="0"/>
                    <w:right w:val="single" w:color="000000" w:sz="4" w:space="0"/>
                  </w:tcBorders>
                  <w:shd w:val="clear" w:color="auto" w:fill="auto"/>
                  <w:noWrap/>
                  <w:vAlign w:val="center"/>
                </w:tcPr>
                <w:p w14:paraId="32D5D5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right w:val="single" w:color="000000" w:sz="4" w:space="0"/>
                  </w:tcBorders>
                  <w:shd w:val="clear" w:color="auto" w:fill="auto"/>
                  <w:noWrap/>
                  <w:vAlign w:val="center"/>
                </w:tcPr>
                <w:p w14:paraId="16677C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896" w:type="dxa"/>
                  <w:vMerge w:val="continue"/>
                  <w:tcBorders>
                    <w:left w:val="single" w:color="000000" w:sz="4" w:space="0"/>
                    <w:right w:val="single" w:color="000000" w:sz="4" w:space="0"/>
                  </w:tcBorders>
                  <w:shd w:val="clear" w:color="auto" w:fill="auto"/>
                  <w:noWrap/>
                  <w:vAlign w:val="center"/>
                </w:tcPr>
                <w:p w14:paraId="3B2765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r>
            <w:tr w14:paraId="61EA87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42A79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49" w:type="dxa"/>
                  <w:vMerge w:val="continue"/>
                  <w:tcBorders>
                    <w:left w:val="single" w:color="000000" w:sz="4" w:space="0"/>
                    <w:bottom w:val="single" w:color="000000" w:sz="4" w:space="0"/>
                    <w:right w:val="single" w:color="000000" w:sz="4" w:space="0"/>
                  </w:tcBorders>
                  <w:shd w:val="clear" w:color="auto" w:fill="auto"/>
                  <w:noWrap/>
                  <w:vAlign w:val="center"/>
                </w:tcPr>
                <w:p w14:paraId="03A6D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24C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臭气浓度</w:t>
                  </w:r>
                </w:p>
              </w:tc>
              <w:tc>
                <w:tcPr>
                  <w:tcW w:w="1219" w:type="dxa"/>
                  <w:vMerge w:val="continue"/>
                  <w:tcBorders>
                    <w:left w:val="single" w:color="000000" w:sz="4" w:space="0"/>
                    <w:bottom w:val="single" w:color="000000" w:sz="4" w:space="0"/>
                    <w:right w:val="single" w:color="000000" w:sz="4" w:space="0"/>
                  </w:tcBorders>
                  <w:shd w:val="clear" w:color="auto" w:fill="auto"/>
                  <w:noWrap/>
                  <w:vAlign w:val="center"/>
                </w:tcPr>
                <w:p w14:paraId="6FCA70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bottom w:val="single" w:color="000000" w:sz="4" w:space="0"/>
                    <w:right w:val="single" w:color="000000" w:sz="4" w:space="0"/>
                  </w:tcBorders>
                  <w:shd w:val="clear" w:color="auto" w:fill="auto"/>
                  <w:noWrap/>
                  <w:vAlign w:val="center"/>
                </w:tcPr>
                <w:p w14:paraId="41817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197" w:type="dxa"/>
                  <w:vMerge w:val="continue"/>
                  <w:tcBorders>
                    <w:left w:val="single" w:color="000000" w:sz="4" w:space="0"/>
                    <w:bottom w:val="single" w:color="000000" w:sz="4" w:space="0"/>
                    <w:right w:val="single" w:color="000000" w:sz="4" w:space="0"/>
                  </w:tcBorders>
                  <w:shd w:val="clear" w:color="auto" w:fill="auto"/>
                  <w:noWrap/>
                  <w:vAlign w:val="center"/>
                </w:tcPr>
                <w:p w14:paraId="5DD1E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66" w:type="dxa"/>
                  <w:vMerge w:val="continue"/>
                  <w:tcBorders>
                    <w:left w:val="single" w:color="000000" w:sz="4" w:space="0"/>
                    <w:bottom w:val="single" w:color="000000" w:sz="4" w:space="0"/>
                    <w:right w:val="single" w:color="000000" w:sz="4" w:space="0"/>
                  </w:tcBorders>
                  <w:shd w:val="clear" w:color="auto" w:fill="auto"/>
                  <w:noWrap/>
                  <w:vAlign w:val="center"/>
                </w:tcPr>
                <w:p w14:paraId="5208CD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59" w:type="dxa"/>
                  <w:vMerge w:val="continue"/>
                  <w:tcBorders>
                    <w:left w:val="single" w:color="000000" w:sz="4" w:space="0"/>
                    <w:bottom w:val="single" w:color="000000" w:sz="4" w:space="0"/>
                    <w:right w:val="single" w:color="000000" w:sz="4" w:space="0"/>
                  </w:tcBorders>
                  <w:shd w:val="clear" w:color="auto" w:fill="auto"/>
                  <w:vAlign w:val="center"/>
                </w:tcPr>
                <w:p w14:paraId="0BBBC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708" w:type="dxa"/>
                  <w:vMerge w:val="continue"/>
                  <w:tcBorders>
                    <w:left w:val="single" w:color="000000" w:sz="4" w:space="0"/>
                    <w:bottom w:val="single" w:color="000000" w:sz="4" w:space="0"/>
                    <w:right w:val="single" w:color="000000" w:sz="4" w:space="0"/>
                  </w:tcBorders>
                  <w:shd w:val="clear" w:color="auto" w:fill="auto"/>
                  <w:noWrap/>
                  <w:vAlign w:val="center"/>
                </w:tcPr>
                <w:p w14:paraId="2C20D5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637" w:type="dxa"/>
                  <w:vMerge w:val="continue"/>
                  <w:tcBorders>
                    <w:left w:val="single" w:color="000000" w:sz="4" w:space="0"/>
                    <w:bottom w:val="single" w:color="000000" w:sz="4" w:space="0"/>
                    <w:right w:val="single" w:color="000000" w:sz="4" w:space="0"/>
                  </w:tcBorders>
                  <w:shd w:val="clear" w:color="auto" w:fill="auto"/>
                  <w:noWrap/>
                  <w:vAlign w:val="center"/>
                </w:tcPr>
                <w:p w14:paraId="3ED3E9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362" w:type="dxa"/>
                  <w:vMerge w:val="continue"/>
                  <w:tcBorders>
                    <w:left w:val="single" w:color="000000" w:sz="4" w:space="0"/>
                    <w:bottom w:val="single" w:color="000000" w:sz="4" w:space="0"/>
                    <w:right w:val="single" w:color="000000" w:sz="4" w:space="0"/>
                  </w:tcBorders>
                  <w:shd w:val="clear" w:color="auto" w:fill="auto"/>
                  <w:noWrap/>
                  <w:vAlign w:val="center"/>
                </w:tcPr>
                <w:p w14:paraId="528489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78" w:type="dxa"/>
                  <w:vMerge w:val="continue"/>
                  <w:tcBorders>
                    <w:left w:val="single" w:color="000000" w:sz="4" w:space="0"/>
                    <w:bottom w:val="single" w:color="000000" w:sz="4" w:space="0"/>
                    <w:right w:val="single" w:color="000000" w:sz="4" w:space="0"/>
                  </w:tcBorders>
                  <w:shd w:val="clear" w:color="auto" w:fill="auto"/>
                  <w:noWrap/>
                  <w:vAlign w:val="center"/>
                </w:tcPr>
                <w:p w14:paraId="332167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896" w:type="dxa"/>
                  <w:vMerge w:val="continue"/>
                  <w:tcBorders>
                    <w:left w:val="single" w:color="000000" w:sz="4" w:space="0"/>
                    <w:bottom w:val="single" w:color="000000" w:sz="4" w:space="0"/>
                    <w:right w:val="single" w:color="000000" w:sz="4" w:space="0"/>
                  </w:tcBorders>
                  <w:shd w:val="clear" w:color="auto" w:fill="auto"/>
                  <w:noWrap/>
                  <w:vAlign w:val="center"/>
                </w:tcPr>
                <w:p w14:paraId="2F0B7A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r>
            <w:tr w14:paraId="3E387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restart"/>
                  <w:tcBorders>
                    <w:top w:val="single" w:color="000000" w:sz="4" w:space="0"/>
                    <w:left w:val="single" w:color="000000" w:sz="4" w:space="0"/>
                    <w:right w:val="single" w:color="000000" w:sz="4" w:space="0"/>
                  </w:tcBorders>
                  <w:shd w:val="clear" w:color="auto" w:fill="auto"/>
                  <w:vAlign w:val="center"/>
                </w:tcPr>
                <w:p w14:paraId="494DE7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食堂油烟</w:t>
                  </w: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E86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有组织</w:t>
                  </w:r>
                </w:p>
              </w:tc>
              <w:tc>
                <w:tcPr>
                  <w:tcW w:w="1032" w:type="dxa"/>
                  <w:vMerge w:val="restart"/>
                  <w:tcBorders>
                    <w:top w:val="single" w:color="000000" w:sz="4" w:space="0"/>
                    <w:left w:val="single" w:color="000000" w:sz="4" w:space="0"/>
                    <w:right w:val="single" w:color="000000" w:sz="4" w:space="0"/>
                  </w:tcBorders>
                  <w:shd w:val="clear" w:color="auto" w:fill="auto"/>
                  <w:vAlign w:val="center"/>
                </w:tcPr>
                <w:p w14:paraId="49832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油烟</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D0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5.91</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777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0.02835</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05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4000</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19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70%</w:t>
                  </w:r>
                </w:p>
              </w:tc>
              <w:tc>
                <w:tcPr>
                  <w:tcW w:w="1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E0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静电油烟净化器</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4EC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85%</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A57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是</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43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0.88</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EEC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0.00425</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06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1200</w:t>
                  </w:r>
                </w:p>
              </w:tc>
            </w:tr>
            <w:tr w14:paraId="0B35C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1255" w:type="dxa"/>
                  <w:vMerge w:val="continue"/>
                  <w:tcBorders>
                    <w:left w:val="single" w:color="000000" w:sz="4" w:space="0"/>
                    <w:bottom w:val="single" w:color="000000" w:sz="4" w:space="0"/>
                    <w:right w:val="single" w:color="000000" w:sz="4" w:space="0"/>
                  </w:tcBorders>
                  <w:shd w:val="clear" w:color="auto" w:fill="auto"/>
                  <w:vAlign w:val="center"/>
                </w:tcPr>
                <w:p w14:paraId="3409F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8CF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无组织</w:t>
                  </w:r>
                </w:p>
              </w:tc>
              <w:tc>
                <w:tcPr>
                  <w:tcW w:w="1032" w:type="dxa"/>
                  <w:vMerge w:val="continue"/>
                  <w:tcBorders>
                    <w:left w:val="single" w:color="000000" w:sz="4" w:space="0"/>
                    <w:bottom w:val="single" w:color="000000" w:sz="4" w:space="0"/>
                    <w:right w:val="single" w:color="000000" w:sz="4" w:space="0"/>
                  </w:tcBorders>
                  <w:shd w:val="clear" w:color="auto" w:fill="auto"/>
                  <w:vAlign w:val="center"/>
                </w:tcPr>
                <w:p w14:paraId="47DFC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0B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DFB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0.01215</w:t>
                  </w:r>
                </w:p>
              </w:tc>
              <w:tc>
                <w:tcPr>
                  <w:tcW w:w="11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CB6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53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F7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97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6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CA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13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FB6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12C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0.01215</w:t>
                  </w:r>
                </w:p>
              </w:tc>
              <w:tc>
                <w:tcPr>
                  <w:tcW w:w="8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940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1200</w:t>
                  </w:r>
                </w:p>
              </w:tc>
            </w:tr>
          </w:tbl>
          <w:p w14:paraId="27D977DB">
            <w:pPr>
              <w:pStyle w:val="5"/>
              <w:numPr>
                <w:ilvl w:val="3"/>
                <w:numId w:val="0"/>
              </w:numPr>
              <w:suppressLineNumbers w:val="0"/>
              <w:spacing w:before="0" w:beforeAutospacing="0" w:after="0" w:afterAutospacing="0"/>
              <w:ind w:right="0" w:firstLine="480" w:firstLineChars="200"/>
              <w:rPr>
                <w:rFonts w:hint="eastAsia"/>
                <w:color w:val="auto"/>
                <w:highlight w:val="none"/>
              </w:rPr>
            </w:pPr>
            <w:r>
              <w:rPr>
                <w:rFonts w:hint="eastAsia"/>
                <w:color w:val="auto"/>
                <w:highlight w:val="none"/>
                <w:lang w:val="en-US" w:eastAsia="zh-CN"/>
              </w:rPr>
              <w:t>5</w:t>
            </w:r>
            <w:r>
              <w:rPr>
                <w:rFonts w:hint="eastAsia"/>
                <w:color w:val="auto"/>
                <w:highlight w:val="none"/>
              </w:rPr>
              <w:t>、监测要求</w:t>
            </w:r>
          </w:p>
          <w:p w14:paraId="1FE2DA63">
            <w:pPr>
              <w:pStyle w:val="12"/>
              <w:keepNext w:val="0"/>
              <w:keepLines w:val="0"/>
              <w:suppressLineNumbers w:val="0"/>
              <w:spacing w:before="0" w:beforeAutospacing="0" w:after="0" w:afterAutospacing="0"/>
              <w:ind w:left="0" w:right="0" w:firstLine="480"/>
              <w:rPr>
                <w:rFonts w:hint="eastAsia"/>
                <w:color w:val="auto"/>
                <w:highlight w:val="none"/>
              </w:rPr>
            </w:pPr>
            <w:r>
              <w:rPr>
                <w:rFonts w:hint="eastAsia"/>
                <w:color w:val="auto"/>
                <w:highlight w:val="none"/>
              </w:rPr>
              <w:t>根据《排污单位自行监测技术指南 总则》（HJ819-2017）、《排污许可证申请与核发技术规范 工业炉窑》（HJ 1121-2020），监测要求见下表。</w:t>
            </w:r>
          </w:p>
          <w:p w14:paraId="63DA3120">
            <w:pPr>
              <w:pStyle w:val="15"/>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eastAsia"/>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表4-15</w:t>
            </w:r>
            <w:r>
              <w:rPr>
                <w:rFonts w:hint="eastAsia"/>
                <w:color w:val="auto"/>
                <w:highlight w:val="none"/>
                <w:lang w:val="en-US" w:eastAsia="zh-CN"/>
              </w:rPr>
              <w:t>废气自行</w:t>
            </w:r>
            <w:r>
              <w:rPr>
                <w:rFonts w:hint="eastAsia"/>
                <w:color w:val="auto"/>
                <w:highlight w:val="none"/>
              </w:rPr>
              <w:t>监测要求</w:t>
            </w:r>
          </w:p>
          <w:tbl>
            <w:tblPr>
              <w:tblStyle w:val="3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0"/>
              <w:gridCol w:w="1844"/>
              <w:gridCol w:w="1844"/>
              <w:gridCol w:w="8223"/>
            </w:tblGrid>
            <w:tr w14:paraId="244FF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Align w:val="center"/>
                </w:tcPr>
                <w:p w14:paraId="0C8AD9B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sz w:val="21"/>
                      <w:szCs w:val="21"/>
                      <w:highlight w:val="none"/>
                    </w:rPr>
                  </w:pPr>
                  <w:r>
                    <w:rPr>
                      <w:rFonts w:hint="eastAsia"/>
                      <w:b/>
                      <w:bCs/>
                      <w:color w:val="auto"/>
                      <w:kern w:val="2"/>
                      <w:sz w:val="21"/>
                      <w:szCs w:val="21"/>
                      <w:highlight w:val="none"/>
                    </w:rPr>
                    <w:t>监测点位</w:t>
                  </w:r>
                </w:p>
              </w:tc>
              <w:tc>
                <w:tcPr>
                  <w:tcW w:w="692" w:type="pct"/>
                  <w:vAlign w:val="center"/>
                </w:tcPr>
                <w:p w14:paraId="16EEA13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sz w:val="21"/>
                      <w:szCs w:val="21"/>
                      <w:highlight w:val="none"/>
                    </w:rPr>
                  </w:pPr>
                  <w:r>
                    <w:rPr>
                      <w:rFonts w:hint="eastAsia"/>
                      <w:b/>
                      <w:bCs/>
                      <w:color w:val="auto"/>
                      <w:kern w:val="2"/>
                      <w:sz w:val="21"/>
                      <w:szCs w:val="21"/>
                      <w:highlight w:val="none"/>
                    </w:rPr>
                    <w:t>监测指标</w:t>
                  </w:r>
                </w:p>
              </w:tc>
              <w:tc>
                <w:tcPr>
                  <w:tcW w:w="692" w:type="pct"/>
                  <w:vAlign w:val="center"/>
                </w:tcPr>
                <w:p w14:paraId="3ABADD3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sz w:val="21"/>
                      <w:szCs w:val="21"/>
                      <w:highlight w:val="none"/>
                    </w:rPr>
                  </w:pPr>
                  <w:r>
                    <w:rPr>
                      <w:rFonts w:hint="eastAsia"/>
                      <w:b/>
                      <w:bCs/>
                      <w:color w:val="auto"/>
                      <w:kern w:val="2"/>
                      <w:sz w:val="21"/>
                      <w:szCs w:val="21"/>
                      <w:highlight w:val="none"/>
                    </w:rPr>
                    <w:t>监测频次</w:t>
                  </w:r>
                </w:p>
              </w:tc>
              <w:tc>
                <w:tcPr>
                  <w:tcW w:w="3085" w:type="pct"/>
                  <w:vAlign w:val="center"/>
                </w:tcPr>
                <w:p w14:paraId="04A88F4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sz w:val="21"/>
                      <w:szCs w:val="21"/>
                      <w:highlight w:val="none"/>
                    </w:rPr>
                  </w:pPr>
                  <w:r>
                    <w:rPr>
                      <w:rFonts w:hint="eastAsia"/>
                      <w:b/>
                      <w:bCs/>
                      <w:color w:val="auto"/>
                      <w:kern w:val="2"/>
                      <w:sz w:val="21"/>
                      <w:szCs w:val="21"/>
                      <w:highlight w:val="none"/>
                    </w:rPr>
                    <w:t>执行排放标准</w:t>
                  </w:r>
                </w:p>
              </w:tc>
            </w:tr>
            <w:tr w14:paraId="5D035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14:paraId="71E9F73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DA001</w:t>
                  </w:r>
                </w:p>
              </w:tc>
              <w:tc>
                <w:tcPr>
                  <w:tcW w:w="692" w:type="pct"/>
                  <w:vAlign w:val="center"/>
                </w:tcPr>
                <w:p w14:paraId="1F0A9E8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颗粒物</w:t>
                  </w:r>
                </w:p>
              </w:tc>
              <w:tc>
                <w:tcPr>
                  <w:tcW w:w="692" w:type="pct"/>
                  <w:vAlign w:val="center"/>
                </w:tcPr>
                <w:p w14:paraId="060FF2F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Merge w:val="restart"/>
                  <w:vAlign w:val="center"/>
                </w:tcPr>
                <w:p w14:paraId="7A65C00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《关于印发&lt;工业炉窑大气污染综合治理方案&gt;的通知》（环大气〔2019〕56号）和《关于贯彻落实&lt;工业炉窑大气污染物综合治理方案&gt;的实施意见》（粤环函〔2019〕1112号）</w:t>
                  </w:r>
                </w:p>
              </w:tc>
            </w:tr>
            <w:tr w14:paraId="351CA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6812699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p>
              </w:tc>
              <w:tc>
                <w:tcPr>
                  <w:tcW w:w="692" w:type="pct"/>
                  <w:vAlign w:val="center"/>
                </w:tcPr>
                <w:p w14:paraId="3B96668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二氧化硫</w:t>
                  </w:r>
                </w:p>
              </w:tc>
              <w:tc>
                <w:tcPr>
                  <w:tcW w:w="692" w:type="pct"/>
                  <w:vAlign w:val="center"/>
                </w:tcPr>
                <w:p w14:paraId="44D7BF4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Merge w:val="continue"/>
                  <w:vAlign w:val="center"/>
                </w:tcPr>
                <w:p w14:paraId="2FE4ADA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p>
              </w:tc>
            </w:tr>
            <w:tr w14:paraId="0B22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0178CA1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p>
              </w:tc>
              <w:tc>
                <w:tcPr>
                  <w:tcW w:w="692" w:type="pct"/>
                  <w:vAlign w:val="center"/>
                </w:tcPr>
                <w:p w14:paraId="7F9645D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氮氧化物</w:t>
                  </w:r>
                </w:p>
              </w:tc>
              <w:tc>
                <w:tcPr>
                  <w:tcW w:w="692" w:type="pct"/>
                  <w:vAlign w:val="center"/>
                </w:tcPr>
                <w:p w14:paraId="32E043E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Merge w:val="continue"/>
                  <w:vAlign w:val="center"/>
                </w:tcPr>
                <w:p w14:paraId="6F7FCF4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p>
              </w:tc>
            </w:tr>
            <w:tr w14:paraId="3E39C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55C6A49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p>
              </w:tc>
              <w:tc>
                <w:tcPr>
                  <w:tcW w:w="692" w:type="pct"/>
                  <w:vAlign w:val="center"/>
                </w:tcPr>
                <w:p w14:paraId="739AA5E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sz w:val="21"/>
                      <w:szCs w:val="21"/>
                      <w:highlight w:val="none"/>
                      <w:lang w:val="en-US" w:eastAsia="zh-CN"/>
                    </w:rPr>
                  </w:pPr>
                  <w:r>
                    <w:rPr>
                      <w:rFonts w:hint="eastAsia"/>
                      <w:color w:val="auto"/>
                      <w:kern w:val="2"/>
                      <w:sz w:val="21"/>
                      <w:szCs w:val="21"/>
                      <w:highlight w:val="none"/>
                      <w:lang w:val="en-US" w:eastAsia="zh-CN"/>
                    </w:rPr>
                    <w:t>烟气黑度</w:t>
                  </w:r>
                </w:p>
              </w:tc>
              <w:tc>
                <w:tcPr>
                  <w:tcW w:w="692" w:type="pct"/>
                  <w:vAlign w:val="center"/>
                </w:tcPr>
                <w:p w14:paraId="113B7EE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Align w:val="center"/>
                </w:tcPr>
                <w:p w14:paraId="2185AF9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s="Times New Roman"/>
                      <w:color w:val="auto"/>
                      <w:kern w:val="2"/>
                      <w:sz w:val="21"/>
                      <w:szCs w:val="21"/>
                      <w:highlight w:val="none"/>
                      <w:lang w:val="en-US" w:eastAsia="zh-CN"/>
                    </w:rPr>
                    <w:t>《工业炉窑大气污染物排放标准》（GB 9078-1996）</w:t>
                  </w:r>
                </w:p>
              </w:tc>
            </w:tr>
            <w:tr w14:paraId="1420C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Align w:val="center"/>
                </w:tcPr>
                <w:p w14:paraId="0B56BD5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sz w:val="21"/>
                      <w:szCs w:val="21"/>
                      <w:highlight w:val="none"/>
                      <w:lang w:val="en-US" w:eastAsia="zh-CN"/>
                    </w:rPr>
                  </w:pPr>
                  <w:r>
                    <w:rPr>
                      <w:rFonts w:hint="eastAsia"/>
                      <w:color w:val="auto"/>
                      <w:kern w:val="2"/>
                      <w:sz w:val="21"/>
                      <w:szCs w:val="21"/>
                      <w:highlight w:val="none"/>
                      <w:lang w:val="en-US" w:eastAsia="zh-CN"/>
                    </w:rPr>
                    <w:t>DA002</w:t>
                  </w:r>
                </w:p>
              </w:tc>
              <w:tc>
                <w:tcPr>
                  <w:tcW w:w="692" w:type="pct"/>
                  <w:vAlign w:val="center"/>
                </w:tcPr>
                <w:p w14:paraId="3639EB1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sz w:val="21"/>
                      <w:szCs w:val="21"/>
                      <w:highlight w:val="none"/>
                      <w:lang w:val="en-US" w:eastAsia="zh-CN"/>
                    </w:rPr>
                  </w:pPr>
                  <w:r>
                    <w:rPr>
                      <w:rFonts w:hint="eastAsia"/>
                      <w:color w:val="auto"/>
                      <w:kern w:val="2"/>
                      <w:sz w:val="21"/>
                      <w:szCs w:val="21"/>
                      <w:highlight w:val="none"/>
                      <w:lang w:val="en-US" w:eastAsia="zh-CN"/>
                    </w:rPr>
                    <w:t>油烟</w:t>
                  </w:r>
                </w:p>
              </w:tc>
              <w:tc>
                <w:tcPr>
                  <w:tcW w:w="692" w:type="pct"/>
                  <w:vAlign w:val="center"/>
                </w:tcPr>
                <w:p w14:paraId="00011D2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Align w:val="center"/>
                </w:tcPr>
                <w:p w14:paraId="20BF056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s="Times New Roman"/>
                      <w:color w:val="auto"/>
                      <w:kern w:val="2"/>
                      <w:sz w:val="21"/>
                      <w:szCs w:val="21"/>
                      <w:highlight w:val="none"/>
                      <w:lang w:val="en-US" w:eastAsia="zh-CN"/>
                    </w:rPr>
                  </w:pPr>
                  <w:r>
                    <w:rPr>
                      <w:rFonts w:hint="eastAsia"/>
                      <w:color w:val="auto"/>
                      <w:kern w:val="2"/>
                      <w:highlight w:val="none"/>
                    </w:rPr>
                    <w:t>《饮食业油烟排放标准（试行）》（GB18483-2001）</w:t>
                  </w:r>
                </w:p>
              </w:tc>
            </w:tr>
            <w:tr w14:paraId="13626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Align w:val="center"/>
                </w:tcPr>
                <w:p w14:paraId="2784546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sz w:val="21"/>
                      <w:szCs w:val="21"/>
                      <w:highlight w:val="none"/>
                      <w:lang w:val="en-US" w:eastAsia="zh-CN"/>
                    </w:rPr>
                  </w:pPr>
                  <w:r>
                    <w:rPr>
                      <w:rFonts w:hint="eastAsia"/>
                      <w:color w:val="auto"/>
                      <w:kern w:val="2"/>
                      <w:sz w:val="21"/>
                      <w:szCs w:val="21"/>
                      <w:highlight w:val="none"/>
                      <w:lang w:val="en-US" w:eastAsia="zh-CN"/>
                    </w:rPr>
                    <w:t>DA003</w:t>
                  </w:r>
                </w:p>
              </w:tc>
              <w:tc>
                <w:tcPr>
                  <w:tcW w:w="692" w:type="pct"/>
                  <w:vAlign w:val="center"/>
                </w:tcPr>
                <w:p w14:paraId="6A8166C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sz w:val="21"/>
                      <w:szCs w:val="21"/>
                      <w:highlight w:val="none"/>
                      <w:lang w:val="en-US" w:eastAsia="zh-CN"/>
                    </w:rPr>
                  </w:pPr>
                  <w:r>
                    <w:rPr>
                      <w:rFonts w:hint="eastAsia"/>
                      <w:color w:val="auto"/>
                      <w:kern w:val="2"/>
                      <w:sz w:val="21"/>
                      <w:szCs w:val="21"/>
                      <w:highlight w:val="none"/>
                      <w:lang w:val="en-US" w:eastAsia="zh-CN"/>
                    </w:rPr>
                    <w:t>颗粒物</w:t>
                  </w:r>
                </w:p>
              </w:tc>
              <w:tc>
                <w:tcPr>
                  <w:tcW w:w="692" w:type="pct"/>
                  <w:vAlign w:val="center"/>
                </w:tcPr>
                <w:p w14:paraId="4A1BB89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sz w:val="21"/>
                      <w:szCs w:val="21"/>
                      <w:highlight w:val="none"/>
                    </w:rPr>
                  </w:pPr>
                  <w:r>
                    <w:rPr>
                      <w:rFonts w:hint="eastAsia"/>
                      <w:color w:val="auto"/>
                      <w:kern w:val="2"/>
                      <w:sz w:val="21"/>
                      <w:szCs w:val="21"/>
                      <w:highlight w:val="none"/>
                    </w:rPr>
                    <w:t>1次/年</w:t>
                  </w:r>
                </w:p>
              </w:tc>
              <w:tc>
                <w:tcPr>
                  <w:tcW w:w="3085" w:type="pct"/>
                  <w:vAlign w:val="center"/>
                </w:tcPr>
                <w:p w14:paraId="08D4F11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ascii="Times New Roman" w:hAnsi="Times New Roman" w:eastAsia="宋体" w:cs="Times New Roman"/>
                      <w:color w:val="auto"/>
                      <w:kern w:val="0"/>
                      <w:sz w:val="21"/>
                      <w:szCs w:val="21"/>
                      <w:highlight w:val="none"/>
                      <w:lang w:val="en-US" w:eastAsia="zh-CN" w:bidi="ar"/>
                    </w:rPr>
                    <w:t>广东省《大气污染物排放限值》（DB44/27-2001）第二时段浓度限值</w:t>
                  </w:r>
                </w:p>
              </w:tc>
            </w:tr>
            <w:tr w14:paraId="433E4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restart"/>
                  <w:vAlign w:val="center"/>
                </w:tcPr>
                <w:p w14:paraId="7E5E7F29">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厂界</w:t>
                  </w:r>
                </w:p>
              </w:tc>
              <w:tc>
                <w:tcPr>
                  <w:tcW w:w="692" w:type="pct"/>
                  <w:vAlign w:val="center"/>
                </w:tcPr>
                <w:p w14:paraId="6BF31AD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颗粒物</w:t>
                  </w:r>
                </w:p>
              </w:tc>
              <w:tc>
                <w:tcPr>
                  <w:tcW w:w="692" w:type="pct"/>
                  <w:vAlign w:val="center"/>
                </w:tcPr>
                <w:p w14:paraId="4553EF0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1次/年</w:t>
                  </w:r>
                </w:p>
              </w:tc>
              <w:tc>
                <w:tcPr>
                  <w:tcW w:w="3085" w:type="pct"/>
                  <w:vAlign w:val="center"/>
                </w:tcPr>
                <w:p w14:paraId="5482A9D2">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
                    </w:rPr>
                    <w:t>广东省《大气污染物排放限值》（DB44/27-2001）第二时段无组织排放监控浓度限值</w:t>
                  </w:r>
                </w:p>
              </w:tc>
            </w:tr>
            <w:tr w14:paraId="353E8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529" w:type="pct"/>
                  <w:vMerge w:val="continue"/>
                  <w:vAlign w:val="center"/>
                </w:tcPr>
                <w:p w14:paraId="0A97693B">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0"/>
                      <w:sz w:val="21"/>
                      <w:szCs w:val="21"/>
                      <w:highlight w:val="none"/>
                      <w:lang w:bidi="ar"/>
                    </w:rPr>
                  </w:pPr>
                </w:p>
              </w:tc>
              <w:tc>
                <w:tcPr>
                  <w:tcW w:w="692" w:type="pct"/>
                  <w:vAlign w:val="center"/>
                </w:tcPr>
                <w:p w14:paraId="3A2070A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0"/>
                      <w:sz w:val="21"/>
                      <w:szCs w:val="21"/>
                      <w:highlight w:val="none"/>
                      <w:lang w:val="en-US" w:bidi="ar"/>
                    </w:rPr>
                  </w:pPr>
                  <w:r>
                    <w:rPr>
                      <w:rFonts w:hint="eastAsia"/>
                      <w:color w:val="auto"/>
                      <w:kern w:val="0"/>
                      <w:sz w:val="21"/>
                      <w:szCs w:val="21"/>
                      <w:highlight w:val="none"/>
                      <w:lang w:val="en-US" w:eastAsia="zh-CN" w:bidi="ar"/>
                    </w:rPr>
                    <w:t>臭气浓度</w:t>
                  </w:r>
                </w:p>
              </w:tc>
              <w:tc>
                <w:tcPr>
                  <w:tcW w:w="692" w:type="pct"/>
                  <w:vAlign w:val="center"/>
                </w:tcPr>
                <w:p w14:paraId="6EBEB0B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1次/年</w:t>
                  </w:r>
                </w:p>
              </w:tc>
              <w:tc>
                <w:tcPr>
                  <w:tcW w:w="3085" w:type="pct"/>
                  <w:vMerge w:val="restart"/>
                  <w:vAlign w:val="center"/>
                </w:tcPr>
                <w:p w14:paraId="012D355D">
                  <w:pPr>
                    <w:pStyle w:val="35"/>
                    <w:keepNext w:val="0"/>
                    <w:keepLines w:val="0"/>
                    <w:pageBreakBefore w:val="0"/>
                    <w:widowControl w:val="0"/>
                    <w:suppressLineNumbers w:val="0"/>
                    <w:kinsoku/>
                    <w:overflowPunct/>
                    <w:topLinePunct w:val="0"/>
                    <w:autoSpaceDE w:val="0"/>
                    <w:autoSpaceDN w:val="0"/>
                    <w:bidi w:val="0"/>
                    <w:adjustRightInd w:val="0"/>
                    <w:snapToGrid/>
                    <w:spacing w:before="0" w:beforeAutospacing="0" w:after="0" w:afterAutospacing="0" w:line="276" w:lineRule="auto"/>
                    <w:ind w:left="0" w:right="0" w:firstLine="412" w:firstLineChars="200"/>
                    <w:jc w:val="center"/>
                    <w:rPr>
                      <w:rFonts w:hint="eastAsia" w:ascii="宋体" w:hAnsi="宋体" w:cs="宋体"/>
                      <w:color w:val="auto"/>
                      <w:kern w:val="0"/>
                      <w:sz w:val="21"/>
                      <w:szCs w:val="21"/>
                      <w:highlight w:val="none"/>
                      <w:lang w:bidi="ar"/>
                    </w:rPr>
                  </w:pPr>
                  <w:r>
                    <w:rPr>
                      <w:rFonts w:hint="eastAsia" w:ascii="宋体" w:hAnsi="宋体" w:eastAsia="宋体" w:cs="宋体"/>
                      <w:color w:val="auto"/>
                      <w:spacing w:val="-2"/>
                      <w:kern w:val="2"/>
                      <w:sz w:val="21"/>
                      <w:szCs w:val="21"/>
                      <w:highlight w:val="none"/>
                      <w:lang w:val="en-US" w:eastAsia="zh-CN" w:bidi="ar"/>
                    </w:rPr>
                    <w:t>《恶</w:t>
                  </w:r>
                  <w:r>
                    <w:rPr>
                      <w:rFonts w:hint="eastAsia" w:ascii="Times New Roman" w:hAnsi="Times New Roman" w:eastAsia="宋体" w:cs="Times New Roman"/>
                      <w:color w:val="auto"/>
                      <w:kern w:val="0"/>
                      <w:sz w:val="21"/>
                      <w:szCs w:val="21"/>
                      <w:highlight w:val="none"/>
                      <w:lang w:val="en-US" w:eastAsia="zh-CN" w:bidi="ar"/>
                    </w:rPr>
                    <w:t>臭污染物排放标准》（</w:t>
                  </w:r>
                  <w:r>
                    <w:rPr>
                      <w:rFonts w:hint="default" w:ascii="Times New Roman" w:hAnsi="Times New Roman" w:eastAsia="宋体" w:cs="Times New Roman"/>
                      <w:color w:val="auto"/>
                      <w:kern w:val="0"/>
                      <w:sz w:val="21"/>
                      <w:szCs w:val="21"/>
                      <w:highlight w:val="none"/>
                      <w:lang w:val="en-US" w:eastAsia="zh-CN" w:bidi="ar"/>
                    </w:rPr>
                    <w:t>GB14554-93</w:t>
                  </w:r>
                  <w:r>
                    <w:rPr>
                      <w:rFonts w:hint="eastAsia" w:ascii="Times New Roman" w:hAnsi="Times New Roman" w:eastAsia="宋体" w:cs="Times New Roman"/>
                      <w:color w:val="auto"/>
                      <w:kern w:val="0"/>
                      <w:sz w:val="21"/>
                      <w:szCs w:val="21"/>
                      <w:highlight w:val="none"/>
                      <w:lang w:val="en-US" w:eastAsia="zh-CN" w:bidi="ar"/>
                    </w:rPr>
                    <w:t>）表</w:t>
                  </w:r>
                  <w:r>
                    <w:rPr>
                      <w:rFonts w:hint="default" w:ascii="Times New Roman" w:hAnsi="Times New Roman" w:eastAsia="宋体"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新扩改建二级厂界标准值；</w:t>
                  </w:r>
                </w:p>
              </w:tc>
            </w:tr>
            <w:tr w14:paraId="3AAAC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39A369AD">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0"/>
                      <w:sz w:val="21"/>
                      <w:szCs w:val="21"/>
                      <w:highlight w:val="none"/>
                      <w:lang w:bidi="ar"/>
                    </w:rPr>
                  </w:pPr>
                </w:p>
              </w:tc>
              <w:tc>
                <w:tcPr>
                  <w:tcW w:w="692" w:type="pct"/>
                  <w:vAlign w:val="center"/>
                </w:tcPr>
                <w:p w14:paraId="3FECA7F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eastAsia="宋体"/>
                      <w:color w:val="auto"/>
                      <w:kern w:val="0"/>
                      <w:sz w:val="21"/>
                      <w:szCs w:val="21"/>
                      <w:highlight w:val="none"/>
                      <w:lang w:val="en-US" w:eastAsia="zh-CN" w:bidi="ar"/>
                    </w:rPr>
                  </w:pPr>
                  <w:r>
                    <w:rPr>
                      <w:rFonts w:hint="eastAsia"/>
                      <w:color w:val="auto"/>
                      <w:kern w:val="0"/>
                      <w:sz w:val="21"/>
                      <w:szCs w:val="21"/>
                      <w:highlight w:val="none"/>
                      <w:lang w:val="en-US" w:eastAsia="zh-CN" w:bidi="ar"/>
                    </w:rPr>
                    <w:t>硫化氢</w:t>
                  </w:r>
                </w:p>
              </w:tc>
              <w:tc>
                <w:tcPr>
                  <w:tcW w:w="692" w:type="pct"/>
                  <w:vAlign w:val="center"/>
                </w:tcPr>
                <w:p w14:paraId="5AF1D4A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1次/年</w:t>
                  </w:r>
                </w:p>
              </w:tc>
              <w:tc>
                <w:tcPr>
                  <w:tcW w:w="3085" w:type="pct"/>
                  <w:vMerge w:val="continue"/>
                  <w:vAlign w:val="center"/>
                </w:tcPr>
                <w:p w14:paraId="576C933C">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宋体" w:hAnsi="宋体" w:cs="宋体"/>
                      <w:color w:val="auto"/>
                      <w:kern w:val="0"/>
                      <w:sz w:val="21"/>
                      <w:szCs w:val="21"/>
                      <w:highlight w:val="none"/>
                      <w:lang w:bidi="ar"/>
                    </w:rPr>
                  </w:pPr>
                </w:p>
              </w:tc>
            </w:tr>
            <w:tr w14:paraId="37800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vMerge w:val="continue"/>
                  <w:vAlign w:val="center"/>
                </w:tcPr>
                <w:p w14:paraId="4871A32D">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0"/>
                      <w:sz w:val="21"/>
                      <w:szCs w:val="21"/>
                      <w:highlight w:val="none"/>
                      <w:lang w:bidi="ar"/>
                    </w:rPr>
                  </w:pPr>
                </w:p>
              </w:tc>
              <w:tc>
                <w:tcPr>
                  <w:tcW w:w="692" w:type="pct"/>
                  <w:vAlign w:val="center"/>
                </w:tcPr>
                <w:p w14:paraId="765B856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0"/>
                      <w:sz w:val="21"/>
                      <w:szCs w:val="21"/>
                      <w:highlight w:val="none"/>
                      <w:lang w:val="en-US" w:eastAsia="zh-CN" w:bidi="ar"/>
                    </w:rPr>
                  </w:pPr>
                  <w:r>
                    <w:rPr>
                      <w:rFonts w:hint="eastAsia"/>
                      <w:color w:val="auto"/>
                      <w:kern w:val="0"/>
                      <w:sz w:val="21"/>
                      <w:szCs w:val="21"/>
                      <w:highlight w:val="none"/>
                      <w:lang w:val="en-US" w:eastAsia="zh-CN" w:bidi="ar"/>
                    </w:rPr>
                    <w:t>氨气</w:t>
                  </w:r>
                </w:p>
              </w:tc>
              <w:tc>
                <w:tcPr>
                  <w:tcW w:w="692" w:type="pct"/>
                  <w:vAlign w:val="center"/>
                </w:tcPr>
                <w:p w14:paraId="668FC03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1次/年</w:t>
                  </w:r>
                </w:p>
              </w:tc>
              <w:tc>
                <w:tcPr>
                  <w:tcW w:w="3085" w:type="pct"/>
                  <w:vMerge w:val="continue"/>
                  <w:vAlign w:val="center"/>
                </w:tcPr>
                <w:p w14:paraId="1273C9A8">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ascii="宋体" w:hAnsi="宋体" w:cs="宋体"/>
                      <w:color w:val="auto"/>
                      <w:kern w:val="0"/>
                      <w:sz w:val="21"/>
                      <w:szCs w:val="21"/>
                      <w:highlight w:val="none"/>
                      <w:lang w:bidi="ar"/>
                    </w:rPr>
                  </w:pPr>
                </w:p>
              </w:tc>
            </w:tr>
          </w:tbl>
          <w:p w14:paraId="091C433E">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eastAsia"/>
                <w:color w:val="auto"/>
                <w:highlight w:val="none"/>
                <w:lang w:val="en-US" w:eastAsia="zh-CN"/>
              </w:rPr>
              <w:t>项</w:t>
            </w:r>
            <w:r>
              <w:rPr>
                <w:rFonts w:hint="default" w:ascii="Times New Roman" w:hAnsi="Times New Roman" w:cs="Times New Roman"/>
                <w:color w:val="auto"/>
                <w:sz w:val="24"/>
                <w:highlight w:val="none"/>
              </w:rPr>
              <w:t>目废气产排情况见下表</w:t>
            </w:r>
            <w:r>
              <w:rPr>
                <w:rFonts w:hint="eastAsia" w:ascii="Times New Roman" w:hAnsi="Times New Roman" w:cs="Times New Roman"/>
                <w:color w:val="auto"/>
                <w:sz w:val="24"/>
                <w:highlight w:val="none"/>
                <w:lang w:eastAsia="zh-CN"/>
              </w:rPr>
              <w:t>：</w:t>
            </w:r>
          </w:p>
          <w:p w14:paraId="2DE1AE3D">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16</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本项目废气有组织、无组织产排情况</w:t>
            </w:r>
            <w:r>
              <w:rPr>
                <w:rFonts w:hint="default" w:ascii="Times New Roman" w:hAnsi="Times New Roman" w:cs="Times New Roman"/>
                <w:b/>
                <w:color w:val="auto"/>
                <w:sz w:val="21"/>
                <w:szCs w:val="21"/>
                <w:highlight w:val="none"/>
              </w:rPr>
              <w:t>一览表</w:t>
            </w:r>
          </w:p>
          <w:tbl>
            <w:tblPr>
              <w:tblStyle w:val="38"/>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00"/>
              <w:gridCol w:w="1094"/>
              <w:gridCol w:w="987"/>
              <w:gridCol w:w="2063"/>
              <w:gridCol w:w="3"/>
              <w:gridCol w:w="1665"/>
              <w:gridCol w:w="1212"/>
              <w:gridCol w:w="2058"/>
              <w:gridCol w:w="8"/>
              <w:gridCol w:w="1668"/>
              <w:gridCol w:w="1073"/>
            </w:tblGrid>
            <w:tr w14:paraId="5ACB0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0" w:hRule="atLeast"/>
                <w:jc w:val="center"/>
              </w:trPr>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B34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产排污环节</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B41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排放形式</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8FED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774" w:type="pct"/>
                  <w:gridSpan w:val="2"/>
                  <w:vMerge w:val="restart"/>
                  <w:tcBorders>
                    <w:top w:val="single" w:color="000000" w:sz="4" w:space="0"/>
                    <w:left w:val="single" w:color="000000" w:sz="4" w:space="0"/>
                    <w:right w:val="single" w:color="auto" w:sz="4" w:space="0"/>
                  </w:tcBorders>
                  <w:shd w:val="clear" w:color="auto" w:fill="auto"/>
                  <w:noWrap/>
                  <w:vAlign w:val="center"/>
                </w:tcPr>
                <w:p w14:paraId="1F852D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24" w:type="pct"/>
                  <w:vMerge w:val="restart"/>
                  <w:tcBorders>
                    <w:top w:val="single" w:color="000000" w:sz="4" w:space="0"/>
                    <w:left w:val="single" w:color="auto" w:sz="4" w:space="0"/>
                    <w:right w:val="single" w:color="000000" w:sz="4" w:space="0"/>
                  </w:tcBorders>
                  <w:shd w:val="clear" w:color="auto" w:fill="auto"/>
                  <w:noWrap/>
                  <w:vAlign w:val="center"/>
                </w:tcPr>
                <w:p w14:paraId="66F410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454"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3A5DEB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产生速率</w:t>
                  </w:r>
                </w:p>
                <w:p w14:paraId="4C804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color w:val="auto"/>
                      <w:sz w:val="21"/>
                      <w:szCs w:val="21"/>
                      <w:highlight w:val="none"/>
                      <w:lang w:val="en-US" w:eastAsia="zh-CN"/>
                    </w:rPr>
                    <w:t>kg/h</w:t>
                  </w:r>
                </w:p>
              </w:tc>
              <w:tc>
                <w:tcPr>
                  <w:tcW w:w="774" w:type="pct"/>
                  <w:gridSpan w:val="2"/>
                  <w:vMerge w:val="restart"/>
                  <w:tcBorders>
                    <w:top w:val="single" w:color="000000" w:sz="4" w:space="0"/>
                    <w:left w:val="single" w:color="000000" w:sz="4" w:space="0"/>
                    <w:right w:val="single" w:color="auto" w:sz="4" w:space="0"/>
                  </w:tcBorders>
                  <w:shd w:val="clear" w:color="auto" w:fill="auto"/>
                  <w:noWrap/>
                  <w:vAlign w:val="center"/>
                </w:tcPr>
                <w:p w14:paraId="4EEC9B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625" w:type="pct"/>
                  <w:vMerge w:val="restart"/>
                  <w:tcBorders>
                    <w:top w:val="single" w:color="000000" w:sz="4" w:space="0"/>
                    <w:left w:val="single" w:color="auto" w:sz="4" w:space="0"/>
                    <w:right w:val="single" w:color="000000" w:sz="4" w:space="0"/>
                  </w:tcBorders>
                  <w:shd w:val="clear" w:color="auto" w:fill="auto"/>
                  <w:noWrap/>
                  <w:vAlign w:val="center"/>
                </w:tcPr>
                <w:p w14:paraId="06F656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402" w:type="pct"/>
                  <w:tcBorders>
                    <w:top w:val="single" w:color="000000" w:sz="4" w:space="0"/>
                    <w:left w:val="single" w:color="auto" w:sz="4" w:space="0"/>
                    <w:right w:val="single" w:color="000000" w:sz="4" w:space="0"/>
                  </w:tcBorders>
                  <w:shd w:val="clear" w:color="auto" w:fill="auto"/>
                  <w:noWrap/>
                  <w:vAlign w:val="center"/>
                </w:tcPr>
                <w:p w14:paraId="0DF9F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排放速率</w:t>
                  </w:r>
                </w:p>
                <w:p w14:paraId="7F37BA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cs="Times New Roman"/>
                      <w:b/>
                      <w:color w:val="auto"/>
                      <w:sz w:val="21"/>
                      <w:szCs w:val="21"/>
                      <w:highlight w:val="none"/>
                      <w:lang w:val="en-US" w:eastAsia="zh-CN"/>
                    </w:rPr>
                    <w:t>kg/h</w:t>
                  </w:r>
                </w:p>
              </w:tc>
            </w:tr>
            <w:tr w14:paraId="20A57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jc w:val="center"/>
              </w:trPr>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FC9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焊接烟尘/打磨、抛光粉尘</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14D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无组织</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36A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C61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FEC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0.499</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A00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0.21</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C6F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988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0.4625</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184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0.19</w:t>
                  </w:r>
                </w:p>
              </w:tc>
            </w:tr>
            <w:tr w14:paraId="47143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jc w:val="center"/>
              </w:trPr>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EDAF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食堂油烟</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36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无组织</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E88E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油烟</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332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CB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0.01215</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390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0.01</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C3E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27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0.01215</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B61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0.01</w:t>
                  </w:r>
                </w:p>
              </w:tc>
            </w:tr>
            <w:tr w14:paraId="7BED91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56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380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天然气燃烧废气（DA001）</w:t>
                  </w:r>
                </w:p>
              </w:tc>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568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0E13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2</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7F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0.001</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16D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0.012</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E1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0.005</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66B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0.001</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8EA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0.012</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4D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0.005</w:t>
                  </w:r>
                </w:p>
              </w:tc>
            </w:tr>
            <w:tr w14:paraId="416BD0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5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DFF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77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90A0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NO</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x</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6FE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w:t>
                  </w:r>
                  <w:r>
                    <w:rPr>
                      <w:rFonts w:hint="eastAsia" w:cs="Times New Roman"/>
                      <w:i w:val="0"/>
                      <w:iCs w:val="0"/>
                      <w:color w:val="auto"/>
                      <w:sz w:val="21"/>
                      <w:szCs w:val="21"/>
                      <w:highlight w:val="none"/>
                      <w:u w:val="none"/>
                      <w:lang w:val="en-US" w:eastAsia="zh-CN"/>
                    </w:rPr>
                    <w:t>5</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BD6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0.111</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EF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0.0463</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1C8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0.00</w:t>
                  </w:r>
                  <w:r>
                    <w:rPr>
                      <w:rFonts w:hint="eastAsia" w:cs="Times New Roman"/>
                      <w:i w:val="0"/>
                      <w:iCs w:val="0"/>
                      <w:color w:val="auto"/>
                      <w:sz w:val="21"/>
                      <w:szCs w:val="21"/>
                      <w:highlight w:val="none"/>
                      <w:u w:val="none"/>
                      <w:lang w:val="en-US" w:eastAsia="zh-CN"/>
                    </w:rPr>
                    <w:t>5</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DAF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0.111</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755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0.0463</w:t>
                  </w:r>
                </w:p>
              </w:tc>
            </w:tr>
            <w:tr w14:paraId="26E839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6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08E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D6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D904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898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0.001</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38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0.017</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F4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0.0071</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25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0.001</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FA0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sz w:val="21"/>
                      <w:szCs w:val="21"/>
                      <w:highlight w:val="none"/>
                      <w:u w:val="none"/>
                      <w:lang w:val="en-US" w:eastAsia="zh-CN"/>
                    </w:rPr>
                    <w:t>0.017</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496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0.0071</w:t>
                  </w:r>
                </w:p>
              </w:tc>
            </w:tr>
            <w:tr w14:paraId="3D71B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0" w:hRule="atLeast"/>
                <w:jc w:val="center"/>
              </w:trPr>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ACF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食堂油烟</w:t>
                  </w:r>
                  <w:r>
                    <w:rPr>
                      <w:rFonts w:hint="eastAsia" w:cs="Times New Roman"/>
                      <w:i w:val="0"/>
                      <w:iCs w:val="0"/>
                      <w:color w:val="auto"/>
                      <w:sz w:val="21"/>
                      <w:szCs w:val="21"/>
                      <w:highlight w:val="none"/>
                      <w:u w:val="none"/>
                      <w:lang w:val="en-US" w:eastAsia="zh-CN"/>
                    </w:rPr>
                    <w:t>（DA002）</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9EF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E0BA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油烟</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57A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5.91</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B4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0.02835</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EE4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0.024</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896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0.88</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368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0.00425</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2A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0.0035</w:t>
                  </w:r>
                </w:p>
              </w:tc>
            </w:tr>
            <w:tr w14:paraId="25451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6381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打磨、抛光粉尘</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78F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3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62BF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7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BBD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76.22</w:t>
                  </w:r>
                </w:p>
              </w:tc>
              <w:tc>
                <w:tcPr>
                  <w:tcW w:w="6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7C7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3.384</w:t>
                  </w:r>
                </w:p>
              </w:tc>
              <w:tc>
                <w:tcPr>
                  <w:tcW w:w="4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01D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1.41</w:t>
                  </w:r>
                </w:p>
              </w:tc>
              <w:tc>
                <w:tcPr>
                  <w:tcW w:w="7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7FD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3.81</w:t>
                  </w:r>
                </w:p>
              </w:tc>
              <w:tc>
                <w:tcPr>
                  <w:tcW w:w="62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0A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0.169</w:t>
                  </w:r>
                </w:p>
              </w:tc>
              <w:tc>
                <w:tcPr>
                  <w:tcW w:w="40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728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0.07</w:t>
                  </w:r>
                </w:p>
              </w:tc>
            </w:tr>
          </w:tbl>
          <w:p w14:paraId="7A3DF16C">
            <w:pPr>
              <w:keepNext w:val="0"/>
              <w:keepLines w:val="0"/>
              <w:suppressLineNumbers w:val="0"/>
              <w:spacing w:before="0" w:beforeAutospacing="0" w:after="0" w:afterAutospacing="0"/>
              <w:ind w:left="0" w:right="0"/>
              <w:rPr>
                <w:rFonts w:hint="eastAsia"/>
                <w:color w:val="auto"/>
                <w:highlight w:val="none"/>
              </w:rPr>
            </w:pPr>
          </w:p>
        </w:tc>
      </w:tr>
    </w:tbl>
    <w:p w14:paraId="432EDF2B">
      <w:pPr>
        <w:rPr>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120"/>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
        <w:gridCol w:w="13846"/>
      </w:tblGrid>
      <w:tr w14:paraId="69CA8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018" w:hRule="atLeast"/>
        </w:trPr>
        <w:tc>
          <w:tcPr>
            <w:tcW w:w="137" w:type="pct"/>
            <w:vAlign w:val="center"/>
          </w:tcPr>
          <w:p w14:paraId="4B43395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b/>
                <w:bCs/>
                <w:color w:val="auto"/>
                <w:kern w:val="2"/>
                <w:highlight w:val="none"/>
              </w:rPr>
              <w:t>运营期环境影响和保护措施</w:t>
            </w:r>
          </w:p>
        </w:tc>
        <w:tc>
          <w:tcPr>
            <w:tcW w:w="4862" w:type="pct"/>
          </w:tcPr>
          <w:p w14:paraId="52869C58">
            <w:pPr>
              <w:pStyle w:val="4"/>
              <w:numPr>
                <w:ilvl w:val="2"/>
                <w:numId w:val="0"/>
              </w:numPr>
              <w:suppressLineNumbers w:val="0"/>
              <w:spacing w:before="0" w:beforeAutospacing="0" w:after="0" w:afterAutospacing="0"/>
              <w:ind w:left="48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二、废水污染源</w:t>
            </w:r>
          </w:p>
          <w:p w14:paraId="4BE996D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7469380B">
            <w:pPr>
              <w:keepNext/>
              <w:keepLines/>
              <w:numPr>
                <w:ilvl w:val="4"/>
                <w:numId w:val="0"/>
              </w:numPr>
              <w:suppressLineNumbers w:val="0"/>
              <w:tabs>
                <w:tab w:val="left" w:pos="0"/>
              </w:tabs>
              <w:spacing w:before="0" w:beforeAutospacing="0" w:after="0" w:afterAutospacing="0"/>
              <w:ind w:left="-960" w:right="0" w:firstLine="144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（1）生活污水</w:t>
            </w:r>
          </w:p>
          <w:p w14:paraId="02594F53">
            <w:pPr>
              <w:pStyle w:val="106"/>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w:t>
            </w:r>
            <w:r>
              <w:rPr>
                <w:rFonts w:hint="default" w:ascii="Times New Roman" w:hAnsi="Times New Roman" w:cs="Times New Roman"/>
                <w:color w:val="auto"/>
                <w:highlight w:val="none"/>
              </w:rPr>
              <w:t>劳动定员</w:t>
            </w:r>
            <w:r>
              <w:rPr>
                <w:rFonts w:hint="eastAsia" w:cs="Times New Roman"/>
                <w:color w:val="auto"/>
                <w:highlight w:val="none"/>
                <w:lang w:val="en-US" w:eastAsia="zh-CN"/>
              </w:rPr>
              <w:t>15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名</w:t>
            </w:r>
            <w:r>
              <w:rPr>
                <w:rFonts w:hint="default" w:ascii="Times New Roman" w:hAnsi="Times New Roman" w:cs="Times New Roman"/>
                <w:color w:val="auto"/>
                <w:kern w:val="0"/>
                <w:highlight w:val="none"/>
              </w:rPr>
              <w:t>，在项目内</w:t>
            </w:r>
            <w:r>
              <w:rPr>
                <w:rFonts w:hint="eastAsia" w:cs="Times New Roman"/>
                <w:color w:val="auto"/>
                <w:kern w:val="0"/>
                <w:highlight w:val="none"/>
                <w:lang w:eastAsia="zh-CN"/>
              </w:rPr>
              <w:t>食宿</w:t>
            </w:r>
            <w:r>
              <w:rPr>
                <w:rFonts w:hint="default" w:ascii="Times New Roman" w:hAnsi="Times New Roman" w:cs="Times New Roman"/>
                <w:color w:val="auto"/>
                <w:kern w:val="0"/>
                <w:highlight w:val="none"/>
              </w:rPr>
              <w:t>，年工作时间300天，实行8小时单班制。参考《广东省用水定额 第3部分：生活》（DB44/T 1461.3-2021）中，“表A</w:t>
            </w:r>
            <w:r>
              <w:rPr>
                <w:rFonts w:hint="eastAsia" w:cs="Times New Roman"/>
                <w:color w:val="auto"/>
                <w:kern w:val="0"/>
                <w:highlight w:val="none"/>
                <w:lang w:val="en-US" w:eastAsia="zh-CN"/>
              </w:rPr>
              <w:t>.</w:t>
            </w:r>
            <w:r>
              <w:rPr>
                <w:rFonts w:hint="default" w:ascii="Times New Roman" w:hAnsi="Times New Roman" w:cs="Times New Roman"/>
                <w:color w:val="auto"/>
                <w:kern w:val="0"/>
                <w:highlight w:val="none"/>
              </w:rPr>
              <w:t xml:space="preserve">1 </w:t>
            </w:r>
            <w:r>
              <w:rPr>
                <w:rFonts w:hint="eastAsia"/>
                <w:color w:val="auto"/>
                <w:highlight w:val="none"/>
                <w:lang w:val="en-US" w:eastAsia="zh-CN"/>
              </w:rPr>
              <w:t>国家机构有食堂和浴室，</w:t>
            </w:r>
            <w:r>
              <w:rPr>
                <w:rFonts w:hint="default" w:ascii="Times New Roman" w:hAnsi="Times New Roman" w:cs="Times New Roman"/>
                <w:color w:val="auto"/>
                <w:kern w:val="0"/>
                <w:highlight w:val="none"/>
              </w:rPr>
              <w:t>取</w:t>
            </w:r>
            <w:r>
              <w:rPr>
                <w:rFonts w:hint="eastAsia" w:cs="Times New Roman"/>
                <w:color w:val="auto"/>
                <w:kern w:val="0"/>
                <w:highlight w:val="none"/>
                <w:lang w:val="en-US" w:eastAsia="zh-CN"/>
              </w:rPr>
              <w:t>15m</w:t>
            </w:r>
            <w:r>
              <w:rPr>
                <w:rFonts w:hint="eastAsia" w:cs="Times New Roman"/>
                <w:color w:val="auto"/>
                <w:kern w:val="0"/>
                <w:highlight w:val="none"/>
                <w:vertAlign w:val="superscript"/>
                <w:lang w:val="en-US" w:eastAsia="zh-CN"/>
              </w:rPr>
              <w:t>3</w:t>
            </w:r>
            <w:r>
              <w:rPr>
                <w:rFonts w:hint="default" w:ascii="Times New Roman" w:hAnsi="Times New Roman" w:cs="Times New Roman"/>
                <w:color w:val="auto"/>
                <w:kern w:val="0"/>
                <w:highlight w:val="none"/>
              </w:rPr>
              <w:t>/（人·</w:t>
            </w:r>
            <w:r>
              <w:rPr>
                <w:rFonts w:hint="eastAsia" w:cs="Times New Roman"/>
                <w:color w:val="auto"/>
                <w:kern w:val="0"/>
                <w:highlight w:val="none"/>
                <w:lang w:val="en-US" w:eastAsia="zh-CN"/>
              </w:rPr>
              <w:t>a</w:t>
            </w:r>
            <w:r>
              <w:rPr>
                <w:rFonts w:hint="default" w:ascii="Times New Roman" w:hAnsi="Times New Roman" w:cs="Times New Roman"/>
                <w:color w:val="auto"/>
                <w:kern w:val="0"/>
                <w:highlight w:val="none"/>
              </w:rPr>
              <w:t>），因此本项目总定员</w:t>
            </w:r>
            <w:r>
              <w:rPr>
                <w:rFonts w:hint="eastAsia" w:cs="Times New Roman"/>
                <w:color w:val="auto"/>
                <w:kern w:val="0"/>
                <w:highlight w:val="none"/>
                <w:lang w:val="en-US" w:eastAsia="zh-CN"/>
              </w:rPr>
              <w:t>150</w:t>
            </w:r>
            <w:r>
              <w:rPr>
                <w:rFonts w:hint="default" w:ascii="Times New Roman" w:hAnsi="Times New Roman" w:cs="Times New Roman"/>
                <w:color w:val="auto"/>
                <w:kern w:val="0"/>
                <w:highlight w:val="none"/>
              </w:rPr>
              <w:t>人，年工作300天，</w:t>
            </w:r>
            <w:r>
              <w:rPr>
                <w:rFonts w:hint="default" w:ascii="Times New Roman" w:hAnsi="Times New Roman" w:cs="Times New Roman"/>
                <w:color w:val="auto"/>
                <w:kern w:val="0"/>
                <w:highlight w:val="none"/>
                <w:lang w:val="en-US" w:eastAsia="zh-CN"/>
              </w:rPr>
              <w:t>计算得</w:t>
            </w:r>
            <w:r>
              <w:rPr>
                <w:rFonts w:hint="default" w:ascii="Times New Roman" w:hAnsi="Times New Roman" w:cs="Times New Roman"/>
                <w:color w:val="auto"/>
                <w:kern w:val="0"/>
                <w:highlight w:val="none"/>
              </w:rPr>
              <w:t>生活用水量为</w:t>
            </w:r>
            <w:r>
              <w:rPr>
                <w:rFonts w:hint="eastAsia" w:cs="Times New Roman"/>
                <w:color w:val="auto"/>
                <w:kern w:val="0"/>
                <w:highlight w:val="none"/>
                <w:lang w:val="en-US" w:eastAsia="zh-CN"/>
              </w:rPr>
              <w:t>2250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w:t>
            </w:r>
          </w:p>
          <w:p w14:paraId="7BB3D201">
            <w:pPr>
              <w:pStyle w:val="106"/>
              <w:keepNext w:val="0"/>
              <w:keepLines w:val="0"/>
              <w:suppressLineNumbers w:val="0"/>
              <w:snapToGrid/>
              <w:spacing w:before="0" w:beforeAutospacing="0" w:after="0" w:afterAutospacing="0" w:line="360" w:lineRule="auto"/>
              <w:ind w:left="0" w:right="0" w:firstLine="480"/>
              <w:outlineLvl w:val="9"/>
              <w:rPr>
                <w:rFonts w:hint="default" w:ascii="Times New Roman" w:hAnsi="Times New Roman" w:cs="Times New Roman"/>
                <w:color w:val="auto"/>
                <w:kern w:val="0"/>
                <w:highlight w:val="none"/>
                <w:lang w:eastAsia="zh"/>
              </w:rPr>
            </w:pPr>
            <w:r>
              <w:rPr>
                <w:rFonts w:hint="default" w:ascii="Times New Roman" w:hAnsi="Times New Roman" w:cs="Times New Roman"/>
                <w:color w:val="auto"/>
                <w:kern w:val="0"/>
                <w:highlight w:val="none"/>
              </w:rPr>
              <w:t>按照排污系数0.9计算，则生活污水排放量为</w:t>
            </w:r>
            <w:r>
              <w:rPr>
                <w:rFonts w:hint="eastAsia" w:cs="Times New Roman"/>
                <w:color w:val="auto"/>
                <w:kern w:val="0"/>
                <w:highlight w:val="none"/>
                <w:lang w:val="en-US" w:eastAsia="zh-CN"/>
              </w:rPr>
              <w:t>2025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cs="Times New Roman"/>
                <w:color w:val="auto"/>
                <w:kern w:val="0"/>
                <w:highlight w:val="none"/>
              </w:rPr>
              <w:t>。本项目办公生活污水经过三级化粪池</w:t>
            </w:r>
            <w:r>
              <w:rPr>
                <w:rFonts w:hint="eastAsia" w:cs="Times New Roman"/>
                <w:color w:val="auto"/>
                <w:kern w:val="0"/>
                <w:highlight w:val="none"/>
                <w:lang w:eastAsia="zh-CN"/>
              </w:rPr>
              <w:t>、</w:t>
            </w:r>
            <w:r>
              <w:rPr>
                <w:rFonts w:hint="eastAsia" w:cs="Times New Roman"/>
                <w:color w:val="auto"/>
                <w:kern w:val="0"/>
                <w:highlight w:val="none"/>
                <w:lang w:val="en-US" w:eastAsia="zh-CN"/>
              </w:rPr>
              <w:t>隔油隔渣池</w:t>
            </w:r>
            <w:r>
              <w:rPr>
                <w:rFonts w:hint="default" w:ascii="Times New Roman" w:hAnsi="Times New Roman" w:cs="Times New Roman"/>
                <w:color w:val="auto"/>
                <w:kern w:val="0"/>
                <w:highlight w:val="none"/>
              </w:rPr>
              <w:t>处理后经管网排入园区污水处理厂，处理达标后排入武江（乐昌城-犁市河段）</w:t>
            </w:r>
            <w:r>
              <w:rPr>
                <w:rFonts w:hint="default" w:ascii="Times New Roman" w:hAnsi="Times New Roman" w:cs="Times New Roman"/>
                <w:color w:val="auto"/>
                <w:kern w:val="0"/>
                <w:highlight w:val="none"/>
                <w:lang w:eastAsia="zh"/>
              </w:rPr>
              <w:t>。</w:t>
            </w:r>
          </w:p>
          <w:p w14:paraId="63667857">
            <w:pPr>
              <w:pStyle w:val="15"/>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表4-1</w:t>
            </w:r>
            <w:r>
              <w:rPr>
                <w:rFonts w:hint="eastAsia" w:cs="Times New Roman"/>
                <w:b/>
                <w:bCs/>
                <w:color w:val="auto"/>
                <w:kern w:val="2"/>
                <w:sz w:val="21"/>
                <w:szCs w:val="21"/>
                <w:highlight w:val="none"/>
                <w:lang w:val="en-US" w:eastAsia="zh-CN" w:bidi="ar-SA"/>
              </w:rPr>
              <w:t>7</w:t>
            </w:r>
            <w:r>
              <w:rPr>
                <w:rFonts w:hint="default" w:ascii="Times New Roman" w:hAnsi="Times New Roman" w:cs="Times New Roman"/>
                <w:color w:val="auto"/>
                <w:highlight w:val="none"/>
              </w:rPr>
              <w:t>污水污染源源强核算结果及相关参数一览表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85"/>
              <w:gridCol w:w="2127"/>
              <w:gridCol w:w="2056"/>
              <w:gridCol w:w="1833"/>
              <w:gridCol w:w="1530"/>
              <w:gridCol w:w="1765"/>
              <w:gridCol w:w="1765"/>
              <w:gridCol w:w="54"/>
            </w:tblGrid>
            <w:tr w14:paraId="75DE3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495" w:hRule="atLeast"/>
                <w:jc w:val="center"/>
              </w:trPr>
              <w:tc>
                <w:tcPr>
                  <w:tcW w:w="913" w:type="pct"/>
                  <w:shd w:val="clear" w:color="auto" w:fill="auto"/>
                  <w:vAlign w:val="center"/>
                </w:tcPr>
                <w:p w14:paraId="5D8C7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污水种类</w:t>
                  </w:r>
                </w:p>
              </w:tc>
              <w:tc>
                <w:tcPr>
                  <w:tcW w:w="781" w:type="pct"/>
                  <w:shd w:val="clear" w:color="auto" w:fill="auto"/>
                  <w:vAlign w:val="center"/>
                </w:tcPr>
                <w:p w14:paraId="5CD516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w:t>
                  </w:r>
                </w:p>
              </w:tc>
              <w:tc>
                <w:tcPr>
                  <w:tcW w:w="755" w:type="pct"/>
                  <w:shd w:val="clear" w:color="auto" w:fill="auto"/>
                  <w:vAlign w:val="center"/>
                </w:tcPr>
                <w:p w14:paraId="11485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673" w:type="pct"/>
                  <w:shd w:val="clear" w:color="auto" w:fill="auto"/>
                  <w:vAlign w:val="center"/>
                </w:tcPr>
                <w:p w14:paraId="43410E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562" w:type="pct"/>
                  <w:shd w:val="clear" w:color="auto" w:fill="auto"/>
                  <w:noWrap/>
                  <w:vAlign w:val="center"/>
                </w:tcPr>
                <w:p w14:paraId="52CA28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处理效率</w:t>
                  </w:r>
                </w:p>
              </w:tc>
              <w:tc>
                <w:tcPr>
                  <w:tcW w:w="648" w:type="pct"/>
                  <w:shd w:val="clear" w:color="auto" w:fill="auto"/>
                  <w:vAlign w:val="center"/>
                </w:tcPr>
                <w:p w14:paraId="78CE8F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648" w:type="pct"/>
                  <w:shd w:val="clear" w:color="auto" w:fill="auto"/>
                  <w:vAlign w:val="center"/>
                </w:tcPr>
                <w:p w14:paraId="6CABC1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r>
            <w:tr w14:paraId="52F4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330" w:hRule="atLeast"/>
                <w:jc w:val="center"/>
              </w:trPr>
              <w:tc>
                <w:tcPr>
                  <w:tcW w:w="913" w:type="pct"/>
                  <w:vMerge w:val="restart"/>
                  <w:shd w:val="clear" w:color="auto" w:fill="auto"/>
                  <w:vAlign w:val="center"/>
                </w:tcPr>
                <w:p w14:paraId="2457E2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生活污水</w:t>
                  </w:r>
                </w:p>
                <w:p w14:paraId="595224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eastAsia" w:cs="Times New Roman"/>
                      <w:b w:val="0"/>
                      <w:bCs w:val="0"/>
                      <w:i w:val="0"/>
                      <w:iCs w:val="0"/>
                      <w:color w:val="auto"/>
                      <w:kern w:val="0"/>
                      <w:sz w:val="21"/>
                      <w:szCs w:val="21"/>
                      <w:highlight w:val="none"/>
                      <w:u w:val="none"/>
                      <w:lang w:val="en-US" w:eastAsia="zh-CN" w:bidi="ar"/>
                    </w:rPr>
                    <w:t>2025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m</w:t>
                  </w:r>
                  <w:r>
                    <w:rPr>
                      <w:rFonts w:hint="default" w:ascii="Times New Roman" w:hAnsi="Times New Roman" w:eastAsia="宋体" w:cs="Times New Roman"/>
                      <w:b w:val="0"/>
                      <w:bCs w:val="0"/>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/a</w:t>
                  </w:r>
                </w:p>
              </w:tc>
              <w:tc>
                <w:tcPr>
                  <w:tcW w:w="781" w:type="pct"/>
                  <w:shd w:val="clear" w:color="auto" w:fill="auto"/>
                  <w:vAlign w:val="center"/>
                </w:tcPr>
                <w:p w14:paraId="344AA4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COD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Cr</w:t>
                  </w:r>
                </w:p>
              </w:tc>
              <w:tc>
                <w:tcPr>
                  <w:tcW w:w="755" w:type="pct"/>
                  <w:shd w:val="clear" w:color="auto" w:fill="auto"/>
                  <w:vAlign w:val="center"/>
                </w:tcPr>
                <w:p w14:paraId="4D2FAC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250</w:t>
                  </w:r>
                </w:p>
              </w:tc>
              <w:tc>
                <w:tcPr>
                  <w:tcW w:w="673" w:type="pct"/>
                  <w:shd w:val="clear" w:color="auto" w:fill="auto"/>
                  <w:vAlign w:val="center"/>
                </w:tcPr>
                <w:p w14:paraId="6B5349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0.506</w:t>
                  </w:r>
                </w:p>
              </w:tc>
              <w:tc>
                <w:tcPr>
                  <w:tcW w:w="562" w:type="pct"/>
                  <w:shd w:val="clear" w:color="auto" w:fill="auto"/>
                  <w:noWrap/>
                  <w:vAlign w:val="center"/>
                </w:tcPr>
                <w:p w14:paraId="1E6C8C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648" w:type="pct"/>
                  <w:shd w:val="clear" w:color="auto" w:fill="auto"/>
                  <w:vAlign w:val="center"/>
                </w:tcPr>
                <w:p w14:paraId="73BCAD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200</w:t>
                  </w:r>
                </w:p>
              </w:tc>
              <w:tc>
                <w:tcPr>
                  <w:tcW w:w="648" w:type="pct"/>
                  <w:shd w:val="clear" w:color="auto" w:fill="auto"/>
                  <w:vAlign w:val="center"/>
                </w:tcPr>
                <w:p w14:paraId="18F27B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0.4048</w:t>
                  </w:r>
                </w:p>
              </w:tc>
            </w:tr>
            <w:tr w14:paraId="0691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330" w:hRule="atLeast"/>
                <w:jc w:val="center"/>
              </w:trPr>
              <w:tc>
                <w:tcPr>
                  <w:tcW w:w="913" w:type="pct"/>
                  <w:vMerge w:val="continue"/>
                  <w:shd w:val="clear" w:color="auto" w:fill="auto"/>
                  <w:vAlign w:val="center"/>
                </w:tcPr>
                <w:p w14:paraId="385510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380407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BOD</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5</w:t>
                  </w:r>
                </w:p>
              </w:tc>
              <w:tc>
                <w:tcPr>
                  <w:tcW w:w="755" w:type="pct"/>
                  <w:shd w:val="clear" w:color="auto" w:fill="auto"/>
                  <w:vAlign w:val="center"/>
                </w:tcPr>
                <w:p w14:paraId="6DF7A1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150</w:t>
                  </w:r>
                </w:p>
              </w:tc>
              <w:tc>
                <w:tcPr>
                  <w:tcW w:w="673" w:type="pct"/>
                  <w:shd w:val="clear" w:color="auto" w:fill="auto"/>
                  <w:vAlign w:val="center"/>
                </w:tcPr>
                <w:p w14:paraId="61327F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0.304</w:t>
                  </w:r>
                </w:p>
              </w:tc>
              <w:tc>
                <w:tcPr>
                  <w:tcW w:w="562" w:type="pct"/>
                  <w:shd w:val="clear" w:color="auto" w:fill="auto"/>
                  <w:noWrap/>
                  <w:vAlign w:val="center"/>
                </w:tcPr>
                <w:p w14:paraId="5937EB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648" w:type="pct"/>
                  <w:shd w:val="clear" w:color="auto" w:fill="auto"/>
                  <w:vAlign w:val="center"/>
                </w:tcPr>
                <w:p w14:paraId="72F91C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142.5</w:t>
                  </w:r>
                </w:p>
              </w:tc>
              <w:tc>
                <w:tcPr>
                  <w:tcW w:w="648" w:type="pct"/>
                  <w:shd w:val="clear" w:color="auto" w:fill="auto"/>
                  <w:vAlign w:val="center"/>
                </w:tcPr>
                <w:p w14:paraId="62966E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r>
            <w:tr w14:paraId="11980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255" w:hRule="atLeast"/>
                <w:jc w:val="center"/>
              </w:trPr>
              <w:tc>
                <w:tcPr>
                  <w:tcW w:w="913" w:type="pct"/>
                  <w:vMerge w:val="continue"/>
                  <w:shd w:val="clear" w:color="auto" w:fill="auto"/>
                  <w:noWrap/>
                  <w:vAlign w:val="center"/>
                </w:tcPr>
                <w:p w14:paraId="2E98EF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25095A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SS</w:t>
                  </w:r>
                </w:p>
              </w:tc>
              <w:tc>
                <w:tcPr>
                  <w:tcW w:w="755" w:type="pct"/>
                  <w:shd w:val="clear" w:color="auto" w:fill="auto"/>
                  <w:vAlign w:val="center"/>
                </w:tcPr>
                <w:p w14:paraId="54058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150</w:t>
                  </w:r>
                </w:p>
              </w:tc>
              <w:tc>
                <w:tcPr>
                  <w:tcW w:w="673" w:type="pct"/>
                  <w:shd w:val="clear" w:color="auto" w:fill="auto"/>
                  <w:vAlign w:val="center"/>
                </w:tcPr>
                <w:p w14:paraId="458E1D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0.304</w:t>
                  </w:r>
                </w:p>
              </w:tc>
              <w:tc>
                <w:tcPr>
                  <w:tcW w:w="562" w:type="pct"/>
                  <w:shd w:val="clear" w:color="auto" w:fill="auto"/>
                  <w:noWrap/>
                  <w:vAlign w:val="center"/>
                </w:tcPr>
                <w:p w14:paraId="512BF3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30%</w:t>
                  </w:r>
                </w:p>
              </w:tc>
              <w:tc>
                <w:tcPr>
                  <w:tcW w:w="648" w:type="pct"/>
                  <w:shd w:val="clear" w:color="auto" w:fill="auto"/>
                  <w:vAlign w:val="center"/>
                </w:tcPr>
                <w:p w14:paraId="46D424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105</w:t>
                  </w:r>
                </w:p>
              </w:tc>
              <w:tc>
                <w:tcPr>
                  <w:tcW w:w="648" w:type="pct"/>
                  <w:shd w:val="clear" w:color="auto" w:fill="auto"/>
                  <w:vAlign w:val="center"/>
                </w:tcPr>
                <w:p w14:paraId="5E2E7C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0.2128</w:t>
                  </w:r>
                </w:p>
              </w:tc>
            </w:tr>
            <w:tr w14:paraId="3B8F1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330" w:hRule="atLeast"/>
                <w:jc w:val="center"/>
              </w:trPr>
              <w:tc>
                <w:tcPr>
                  <w:tcW w:w="913" w:type="pct"/>
                  <w:vMerge w:val="continue"/>
                  <w:shd w:val="clear" w:color="auto" w:fill="auto"/>
                  <w:noWrap/>
                  <w:vAlign w:val="center"/>
                </w:tcPr>
                <w:p w14:paraId="2A24C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550BC0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NH</w:t>
                  </w:r>
                  <w:r>
                    <w:rPr>
                      <w:rFonts w:hint="default" w:ascii="Times New Roman" w:hAnsi="Times New Roman" w:eastAsia="宋体" w:cs="Times New Roman"/>
                      <w:i w:val="0"/>
                      <w:iCs w:val="0"/>
                      <w:color w:val="auto"/>
                      <w:kern w:val="0"/>
                      <w:sz w:val="20"/>
                      <w:szCs w:val="20"/>
                      <w:highlight w:val="none"/>
                      <w:u w:val="none"/>
                      <w:vertAlign w:val="subscript"/>
                      <w:lang w:val="en-US" w:eastAsia="zh-CN" w:bidi="ar"/>
                    </w:rPr>
                    <w:t>3</w:t>
                  </w:r>
                  <w:r>
                    <w:rPr>
                      <w:rFonts w:hint="default" w:ascii="Times New Roman" w:hAnsi="Times New Roman" w:eastAsia="宋体" w:cs="Times New Roman"/>
                      <w:i w:val="0"/>
                      <w:iCs w:val="0"/>
                      <w:color w:val="auto"/>
                      <w:kern w:val="0"/>
                      <w:sz w:val="20"/>
                      <w:szCs w:val="20"/>
                      <w:highlight w:val="none"/>
                      <w:u w:val="none"/>
                      <w:lang w:val="en-US" w:eastAsia="zh-CN" w:bidi="ar"/>
                    </w:rPr>
                    <w:t>-N</w:t>
                  </w:r>
                </w:p>
              </w:tc>
              <w:tc>
                <w:tcPr>
                  <w:tcW w:w="755" w:type="pct"/>
                  <w:shd w:val="clear" w:color="auto" w:fill="auto"/>
                  <w:vAlign w:val="center"/>
                </w:tcPr>
                <w:p w14:paraId="2DE51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30</w:t>
                  </w:r>
                </w:p>
              </w:tc>
              <w:tc>
                <w:tcPr>
                  <w:tcW w:w="673" w:type="pct"/>
                  <w:shd w:val="clear" w:color="auto" w:fill="auto"/>
                  <w:vAlign w:val="center"/>
                </w:tcPr>
                <w:p w14:paraId="1A026D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0.061</w:t>
                  </w:r>
                </w:p>
              </w:tc>
              <w:tc>
                <w:tcPr>
                  <w:tcW w:w="562" w:type="pct"/>
                  <w:shd w:val="clear" w:color="auto" w:fill="auto"/>
                  <w:noWrap/>
                  <w:vAlign w:val="center"/>
                </w:tcPr>
                <w:p w14:paraId="1F32E5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648" w:type="pct"/>
                  <w:shd w:val="clear" w:color="auto" w:fill="auto"/>
                  <w:vAlign w:val="center"/>
                </w:tcPr>
                <w:p w14:paraId="0CA45B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30</w:t>
                  </w:r>
                </w:p>
              </w:tc>
              <w:tc>
                <w:tcPr>
                  <w:tcW w:w="648" w:type="pct"/>
                  <w:shd w:val="clear" w:color="auto" w:fill="auto"/>
                  <w:vAlign w:val="center"/>
                </w:tcPr>
                <w:p w14:paraId="5D0ADD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r>
            <w:tr w14:paraId="41A92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330" w:hRule="atLeast"/>
                <w:jc w:val="center"/>
              </w:trPr>
              <w:tc>
                <w:tcPr>
                  <w:tcW w:w="913" w:type="pct"/>
                  <w:vMerge w:val="continue"/>
                  <w:shd w:val="clear" w:color="auto" w:fill="auto"/>
                  <w:noWrap/>
                  <w:vAlign w:val="center"/>
                </w:tcPr>
                <w:p w14:paraId="2D4066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65CB29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总磷</w:t>
                  </w:r>
                </w:p>
              </w:tc>
              <w:tc>
                <w:tcPr>
                  <w:tcW w:w="755" w:type="pct"/>
                  <w:shd w:val="clear" w:color="auto" w:fill="auto"/>
                  <w:vAlign w:val="center"/>
                </w:tcPr>
                <w:p w14:paraId="104E86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673" w:type="pct"/>
                  <w:shd w:val="clear" w:color="auto" w:fill="auto"/>
                  <w:vAlign w:val="center"/>
                </w:tcPr>
                <w:p w14:paraId="2EB142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0.01</w:t>
                  </w:r>
                </w:p>
              </w:tc>
              <w:tc>
                <w:tcPr>
                  <w:tcW w:w="562" w:type="pct"/>
                  <w:shd w:val="clear" w:color="auto" w:fill="auto"/>
                  <w:noWrap/>
                  <w:vAlign w:val="center"/>
                </w:tcPr>
                <w:p w14:paraId="0F67C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648" w:type="pct"/>
                  <w:shd w:val="clear" w:color="auto" w:fill="auto"/>
                  <w:vAlign w:val="center"/>
                </w:tcPr>
                <w:p w14:paraId="4F7051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4</w:t>
                  </w:r>
                </w:p>
              </w:tc>
              <w:tc>
                <w:tcPr>
                  <w:tcW w:w="648" w:type="pct"/>
                  <w:shd w:val="clear" w:color="auto" w:fill="auto"/>
                  <w:vAlign w:val="center"/>
                </w:tcPr>
                <w:p w14:paraId="361F40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37219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gridAfter w:val="1"/>
                <w:wAfter w:w="16" w:type="pct"/>
                <w:trHeight w:val="330" w:hRule="atLeast"/>
                <w:jc w:val="center"/>
              </w:trPr>
              <w:tc>
                <w:tcPr>
                  <w:tcW w:w="913" w:type="pct"/>
                  <w:vMerge w:val="continue"/>
                  <w:shd w:val="clear" w:color="auto" w:fill="auto"/>
                  <w:noWrap/>
                  <w:vAlign w:val="center"/>
                </w:tcPr>
                <w:p w14:paraId="43834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val="0"/>
                      <w:bCs w:val="0"/>
                      <w:i w:val="0"/>
                      <w:iCs w:val="0"/>
                      <w:color w:val="auto"/>
                      <w:sz w:val="21"/>
                      <w:szCs w:val="21"/>
                      <w:highlight w:val="none"/>
                      <w:u w:val="none"/>
                    </w:rPr>
                  </w:pPr>
                </w:p>
              </w:tc>
              <w:tc>
                <w:tcPr>
                  <w:tcW w:w="781" w:type="pct"/>
                  <w:shd w:val="clear" w:color="auto" w:fill="auto"/>
                  <w:vAlign w:val="center"/>
                </w:tcPr>
                <w:p w14:paraId="73887E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0"/>
                      <w:szCs w:val="20"/>
                      <w:highlight w:val="none"/>
                      <w:u w:val="none"/>
                      <w:lang w:val="en-US" w:eastAsia="zh-CN" w:bidi="ar"/>
                    </w:rPr>
                  </w:pPr>
                  <w:r>
                    <w:rPr>
                      <w:rFonts w:hint="default" w:ascii="Times New Roman" w:hAnsi="Times New Roman" w:cs="Times New Roman"/>
                      <w:b w:val="0"/>
                      <w:bCs w:val="0"/>
                      <w:i w:val="0"/>
                      <w:iCs w:val="0"/>
                      <w:color w:val="auto"/>
                      <w:kern w:val="0"/>
                      <w:sz w:val="20"/>
                      <w:szCs w:val="20"/>
                      <w:highlight w:val="none"/>
                      <w:u w:val="none"/>
                      <w:lang w:val="en-US" w:eastAsia="zh-CN" w:bidi="ar"/>
                    </w:rPr>
                    <w:t>动植物油</w:t>
                  </w:r>
                </w:p>
              </w:tc>
              <w:tc>
                <w:tcPr>
                  <w:tcW w:w="755" w:type="pct"/>
                  <w:shd w:val="clear" w:color="auto" w:fill="auto"/>
                  <w:vAlign w:val="center"/>
                </w:tcPr>
                <w:p w14:paraId="01E0A7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i w:val="0"/>
                      <w:iCs w:val="0"/>
                      <w:color w:val="auto"/>
                      <w:kern w:val="0"/>
                      <w:sz w:val="20"/>
                      <w:szCs w:val="20"/>
                      <w:highlight w:val="none"/>
                      <w:u w:val="none"/>
                      <w:lang w:val="en-US" w:eastAsia="zh-CN" w:bidi="ar"/>
                    </w:rPr>
                  </w:pPr>
                  <w:r>
                    <w:rPr>
                      <w:rFonts w:hint="default" w:ascii="Times New Roman" w:hAnsi="Times New Roman" w:cs="Times New Roman"/>
                      <w:b w:val="0"/>
                      <w:bCs w:val="0"/>
                      <w:i w:val="0"/>
                      <w:iCs w:val="0"/>
                      <w:color w:val="auto"/>
                      <w:kern w:val="0"/>
                      <w:sz w:val="20"/>
                      <w:szCs w:val="20"/>
                      <w:highlight w:val="none"/>
                      <w:u w:val="none"/>
                      <w:lang w:val="en-US" w:eastAsia="zh-CN" w:bidi="ar"/>
                    </w:rPr>
                    <w:t>100</w:t>
                  </w:r>
                </w:p>
              </w:tc>
              <w:tc>
                <w:tcPr>
                  <w:tcW w:w="1833" w:type="dxa"/>
                  <w:shd w:val="clear" w:color="auto" w:fill="auto"/>
                  <w:vAlign w:val="center"/>
                </w:tcPr>
                <w:p w14:paraId="1A54CF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0.203</w:t>
                  </w:r>
                </w:p>
              </w:tc>
              <w:tc>
                <w:tcPr>
                  <w:tcW w:w="1530" w:type="dxa"/>
                  <w:shd w:val="clear" w:color="auto" w:fill="auto"/>
                  <w:noWrap/>
                  <w:vAlign w:val="center"/>
                </w:tcPr>
                <w:p w14:paraId="5A257B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w:t>
                  </w:r>
                </w:p>
              </w:tc>
              <w:tc>
                <w:tcPr>
                  <w:tcW w:w="1765" w:type="dxa"/>
                  <w:shd w:val="clear" w:color="auto" w:fill="auto"/>
                  <w:vAlign w:val="center"/>
                </w:tcPr>
                <w:p w14:paraId="4435F1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20</w:t>
                  </w:r>
                </w:p>
              </w:tc>
              <w:tc>
                <w:tcPr>
                  <w:tcW w:w="1765" w:type="dxa"/>
                  <w:shd w:val="clear" w:color="auto" w:fill="auto"/>
                  <w:vAlign w:val="center"/>
                </w:tcPr>
                <w:p w14:paraId="208C7A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0.0406</w:t>
                  </w:r>
                </w:p>
              </w:tc>
            </w:tr>
            <w:tr w14:paraId="78C86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8"/>
                  <w:vMerge w:val="restart"/>
                  <w:shd w:val="clear" w:color="auto" w:fill="auto"/>
                  <w:vAlign w:val="center"/>
                </w:tcPr>
                <w:p w14:paraId="7D8617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b w:val="0"/>
                      <w:bCs w:val="0"/>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注：</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1、项目生活污水主要污染物为COD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、SS、NH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w:t>
                  </w:r>
                  <w:r>
                    <w:rPr>
                      <w:rFonts w:hint="eastAsia" w:cs="Times New Roman"/>
                      <w:b w:val="0"/>
                      <w:bCs w:val="0"/>
                      <w:i w:val="0"/>
                      <w:iCs w:val="0"/>
                      <w:color w:val="auto"/>
                      <w:kern w:val="0"/>
                      <w:sz w:val="21"/>
                      <w:szCs w:val="21"/>
                      <w:highlight w:val="none"/>
                      <w:u w:val="none"/>
                      <w:lang w:val="en-US" w:eastAsia="zh-CN" w:bidi="ar"/>
                    </w:rPr>
                    <w:t>、总磷</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，生活污水产生浓度参照《给水排水设计手册（第五册城镇排水）》（中国建筑工业出版社）表4-1典型生活污水水质示例中浓度</w:t>
                  </w:r>
                  <w:r>
                    <w:rPr>
                      <w:rFonts w:hint="eastAsia" w:cs="Times New Roman"/>
                      <w:b w:val="0"/>
                      <w:bCs w:val="0"/>
                      <w:i w:val="0"/>
                      <w:iCs w:val="0"/>
                      <w:color w:val="auto"/>
                      <w:kern w:val="0"/>
                      <w:sz w:val="21"/>
                      <w:szCs w:val="21"/>
                      <w:highlight w:val="none"/>
                      <w:u w:val="none"/>
                      <w:lang w:val="en-US" w:eastAsia="zh-CN" w:bidi="ar"/>
                    </w:rPr>
                    <w:t>，动植物油产生浓度参考《排水工程》（第四版下册）中“典型生活污水水质”中“中常浓度”水质参数，产生浓度为100mg/L。</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2、根据《室外排水设计规范（2011年版）》（GB50014-2006）、《村镇生活污染防治最佳可行技术指南（试行）》（HJ-BAT-9）三级化粪池对COD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Cr</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、BOD</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5</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、SS</w:t>
                  </w:r>
                  <w:r>
                    <w:rPr>
                      <w:rFonts w:hint="eastAsia" w:cs="Times New Roman"/>
                      <w:b w:val="0"/>
                      <w:bCs w:val="0"/>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NH</w:t>
                  </w:r>
                  <w:r>
                    <w:rPr>
                      <w:rFonts w:hint="default" w:ascii="Times New Roman" w:hAnsi="Times New Roman" w:eastAsia="宋体" w:cs="Times New Roman"/>
                      <w:b w:val="0"/>
                      <w:bCs w:val="0"/>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-N</w:t>
                  </w:r>
                  <w:r>
                    <w:rPr>
                      <w:rFonts w:hint="eastAsia" w:cs="Times New Roman"/>
                      <w:b w:val="0"/>
                      <w:bCs w:val="0"/>
                      <w:i w:val="0"/>
                      <w:iCs w:val="0"/>
                      <w:color w:val="auto"/>
                      <w:kern w:val="0"/>
                      <w:sz w:val="21"/>
                      <w:szCs w:val="21"/>
                      <w:highlight w:val="none"/>
                      <w:u w:val="none"/>
                      <w:lang w:val="en-US" w:eastAsia="zh-CN" w:bidi="ar"/>
                    </w:rPr>
                    <w:t>、总磷</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分别的处理效率为20%、5%、30%</w:t>
                  </w:r>
                  <w:r>
                    <w:rPr>
                      <w:rFonts w:hint="eastAsia" w:cs="Times New Roman"/>
                      <w:b w:val="0"/>
                      <w:bCs w:val="0"/>
                      <w:i w:val="0"/>
                      <w:iCs w:val="0"/>
                      <w:color w:val="auto"/>
                      <w:kern w:val="0"/>
                      <w:sz w:val="21"/>
                      <w:szCs w:val="21"/>
                      <w:highlight w:val="none"/>
                      <w:u w:val="none"/>
                      <w:lang w:val="en-US" w:eastAsia="zh-CN" w:bidi="ar"/>
                    </w:rPr>
                    <w:t>、</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eastAsia" w:cs="Times New Roman"/>
                      <w:b w:val="0"/>
                      <w:bCs w:val="0"/>
                      <w:i w:val="0"/>
                      <w:iCs w:val="0"/>
                      <w:color w:val="auto"/>
                      <w:kern w:val="0"/>
                      <w:sz w:val="21"/>
                      <w:szCs w:val="21"/>
                      <w:highlight w:val="none"/>
                      <w:u w:val="none"/>
                      <w:lang w:val="en-US" w:eastAsia="zh-CN" w:bidi="ar"/>
                    </w:rPr>
                    <w:t>和20%，对动植物油处理效率参考《村镇生活污染防治最佳可行技术指南(试行)》(HJ-BAT-9)：动植物油:80%~90%，本项目取80%。</w:t>
                  </w:r>
                </w:p>
              </w:tc>
            </w:tr>
            <w:tr w14:paraId="1C8D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0" w:hRule="atLeast"/>
                <w:jc w:val="center"/>
              </w:trPr>
              <w:tc>
                <w:tcPr>
                  <w:tcW w:w="5000" w:type="pct"/>
                  <w:gridSpan w:val="8"/>
                  <w:vMerge w:val="continue"/>
                  <w:shd w:val="clear" w:color="auto" w:fill="auto"/>
                  <w:vAlign w:val="center"/>
                </w:tcPr>
                <w:p w14:paraId="565360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rPr>
                      <w:rFonts w:hint="default" w:ascii="Times New Roman" w:hAnsi="Times New Roman" w:eastAsia="宋体" w:cs="Times New Roman"/>
                      <w:b w:val="0"/>
                      <w:bCs w:val="0"/>
                      <w:i w:val="0"/>
                      <w:iCs w:val="0"/>
                      <w:color w:val="auto"/>
                      <w:sz w:val="21"/>
                      <w:szCs w:val="21"/>
                      <w:highlight w:val="none"/>
                      <w:u w:val="none"/>
                    </w:rPr>
                  </w:pPr>
                </w:p>
              </w:tc>
            </w:tr>
          </w:tbl>
          <w:p w14:paraId="02E1E163">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（2）前处理清洗废水</w:t>
            </w:r>
          </w:p>
          <w:p w14:paraId="420A94E2">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w:t>
            </w:r>
            <w:r>
              <w:rPr>
                <w:rFonts w:hint="eastAsia" w:cs="Times New Roman"/>
                <w:color w:val="auto"/>
                <w:highlight w:val="none"/>
                <w:lang w:eastAsia="zh-CN"/>
              </w:rPr>
              <w:t>设</w:t>
            </w:r>
            <w:r>
              <w:rPr>
                <w:rFonts w:hint="default" w:ascii="Times New Roman" w:hAnsi="Times New Roman" w:cs="Times New Roman"/>
                <w:color w:val="auto"/>
                <w:highlight w:val="none"/>
              </w:rPr>
              <w:t>有</w:t>
            </w:r>
            <w:r>
              <w:rPr>
                <w:rFonts w:hint="eastAsia" w:cs="Times New Roman"/>
                <w:color w:val="auto"/>
                <w:highlight w:val="none"/>
                <w:lang w:val="en-US" w:eastAsia="zh-CN"/>
              </w:rPr>
              <w:t>1</w:t>
            </w:r>
            <w:r>
              <w:rPr>
                <w:rFonts w:hint="default" w:ascii="Times New Roman" w:hAnsi="Times New Roman" w:cs="Times New Roman"/>
                <w:color w:val="auto"/>
                <w:highlight w:val="none"/>
              </w:rPr>
              <w:t>条前处理生产线，每条生产线设置2个除油池、1个无铬钝化池、4个水洗池。除油池、无铬钝化池、水洗池的溶液循环使用，</w:t>
            </w:r>
            <w:r>
              <w:rPr>
                <w:rFonts w:hint="default" w:ascii="Times New Roman" w:hAnsi="Times New Roman" w:cs="Times New Roman"/>
                <w:color w:val="auto"/>
                <w:highlight w:val="none"/>
                <w:lang w:val="en-US" w:eastAsia="zh-CN"/>
              </w:rPr>
              <w:t>前处理清洗</w:t>
            </w:r>
            <w:r>
              <w:rPr>
                <w:rFonts w:hint="eastAsia" w:cs="Times New Roman"/>
                <w:color w:val="auto"/>
                <w:highlight w:val="none"/>
                <w:lang w:val="en-US" w:eastAsia="zh-CN"/>
              </w:rPr>
              <w:t>废水</w:t>
            </w:r>
            <w:r>
              <w:rPr>
                <w:rFonts w:hint="default" w:ascii="Times New Roman" w:hAnsi="Times New Roman" w:cs="Times New Roman"/>
                <w:color w:val="auto"/>
                <w:highlight w:val="none"/>
                <w:lang w:val="en-US" w:eastAsia="zh-CN"/>
              </w:rPr>
              <w:t>主要为整槽更换</w:t>
            </w:r>
            <w:r>
              <w:rPr>
                <w:rFonts w:hint="eastAsia" w:cs="Times New Roman"/>
                <w:color w:val="auto"/>
                <w:highlight w:val="none"/>
                <w:lang w:val="en-US" w:eastAsia="zh-CN"/>
              </w:rPr>
              <w:t>废</w:t>
            </w:r>
            <w:r>
              <w:rPr>
                <w:rFonts w:hint="default" w:ascii="Times New Roman" w:hAnsi="Times New Roman" w:cs="Times New Roman"/>
                <w:color w:val="auto"/>
                <w:highlight w:val="none"/>
                <w:lang w:val="en-US" w:eastAsia="zh-CN"/>
              </w:rPr>
              <w:t>水和溢流</w:t>
            </w:r>
            <w:r>
              <w:rPr>
                <w:rFonts w:hint="eastAsia" w:cs="Times New Roman"/>
                <w:color w:val="auto"/>
                <w:highlight w:val="none"/>
                <w:lang w:val="en-US" w:eastAsia="zh-CN"/>
              </w:rPr>
              <w:t>排</w:t>
            </w:r>
            <w:r>
              <w:rPr>
                <w:rFonts w:hint="default" w:ascii="Times New Roman" w:hAnsi="Times New Roman" w:cs="Times New Roman"/>
                <w:color w:val="auto"/>
                <w:highlight w:val="none"/>
                <w:lang w:val="en-US" w:eastAsia="zh-CN"/>
              </w:rPr>
              <w:t>水。</w:t>
            </w:r>
          </w:p>
          <w:p w14:paraId="4D3BB31D">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项目前处理废水产生情况详见下表。</w:t>
            </w:r>
          </w:p>
          <w:p w14:paraId="6078357F">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表4-18</w:t>
            </w:r>
            <w:r>
              <w:rPr>
                <w:rFonts w:hint="default" w:ascii="Times New Roman" w:hAnsi="Times New Roman" w:cs="Times New Roman"/>
                <w:b/>
                <w:bCs/>
                <w:color w:val="auto"/>
                <w:sz w:val="21"/>
                <w:szCs w:val="21"/>
                <w:highlight w:val="none"/>
                <w:lang w:val="en-US" w:eastAsia="zh-CN"/>
              </w:rPr>
              <w:t>整槽更换废水和溢流废水</w:t>
            </w:r>
            <w:r>
              <w:rPr>
                <w:rFonts w:hint="default" w:ascii="Times New Roman" w:hAnsi="Times New Roman" w:cs="Times New Roman"/>
                <w:b/>
                <w:bCs/>
                <w:color w:val="auto"/>
                <w:sz w:val="21"/>
                <w:szCs w:val="21"/>
                <w:highlight w:val="none"/>
              </w:rPr>
              <w:t>一览表 单位t/a</w:t>
            </w:r>
          </w:p>
          <w:tbl>
            <w:tblPr>
              <w:tblStyle w:val="38"/>
              <w:tblW w:w="49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70"/>
              <w:gridCol w:w="1387"/>
              <w:gridCol w:w="682"/>
              <w:gridCol w:w="517"/>
              <w:gridCol w:w="517"/>
              <w:gridCol w:w="598"/>
              <w:gridCol w:w="1126"/>
              <w:gridCol w:w="867"/>
              <w:gridCol w:w="733"/>
              <w:gridCol w:w="1091"/>
              <w:gridCol w:w="889"/>
              <w:gridCol w:w="690"/>
              <w:gridCol w:w="1646"/>
              <w:gridCol w:w="811"/>
              <w:gridCol w:w="1146"/>
            </w:tblGrid>
            <w:tr w14:paraId="02A99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286" w:type="pct"/>
                  <w:vMerge w:val="restart"/>
                  <w:shd w:val="clear" w:color="auto" w:fill="auto"/>
                  <w:vAlign w:val="center"/>
                </w:tcPr>
                <w:p w14:paraId="10CB0F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515" w:type="pct"/>
                  <w:vMerge w:val="restart"/>
                  <w:shd w:val="clear" w:color="auto" w:fill="auto"/>
                  <w:vAlign w:val="center"/>
                </w:tcPr>
                <w:p w14:paraId="2D828D3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槽体名称</w:t>
                  </w:r>
                </w:p>
              </w:tc>
              <w:tc>
                <w:tcPr>
                  <w:tcW w:w="253" w:type="pct"/>
                  <w:vMerge w:val="restart"/>
                  <w:shd w:val="clear" w:color="auto" w:fill="auto"/>
                  <w:vAlign w:val="center"/>
                </w:tcPr>
                <w:p w14:paraId="1A22F3D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(个)</w:t>
                  </w:r>
                </w:p>
              </w:tc>
              <w:tc>
                <w:tcPr>
                  <w:tcW w:w="606" w:type="pct"/>
                  <w:gridSpan w:val="3"/>
                  <w:shd w:val="clear" w:color="auto" w:fill="auto"/>
                  <w:vAlign w:val="center"/>
                </w:tcPr>
                <w:p w14:paraId="2380543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尺寸（m）</w:t>
                  </w:r>
                </w:p>
              </w:tc>
              <w:tc>
                <w:tcPr>
                  <w:tcW w:w="418" w:type="pct"/>
                  <w:vMerge w:val="restart"/>
                  <w:shd w:val="clear" w:color="auto" w:fill="auto"/>
                  <w:vAlign w:val="center"/>
                </w:tcPr>
                <w:p w14:paraId="4524F5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添加药剂名称</w:t>
                  </w:r>
                </w:p>
              </w:tc>
              <w:tc>
                <w:tcPr>
                  <w:tcW w:w="322" w:type="pct"/>
                  <w:vMerge w:val="restart"/>
                  <w:shd w:val="clear" w:color="auto" w:fill="auto"/>
                  <w:vAlign w:val="center"/>
                </w:tcPr>
                <w:p w14:paraId="5A63422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槽液量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(m³)</w:t>
                  </w:r>
                </w:p>
              </w:tc>
              <w:tc>
                <w:tcPr>
                  <w:tcW w:w="272" w:type="pct"/>
                  <w:vMerge w:val="restart"/>
                  <w:shd w:val="clear" w:color="auto" w:fill="auto"/>
                  <w:vAlign w:val="center"/>
                </w:tcPr>
                <w:p w14:paraId="135CF56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温度</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w:t>
                  </w:r>
                </w:p>
              </w:tc>
              <w:tc>
                <w:tcPr>
                  <w:tcW w:w="735" w:type="pct"/>
                  <w:gridSpan w:val="2"/>
                  <w:shd w:val="clear" w:color="auto" w:fill="auto"/>
                  <w:vAlign w:val="center"/>
                </w:tcPr>
                <w:p w14:paraId="186CF39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用水</w:t>
                  </w:r>
                </w:p>
              </w:tc>
              <w:tc>
                <w:tcPr>
                  <w:tcW w:w="256" w:type="pct"/>
                  <w:vMerge w:val="restart"/>
                  <w:shd w:val="clear" w:color="auto" w:fill="auto"/>
                  <w:vAlign w:val="center"/>
                </w:tcPr>
                <w:p w14:paraId="3CA67DE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排水方式</w:t>
                  </w:r>
                </w:p>
              </w:tc>
              <w:tc>
                <w:tcPr>
                  <w:tcW w:w="606" w:type="pct"/>
                  <w:vMerge w:val="restart"/>
                  <w:shd w:val="clear" w:color="auto" w:fill="auto"/>
                  <w:vAlign w:val="center"/>
                </w:tcPr>
                <w:p w14:paraId="0B3459F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更换频率</w:t>
                  </w:r>
                </w:p>
              </w:tc>
              <w:tc>
                <w:tcPr>
                  <w:tcW w:w="301" w:type="pct"/>
                  <w:vMerge w:val="restart"/>
                  <w:shd w:val="clear" w:color="auto" w:fill="auto"/>
                  <w:vAlign w:val="center"/>
                </w:tcPr>
                <w:p w14:paraId="476342F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整槽更换废水量(t/a)</w:t>
                  </w:r>
                </w:p>
              </w:tc>
              <w:tc>
                <w:tcPr>
                  <w:tcW w:w="425" w:type="pct"/>
                  <w:vMerge w:val="restart"/>
                  <w:shd w:val="clear" w:color="auto" w:fill="auto"/>
                  <w:vAlign w:val="center"/>
                </w:tcPr>
                <w:p w14:paraId="61BFB63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溢流废水量</w:t>
                  </w:r>
                  <w:r>
                    <w:rPr>
                      <w:rFonts w:hint="default" w:ascii="Times New Roman" w:hAnsi="Times New Roman" w:eastAsia="宋体" w:cs="Times New Roman"/>
                      <w:b/>
                      <w:bCs/>
                      <w:i w:val="0"/>
                      <w:iCs w:val="0"/>
                      <w:color w:val="auto"/>
                      <w:kern w:val="0"/>
                      <w:sz w:val="21"/>
                      <w:szCs w:val="21"/>
                      <w:highlight w:val="none"/>
                      <w:u w:val="none"/>
                      <w:lang w:val="en-US" w:eastAsia="zh-CN" w:bidi="ar"/>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r>
            <w:tr w14:paraId="17344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86" w:type="pct"/>
                  <w:vMerge w:val="continue"/>
                  <w:shd w:val="clear" w:color="auto" w:fill="auto"/>
                  <w:vAlign w:val="center"/>
                </w:tcPr>
                <w:p w14:paraId="3B50B98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515" w:type="pct"/>
                  <w:vMerge w:val="continue"/>
                  <w:shd w:val="clear" w:color="auto" w:fill="auto"/>
                  <w:vAlign w:val="center"/>
                </w:tcPr>
                <w:p w14:paraId="645DD38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53" w:type="pct"/>
                  <w:vMerge w:val="continue"/>
                  <w:shd w:val="clear" w:color="auto" w:fill="auto"/>
                  <w:vAlign w:val="center"/>
                </w:tcPr>
                <w:p w14:paraId="739D2B6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192" w:type="pct"/>
                  <w:shd w:val="clear" w:color="auto" w:fill="auto"/>
                  <w:vAlign w:val="center"/>
                </w:tcPr>
                <w:p w14:paraId="5E5DF49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长</w:t>
                  </w:r>
                </w:p>
              </w:tc>
              <w:tc>
                <w:tcPr>
                  <w:tcW w:w="192" w:type="pct"/>
                  <w:shd w:val="clear" w:color="auto" w:fill="auto"/>
                  <w:vAlign w:val="center"/>
                </w:tcPr>
                <w:p w14:paraId="026E68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宽</w:t>
                  </w:r>
                </w:p>
              </w:tc>
              <w:tc>
                <w:tcPr>
                  <w:tcW w:w="221" w:type="pct"/>
                  <w:shd w:val="clear" w:color="auto" w:fill="auto"/>
                  <w:vAlign w:val="center"/>
                </w:tcPr>
                <w:p w14:paraId="70594D7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深</w:t>
                  </w:r>
                </w:p>
              </w:tc>
              <w:tc>
                <w:tcPr>
                  <w:tcW w:w="418" w:type="pct"/>
                  <w:vMerge w:val="continue"/>
                  <w:shd w:val="clear" w:color="auto" w:fill="auto"/>
                  <w:vAlign w:val="center"/>
                </w:tcPr>
                <w:p w14:paraId="0B7A2C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22" w:type="pct"/>
                  <w:vMerge w:val="continue"/>
                  <w:shd w:val="clear" w:color="auto" w:fill="auto"/>
                  <w:vAlign w:val="center"/>
                </w:tcPr>
                <w:p w14:paraId="3D0CBF7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272" w:type="pct"/>
                  <w:vMerge w:val="continue"/>
                  <w:shd w:val="clear" w:color="auto" w:fill="auto"/>
                  <w:vAlign w:val="center"/>
                </w:tcPr>
                <w:p w14:paraId="1FF05FD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05" w:type="pct"/>
                  <w:shd w:val="clear" w:color="auto" w:fill="auto"/>
                  <w:vAlign w:val="center"/>
                </w:tcPr>
                <w:p w14:paraId="39CE73F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溢流速度(L/min)</w:t>
                  </w:r>
                </w:p>
              </w:tc>
              <w:tc>
                <w:tcPr>
                  <w:tcW w:w="330" w:type="pct"/>
                  <w:shd w:val="clear" w:color="auto" w:fill="auto"/>
                  <w:vAlign w:val="center"/>
                </w:tcPr>
                <w:p w14:paraId="7EF4A12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自来水(m³/d)</w:t>
                  </w:r>
                </w:p>
              </w:tc>
              <w:tc>
                <w:tcPr>
                  <w:tcW w:w="256" w:type="pct"/>
                  <w:vMerge w:val="continue"/>
                  <w:shd w:val="clear" w:color="auto" w:fill="auto"/>
                  <w:vAlign w:val="center"/>
                </w:tcPr>
                <w:p w14:paraId="369D9EF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06" w:type="pct"/>
                  <w:vMerge w:val="continue"/>
                  <w:shd w:val="clear" w:color="auto" w:fill="auto"/>
                  <w:vAlign w:val="center"/>
                </w:tcPr>
                <w:p w14:paraId="2382AEF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01" w:type="pct"/>
                  <w:vMerge w:val="continue"/>
                  <w:shd w:val="clear" w:color="auto" w:fill="auto"/>
                  <w:vAlign w:val="center"/>
                </w:tcPr>
                <w:p w14:paraId="2DF4348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25" w:type="pct"/>
                  <w:vMerge w:val="continue"/>
                  <w:shd w:val="clear" w:color="auto" w:fill="auto"/>
                  <w:vAlign w:val="center"/>
                </w:tcPr>
                <w:p w14:paraId="1A4DD4E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69E6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86" w:type="pct"/>
                  <w:vMerge w:val="restart"/>
                  <w:shd w:val="clear" w:color="auto" w:fill="auto"/>
                  <w:vAlign w:val="center"/>
                </w:tcPr>
                <w:p w14:paraId="444963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铝卷前处理线</w:t>
                  </w:r>
                </w:p>
              </w:tc>
              <w:tc>
                <w:tcPr>
                  <w:tcW w:w="515" w:type="pct"/>
                  <w:shd w:val="clear" w:color="auto" w:fill="auto"/>
                  <w:vAlign w:val="center"/>
                </w:tcPr>
                <w:p w14:paraId="54A9186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预除油池</w:t>
                  </w:r>
                </w:p>
              </w:tc>
              <w:tc>
                <w:tcPr>
                  <w:tcW w:w="253" w:type="pct"/>
                  <w:shd w:val="clear" w:color="auto" w:fill="auto"/>
                  <w:vAlign w:val="center"/>
                </w:tcPr>
                <w:p w14:paraId="7F0046A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25AC082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92" w:type="pct"/>
                  <w:shd w:val="clear" w:color="auto" w:fill="auto"/>
                  <w:vAlign w:val="center"/>
                </w:tcPr>
                <w:p w14:paraId="3EE55E6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6DE97EB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1A5D2FD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22" w:type="pct"/>
                  <w:shd w:val="clear" w:color="auto" w:fill="auto"/>
                  <w:vAlign w:val="center"/>
                </w:tcPr>
                <w:p w14:paraId="1045ACA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9.60</w:t>
                  </w:r>
                </w:p>
              </w:tc>
              <w:tc>
                <w:tcPr>
                  <w:tcW w:w="272" w:type="pct"/>
                  <w:shd w:val="clear" w:color="auto" w:fill="auto"/>
                  <w:vAlign w:val="center"/>
                </w:tcPr>
                <w:p w14:paraId="091B09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50-60</w:t>
                  </w:r>
                </w:p>
              </w:tc>
              <w:tc>
                <w:tcPr>
                  <w:tcW w:w="405" w:type="pct"/>
                  <w:shd w:val="clear" w:color="auto" w:fill="auto"/>
                  <w:vAlign w:val="center"/>
                </w:tcPr>
                <w:p w14:paraId="0C56C4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shd w:val="clear" w:color="auto" w:fill="auto"/>
                  <w:vAlign w:val="center"/>
                </w:tcPr>
                <w:p w14:paraId="45C852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6" w:type="pct"/>
                  <w:shd w:val="clear" w:color="auto" w:fill="auto"/>
                  <w:vAlign w:val="center"/>
                </w:tcPr>
                <w:p w14:paraId="2ACCBF0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06" w:type="pct"/>
                  <w:shd w:val="clear" w:color="auto" w:fill="auto"/>
                  <w:vAlign w:val="center"/>
                </w:tcPr>
                <w:p w14:paraId="04D9F2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301" w:type="pct"/>
                  <w:shd w:val="clear" w:color="auto" w:fill="auto"/>
                  <w:noWrap/>
                  <w:vAlign w:val="center"/>
                </w:tcPr>
                <w:p w14:paraId="28126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c>
                <w:tcPr>
                  <w:tcW w:w="425" w:type="pct"/>
                  <w:shd w:val="clear" w:color="auto" w:fill="auto"/>
                  <w:vAlign w:val="center"/>
                </w:tcPr>
                <w:p w14:paraId="60B60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2A6C5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286" w:type="pct"/>
                  <w:vMerge w:val="continue"/>
                  <w:shd w:val="clear" w:color="auto" w:fill="auto"/>
                  <w:vAlign w:val="center"/>
                </w:tcPr>
                <w:p w14:paraId="6CEF44B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3537D4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主除油池</w:t>
                  </w:r>
                </w:p>
              </w:tc>
              <w:tc>
                <w:tcPr>
                  <w:tcW w:w="253" w:type="pct"/>
                  <w:shd w:val="clear" w:color="auto" w:fill="auto"/>
                  <w:vAlign w:val="center"/>
                </w:tcPr>
                <w:p w14:paraId="4ED9592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6118F01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92" w:type="pct"/>
                  <w:shd w:val="clear" w:color="auto" w:fill="auto"/>
                  <w:vAlign w:val="center"/>
                </w:tcPr>
                <w:p w14:paraId="653FF6F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05BD02F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131BC4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碱性除油剂50g/L</w:t>
                  </w:r>
                </w:p>
              </w:tc>
              <w:tc>
                <w:tcPr>
                  <w:tcW w:w="322" w:type="pct"/>
                  <w:shd w:val="clear" w:color="auto" w:fill="auto"/>
                  <w:vAlign w:val="center"/>
                </w:tcPr>
                <w:p w14:paraId="472CA47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9.60</w:t>
                  </w:r>
                </w:p>
              </w:tc>
              <w:tc>
                <w:tcPr>
                  <w:tcW w:w="272" w:type="pct"/>
                  <w:shd w:val="clear" w:color="auto" w:fill="auto"/>
                  <w:vAlign w:val="center"/>
                </w:tcPr>
                <w:p w14:paraId="3C0F2E9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50-60</w:t>
                  </w:r>
                </w:p>
              </w:tc>
              <w:tc>
                <w:tcPr>
                  <w:tcW w:w="405" w:type="pct"/>
                  <w:shd w:val="clear" w:color="auto" w:fill="auto"/>
                  <w:vAlign w:val="center"/>
                </w:tcPr>
                <w:p w14:paraId="75CA32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shd w:val="clear" w:color="auto" w:fill="auto"/>
                  <w:vAlign w:val="center"/>
                </w:tcPr>
                <w:p w14:paraId="1634071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6" w:type="pct"/>
                  <w:shd w:val="clear" w:color="auto" w:fill="auto"/>
                  <w:vAlign w:val="center"/>
                </w:tcPr>
                <w:p w14:paraId="757D00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06" w:type="pct"/>
                  <w:shd w:val="clear" w:color="auto" w:fill="auto"/>
                  <w:vAlign w:val="center"/>
                </w:tcPr>
                <w:p w14:paraId="2C36A3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301" w:type="pct"/>
                  <w:shd w:val="clear" w:color="auto" w:fill="auto"/>
                  <w:noWrap/>
                  <w:vAlign w:val="center"/>
                </w:tcPr>
                <w:p w14:paraId="5B616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38.4</w:t>
                  </w:r>
                </w:p>
              </w:tc>
              <w:tc>
                <w:tcPr>
                  <w:tcW w:w="425" w:type="pct"/>
                  <w:shd w:val="clear" w:color="auto" w:fill="auto"/>
                  <w:vAlign w:val="center"/>
                </w:tcPr>
                <w:p w14:paraId="3B70DD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384AA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86" w:type="pct"/>
                  <w:vMerge w:val="continue"/>
                  <w:shd w:val="clear" w:color="auto" w:fill="auto"/>
                  <w:vAlign w:val="center"/>
                </w:tcPr>
                <w:p w14:paraId="16D258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6D243C2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水洗池1</w:t>
                  </w:r>
                </w:p>
              </w:tc>
              <w:tc>
                <w:tcPr>
                  <w:tcW w:w="253" w:type="pct"/>
                  <w:shd w:val="clear" w:color="auto" w:fill="auto"/>
                  <w:vAlign w:val="center"/>
                </w:tcPr>
                <w:p w14:paraId="344123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26E9715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2.5</w:t>
                  </w:r>
                </w:p>
              </w:tc>
              <w:tc>
                <w:tcPr>
                  <w:tcW w:w="192" w:type="pct"/>
                  <w:shd w:val="clear" w:color="auto" w:fill="auto"/>
                  <w:vAlign w:val="center"/>
                </w:tcPr>
                <w:p w14:paraId="405705C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594DDC9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758665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22" w:type="pct"/>
                  <w:shd w:val="clear" w:color="auto" w:fill="auto"/>
                  <w:vAlign w:val="center"/>
                </w:tcPr>
                <w:p w14:paraId="242C142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4.0</w:t>
                  </w:r>
                </w:p>
              </w:tc>
              <w:tc>
                <w:tcPr>
                  <w:tcW w:w="272" w:type="pct"/>
                  <w:shd w:val="clear" w:color="auto" w:fill="auto"/>
                  <w:vAlign w:val="center"/>
                </w:tcPr>
                <w:p w14:paraId="66B695E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405" w:type="pct"/>
                  <w:shd w:val="clear" w:color="auto" w:fill="auto"/>
                  <w:vAlign w:val="center"/>
                </w:tcPr>
                <w:p w14:paraId="5C1AD43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30" w:type="pct"/>
                  <w:shd w:val="clear" w:color="auto" w:fill="auto"/>
                  <w:vAlign w:val="center"/>
                </w:tcPr>
                <w:p w14:paraId="59FEF9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6" w:type="pct"/>
                  <w:shd w:val="clear" w:color="auto" w:fill="auto"/>
                  <w:vAlign w:val="center"/>
                </w:tcPr>
                <w:p w14:paraId="607F22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606" w:type="pct"/>
                  <w:shd w:val="clear" w:color="auto" w:fill="auto"/>
                  <w:vAlign w:val="center"/>
                </w:tcPr>
                <w:p w14:paraId="33DDAD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301" w:type="pct"/>
                  <w:shd w:val="clear" w:color="auto" w:fill="auto"/>
                  <w:noWrap/>
                  <w:vAlign w:val="center"/>
                </w:tcPr>
                <w:p w14:paraId="763A9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425" w:type="pct"/>
                  <w:shd w:val="clear" w:color="auto" w:fill="auto"/>
                  <w:vAlign w:val="center"/>
                </w:tcPr>
                <w:p w14:paraId="53DA0F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1944</w:t>
                  </w:r>
                </w:p>
              </w:tc>
            </w:tr>
            <w:tr w14:paraId="45743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286" w:type="pct"/>
                  <w:vMerge w:val="continue"/>
                  <w:shd w:val="clear" w:color="auto" w:fill="auto"/>
                  <w:vAlign w:val="center"/>
                </w:tcPr>
                <w:p w14:paraId="159408B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11F8D2C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水洗池2</w:t>
                  </w:r>
                </w:p>
              </w:tc>
              <w:tc>
                <w:tcPr>
                  <w:tcW w:w="253" w:type="pct"/>
                  <w:shd w:val="clear" w:color="auto" w:fill="auto"/>
                  <w:vAlign w:val="center"/>
                </w:tcPr>
                <w:p w14:paraId="7A0BA8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4C14EA5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92" w:type="pct"/>
                  <w:shd w:val="clear" w:color="auto" w:fill="auto"/>
                  <w:vAlign w:val="center"/>
                </w:tcPr>
                <w:p w14:paraId="053C8CA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3952222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0C8B963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22" w:type="pct"/>
                  <w:shd w:val="clear" w:color="auto" w:fill="auto"/>
                  <w:vAlign w:val="center"/>
                </w:tcPr>
                <w:p w14:paraId="080D2D5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272" w:type="pct"/>
                  <w:shd w:val="clear" w:color="auto" w:fill="auto"/>
                  <w:vAlign w:val="center"/>
                </w:tcPr>
                <w:p w14:paraId="66C2CA6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405" w:type="pct"/>
                  <w:shd w:val="clear" w:color="auto" w:fill="auto"/>
                  <w:vAlign w:val="center"/>
                </w:tcPr>
                <w:p w14:paraId="07CCDF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30" w:type="pct"/>
                  <w:shd w:val="clear" w:color="auto" w:fill="auto"/>
                  <w:vAlign w:val="center"/>
                </w:tcPr>
                <w:p w14:paraId="672A81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6" w:type="pct"/>
                  <w:shd w:val="clear" w:color="auto" w:fill="auto"/>
                  <w:vAlign w:val="center"/>
                </w:tcPr>
                <w:p w14:paraId="4E34B1B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606" w:type="pct"/>
                  <w:shd w:val="clear" w:color="auto" w:fill="auto"/>
                  <w:vAlign w:val="center"/>
                </w:tcPr>
                <w:p w14:paraId="7B3774C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301" w:type="pct"/>
                  <w:shd w:val="clear" w:color="auto" w:fill="auto"/>
                  <w:noWrap/>
                  <w:vAlign w:val="center"/>
                </w:tcPr>
                <w:p w14:paraId="7B2CC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425" w:type="pct"/>
                  <w:shd w:val="clear" w:color="auto" w:fill="auto"/>
                  <w:vAlign w:val="center"/>
                </w:tcPr>
                <w:p w14:paraId="61805E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1944</w:t>
                  </w:r>
                </w:p>
              </w:tc>
            </w:tr>
            <w:tr w14:paraId="7818F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86" w:type="pct"/>
                  <w:vMerge w:val="continue"/>
                  <w:shd w:val="clear" w:color="auto" w:fill="auto"/>
                  <w:vAlign w:val="center"/>
                </w:tcPr>
                <w:p w14:paraId="0406271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3AB64E0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水洗池3</w:t>
                  </w:r>
                </w:p>
              </w:tc>
              <w:tc>
                <w:tcPr>
                  <w:tcW w:w="253" w:type="pct"/>
                  <w:shd w:val="clear" w:color="auto" w:fill="auto"/>
                  <w:vAlign w:val="center"/>
                </w:tcPr>
                <w:p w14:paraId="59AF69D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097224D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92" w:type="pct"/>
                  <w:shd w:val="clear" w:color="auto" w:fill="auto"/>
                  <w:vAlign w:val="center"/>
                </w:tcPr>
                <w:p w14:paraId="5AEBD76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3E53F6D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7AD32F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22" w:type="pct"/>
                  <w:shd w:val="clear" w:color="auto" w:fill="auto"/>
                  <w:vAlign w:val="center"/>
                </w:tcPr>
                <w:p w14:paraId="0F8E94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272" w:type="pct"/>
                  <w:shd w:val="clear" w:color="auto" w:fill="auto"/>
                  <w:vAlign w:val="center"/>
                </w:tcPr>
                <w:p w14:paraId="52E9CE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405" w:type="pct"/>
                  <w:shd w:val="clear" w:color="auto" w:fill="auto"/>
                  <w:vAlign w:val="center"/>
                </w:tcPr>
                <w:p w14:paraId="425823F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30" w:type="pct"/>
                  <w:shd w:val="clear" w:color="auto" w:fill="auto"/>
                  <w:vAlign w:val="center"/>
                </w:tcPr>
                <w:p w14:paraId="499990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6" w:type="pct"/>
                  <w:shd w:val="clear" w:color="auto" w:fill="auto"/>
                  <w:vAlign w:val="center"/>
                </w:tcPr>
                <w:p w14:paraId="58C058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606" w:type="pct"/>
                  <w:shd w:val="clear" w:color="auto" w:fill="auto"/>
                  <w:vAlign w:val="center"/>
                </w:tcPr>
                <w:p w14:paraId="2F981D1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301" w:type="pct"/>
                  <w:shd w:val="clear" w:color="auto" w:fill="auto"/>
                  <w:noWrap/>
                  <w:vAlign w:val="center"/>
                </w:tcPr>
                <w:p w14:paraId="2A2242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425" w:type="pct"/>
                  <w:shd w:val="clear" w:color="auto" w:fill="auto"/>
                  <w:vAlign w:val="center"/>
                </w:tcPr>
                <w:p w14:paraId="081B5D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1944</w:t>
                  </w:r>
                </w:p>
              </w:tc>
            </w:tr>
            <w:tr w14:paraId="4E21C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86" w:type="pct"/>
                  <w:vMerge w:val="continue"/>
                  <w:shd w:val="clear" w:color="auto" w:fill="auto"/>
                  <w:vAlign w:val="center"/>
                </w:tcPr>
                <w:p w14:paraId="2F9CE0F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4AF603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水洗池4</w:t>
                  </w:r>
                </w:p>
              </w:tc>
              <w:tc>
                <w:tcPr>
                  <w:tcW w:w="253" w:type="pct"/>
                  <w:shd w:val="clear" w:color="auto" w:fill="auto"/>
                  <w:vAlign w:val="center"/>
                </w:tcPr>
                <w:p w14:paraId="458F674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6D36A70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92" w:type="pct"/>
                  <w:shd w:val="clear" w:color="auto" w:fill="auto"/>
                  <w:vAlign w:val="center"/>
                </w:tcPr>
                <w:p w14:paraId="68369E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10EC259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0F97B9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22" w:type="pct"/>
                  <w:shd w:val="clear" w:color="auto" w:fill="auto"/>
                  <w:vAlign w:val="center"/>
                </w:tcPr>
                <w:p w14:paraId="1352E7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w:t>
                  </w:r>
                </w:p>
              </w:tc>
              <w:tc>
                <w:tcPr>
                  <w:tcW w:w="272" w:type="pct"/>
                  <w:shd w:val="clear" w:color="auto" w:fill="auto"/>
                  <w:vAlign w:val="center"/>
                </w:tcPr>
                <w:p w14:paraId="22DEDAE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405" w:type="pct"/>
                  <w:shd w:val="clear" w:color="auto" w:fill="auto"/>
                  <w:vAlign w:val="center"/>
                </w:tcPr>
                <w:p w14:paraId="6C2E69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330" w:type="pct"/>
                  <w:shd w:val="clear" w:color="auto" w:fill="auto"/>
                  <w:vAlign w:val="center"/>
                </w:tcPr>
                <w:p w14:paraId="21E8AD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56" w:type="pct"/>
                  <w:shd w:val="clear" w:color="auto" w:fill="auto"/>
                  <w:vAlign w:val="center"/>
                </w:tcPr>
                <w:p w14:paraId="54C8DA7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连续溢流</w:t>
                  </w:r>
                </w:p>
              </w:tc>
              <w:tc>
                <w:tcPr>
                  <w:tcW w:w="606" w:type="pct"/>
                  <w:shd w:val="clear" w:color="auto" w:fill="auto"/>
                  <w:vAlign w:val="center"/>
                </w:tcPr>
                <w:p w14:paraId="23E8F4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整槽更换槽液，每月一次</w:t>
                  </w:r>
                </w:p>
              </w:tc>
              <w:tc>
                <w:tcPr>
                  <w:tcW w:w="301" w:type="pct"/>
                  <w:shd w:val="clear" w:color="auto" w:fill="auto"/>
                  <w:noWrap/>
                  <w:vAlign w:val="center"/>
                </w:tcPr>
                <w:p w14:paraId="30D66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57.6</w:t>
                  </w:r>
                </w:p>
              </w:tc>
              <w:tc>
                <w:tcPr>
                  <w:tcW w:w="425" w:type="pct"/>
                  <w:shd w:val="clear" w:color="auto" w:fill="auto"/>
                  <w:vAlign w:val="center"/>
                </w:tcPr>
                <w:p w14:paraId="5D046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1944</w:t>
                  </w:r>
                </w:p>
              </w:tc>
            </w:tr>
            <w:tr w14:paraId="2E541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9" w:hRule="atLeast"/>
                <w:jc w:val="center"/>
              </w:trPr>
              <w:tc>
                <w:tcPr>
                  <w:tcW w:w="286" w:type="pct"/>
                  <w:vMerge w:val="continue"/>
                  <w:shd w:val="clear" w:color="auto" w:fill="auto"/>
                  <w:vAlign w:val="center"/>
                </w:tcPr>
                <w:p w14:paraId="0219FA0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15" w:type="pct"/>
                  <w:shd w:val="clear" w:color="auto" w:fill="auto"/>
                  <w:vAlign w:val="center"/>
                </w:tcPr>
                <w:p w14:paraId="7312DE5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w:t>
                  </w:r>
                </w:p>
              </w:tc>
              <w:tc>
                <w:tcPr>
                  <w:tcW w:w="253" w:type="pct"/>
                  <w:shd w:val="clear" w:color="auto" w:fill="auto"/>
                  <w:vAlign w:val="center"/>
                </w:tcPr>
                <w:p w14:paraId="48844B9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92" w:type="pct"/>
                  <w:shd w:val="clear" w:color="auto" w:fill="auto"/>
                  <w:vAlign w:val="center"/>
                </w:tcPr>
                <w:p w14:paraId="3EB9B11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192" w:type="pct"/>
                  <w:shd w:val="clear" w:color="auto" w:fill="auto"/>
                  <w:vAlign w:val="center"/>
                </w:tcPr>
                <w:p w14:paraId="5C555C7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21" w:type="pct"/>
                  <w:shd w:val="clear" w:color="auto" w:fill="auto"/>
                  <w:vAlign w:val="center"/>
                </w:tcPr>
                <w:p w14:paraId="0629046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18" w:type="pct"/>
                  <w:shd w:val="clear" w:color="auto" w:fill="auto"/>
                  <w:vAlign w:val="center"/>
                </w:tcPr>
                <w:p w14:paraId="442E76A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无铬钝化剂100g/L</w:t>
                  </w:r>
                </w:p>
              </w:tc>
              <w:tc>
                <w:tcPr>
                  <w:tcW w:w="322" w:type="pct"/>
                  <w:shd w:val="clear" w:color="auto" w:fill="auto"/>
                  <w:vAlign w:val="center"/>
                </w:tcPr>
                <w:p w14:paraId="370493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7.20</w:t>
                  </w:r>
                </w:p>
              </w:tc>
              <w:tc>
                <w:tcPr>
                  <w:tcW w:w="272" w:type="pct"/>
                  <w:shd w:val="clear" w:color="auto" w:fill="auto"/>
                  <w:vAlign w:val="center"/>
                </w:tcPr>
                <w:p w14:paraId="5CDD99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常温</w:t>
                  </w:r>
                </w:p>
              </w:tc>
              <w:tc>
                <w:tcPr>
                  <w:tcW w:w="405" w:type="pct"/>
                  <w:shd w:val="clear" w:color="auto" w:fill="auto"/>
                  <w:vAlign w:val="center"/>
                </w:tcPr>
                <w:p w14:paraId="61E6A3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0" w:type="pct"/>
                  <w:shd w:val="clear" w:color="auto" w:fill="auto"/>
                  <w:vAlign w:val="center"/>
                </w:tcPr>
                <w:p w14:paraId="32D7E09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56" w:type="pct"/>
                  <w:shd w:val="clear" w:color="auto" w:fill="auto"/>
                  <w:vAlign w:val="center"/>
                </w:tcPr>
                <w:p w14:paraId="507A8A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06" w:type="pct"/>
                  <w:shd w:val="clear" w:color="auto" w:fill="auto"/>
                  <w:vAlign w:val="center"/>
                </w:tcPr>
                <w:p w14:paraId="1711DF2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整槽更换槽液，每季度一次</w:t>
                  </w:r>
                </w:p>
              </w:tc>
              <w:tc>
                <w:tcPr>
                  <w:tcW w:w="301" w:type="pct"/>
                  <w:shd w:val="clear" w:color="auto" w:fill="auto"/>
                  <w:noWrap/>
                  <w:vAlign w:val="center"/>
                </w:tcPr>
                <w:p w14:paraId="404FAF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28.8</w:t>
                  </w:r>
                </w:p>
              </w:tc>
              <w:tc>
                <w:tcPr>
                  <w:tcW w:w="425" w:type="pct"/>
                  <w:shd w:val="clear" w:color="auto" w:fill="auto"/>
                  <w:vAlign w:val="center"/>
                </w:tcPr>
                <w:p w14:paraId="3B73F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7D9D5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4273" w:type="pct"/>
                  <w:gridSpan w:val="13"/>
                  <w:shd w:val="clear" w:color="auto" w:fill="auto"/>
                  <w:vAlign w:val="center"/>
                </w:tcPr>
                <w:p w14:paraId="35C56D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01" w:type="pct"/>
                  <w:shd w:val="clear" w:color="auto" w:fill="auto"/>
                  <w:noWrap/>
                  <w:vAlign w:val="center"/>
                </w:tcPr>
                <w:p w14:paraId="294C7C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297.6</w:t>
                  </w:r>
                </w:p>
              </w:tc>
              <w:tc>
                <w:tcPr>
                  <w:tcW w:w="425" w:type="pct"/>
                  <w:shd w:val="clear" w:color="auto" w:fill="auto"/>
                  <w:vAlign w:val="center"/>
                </w:tcPr>
                <w:p w14:paraId="3D154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7776</w:t>
                  </w:r>
                </w:p>
              </w:tc>
            </w:tr>
            <w:tr w14:paraId="6112F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1" w:hRule="atLeast"/>
                <w:jc w:val="center"/>
              </w:trPr>
              <w:tc>
                <w:tcPr>
                  <w:tcW w:w="5000" w:type="pct"/>
                  <w:gridSpan w:val="15"/>
                  <w:shd w:val="clear" w:color="auto" w:fill="auto"/>
                  <w:vAlign w:val="center"/>
                </w:tcPr>
                <w:p w14:paraId="01931FA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备注：①整槽更换槽液=槽液量×更换频率（槽液更换不考虑</w:t>
                  </w:r>
                  <w:r>
                    <w:rPr>
                      <w:rFonts w:hint="eastAsia" w:cs="Times New Roman"/>
                      <w:i w:val="0"/>
                      <w:iCs w:val="0"/>
                      <w:color w:val="auto"/>
                      <w:kern w:val="0"/>
                      <w:sz w:val="21"/>
                      <w:szCs w:val="21"/>
                      <w:highlight w:val="none"/>
                      <w:u w:val="none"/>
                      <w:lang w:val="en-US" w:eastAsia="zh-CN" w:bidi="ar"/>
                    </w:rPr>
                    <w:t>损耗</w:t>
                  </w:r>
                  <w:r>
                    <w:rPr>
                      <w:rFonts w:hint="default" w:ascii="Times New Roman" w:hAnsi="Times New Roman" w:eastAsia="宋体" w:cs="Times New Roman"/>
                      <w:i w:val="0"/>
                      <w:iCs w:val="0"/>
                      <w:color w:val="auto"/>
                      <w:kern w:val="0"/>
                      <w:sz w:val="21"/>
                      <w:szCs w:val="21"/>
                      <w:highlight w:val="none"/>
                      <w:u w:val="none"/>
                      <w:lang w:val="en-US" w:eastAsia="zh-CN" w:bidi="ar"/>
                    </w:rPr>
                    <w:t>）；</w:t>
                  </w:r>
                </w:p>
                <w:p w14:paraId="707FB5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firstLine="630" w:firstLineChars="3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②溢流废水产生量=溢流用水×排污系数；</w:t>
                  </w:r>
                </w:p>
                <w:p w14:paraId="132AC47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firstLine="630" w:firstLineChars="300"/>
                    <w:jc w:val="both"/>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③排污系数按0.9计算</w:t>
                  </w:r>
                  <w:r>
                    <w:rPr>
                      <w:rFonts w:hint="eastAsia" w:cs="Times New Roman"/>
                      <w:i w:val="0"/>
                      <w:iCs w:val="0"/>
                      <w:color w:val="auto"/>
                      <w:kern w:val="0"/>
                      <w:sz w:val="21"/>
                      <w:szCs w:val="21"/>
                      <w:highlight w:val="none"/>
                      <w:u w:val="none"/>
                      <w:lang w:val="en-US" w:eastAsia="zh-CN" w:bidi="ar"/>
                    </w:rPr>
                    <w:t>；</w:t>
                  </w:r>
                </w:p>
                <w:p w14:paraId="2A5F391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76" w:lineRule="auto"/>
                    <w:ind w:left="0" w:right="0" w:firstLine="630" w:firstLineChars="30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④无</w:t>
                  </w:r>
                  <w:r>
                    <w:rPr>
                      <w:rFonts w:hint="eastAsia"/>
                      <w:color w:val="auto"/>
                      <w:sz w:val="21"/>
                      <w:szCs w:val="21"/>
                      <w:highlight w:val="none"/>
                      <w:lang w:val="en-US" w:eastAsia="zh-CN" w:bidi="ar"/>
                    </w:rPr>
                    <w:t>铬钝化工序产生的废槽液按危废处置，故整池更换产生的废水量=326.4-28.8=297.6</w:t>
                  </w:r>
                  <w:r>
                    <w:rPr>
                      <w:rFonts w:hint="eastAsia"/>
                      <w:color w:val="auto"/>
                      <w:sz w:val="21"/>
                      <w:szCs w:val="21"/>
                      <w:highlight w:val="none"/>
                      <w:lang w:bidi="ar"/>
                    </w:rPr>
                    <w:t>m</w:t>
                  </w:r>
                  <w:r>
                    <w:rPr>
                      <w:rFonts w:hint="eastAsia"/>
                      <w:color w:val="auto"/>
                      <w:sz w:val="21"/>
                      <w:szCs w:val="21"/>
                      <w:highlight w:val="none"/>
                      <w:vertAlign w:val="superscript"/>
                      <w:lang w:bidi="ar"/>
                    </w:rPr>
                    <w:t>3</w:t>
                  </w:r>
                  <w:r>
                    <w:rPr>
                      <w:rFonts w:hint="eastAsia"/>
                      <w:color w:val="auto"/>
                      <w:sz w:val="21"/>
                      <w:szCs w:val="21"/>
                      <w:highlight w:val="none"/>
                      <w:lang w:bidi="ar"/>
                    </w:rPr>
                    <w:t>/a</w:t>
                  </w:r>
                  <w:r>
                    <w:rPr>
                      <w:rFonts w:hint="eastAsia"/>
                      <w:color w:val="auto"/>
                      <w:sz w:val="21"/>
                      <w:szCs w:val="21"/>
                      <w:highlight w:val="none"/>
                      <w:lang w:eastAsia="zh-CN" w:bidi="ar"/>
                    </w:rPr>
                    <w:t>。</w:t>
                  </w:r>
                </w:p>
              </w:tc>
            </w:tr>
          </w:tbl>
          <w:p w14:paraId="3959B81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根据上文的计算，本项目前处理用水和废水产生情况如下所示。</w:t>
            </w:r>
          </w:p>
          <w:p w14:paraId="5FDC2A19">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表4-19</w:t>
            </w:r>
            <w:r>
              <w:rPr>
                <w:rFonts w:hint="default" w:ascii="Times New Roman" w:hAnsi="Times New Roman" w:cs="Times New Roman"/>
                <w:b/>
                <w:bCs/>
                <w:color w:val="auto"/>
                <w:sz w:val="21"/>
                <w:szCs w:val="21"/>
                <w:highlight w:val="none"/>
                <w:lang w:val="en-US" w:eastAsia="zh-CN"/>
              </w:rPr>
              <w:t>前处理用水和废水产生一览表 单位：m</w:t>
            </w:r>
            <w:r>
              <w:rPr>
                <w:rFonts w:hint="default" w:ascii="Times New Roman" w:hAnsi="Times New Roman" w:cs="Times New Roman"/>
                <w:b/>
                <w:bCs/>
                <w:color w:val="auto"/>
                <w:sz w:val="21"/>
                <w:szCs w:val="21"/>
                <w:highlight w:val="none"/>
                <w:vertAlign w:val="superscript"/>
                <w:lang w:val="en-US" w:eastAsia="zh-CN"/>
              </w:rPr>
              <w:t>3</w:t>
            </w:r>
            <w:r>
              <w:rPr>
                <w:rFonts w:hint="default" w:ascii="Times New Roman" w:hAnsi="Times New Roman" w:cs="Times New Roman"/>
                <w:b/>
                <w:bCs/>
                <w:color w:val="auto"/>
                <w:sz w:val="21"/>
                <w:szCs w:val="21"/>
                <w:highlight w:val="none"/>
                <w:lang w:val="en-US" w:eastAsia="zh-CN"/>
              </w:rPr>
              <w:t>/a</w:t>
            </w:r>
          </w:p>
          <w:tbl>
            <w:tblPr>
              <w:tblStyle w:val="38"/>
              <w:tblW w:w="1361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75"/>
              <w:gridCol w:w="8755"/>
            </w:tblGrid>
            <w:tr w14:paraId="2F64D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jc w:val="center"/>
              </w:trPr>
              <w:tc>
                <w:tcPr>
                  <w:tcW w:w="1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94B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32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5C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w:t>
                  </w:r>
                </w:p>
              </w:tc>
            </w:tr>
            <w:tr w14:paraId="54781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jc w:val="center"/>
              </w:trPr>
              <w:tc>
                <w:tcPr>
                  <w:tcW w:w="1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3B8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整池更换</w:t>
                  </w:r>
                  <w:r>
                    <w:rPr>
                      <w:rFonts w:hint="eastAsia" w:cs="Times New Roman"/>
                      <w:i w:val="0"/>
                      <w:iCs w:val="0"/>
                      <w:color w:val="auto"/>
                      <w:kern w:val="0"/>
                      <w:sz w:val="21"/>
                      <w:szCs w:val="21"/>
                      <w:highlight w:val="none"/>
                      <w:u w:val="none"/>
                      <w:lang w:val="en-US" w:eastAsia="zh-CN" w:bidi="ar"/>
                    </w:rPr>
                    <w:t>废水</w:t>
                  </w:r>
                </w:p>
              </w:tc>
              <w:tc>
                <w:tcPr>
                  <w:tcW w:w="32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8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297.6</w:t>
                  </w:r>
                </w:p>
              </w:tc>
            </w:tr>
            <w:tr w14:paraId="19F7C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jc w:val="center"/>
              </w:trPr>
              <w:tc>
                <w:tcPr>
                  <w:tcW w:w="1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6EB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溢流</w:t>
                  </w:r>
                  <w:r>
                    <w:rPr>
                      <w:rFonts w:hint="eastAsia" w:cs="Times New Roman"/>
                      <w:i w:val="0"/>
                      <w:iCs w:val="0"/>
                      <w:color w:val="auto"/>
                      <w:kern w:val="0"/>
                      <w:sz w:val="21"/>
                      <w:szCs w:val="21"/>
                      <w:highlight w:val="none"/>
                      <w:u w:val="none"/>
                      <w:lang w:val="en-US" w:eastAsia="zh-CN" w:bidi="ar"/>
                    </w:rPr>
                    <w:t>废水</w:t>
                  </w:r>
                </w:p>
              </w:tc>
              <w:tc>
                <w:tcPr>
                  <w:tcW w:w="32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B13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7776</w:t>
                  </w:r>
                </w:p>
              </w:tc>
            </w:tr>
            <w:tr w14:paraId="3CE6A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jc w:val="center"/>
              </w:trPr>
              <w:tc>
                <w:tcPr>
                  <w:tcW w:w="1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64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合计</w:t>
                  </w:r>
                </w:p>
              </w:tc>
              <w:tc>
                <w:tcPr>
                  <w:tcW w:w="322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3640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fldChar w:fldCharType="begin"/>
                  </w:r>
                  <w:r>
                    <w:rPr>
                      <w:rFonts w:hint="eastAsia" w:cs="Times New Roman"/>
                      <w:i w:val="0"/>
                      <w:iCs w:val="0"/>
                      <w:color w:val="auto"/>
                      <w:kern w:val="0"/>
                      <w:sz w:val="21"/>
                      <w:szCs w:val="21"/>
                      <w:highlight w:val="none"/>
                      <w:u w:val="none"/>
                      <w:lang w:val="en-US" w:eastAsia="zh-CN" w:bidi="ar"/>
                    </w:rPr>
                    <w:instrText xml:space="preserve"> = sum(C3:C4) \* MERGEFORMAT </w:instrText>
                  </w:r>
                  <w:r>
                    <w:rPr>
                      <w:rFonts w:hint="eastAsia" w:cs="Times New Roman"/>
                      <w:i w:val="0"/>
                      <w:iCs w:val="0"/>
                      <w:color w:val="auto"/>
                      <w:kern w:val="0"/>
                      <w:sz w:val="21"/>
                      <w:szCs w:val="21"/>
                      <w:highlight w:val="none"/>
                      <w:u w:val="none"/>
                      <w:lang w:val="en-US" w:eastAsia="zh-CN" w:bidi="ar"/>
                    </w:rPr>
                    <w:fldChar w:fldCharType="separate"/>
                  </w:r>
                  <w:r>
                    <w:rPr>
                      <w:rFonts w:hint="eastAsia" w:cs="Times New Roman"/>
                      <w:i w:val="0"/>
                      <w:iCs w:val="0"/>
                      <w:color w:val="auto"/>
                      <w:kern w:val="0"/>
                      <w:sz w:val="21"/>
                      <w:szCs w:val="21"/>
                      <w:highlight w:val="none"/>
                      <w:u w:val="none"/>
                      <w:lang w:val="en-US" w:eastAsia="zh-CN" w:bidi="ar"/>
                    </w:rPr>
                    <w:t>8073.6</w:t>
                  </w:r>
                  <w:r>
                    <w:rPr>
                      <w:rFonts w:hint="eastAsia" w:cs="Times New Roman"/>
                      <w:i w:val="0"/>
                      <w:iCs w:val="0"/>
                      <w:color w:val="auto"/>
                      <w:kern w:val="0"/>
                      <w:sz w:val="21"/>
                      <w:szCs w:val="21"/>
                      <w:highlight w:val="none"/>
                      <w:u w:val="none"/>
                      <w:lang w:val="en-US" w:eastAsia="zh-CN" w:bidi="ar"/>
                    </w:rPr>
                    <w:fldChar w:fldCharType="end"/>
                  </w:r>
                </w:p>
              </w:tc>
            </w:tr>
            <w:tr w14:paraId="7F913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jc w:val="center"/>
              </w:trPr>
              <w:tc>
                <w:tcPr>
                  <w:tcW w:w="500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87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both"/>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color w:val="auto"/>
                      <w:sz w:val="21"/>
                      <w:szCs w:val="21"/>
                      <w:highlight w:val="none"/>
                      <w:lang w:val="en-US" w:eastAsia="zh-CN" w:bidi="ar"/>
                    </w:rPr>
                    <w:t>注：1.</w:t>
                  </w:r>
                  <w:r>
                    <w:rPr>
                      <w:rFonts w:hint="eastAsia"/>
                      <w:color w:val="auto"/>
                      <w:sz w:val="21"/>
                      <w:szCs w:val="21"/>
                      <w:highlight w:val="none"/>
                      <w:lang w:bidi="ar"/>
                    </w:rPr>
                    <w:t>据《涂装行业清洁生产评价指标体系》表2化学前处理评价指标项目、权重及基准值，I级基准值单位面积取水量为≤10L/m</w:t>
                  </w:r>
                  <w:r>
                    <w:rPr>
                      <w:rFonts w:hint="eastAsia"/>
                      <w:color w:val="auto"/>
                      <w:sz w:val="21"/>
                      <w:szCs w:val="21"/>
                      <w:highlight w:val="none"/>
                      <w:vertAlign w:val="superscript"/>
                      <w:lang w:bidi="ar"/>
                    </w:rPr>
                    <w:t>2</w:t>
                  </w:r>
                  <w:r>
                    <w:rPr>
                      <w:rFonts w:hint="eastAsia"/>
                      <w:color w:val="auto"/>
                      <w:sz w:val="21"/>
                      <w:szCs w:val="21"/>
                      <w:highlight w:val="none"/>
                      <w:lang w:bidi="ar"/>
                    </w:rPr>
                    <w:t>，本项目</w:t>
                  </w:r>
                  <w:r>
                    <w:rPr>
                      <w:rFonts w:hint="eastAsia"/>
                      <w:color w:val="auto"/>
                      <w:sz w:val="21"/>
                      <w:szCs w:val="21"/>
                      <w:highlight w:val="none"/>
                      <w:lang w:val="en-US" w:eastAsia="zh-CN" w:bidi="ar"/>
                    </w:rPr>
                    <w:t>产能为100万平方米（单面），则对应</w:t>
                  </w:r>
                  <w:r>
                    <w:rPr>
                      <w:rFonts w:hint="eastAsia"/>
                      <w:color w:val="auto"/>
                      <w:sz w:val="21"/>
                      <w:szCs w:val="21"/>
                      <w:highlight w:val="none"/>
                      <w:lang w:bidi="ar"/>
                    </w:rPr>
                    <w:t>表面处理面积为</w:t>
                  </w:r>
                  <w:r>
                    <w:rPr>
                      <w:rFonts w:hint="eastAsia"/>
                      <w:color w:val="auto"/>
                      <w:sz w:val="21"/>
                      <w:szCs w:val="21"/>
                      <w:highlight w:val="none"/>
                      <w:lang w:val="en-US" w:eastAsia="zh-CN" w:bidi="ar"/>
                    </w:rPr>
                    <w:t>200</w:t>
                  </w:r>
                  <w:r>
                    <w:rPr>
                      <w:rFonts w:hint="eastAsia"/>
                      <w:color w:val="auto"/>
                      <w:sz w:val="21"/>
                      <w:szCs w:val="21"/>
                      <w:highlight w:val="none"/>
                      <w:lang w:bidi="ar"/>
                    </w:rPr>
                    <w:t>万平方米</w:t>
                  </w:r>
                  <w:r>
                    <w:rPr>
                      <w:rFonts w:hint="eastAsia"/>
                      <w:color w:val="auto"/>
                      <w:highlight w:val="none"/>
                      <w:lang w:eastAsia="zh-CN"/>
                    </w:rPr>
                    <w:t>（</w:t>
                  </w:r>
                  <w:r>
                    <w:rPr>
                      <w:rFonts w:hint="eastAsia"/>
                      <w:color w:val="auto"/>
                      <w:sz w:val="21"/>
                      <w:szCs w:val="21"/>
                      <w:highlight w:val="none"/>
                      <w:lang w:val="en-US" w:eastAsia="zh-CN"/>
                    </w:rPr>
                    <w:t>双面</w:t>
                  </w:r>
                  <w:r>
                    <w:rPr>
                      <w:rFonts w:hint="eastAsia"/>
                      <w:color w:val="auto"/>
                      <w:highlight w:val="none"/>
                      <w:lang w:eastAsia="zh-CN"/>
                    </w:rPr>
                    <w:t>）</w:t>
                  </w:r>
                  <w:r>
                    <w:rPr>
                      <w:rFonts w:hint="eastAsia"/>
                      <w:color w:val="auto"/>
                      <w:sz w:val="21"/>
                      <w:szCs w:val="21"/>
                      <w:highlight w:val="none"/>
                      <w:lang w:bidi="ar"/>
                    </w:rPr>
                    <w:t>，</w:t>
                  </w:r>
                  <w:r>
                    <w:rPr>
                      <w:rFonts w:hint="eastAsia"/>
                      <w:color w:val="auto"/>
                      <w:sz w:val="21"/>
                      <w:szCs w:val="21"/>
                      <w:highlight w:val="none"/>
                      <w:lang w:val="en-US" w:eastAsia="zh-CN" w:bidi="ar"/>
                    </w:rPr>
                    <w:t>用</w:t>
                  </w:r>
                  <w:r>
                    <w:rPr>
                      <w:rFonts w:hint="eastAsia"/>
                      <w:color w:val="auto"/>
                      <w:sz w:val="21"/>
                      <w:szCs w:val="21"/>
                      <w:highlight w:val="none"/>
                      <w:lang w:bidi="ar"/>
                    </w:rPr>
                    <w:t>水量为</w:t>
                  </w:r>
                  <w:r>
                    <w:rPr>
                      <w:rFonts w:hint="eastAsia" w:cs="Times New Roman"/>
                      <w:i w:val="0"/>
                      <w:iCs w:val="0"/>
                      <w:color w:val="auto"/>
                      <w:kern w:val="0"/>
                      <w:sz w:val="21"/>
                      <w:szCs w:val="21"/>
                      <w:highlight w:val="none"/>
                      <w:u w:val="none"/>
                      <w:lang w:val="en-US" w:eastAsia="zh-CN" w:bidi="ar"/>
                    </w:rPr>
                    <w:t>13267.2</w:t>
                  </w:r>
                  <w:r>
                    <w:rPr>
                      <w:rFonts w:hint="eastAsia"/>
                      <w:color w:val="auto"/>
                      <w:sz w:val="21"/>
                      <w:szCs w:val="21"/>
                      <w:highlight w:val="none"/>
                      <w:lang w:bidi="ar"/>
                    </w:rPr>
                    <w:t>m</w:t>
                  </w:r>
                  <w:r>
                    <w:rPr>
                      <w:rFonts w:hint="eastAsia"/>
                      <w:color w:val="auto"/>
                      <w:sz w:val="21"/>
                      <w:szCs w:val="21"/>
                      <w:highlight w:val="none"/>
                      <w:vertAlign w:val="superscript"/>
                      <w:lang w:bidi="ar"/>
                    </w:rPr>
                    <w:t>3</w:t>
                  </w:r>
                  <w:r>
                    <w:rPr>
                      <w:rFonts w:hint="eastAsia"/>
                      <w:color w:val="auto"/>
                      <w:sz w:val="21"/>
                      <w:szCs w:val="21"/>
                      <w:highlight w:val="none"/>
                      <w:lang w:bidi="ar"/>
                    </w:rPr>
                    <w:t>/a，因此本项目单位面积取水量为</w:t>
                  </w:r>
                  <w:r>
                    <w:rPr>
                      <w:rFonts w:hint="eastAsia"/>
                      <w:color w:val="auto"/>
                      <w:sz w:val="21"/>
                      <w:szCs w:val="21"/>
                      <w:highlight w:val="none"/>
                      <w:lang w:val="en-US" w:eastAsia="zh-CN" w:bidi="ar"/>
                    </w:rPr>
                    <w:t>6.63</w:t>
                  </w:r>
                  <w:r>
                    <w:rPr>
                      <w:rFonts w:hint="eastAsia"/>
                      <w:color w:val="auto"/>
                      <w:sz w:val="21"/>
                      <w:szCs w:val="21"/>
                      <w:highlight w:val="none"/>
                      <w:lang w:bidi="ar"/>
                    </w:rPr>
                    <w:t>L/m</w:t>
                  </w:r>
                  <w:r>
                    <w:rPr>
                      <w:rFonts w:hint="eastAsia"/>
                      <w:color w:val="auto"/>
                      <w:sz w:val="21"/>
                      <w:szCs w:val="21"/>
                      <w:highlight w:val="none"/>
                      <w:vertAlign w:val="superscript"/>
                      <w:lang w:bidi="ar"/>
                    </w:rPr>
                    <w:t>2</w:t>
                  </w:r>
                  <w:r>
                    <w:rPr>
                      <w:rFonts w:hint="eastAsia"/>
                      <w:color w:val="auto"/>
                      <w:sz w:val="21"/>
                      <w:szCs w:val="21"/>
                      <w:highlight w:val="none"/>
                      <w:lang w:bidi="ar"/>
                    </w:rPr>
                    <w:t>，符合清洁生产I级基准值要求。</w:t>
                  </w:r>
                </w:p>
              </w:tc>
            </w:tr>
          </w:tbl>
          <w:p w14:paraId="411C24DA">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综上，项目前处理清洗生产线共产生废水</w:t>
            </w:r>
            <w:r>
              <w:rPr>
                <w:rFonts w:hint="eastAsia" w:cs="Times New Roman"/>
                <w:color w:val="auto"/>
                <w:highlight w:val="none"/>
                <w:lang w:val="en-US" w:eastAsia="zh-CN"/>
              </w:rPr>
              <w:t>8073.6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p>
          <w:p w14:paraId="5499A671">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（3）前处理废水源强核算</w:t>
            </w:r>
          </w:p>
          <w:p w14:paraId="2078A69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highlight w:val="none"/>
                <w:lang w:val="en-US" w:eastAsia="zh-CN"/>
              </w:rPr>
              <w:t>本项目</w:t>
            </w:r>
            <w:r>
              <w:rPr>
                <w:rFonts w:hint="default" w:ascii="Times New Roman" w:hAnsi="Times New Roman" w:cs="Times New Roman"/>
                <w:color w:val="auto"/>
                <w:highlight w:val="none"/>
              </w:rPr>
              <w:t>主要污染物为pH、COD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、SS、石油类、氟化物和LAS</w:t>
            </w:r>
            <w:r>
              <w:rPr>
                <w:rFonts w:hint="eastAsia" w:cs="Times New Roman"/>
                <w:color w:val="auto"/>
                <w:highlight w:val="none"/>
                <w:lang w:eastAsia="zh-CN"/>
              </w:rPr>
              <w:t>。</w:t>
            </w:r>
          </w:p>
          <w:p w14:paraId="2793176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本项目参考《佛山市顺德区北滘镇坤州智盛电器实业有限公司</w:t>
            </w:r>
            <w:r>
              <w:rPr>
                <w:rFonts w:hint="default" w:ascii="Times New Roman" w:hAnsi="Times New Roman" w:cs="Times New Roman"/>
                <w:color w:val="auto"/>
                <w:sz w:val="24"/>
                <w:szCs w:val="24"/>
                <w:highlight w:val="none"/>
                <w:lang w:val="en-US" w:eastAsia="zh-CN"/>
              </w:rPr>
              <w:t>迁扩建项目》（环评批复文号：佛环0306环审</w:t>
            </w:r>
            <w:r>
              <w:rPr>
                <w:rFonts w:hint="default" w:ascii="Times New Roman" w:hAnsi="Times New Roman" w:eastAsia="微软雅黑"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2022</w:t>
            </w:r>
            <w:r>
              <w:rPr>
                <w:rFonts w:hint="default" w:ascii="Times New Roman" w:hAnsi="Times New Roman" w:eastAsia="微软雅黑"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023号）验收报告的监测数据进行类比</w:t>
            </w:r>
            <w:r>
              <w:rPr>
                <w:rFonts w:hint="eastAsia" w:ascii="Times New Roman" w:hAnsi="Times New Roman" w:cs="Times New Roman"/>
                <w:color w:val="auto"/>
                <w:sz w:val="24"/>
                <w:szCs w:val="24"/>
                <w:highlight w:val="none"/>
                <w:lang w:val="en-US" w:eastAsia="zh-CN"/>
              </w:rPr>
              <w:t>（引用监测报告见附件7，报告编号：GY-YM20220509）</w:t>
            </w:r>
            <w:r>
              <w:rPr>
                <w:rFonts w:hint="default" w:ascii="Times New Roman" w:hAnsi="Times New Roman" w:cs="Times New Roman"/>
                <w:color w:val="auto"/>
                <w:sz w:val="24"/>
                <w:szCs w:val="24"/>
                <w:highlight w:val="none"/>
                <w:lang w:val="en-US" w:eastAsia="zh-CN"/>
              </w:rPr>
              <w:t>，本项目与类比项目可行性分析如下：</w:t>
            </w:r>
          </w:p>
          <w:p w14:paraId="0F92DFE4">
            <w:pPr>
              <w:keepNext w:val="0"/>
              <w:keepLines w:val="0"/>
              <w:widowControl/>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表4-20</w:t>
            </w:r>
            <w:r>
              <w:rPr>
                <w:rFonts w:hint="eastAsia" w:ascii="Times New Roman" w:hAnsi="Times New Roman" w:cs="Times New Roman"/>
                <w:b/>
                <w:bCs/>
                <w:color w:val="auto"/>
                <w:kern w:val="0"/>
                <w:sz w:val="21"/>
                <w:szCs w:val="21"/>
                <w:highlight w:val="none"/>
                <w:lang w:val="en-US" w:eastAsia="zh-CN" w:bidi="ar"/>
              </w:rPr>
              <w:t>前处理</w:t>
            </w:r>
            <w:r>
              <w:rPr>
                <w:rFonts w:hint="default" w:ascii="Times New Roman" w:hAnsi="Times New Roman" w:eastAsia="宋体" w:cs="Times New Roman"/>
                <w:b/>
                <w:bCs/>
                <w:color w:val="auto"/>
                <w:kern w:val="0"/>
                <w:sz w:val="21"/>
                <w:szCs w:val="21"/>
                <w:highlight w:val="none"/>
                <w:lang w:val="en-US" w:eastAsia="zh-CN" w:bidi="ar"/>
              </w:rPr>
              <w:t>废水水质类比可行性</w:t>
            </w:r>
          </w:p>
          <w:tbl>
            <w:tblPr>
              <w:tblStyle w:val="38"/>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83"/>
              <w:gridCol w:w="3581"/>
              <w:gridCol w:w="3054"/>
              <w:gridCol w:w="4069"/>
              <w:gridCol w:w="1440"/>
            </w:tblGrid>
            <w:tr w14:paraId="52F61E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blHeader/>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25F134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类比</w:t>
                  </w:r>
                </w:p>
                <w:p w14:paraId="37367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108889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sz w:val="21"/>
                      <w:szCs w:val="21"/>
                      <w:highlight w:val="none"/>
                      <w:u w:val="none"/>
                    </w:rPr>
                    <w:t>顺德区北滘镇坤州智盛电器实业有限公司迁扩建项目</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4766C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本项目</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5AEA6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总结</w:t>
                  </w:r>
                </w:p>
              </w:tc>
              <w:tc>
                <w:tcPr>
                  <w:tcW w:w="528" w:type="pct"/>
                  <w:tcBorders>
                    <w:top w:val="single" w:color="000000" w:sz="4" w:space="0"/>
                    <w:left w:val="single" w:color="000000" w:sz="4" w:space="0"/>
                    <w:bottom w:val="single" w:color="000000" w:sz="4" w:space="0"/>
                    <w:right w:val="single" w:color="000000" w:sz="4" w:space="0"/>
                  </w:tcBorders>
                  <w:noWrap w:val="0"/>
                  <w:vAlign w:val="center"/>
                </w:tcPr>
                <w:p w14:paraId="18EBA5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类比可行性</w:t>
                  </w:r>
                </w:p>
              </w:tc>
            </w:tr>
            <w:tr w14:paraId="68DAF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6A4D57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项目性质</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3FFC65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对空调外壳进行除油、陶化以及喷粉</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0164A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对铝板进行除油以及钝化</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733503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均属于涉及金属板材前处理的项目</w:t>
                  </w:r>
                </w:p>
              </w:tc>
              <w:tc>
                <w:tcPr>
                  <w:tcW w:w="528" w:type="pct"/>
                  <w:vMerge w:val="restart"/>
                  <w:tcBorders>
                    <w:top w:val="single" w:color="000000" w:sz="4" w:space="0"/>
                    <w:left w:val="single" w:color="000000" w:sz="4" w:space="0"/>
                    <w:bottom w:val="single" w:color="000000" w:sz="4" w:space="0"/>
                    <w:right w:val="single" w:color="000000" w:sz="4" w:space="0"/>
                  </w:tcBorders>
                  <w:noWrap w:val="0"/>
                  <w:vAlign w:val="center"/>
                </w:tcPr>
                <w:p w14:paraId="4EBFD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可行</w:t>
                  </w:r>
                </w:p>
              </w:tc>
            </w:tr>
            <w:tr w14:paraId="31443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3E7F8A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处理工艺</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2F574B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预除油、主除油、陶化、烘干</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5725F7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预除油、主除油、钝化、烘干</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251757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处理工艺相似</w:t>
                  </w:r>
                  <w:r>
                    <w:rPr>
                      <w:rFonts w:hint="eastAsia" w:ascii="Times New Roman" w:hAnsi="Times New Roman" w:cs="Times New Roman"/>
                      <w:i w:val="0"/>
                      <w:iCs w:val="0"/>
                      <w:color w:val="auto"/>
                      <w:kern w:val="0"/>
                      <w:sz w:val="21"/>
                      <w:szCs w:val="21"/>
                      <w:highlight w:val="none"/>
                      <w:u w:val="none"/>
                      <w:lang w:val="en-US" w:eastAsia="zh-CN" w:bidi="ar"/>
                    </w:rPr>
                    <w:t>均采用碱性除油剂除油，本项目使用钝化剂与类比项目的陶化剂成分基本一致，均含氟锆酸、氟钛酸等，</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DE17B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F4E91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52596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处理规模</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2EB504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cs="Times New Roman"/>
                      <w:i w:val="0"/>
                      <w:iCs w:val="0"/>
                      <w:color w:val="auto"/>
                      <w:sz w:val="21"/>
                      <w:szCs w:val="21"/>
                      <w:highlight w:val="none"/>
                      <w:u w:val="none"/>
                      <w:lang w:val="en-US" w:eastAsia="zh-CN"/>
                    </w:rPr>
                    <w:t>400</w:t>
                  </w:r>
                  <w:r>
                    <w:rPr>
                      <w:rFonts w:hint="default" w:ascii="Times New Roman" w:hAnsi="Times New Roman" w:eastAsia="宋体" w:cs="Times New Roman"/>
                      <w:i w:val="0"/>
                      <w:iCs w:val="0"/>
                      <w:color w:val="auto"/>
                      <w:sz w:val="21"/>
                      <w:szCs w:val="21"/>
                      <w:highlight w:val="none"/>
                      <w:u w:val="none"/>
                    </w:rPr>
                    <w:t>万平方米/年</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7BD433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i w:val="0"/>
                      <w:iCs w:val="0"/>
                      <w:color w:val="auto"/>
                      <w:sz w:val="21"/>
                      <w:szCs w:val="21"/>
                      <w:highlight w:val="none"/>
                      <w:u w:val="none"/>
                      <w:lang w:val="en-US" w:eastAsia="zh-CN"/>
                    </w:rPr>
                    <w:t>200</w:t>
                  </w:r>
                  <w:r>
                    <w:rPr>
                      <w:rFonts w:hint="eastAsia" w:cs="Times New Roman"/>
                      <w:i w:val="0"/>
                      <w:iCs w:val="0"/>
                      <w:color w:val="auto"/>
                      <w:sz w:val="21"/>
                      <w:szCs w:val="21"/>
                      <w:highlight w:val="none"/>
                      <w:u w:val="none"/>
                      <w:lang w:val="en-US" w:eastAsia="zh-CN"/>
                    </w:rPr>
                    <w:t>万平方米</w:t>
                  </w:r>
                  <w:r>
                    <w:rPr>
                      <w:rFonts w:hint="eastAsia" w:ascii="Times New Roman" w:hAnsi="Times New Roman" w:cs="Times New Roman"/>
                      <w:i w:val="0"/>
                      <w:iCs w:val="0"/>
                      <w:color w:val="auto"/>
                      <w:sz w:val="21"/>
                      <w:szCs w:val="21"/>
                      <w:highlight w:val="none"/>
                      <w:u w:val="none"/>
                      <w:lang w:val="en-US" w:eastAsia="zh-CN"/>
                    </w:rPr>
                    <w:t>/年</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60D6B0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cs="Times New Roman"/>
                      <w:i w:val="0"/>
                      <w:iCs w:val="0"/>
                      <w:color w:val="auto"/>
                      <w:kern w:val="0"/>
                      <w:sz w:val="21"/>
                      <w:szCs w:val="21"/>
                      <w:highlight w:val="none"/>
                      <w:u w:val="none"/>
                      <w:lang w:val="en-US" w:eastAsia="zh-CN" w:bidi="ar"/>
                    </w:rPr>
                    <w:t>生产</w:t>
                  </w:r>
                  <w:r>
                    <w:rPr>
                      <w:rFonts w:hint="default" w:ascii="Times New Roman" w:hAnsi="Times New Roman" w:eastAsia="宋体" w:cs="Times New Roman"/>
                      <w:i w:val="0"/>
                      <w:iCs w:val="0"/>
                      <w:color w:val="auto"/>
                      <w:kern w:val="0"/>
                      <w:sz w:val="21"/>
                      <w:szCs w:val="21"/>
                      <w:highlight w:val="none"/>
                      <w:u w:val="none"/>
                      <w:lang w:val="en-US" w:eastAsia="zh-CN" w:bidi="ar"/>
                    </w:rPr>
                    <w:t>规模</w:t>
                  </w:r>
                  <w:r>
                    <w:rPr>
                      <w:rFonts w:hint="eastAsia" w:ascii="Times New Roman" w:hAnsi="Times New Roman" w:cs="Times New Roman"/>
                      <w:i w:val="0"/>
                      <w:iCs w:val="0"/>
                      <w:color w:val="auto"/>
                      <w:kern w:val="0"/>
                      <w:sz w:val="21"/>
                      <w:szCs w:val="21"/>
                      <w:highlight w:val="none"/>
                      <w:u w:val="none"/>
                      <w:lang w:val="en-US" w:eastAsia="zh-CN" w:bidi="ar"/>
                    </w:rPr>
                    <w:t>近似</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0F5DBB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D1ED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5" w:hRule="atLeast"/>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59E461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源强核算方法</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74BE3C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实测法</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0A899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类比</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0C9A4C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本项目以两个项目数据选取合理值</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85E52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F060F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31" w:hRule="atLeast"/>
              </w:trPr>
              <w:tc>
                <w:tcPr>
                  <w:tcW w:w="544" w:type="pct"/>
                  <w:tcBorders>
                    <w:top w:val="single" w:color="000000" w:sz="4" w:space="0"/>
                    <w:left w:val="single" w:color="000000" w:sz="4" w:space="0"/>
                    <w:bottom w:val="single" w:color="000000" w:sz="4" w:space="0"/>
                    <w:right w:val="single" w:color="000000" w:sz="4" w:space="0"/>
                  </w:tcBorders>
                  <w:noWrap w:val="0"/>
                  <w:vAlign w:val="center"/>
                </w:tcPr>
                <w:p w14:paraId="1F3DA0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环境条件</w:t>
                  </w:r>
                </w:p>
              </w:tc>
              <w:tc>
                <w:tcPr>
                  <w:tcW w:w="1313" w:type="pct"/>
                  <w:tcBorders>
                    <w:top w:val="single" w:color="000000" w:sz="4" w:space="0"/>
                    <w:left w:val="single" w:color="000000" w:sz="4" w:space="0"/>
                    <w:bottom w:val="single" w:color="000000" w:sz="4" w:space="0"/>
                    <w:right w:val="single" w:color="000000" w:sz="4" w:space="0"/>
                  </w:tcBorders>
                  <w:noWrap w:val="0"/>
                  <w:vAlign w:val="center"/>
                </w:tcPr>
                <w:p w14:paraId="7A003E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广东省</w:t>
                  </w:r>
                  <w:r>
                    <w:rPr>
                      <w:rFonts w:hint="eastAsia" w:ascii="Times New Roman" w:hAnsi="Times New Roman" w:cs="Times New Roman"/>
                      <w:i w:val="0"/>
                      <w:iCs w:val="0"/>
                      <w:color w:val="auto"/>
                      <w:kern w:val="0"/>
                      <w:sz w:val="21"/>
                      <w:szCs w:val="21"/>
                      <w:highlight w:val="none"/>
                      <w:u w:val="none"/>
                      <w:lang w:val="en-US" w:eastAsia="zh-CN" w:bidi="ar"/>
                    </w:rPr>
                    <w:t>佛山市</w:t>
                  </w:r>
                </w:p>
              </w:tc>
              <w:tc>
                <w:tcPr>
                  <w:tcW w:w="1120" w:type="pct"/>
                  <w:tcBorders>
                    <w:top w:val="single" w:color="000000" w:sz="4" w:space="0"/>
                    <w:left w:val="single" w:color="000000" w:sz="4" w:space="0"/>
                    <w:bottom w:val="single" w:color="000000" w:sz="4" w:space="0"/>
                    <w:right w:val="single" w:color="000000" w:sz="4" w:space="0"/>
                  </w:tcBorders>
                  <w:noWrap w:val="0"/>
                  <w:vAlign w:val="center"/>
                </w:tcPr>
                <w:p w14:paraId="39E4DD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广东省</w:t>
                  </w:r>
                  <w:r>
                    <w:rPr>
                      <w:rFonts w:hint="eastAsia" w:ascii="Times New Roman" w:hAnsi="Times New Roman" w:cs="Times New Roman"/>
                      <w:i w:val="0"/>
                      <w:iCs w:val="0"/>
                      <w:color w:val="auto"/>
                      <w:kern w:val="0"/>
                      <w:sz w:val="21"/>
                      <w:szCs w:val="21"/>
                      <w:highlight w:val="none"/>
                      <w:u w:val="none"/>
                      <w:lang w:val="en-US" w:eastAsia="zh-CN" w:bidi="ar"/>
                    </w:rPr>
                    <w:t>韶关市</w:t>
                  </w:r>
                </w:p>
              </w:tc>
              <w:tc>
                <w:tcPr>
                  <w:tcW w:w="1492" w:type="pct"/>
                  <w:tcBorders>
                    <w:top w:val="single" w:color="000000" w:sz="4" w:space="0"/>
                    <w:left w:val="single" w:color="000000" w:sz="4" w:space="0"/>
                    <w:bottom w:val="single" w:color="000000" w:sz="4" w:space="0"/>
                    <w:right w:val="single" w:color="000000" w:sz="4" w:space="0"/>
                  </w:tcBorders>
                  <w:noWrap w:val="0"/>
                  <w:vAlign w:val="center"/>
                </w:tcPr>
                <w:p w14:paraId="19064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本项目与</w:t>
                  </w:r>
                  <w:r>
                    <w:rPr>
                      <w:rFonts w:hint="eastAsia" w:ascii="Times New Roman" w:hAnsi="Times New Roman" w:cs="Times New Roman"/>
                      <w:i w:val="0"/>
                      <w:iCs w:val="0"/>
                      <w:color w:val="auto"/>
                      <w:kern w:val="0"/>
                      <w:sz w:val="21"/>
                      <w:szCs w:val="21"/>
                      <w:highlight w:val="none"/>
                      <w:u w:val="none"/>
                      <w:lang w:val="en-US" w:eastAsia="zh-CN" w:bidi="ar"/>
                    </w:rPr>
                    <w:t>类比</w:t>
                  </w:r>
                  <w:r>
                    <w:rPr>
                      <w:rFonts w:hint="default" w:ascii="Times New Roman" w:hAnsi="Times New Roman" w:eastAsia="宋体" w:cs="Times New Roman"/>
                      <w:i w:val="0"/>
                      <w:iCs w:val="0"/>
                      <w:color w:val="auto"/>
                      <w:kern w:val="0"/>
                      <w:sz w:val="21"/>
                      <w:szCs w:val="21"/>
                      <w:highlight w:val="none"/>
                      <w:u w:val="none"/>
                      <w:lang w:val="en-US" w:eastAsia="zh-CN" w:bidi="ar"/>
                    </w:rPr>
                    <w:t>均位于广东省，环境条件相似</w:t>
                  </w:r>
                  <w:r>
                    <w:rPr>
                      <w:rFonts w:hint="eastAsia" w:ascii="Times New Roman" w:hAnsi="Times New Roman" w:cs="Times New Roman"/>
                      <w:i w:val="0"/>
                      <w:iCs w:val="0"/>
                      <w:color w:val="auto"/>
                      <w:kern w:val="0"/>
                      <w:sz w:val="21"/>
                      <w:szCs w:val="21"/>
                      <w:highlight w:val="none"/>
                      <w:u w:val="none"/>
                      <w:lang w:val="en-US" w:eastAsia="zh-CN" w:bidi="ar"/>
                    </w:rPr>
                    <w:t>，规模相似</w:t>
                  </w:r>
                </w:p>
              </w:tc>
              <w:tc>
                <w:tcPr>
                  <w:tcW w:w="528" w:type="pct"/>
                  <w:vMerge w:val="continue"/>
                  <w:tcBorders>
                    <w:top w:val="single" w:color="000000" w:sz="4" w:space="0"/>
                    <w:left w:val="single" w:color="000000" w:sz="4" w:space="0"/>
                    <w:bottom w:val="single" w:color="000000" w:sz="4" w:space="0"/>
                    <w:right w:val="single" w:color="000000" w:sz="4" w:space="0"/>
                  </w:tcBorders>
                  <w:noWrap w:val="0"/>
                  <w:vAlign w:val="center"/>
                </w:tcPr>
                <w:p w14:paraId="223694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5168ADD7">
            <w:pPr>
              <w:keepNext w:val="0"/>
              <w:keepLines w:val="0"/>
              <w:numPr>
                <w:ilvl w:val="0"/>
                <w:numId w:val="0"/>
              </w:numPr>
              <w:suppressLineNumbers w:val="0"/>
              <w:tabs>
                <w:tab w:val="left" w:pos="0"/>
              </w:tabs>
              <w:spacing w:before="0" w:beforeAutospacing="0" w:after="0" w:afterAutospacing="0"/>
              <w:ind w:left="40" w:leftChars="0" w:right="0" w:rightChars="0" w:firstLine="480" w:firstLineChars="200"/>
              <w:rPr>
                <w:rFonts w:hint="eastAsia" w:cs="Times New Roman"/>
                <w:color w:val="auto"/>
                <w:highlight w:val="none"/>
                <w:lang w:val="en-US" w:eastAsia="zh-CN"/>
              </w:rPr>
            </w:pPr>
            <w:r>
              <w:rPr>
                <w:rFonts w:hint="eastAsia" w:cs="Times New Roman"/>
                <w:color w:val="auto"/>
                <w:highlight w:val="none"/>
                <w:lang w:val="en-US" w:eastAsia="zh-CN"/>
              </w:rPr>
              <w:t>类比项目前处理废水验收监测数据如下表。</w:t>
            </w:r>
          </w:p>
          <w:p w14:paraId="6E4D3E52">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表4-21</w:t>
            </w:r>
            <w:r>
              <w:rPr>
                <w:rFonts w:hint="eastAsia" w:cs="Times New Roman"/>
                <w:b/>
                <w:bCs/>
                <w:color w:val="auto"/>
                <w:sz w:val="21"/>
                <w:szCs w:val="21"/>
                <w:highlight w:val="none"/>
                <w:lang w:val="en-US" w:eastAsia="zh-CN"/>
              </w:rPr>
              <w:t>类比项目前处理废水验收监测结果（单位：mg/L）</w:t>
            </w:r>
          </w:p>
          <w:tbl>
            <w:tblPr>
              <w:tblStyle w:val="38"/>
              <w:tblW w:w="1360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515"/>
              <w:gridCol w:w="2019"/>
              <w:gridCol w:w="2019"/>
              <w:gridCol w:w="2025"/>
              <w:gridCol w:w="3027"/>
            </w:tblGrid>
            <w:tr w14:paraId="1605E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28553">
                  <w:pPr>
                    <w:pStyle w:val="43"/>
                    <w:keepNext w:val="0"/>
                    <w:keepLines w:val="0"/>
                    <w:suppressLineNumbers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污染物</w:t>
                  </w:r>
                </w:p>
              </w:tc>
              <w:tc>
                <w:tcPr>
                  <w:tcW w:w="22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56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污染物浓度</w:t>
                  </w:r>
                </w:p>
              </w:tc>
              <w:tc>
                <w:tcPr>
                  <w:tcW w:w="1112" w:type="pct"/>
                  <w:vMerge w:val="restart"/>
                  <w:tcBorders>
                    <w:top w:val="single" w:color="000000" w:sz="4" w:space="0"/>
                    <w:left w:val="single" w:color="000000" w:sz="4" w:space="0"/>
                    <w:right w:val="single" w:color="000000" w:sz="4" w:space="0"/>
                  </w:tcBorders>
                  <w:shd w:val="clear" w:color="auto" w:fill="auto"/>
                  <w:noWrap/>
                  <w:vAlign w:val="center"/>
                </w:tcPr>
                <w:p w14:paraId="38160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宋体" w:hAnsi="宋体" w:eastAsia="宋体" w:cs="宋体"/>
                      <w:b/>
                      <w:bCs/>
                      <w:i w:val="0"/>
                      <w:iCs w:val="0"/>
                      <w:color w:val="auto"/>
                      <w:kern w:val="0"/>
                      <w:sz w:val="21"/>
                      <w:szCs w:val="21"/>
                      <w:highlight w:val="none"/>
                      <w:u w:val="none"/>
                      <w:lang w:val="en-US" w:eastAsia="zh-CN" w:bidi="ar"/>
                    </w:rPr>
                  </w:pPr>
                  <w:r>
                    <w:rPr>
                      <w:rFonts w:hint="eastAsia" w:ascii="宋体" w:hAnsi="宋体" w:cs="宋体"/>
                      <w:b/>
                      <w:bCs/>
                      <w:i w:val="0"/>
                      <w:iCs w:val="0"/>
                      <w:color w:val="auto"/>
                      <w:kern w:val="0"/>
                      <w:sz w:val="21"/>
                      <w:szCs w:val="21"/>
                      <w:highlight w:val="none"/>
                      <w:u w:val="none"/>
                      <w:lang w:val="en-US" w:eastAsia="zh-CN" w:bidi="ar"/>
                    </w:rPr>
                    <w:t>本项目取值</w:t>
                  </w:r>
                </w:p>
              </w:tc>
            </w:tr>
            <w:tr w14:paraId="38168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1FE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B6E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最小值</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3E2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最大值</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E34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平均值</w:t>
                  </w:r>
                </w:p>
              </w:tc>
              <w:tc>
                <w:tcPr>
                  <w:tcW w:w="1112" w:type="pct"/>
                  <w:vMerge w:val="continue"/>
                  <w:tcBorders>
                    <w:left w:val="single" w:color="000000" w:sz="4" w:space="0"/>
                    <w:bottom w:val="single" w:color="000000" w:sz="4" w:space="0"/>
                    <w:right w:val="single" w:color="000000" w:sz="4" w:space="0"/>
                  </w:tcBorders>
                  <w:shd w:val="clear" w:color="auto" w:fill="auto"/>
                  <w:noWrap/>
                  <w:vAlign w:val="center"/>
                </w:tcPr>
                <w:p w14:paraId="700EE7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p>
              </w:tc>
            </w:tr>
            <w:tr w14:paraId="002A4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76F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悬浮物</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0C9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68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0E6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74.0</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1E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74.0</w:t>
                  </w:r>
                </w:p>
              </w:tc>
            </w:tr>
            <w:tr w14:paraId="350B83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BB5D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化学需氧量</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DA8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314</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F2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352</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4AA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321.5</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EC8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150</w:t>
                  </w:r>
                </w:p>
              </w:tc>
            </w:tr>
            <w:tr w14:paraId="4C7804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5ADA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五日生化需氧量</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5A7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89.4</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DE2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106</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813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97.9</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AE1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97.9</w:t>
                  </w:r>
                </w:p>
              </w:tc>
            </w:tr>
            <w:tr w14:paraId="05897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EE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氨氮</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864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0.41</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A73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0.496</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3F3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B9F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643C0D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5D6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石油类</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96D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31.3</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6FE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50.2</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0D5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37.7</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8C6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w:t>
                  </w:r>
                </w:p>
              </w:tc>
            </w:tr>
            <w:tr w14:paraId="03717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B6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阴离子表面活性剂</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8A6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0.53</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9D9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2.26</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F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DBB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r>
            <w:tr w14:paraId="57E17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8" w:hRule="atLeast"/>
                <w:jc w:val="center"/>
              </w:trPr>
              <w:tc>
                <w:tcPr>
                  <w:tcW w:w="16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C1B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氟化物</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9C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2.23</w:t>
                  </w:r>
                </w:p>
              </w:tc>
              <w:tc>
                <w:tcPr>
                  <w:tcW w:w="7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F40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2.33</w:t>
                  </w:r>
                </w:p>
              </w:tc>
              <w:tc>
                <w:tcPr>
                  <w:tcW w:w="7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ED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30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EA1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w:t>
                  </w:r>
                </w:p>
              </w:tc>
            </w:tr>
          </w:tbl>
          <w:p w14:paraId="06EB11EB">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结合本项目生产情况，</w:t>
            </w:r>
            <w:r>
              <w:rPr>
                <w:rFonts w:hint="eastAsia" w:cs="Times New Roman"/>
                <w:color w:val="auto"/>
                <w:sz w:val="24"/>
                <w:highlight w:val="none"/>
                <w:lang w:val="en-US" w:eastAsia="zh-CN"/>
              </w:rPr>
              <w:t>前处理清洗废水</w:t>
            </w:r>
            <w:r>
              <w:rPr>
                <w:rFonts w:hint="default" w:ascii="Times New Roman" w:hAnsi="Times New Roman" w:cs="Times New Roman"/>
                <w:color w:val="auto"/>
                <w:sz w:val="24"/>
                <w:highlight w:val="none"/>
              </w:rPr>
              <w:t>产排情况详见下表。</w:t>
            </w:r>
          </w:p>
          <w:p w14:paraId="444B53DB">
            <w:pPr>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40" w:firstLineChars="0"/>
              <w:jc w:val="center"/>
              <w:textAlignment w:val="auto"/>
              <w:rPr>
                <w:rFonts w:hint="default" w:ascii="Times New Roman" w:hAnsi="Times New Roman" w:cs="Times New Roman"/>
                <w:b/>
                <w:bCs/>
                <w:color w:val="auto"/>
                <w:sz w:val="21"/>
                <w:szCs w:val="21"/>
                <w:highlight w:val="none"/>
              </w:rPr>
            </w:pPr>
            <w:bookmarkStart w:id="160" w:name="OLE_LINK1"/>
            <w:r>
              <w:rPr>
                <w:rFonts w:hint="default" w:ascii="Times New Roman" w:hAnsi="Times New Roman" w:eastAsia="宋体" w:cs="Times New Roman"/>
                <w:b/>
                <w:bCs/>
                <w:color w:val="auto"/>
                <w:kern w:val="2"/>
                <w:sz w:val="21"/>
                <w:szCs w:val="21"/>
                <w:highlight w:val="none"/>
                <w:lang w:val="en-US" w:eastAsia="zh-CN" w:bidi="ar-SA"/>
              </w:rPr>
              <w:t>表4-22</w:t>
            </w:r>
            <w:r>
              <w:rPr>
                <w:rFonts w:hint="default" w:ascii="Times New Roman" w:hAnsi="Times New Roman" w:cs="Times New Roman"/>
                <w:b/>
                <w:bCs/>
                <w:color w:val="auto"/>
                <w:sz w:val="21"/>
                <w:szCs w:val="21"/>
                <w:highlight w:val="none"/>
              </w:rPr>
              <w:t>本项目</w:t>
            </w:r>
            <w:r>
              <w:rPr>
                <w:rFonts w:hint="default" w:ascii="Times New Roman" w:hAnsi="Times New Roman" w:cs="Times New Roman"/>
                <w:b/>
                <w:bCs/>
                <w:color w:val="auto"/>
                <w:sz w:val="21"/>
                <w:szCs w:val="21"/>
                <w:highlight w:val="none"/>
                <w:lang w:val="en-US" w:eastAsia="zh-CN"/>
              </w:rPr>
              <w:t>生产</w:t>
            </w:r>
            <w:r>
              <w:rPr>
                <w:rFonts w:hint="default" w:ascii="Times New Roman" w:hAnsi="Times New Roman" w:cs="Times New Roman"/>
                <w:b/>
                <w:bCs/>
                <w:color w:val="auto"/>
                <w:sz w:val="21"/>
                <w:szCs w:val="21"/>
                <w:highlight w:val="none"/>
              </w:rPr>
              <w:t>废水产排情况一览表</w:t>
            </w:r>
          </w:p>
          <w:tbl>
            <w:tblPr>
              <w:tblStyle w:val="38"/>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613"/>
              <w:gridCol w:w="1582"/>
              <w:gridCol w:w="1433"/>
              <w:gridCol w:w="1365"/>
              <w:gridCol w:w="1365"/>
              <w:gridCol w:w="1969"/>
              <w:gridCol w:w="1427"/>
              <w:gridCol w:w="1841"/>
            </w:tblGrid>
            <w:tr w14:paraId="5E872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543" w:type="pct"/>
                  <w:gridSpan w:val="2"/>
                  <w:shd w:val="clear" w:color="auto" w:fill="auto"/>
                  <w:vAlign w:val="center"/>
                </w:tcPr>
                <w:p w14:paraId="12CA5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废水种类</w:t>
                  </w:r>
                </w:p>
              </w:tc>
              <w:tc>
                <w:tcPr>
                  <w:tcW w:w="527" w:type="pct"/>
                  <w:shd w:val="clear" w:color="auto" w:fill="auto"/>
                  <w:vAlign w:val="center"/>
                </w:tcPr>
                <w:p w14:paraId="7230E6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pH（无量纲）</w:t>
                  </w:r>
                </w:p>
              </w:tc>
              <w:tc>
                <w:tcPr>
                  <w:tcW w:w="502" w:type="pct"/>
                  <w:shd w:val="clear" w:color="auto" w:fill="auto"/>
                  <w:vAlign w:val="center"/>
                </w:tcPr>
                <w:p w14:paraId="06AA5F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COD</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Cr</w:t>
                  </w:r>
                </w:p>
              </w:tc>
              <w:tc>
                <w:tcPr>
                  <w:tcW w:w="502" w:type="pct"/>
                  <w:shd w:val="clear" w:color="auto" w:fill="auto"/>
                  <w:vAlign w:val="center"/>
                </w:tcPr>
                <w:p w14:paraId="6D9DCF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SS</w:t>
                  </w:r>
                </w:p>
              </w:tc>
              <w:tc>
                <w:tcPr>
                  <w:tcW w:w="724" w:type="pct"/>
                  <w:shd w:val="clear" w:color="auto" w:fill="auto"/>
                  <w:vAlign w:val="center"/>
                </w:tcPr>
                <w:p w14:paraId="72E246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阴离子表面活性剂</w:t>
                  </w:r>
                </w:p>
              </w:tc>
              <w:tc>
                <w:tcPr>
                  <w:tcW w:w="525" w:type="pct"/>
                  <w:shd w:val="clear" w:color="auto" w:fill="auto"/>
                  <w:vAlign w:val="center"/>
                </w:tcPr>
                <w:p w14:paraId="56741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氟化物</w:t>
                  </w:r>
                </w:p>
              </w:tc>
              <w:tc>
                <w:tcPr>
                  <w:tcW w:w="674" w:type="pct"/>
                  <w:shd w:val="clear" w:color="auto" w:fill="auto"/>
                  <w:vAlign w:val="center"/>
                </w:tcPr>
                <w:p w14:paraId="4D68DB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石油类</w:t>
                  </w:r>
                </w:p>
              </w:tc>
            </w:tr>
            <w:tr w14:paraId="45D69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61" w:type="pct"/>
                  <w:vMerge w:val="restart"/>
                  <w:shd w:val="clear" w:color="auto" w:fill="auto"/>
                  <w:vAlign w:val="center"/>
                </w:tcPr>
                <w:p w14:paraId="0C25E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前处理清洗废水</w:t>
                  </w:r>
                </w:p>
                <w:p w14:paraId="132D3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8073.6</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581" w:type="pct"/>
                  <w:shd w:val="clear" w:color="auto" w:fill="auto"/>
                  <w:vAlign w:val="center"/>
                </w:tcPr>
                <w:p w14:paraId="6E82E8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产生浓度mg/L</w:t>
                  </w:r>
                </w:p>
              </w:tc>
              <w:tc>
                <w:tcPr>
                  <w:tcW w:w="527" w:type="pct"/>
                  <w:shd w:val="clear" w:color="auto" w:fill="auto"/>
                  <w:vAlign w:val="center"/>
                </w:tcPr>
                <w:p w14:paraId="56E4E8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363" w:type="dxa"/>
                  <w:shd w:val="clear" w:color="auto" w:fill="auto"/>
                  <w:vAlign w:val="center"/>
                </w:tcPr>
                <w:p w14:paraId="4AA7D7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150</w:t>
                  </w:r>
                </w:p>
              </w:tc>
              <w:tc>
                <w:tcPr>
                  <w:tcW w:w="1363" w:type="dxa"/>
                  <w:shd w:val="clear" w:color="auto" w:fill="auto"/>
                  <w:vAlign w:val="center"/>
                </w:tcPr>
                <w:p w14:paraId="422DDB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1966" w:type="dxa"/>
                  <w:shd w:val="clear" w:color="auto" w:fill="auto"/>
                  <w:vAlign w:val="center"/>
                </w:tcPr>
                <w:p w14:paraId="0A7D92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425" w:type="dxa"/>
                  <w:shd w:val="clear" w:color="auto" w:fill="auto"/>
                  <w:vAlign w:val="center"/>
                </w:tcPr>
                <w:p w14:paraId="7781BA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11</w:t>
                  </w:r>
                </w:p>
              </w:tc>
              <w:tc>
                <w:tcPr>
                  <w:tcW w:w="1838" w:type="dxa"/>
                  <w:shd w:val="clear" w:color="auto" w:fill="auto"/>
                  <w:vAlign w:val="center"/>
                </w:tcPr>
                <w:p w14:paraId="2A93F1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10</w:t>
                  </w:r>
                </w:p>
              </w:tc>
            </w:tr>
            <w:tr w14:paraId="2CB64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961" w:type="pct"/>
                  <w:vMerge w:val="continue"/>
                  <w:shd w:val="clear" w:color="auto" w:fill="auto"/>
                  <w:vAlign w:val="center"/>
                </w:tcPr>
                <w:p w14:paraId="08E36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1" w:type="pct"/>
                  <w:shd w:val="clear" w:color="auto" w:fill="auto"/>
                  <w:vAlign w:val="center"/>
                </w:tcPr>
                <w:p w14:paraId="450B5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产生量t/a</w:t>
                  </w:r>
                </w:p>
              </w:tc>
              <w:tc>
                <w:tcPr>
                  <w:tcW w:w="527" w:type="pct"/>
                  <w:shd w:val="clear" w:color="auto" w:fill="auto"/>
                  <w:vAlign w:val="center"/>
                </w:tcPr>
                <w:p w14:paraId="0D03AC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63" w:type="dxa"/>
                  <w:shd w:val="clear" w:color="auto" w:fill="auto"/>
                  <w:vAlign w:val="center"/>
                </w:tcPr>
                <w:p w14:paraId="631C8E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1.211</w:t>
                  </w:r>
                </w:p>
              </w:tc>
              <w:tc>
                <w:tcPr>
                  <w:tcW w:w="1363" w:type="dxa"/>
                  <w:shd w:val="clear" w:color="auto" w:fill="auto"/>
                  <w:vAlign w:val="center"/>
                </w:tcPr>
                <w:p w14:paraId="45344D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0.597</w:t>
                  </w:r>
                </w:p>
              </w:tc>
              <w:tc>
                <w:tcPr>
                  <w:tcW w:w="1966" w:type="dxa"/>
                  <w:shd w:val="clear" w:color="auto" w:fill="auto"/>
                  <w:vAlign w:val="center"/>
                </w:tcPr>
                <w:p w14:paraId="4E0944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0.011</w:t>
                  </w:r>
                </w:p>
              </w:tc>
              <w:tc>
                <w:tcPr>
                  <w:tcW w:w="1425" w:type="dxa"/>
                  <w:shd w:val="clear" w:color="auto" w:fill="auto"/>
                  <w:vAlign w:val="center"/>
                </w:tcPr>
                <w:p w14:paraId="654624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0.089</w:t>
                  </w:r>
                </w:p>
              </w:tc>
              <w:tc>
                <w:tcPr>
                  <w:tcW w:w="1838" w:type="dxa"/>
                  <w:shd w:val="clear" w:color="auto" w:fill="auto"/>
                  <w:vAlign w:val="center"/>
                </w:tcPr>
                <w:p w14:paraId="3193E9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0.081</w:t>
                  </w:r>
                </w:p>
              </w:tc>
            </w:tr>
            <w:tr w14:paraId="2849F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961" w:type="pct"/>
                  <w:vMerge w:val="continue"/>
                  <w:shd w:val="clear" w:color="auto" w:fill="auto"/>
                  <w:vAlign w:val="center"/>
                </w:tcPr>
                <w:p w14:paraId="4F23BF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581" w:type="pct"/>
                  <w:shd w:val="clear" w:color="auto" w:fill="auto"/>
                  <w:vAlign w:val="center"/>
                </w:tcPr>
                <w:p w14:paraId="41E061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处理效率</w:t>
                  </w:r>
                  <w:r>
                    <w:rPr>
                      <w:rFonts w:hint="eastAsia" w:ascii="Times New Roman" w:hAnsi="Times New Roman" w:cs="Times New Roman"/>
                      <w:i w:val="0"/>
                      <w:iCs w:val="0"/>
                      <w:color w:val="auto"/>
                      <w:kern w:val="0"/>
                      <w:sz w:val="21"/>
                      <w:szCs w:val="21"/>
                      <w:highlight w:val="none"/>
                      <w:u w:val="none"/>
                      <w:lang w:val="en-US" w:eastAsia="zh-CN" w:bidi="ar"/>
                    </w:rPr>
                    <w:t>%</w:t>
                  </w:r>
                </w:p>
              </w:tc>
              <w:tc>
                <w:tcPr>
                  <w:tcW w:w="527" w:type="pct"/>
                  <w:shd w:val="clear" w:color="auto" w:fill="auto"/>
                  <w:vAlign w:val="center"/>
                </w:tcPr>
                <w:p w14:paraId="20003C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63" w:type="dxa"/>
                  <w:shd w:val="clear" w:color="auto" w:fill="auto"/>
                  <w:vAlign w:val="center"/>
                </w:tcPr>
                <w:p w14:paraId="51DBF9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70</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63" w:type="dxa"/>
                  <w:shd w:val="clear" w:color="auto" w:fill="auto"/>
                  <w:vAlign w:val="center"/>
                </w:tcPr>
                <w:p w14:paraId="441A82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1966" w:type="dxa"/>
                  <w:shd w:val="clear" w:color="auto" w:fill="auto"/>
                  <w:vAlign w:val="center"/>
                </w:tcPr>
                <w:p w14:paraId="5A020F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425" w:type="dxa"/>
                  <w:shd w:val="clear" w:color="auto" w:fill="auto"/>
                  <w:vAlign w:val="center"/>
                </w:tcPr>
                <w:p w14:paraId="13F238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1838" w:type="dxa"/>
                  <w:shd w:val="clear" w:color="auto" w:fill="auto"/>
                  <w:vAlign w:val="center"/>
                </w:tcPr>
                <w:p w14:paraId="3FD2DE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2D4FE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961" w:type="pct"/>
                  <w:vMerge w:val="continue"/>
                  <w:shd w:val="clear" w:color="auto" w:fill="auto"/>
                  <w:vAlign w:val="center"/>
                </w:tcPr>
                <w:p w14:paraId="535511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p>
              </w:tc>
              <w:tc>
                <w:tcPr>
                  <w:tcW w:w="581" w:type="pct"/>
                  <w:shd w:val="clear" w:color="auto" w:fill="auto"/>
                  <w:vAlign w:val="center"/>
                </w:tcPr>
                <w:p w14:paraId="5ED108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排放浓度mg/L</w:t>
                  </w:r>
                </w:p>
              </w:tc>
              <w:tc>
                <w:tcPr>
                  <w:tcW w:w="527" w:type="pct"/>
                  <w:shd w:val="clear" w:color="auto" w:fill="auto"/>
                  <w:vAlign w:val="center"/>
                </w:tcPr>
                <w:p w14:paraId="424B39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1363" w:type="dxa"/>
                  <w:shd w:val="clear" w:color="auto" w:fill="auto"/>
                  <w:vAlign w:val="center"/>
                </w:tcPr>
                <w:p w14:paraId="6D9DEC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45</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1363" w:type="dxa"/>
                  <w:shd w:val="clear" w:color="auto" w:fill="auto"/>
                  <w:vAlign w:val="center"/>
                </w:tcPr>
                <w:p w14:paraId="134C43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8.88 </w:t>
                  </w:r>
                </w:p>
              </w:tc>
              <w:tc>
                <w:tcPr>
                  <w:tcW w:w="1966" w:type="dxa"/>
                  <w:shd w:val="clear" w:color="auto" w:fill="auto"/>
                  <w:vAlign w:val="center"/>
                </w:tcPr>
                <w:p w14:paraId="2BDC58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1.05 </w:t>
                  </w:r>
                </w:p>
              </w:tc>
              <w:tc>
                <w:tcPr>
                  <w:tcW w:w="1425" w:type="dxa"/>
                  <w:shd w:val="clear" w:color="auto" w:fill="auto"/>
                  <w:vAlign w:val="center"/>
                </w:tcPr>
                <w:p w14:paraId="0BAEAA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3.3</w:t>
                  </w:r>
                </w:p>
              </w:tc>
              <w:tc>
                <w:tcPr>
                  <w:tcW w:w="1838" w:type="dxa"/>
                  <w:shd w:val="clear" w:color="auto" w:fill="auto"/>
                  <w:vAlign w:val="center"/>
                </w:tcPr>
                <w:p w14:paraId="41C737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w:t>
                  </w:r>
                </w:p>
              </w:tc>
            </w:tr>
            <w:tr w14:paraId="271F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9" w:hRule="atLeast"/>
                <w:jc w:val="center"/>
              </w:trPr>
              <w:tc>
                <w:tcPr>
                  <w:tcW w:w="961" w:type="pct"/>
                  <w:vMerge w:val="continue"/>
                  <w:shd w:val="clear" w:color="auto" w:fill="auto"/>
                  <w:vAlign w:val="center"/>
                </w:tcPr>
                <w:p w14:paraId="65ECC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eastAsia="宋体" w:cs="Times New Roman"/>
                      <w:i w:val="0"/>
                      <w:iCs w:val="0"/>
                      <w:color w:val="auto"/>
                      <w:sz w:val="21"/>
                      <w:szCs w:val="21"/>
                      <w:highlight w:val="none"/>
                      <w:u w:val="none"/>
                    </w:rPr>
                  </w:pPr>
                </w:p>
              </w:tc>
              <w:tc>
                <w:tcPr>
                  <w:tcW w:w="581" w:type="pct"/>
                  <w:shd w:val="clear" w:color="auto" w:fill="auto"/>
                  <w:vAlign w:val="center"/>
                </w:tcPr>
                <w:p w14:paraId="445F55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浓度标准mg/L</w:t>
                  </w:r>
                </w:p>
              </w:tc>
              <w:tc>
                <w:tcPr>
                  <w:tcW w:w="527" w:type="pct"/>
                  <w:shd w:val="clear" w:color="auto" w:fill="auto"/>
                  <w:vAlign w:val="center"/>
                </w:tcPr>
                <w:p w14:paraId="1B5119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1363" w:type="dxa"/>
                  <w:shd w:val="clear" w:color="auto" w:fill="auto"/>
                  <w:vAlign w:val="center"/>
                </w:tcPr>
                <w:p w14:paraId="5F541D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80</w:t>
                  </w:r>
                </w:p>
              </w:tc>
              <w:tc>
                <w:tcPr>
                  <w:tcW w:w="1363" w:type="dxa"/>
                  <w:shd w:val="clear" w:color="auto" w:fill="auto"/>
                  <w:vAlign w:val="center"/>
                </w:tcPr>
                <w:p w14:paraId="22D1A0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30</w:t>
                  </w:r>
                </w:p>
              </w:tc>
              <w:tc>
                <w:tcPr>
                  <w:tcW w:w="1966" w:type="dxa"/>
                  <w:shd w:val="clear" w:color="auto" w:fill="auto"/>
                  <w:vAlign w:val="center"/>
                </w:tcPr>
                <w:p w14:paraId="6C8C3A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425" w:type="dxa"/>
                  <w:shd w:val="clear" w:color="auto" w:fill="auto"/>
                  <w:vAlign w:val="center"/>
                </w:tcPr>
                <w:p w14:paraId="52FA70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10</w:t>
                  </w:r>
                </w:p>
              </w:tc>
              <w:tc>
                <w:tcPr>
                  <w:tcW w:w="1838" w:type="dxa"/>
                  <w:shd w:val="clear" w:color="auto" w:fill="auto"/>
                  <w:vAlign w:val="center"/>
                </w:tcPr>
                <w:p w14:paraId="560FCB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2</w:t>
                  </w:r>
                </w:p>
              </w:tc>
            </w:tr>
            <w:tr w14:paraId="4502E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61" w:type="pct"/>
                  <w:vMerge w:val="continue"/>
                  <w:shd w:val="clear" w:color="auto" w:fill="auto"/>
                  <w:vAlign w:val="center"/>
                </w:tcPr>
                <w:p w14:paraId="2B5FC4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eastAsia="宋体" w:cs="Times New Roman"/>
                      <w:i w:val="0"/>
                      <w:iCs w:val="0"/>
                      <w:color w:val="auto"/>
                      <w:sz w:val="21"/>
                      <w:szCs w:val="21"/>
                      <w:highlight w:val="none"/>
                      <w:u w:val="none"/>
                    </w:rPr>
                  </w:pPr>
                </w:p>
              </w:tc>
              <w:tc>
                <w:tcPr>
                  <w:tcW w:w="581" w:type="pct"/>
                  <w:shd w:val="clear" w:color="auto" w:fill="auto"/>
                  <w:vAlign w:val="center"/>
                </w:tcPr>
                <w:p w14:paraId="513265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排放量t/a</w:t>
                  </w:r>
                </w:p>
              </w:tc>
              <w:tc>
                <w:tcPr>
                  <w:tcW w:w="527" w:type="pct"/>
                  <w:shd w:val="clear" w:color="auto" w:fill="auto"/>
                  <w:vAlign w:val="center"/>
                </w:tcPr>
                <w:p w14:paraId="27D926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63" w:type="dxa"/>
                  <w:shd w:val="clear" w:color="auto" w:fill="auto"/>
                  <w:vAlign w:val="center"/>
                </w:tcPr>
                <w:p w14:paraId="20459C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0.363</w:t>
                  </w:r>
                </w:p>
              </w:tc>
              <w:tc>
                <w:tcPr>
                  <w:tcW w:w="1363" w:type="dxa"/>
                  <w:shd w:val="clear" w:color="auto" w:fill="auto"/>
                  <w:vAlign w:val="center"/>
                </w:tcPr>
                <w:p w14:paraId="1821AD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0.072</w:t>
                  </w:r>
                </w:p>
              </w:tc>
              <w:tc>
                <w:tcPr>
                  <w:tcW w:w="1966" w:type="dxa"/>
                  <w:shd w:val="clear" w:color="auto" w:fill="auto"/>
                  <w:vAlign w:val="center"/>
                </w:tcPr>
                <w:p w14:paraId="7198EE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0.008</w:t>
                  </w:r>
                </w:p>
              </w:tc>
              <w:tc>
                <w:tcPr>
                  <w:tcW w:w="1425" w:type="dxa"/>
                  <w:shd w:val="clear" w:color="auto" w:fill="auto"/>
                  <w:vAlign w:val="center"/>
                </w:tcPr>
                <w:p w14:paraId="63D953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0.027</w:t>
                  </w:r>
                </w:p>
              </w:tc>
              <w:tc>
                <w:tcPr>
                  <w:tcW w:w="1838" w:type="dxa"/>
                  <w:shd w:val="clear" w:color="auto" w:fill="auto"/>
                  <w:vAlign w:val="center"/>
                </w:tcPr>
                <w:p w14:paraId="1DB593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0.016</w:t>
                  </w:r>
                </w:p>
              </w:tc>
            </w:tr>
            <w:tr w14:paraId="24973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5" w:hRule="atLeast"/>
                <w:jc w:val="center"/>
              </w:trPr>
              <w:tc>
                <w:tcPr>
                  <w:tcW w:w="5000" w:type="pct"/>
                  <w:gridSpan w:val="8"/>
                  <w:shd w:val="clear" w:color="auto" w:fill="auto"/>
                  <w:vAlign w:val="center"/>
                </w:tcPr>
                <w:p w14:paraId="21B17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注：项目废水排放执行园区污水处理厂接管水质要求、广东省《水污染物排放限值》（DB44/26-2001）第二时段三级标准以及《电镀水污染物排放标准》（DB44/1597-2015）表2新建项目水污染物排放限值三者较严值要求。</w:t>
                  </w:r>
                </w:p>
              </w:tc>
            </w:tr>
            <w:bookmarkEnd w:id="160"/>
          </w:tbl>
          <w:p w14:paraId="46F78FFB">
            <w:pPr>
              <w:pStyle w:val="6"/>
              <w:widowControl/>
              <w:numPr>
                <w:ilvl w:val="4"/>
                <w:numId w:val="0"/>
              </w:numPr>
              <w:suppressLineNumbers w:val="0"/>
              <w:spacing w:before="0" w:beforeAutospacing="0" w:after="0" w:afterAutospacing="0"/>
              <w:ind w:left="0" w:right="0" w:firstLine="480" w:firstLineChars="200"/>
              <w:rPr>
                <w:rFonts w:hint="default" w:ascii="Times New Roman" w:hAnsi="Times New Roman" w:cs="Times New Roman"/>
                <w:color w:val="auto"/>
                <w:kern w:val="2"/>
                <w:highlight w:val="none"/>
              </w:rPr>
            </w:pPr>
            <w:r>
              <w:rPr>
                <w:rFonts w:hint="default" w:ascii="Times New Roman" w:hAnsi="Times New Roman" w:cs="Times New Roman"/>
                <w:b w:val="0"/>
                <w:bCs w:val="0"/>
                <w:color w:val="auto"/>
                <w:kern w:val="2"/>
                <w:highlight w:val="none"/>
              </w:rPr>
              <w:t>综上，本项目用水情况见下表。</w:t>
            </w:r>
          </w:p>
          <w:p w14:paraId="4F543D25">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表4-23</w:t>
            </w:r>
            <w:r>
              <w:rPr>
                <w:rFonts w:hint="default" w:ascii="Times New Roman" w:hAnsi="Times New Roman" w:cs="Times New Roman"/>
                <w:color w:val="auto"/>
                <w:highlight w:val="none"/>
              </w:rPr>
              <w:t>项目用水情况统计表</w:t>
            </w:r>
          </w:p>
          <w:tbl>
            <w:tblPr>
              <w:tblStyle w:val="38"/>
              <w:tblW w:w="13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2659"/>
              <w:gridCol w:w="2175"/>
              <w:gridCol w:w="2697"/>
              <w:gridCol w:w="2697"/>
            </w:tblGrid>
            <w:tr w14:paraId="6C3B1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188" w:type="pct"/>
                  <w:vAlign w:val="center"/>
                </w:tcPr>
                <w:p w14:paraId="1D8AD323">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用水单元</w:t>
                  </w:r>
                </w:p>
              </w:tc>
              <w:tc>
                <w:tcPr>
                  <w:tcW w:w="990" w:type="pct"/>
                  <w:vAlign w:val="center"/>
                </w:tcPr>
                <w:p w14:paraId="0F77D7F4">
                  <w:pPr>
                    <w:pStyle w:val="56"/>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kern w:val="2"/>
                      <w:highlight w:val="none"/>
                      <w:lang w:val="en-US" w:eastAsia="zh-CN"/>
                    </w:rPr>
                  </w:pPr>
                  <w:r>
                    <w:rPr>
                      <w:rFonts w:hint="default" w:ascii="Times New Roman" w:hAnsi="Times New Roman" w:cs="Times New Roman"/>
                      <w:b/>
                      <w:bCs/>
                      <w:color w:val="auto"/>
                      <w:kern w:val="2"/>
                      <w:highlight w:val="none"/>
                    </w:rPr>
                    <w:t>新鲜用水量m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a</w:t>
                  </w:r>
                </w:p>
              </w:tc>
              <w:tc>
                <w:tcPr>
                  <w:tcW w:w="810" w:type="pct"/>
                  <w:vAlign w:val="center"/>
                </w:tcPr>
                <w:p w14:paraId="6143A0B7">
                  <w:pPr>
                    <w:pStyle w:val="56"/>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kern w:val="2"/>
                      <w:highlight w:val="none"/>
                      <w:lang w:eastAsia="zh-CN"/>
                    </w:rPr>
                  </w:pPr>
                  <w:r>
                    <w:rPr>
                      <w:rFonts w:hint="default" w:ascii="Times New Roman" w:hAnsi="Times New Roman" w:cs="Times New Roman"/>
                      <w:b/>
                      <w:bCs/>
                      <w:color w:val="auto"/>
                      <w:kern w:val="2"/>
                      <w:highlight w:val="none"/>
                    </w:rPr>
                    <w:t>损耗量m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default" w:ascii="Times New Roman" w:hAnsi="Times New Roman" w:cs="Times New Roman"/>
                      <w:b/>
                      <w:bCs/>
                      <w:color w:val="auto"/>
                      <w:kern w:val="2"/>
                      <w:highlight w:val="none"/>
                      <w:lang w:val="en-US" w:eastAsia="zh-CN"/>
                    </w:rPr>
                    <w:t>a</w:t>
                  </w:r>
                </w:p>
              </w:tc>
              <w:tc>
                <w:tcPr>
                  <w:tcW w:w="1004" w:type="pct"/>
                  <w:vAlign w:val="center"/>
                </w:tcPr>
                <w:p w14:paraId="713182B9">
                  <w:pPr>
                    <w:pStyle w:val="56"/>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kern w:val="2"/>
                      <w:highlight w:val="none"/>
                      <w:lang w:val="en-US" w:eastAsia="zh-CN"/>
                    </w:rPr>
                  </w:pPr>
                  <w:r>
                    <w:rPr>
                      <w:rFonts w:hint="default" w:ascii="Times New Roman" w:hAnsi="Times New Roman" w:cs="Times New Roman"/>
                      <w:b/>
                      <w:bCs/>
                      <w:color w:val="auto"/>
                      <w:kern w:val="2"/>
                      <w:highlight w:val="none"/>
                    </w:rPr>
                    <w:t>废水外排量m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eastAsia" w:cs="Times New Roman"/>
                      <w:b/>
                      <w:bCs/>
                      <w:color w:val="auto"/>
                      <w:kern w:val="2"/>
                      <w:highlight w:val="none"/>
                      <w:lang w:val="en-US" w:eastAsia="zh-CN"/>
                    </w:rPr>
                    <w:t>d</w:t>
                  </w:r>
                </w:p>
              </w:tc>
              <w:tc>
                <w:tcPr>
                  <w:tcW w:w="1004" w:type="pct"/>
                  <w:vAlign w:val="center"/>
                </w:tcPr>
                <w:p w14:paraId="2FE352A0">
                  <w:pPr>
                    <w:pStyle w:val="56"/>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b/>
                      <w:bCs/>
                      <w:color w:val="auto"/>
                      <w:kern w:val="2"/>
                      <w:highlight w:val="none"/>
                      <w:lang w:eastAsia="zh-CN"/>
                    </w:rPr>
                  </w:pPr>
                  <w:r>
                    <w:rPr>
                      <w:rFonts w:hint="default" w:ascii="Times New Roman" w:hAnsi="Times New Roman" w:cs="Times New Roman"/>
                      <w:b/>
                      <w:bCs/>
                      <w:color w:val="auto"/>
                      <w:kern w:val="2"/>
                      <w:highlight w:val="none"/>
                    </w:rPr>
                    <w:t>废水</w:t>
                  </w:r>
                  <w:r>
                    <w:rPr>
                      <w:rFonts w:hint="default" w:ascii="Times New Roman" w:hAnsi="Times New Roman" w:cs="Times New Roman"/>
                      <w:b/>
                      <w:bCs/>
                      <w:color w:val="auto"/>
                      <w:kern w:val="2"/>
                      <w:highlight w:val="none"/>
                      <w:lang w:val="en-US" w:eastAsia="zh-CN"/>
                    </w:rPr>
                    <w:t>排放量</w:t>
                  </w:r>
                  <w:r>
                    <w:rPr>
                      <w:rFonts w:hint="default" w:ascii="Times New Roman" w:hAnsi="Times New Roman" w:cs="Times New Roman"/>
                      <w:b/>
                      <w:bCs/>
                      <w:color w:val="auto"/>
                      <w:kern w:val="2"/>
                      <w:highlight w:val="none"/>
                    </w:rPr>
                    <w:t>m</w:t>
                  </w:r>
                  <w:r>
                    <w:rPr>
                      <w:rFonts w:hint="default" w:ascii="Times New Roman" w:hAnsi="Times New Roman" w:cs="Times New Roman"/>
                      <w:b/>
                      <w:bCs/>
                      <w:color w:val="auto"/>
                      <w:kern w:val="2"/>
                      <w:highlight w:val="none"/>
                      <w:vertAlign w:val="superscript"/>
                    </w:rPr>
                    <w:t>3</w:t>
                  </w:r>
                  <w:r>
                    <w:rPr>
                      <w:rFonts w:hint="default" w:ascii="Times New Roman" w:hAnsi="Times New Roman" w:cs="Times New Roman"/>
                      <w:b/>
                      <w:bCs/>
                      <w:color w:val="auto"/>
                      <w:kern w:val="2"/>
                      <w:highlight w:val="none"/>
                    </w:rPr>
                    <w:t>/</w:t>
                  </w:r>
                  <w:r>
                    <w:rPr>
                      <w:rFonts w:hint="eastAsia" w:cs="Times New Roman"/>
                      <w:b/>
                      <w:bCs/>
                      <w:color w:val="auto"/>
                      <w:kern w:val="2"/>
                      <w:highlight w:val="none"/>
                      <w:lang w:val="en-US" w:eastAsia="zh-CN"/>
                    </w:rPr>
                    <w:t>a</w:t>
                  </w:r>
                </w:p>
              </w:tc>
            </w:tr>
            <w:tr w14:paraId="0A3DD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88" w:type="pct"/>
                  <w:vAlign w:val="center"/>
                </w:tcPr>
                <w:p w14:paraId="0AD7E1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员工办公生活用水</w:t>
                  </w:r>
                </w:p>
              </w:tc>
              <w:tc>
                <w:tcPr>
                  <w:tcW w:w="2659" w:type="dxa"/>
                  <w:vAlign w:val="center"/>
                </w:tcPr>
                <w:p w14:paraId="7E3B0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2250</w:t>
                  </w:r>
                </w:p>
              </w:tc>
              <w:tc>
                <w:tcPr>
                  <w:tcW w:w="2175" w:type="dxa"/>
                  <w:vAlign w:val="center"/>
                </w:tcPr>
                <w:p w14:paraId="517523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225</w:t>
                  </w:r>
                </w:p>
              </w:tc>
              <w:tc>
                <w:tcPr>
                  <w:tcW w:w="2697" w:type="dxa"/>
                  <w:vAlign w:val="center"/>
                </w:tcPr>
                <w:p w14:paraId="5F5789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6.75</w:t>
                  </w:r>
                </w:p>
              </w:tc>
              <w:tc>
                <w:tcPr>
                  <w:tcW w:w="2697" w:type="dxa"/>
                  <w:vAlign w:val="center"/>
                </w:tcPr>
                <w:p w14:paraId="22404B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2025</w:t>
                  </w:r>
                </w:p>
              </w:tc>
            </w:tr>
            <w:tr w14:paraId="487AD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88" w:type="pct"/>
                  <w:vAlign w:val="center"/>
                </w:tcPr>
                <w:p w14:paraId="72F60A2E">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bidi="ar"/>
                    </w:rPr>
                    <w:t>前处理</w:t>
                  </w:r>
                  <w:r>
                    <w:rPr>
                      <w:rFonts w:hint="default" w:ascii="Times New Roman" w:hAnsi="Times New Roman" w:cs="Times New Roman"/>
                      <w:color w:val="auto"/>
                      <w:kern w:val="0"/>
                      <w:sz w:val="21"/>
                      <w:szCs w:val="21"/>
                      <w:highlight w:val="none"/>
                      <w:lang w:bidi="ar"/>
                    </w:rPr>
                    <w:t>清洗用水</w:t>
                  </w:r>
                </w:p>
              </w:tc>
              <w:tc>
                <w:tcPr>
                  <w:tcW w:w="2659" w:type="dxa"/>
                  <w:vAlign w:val="center"/>
                </w:tcPr>
                <w:p w14:paraId="21BCC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13221.6</w:t>
                  </w:r>
                </w:p>
              </w:tc>
              <w:tc>
                <w:tcPr>
                  <w:tcW w:w="2175" w:type="dxa"/>
                  <w:vAlign w:val="center"/>
                </w:tcPr>
                <w:p w14:paraId="10C72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5164.8</w:t>
                  </w:r>
                </w:p>
              </w:tc>
              <w:tc>
                <w:tcPr>
                  <w:tcW w:w="2697" w:type="dxa"/>
                  <w:vAlign w:val="center"/>
                </w:tcPr>
                <w:p w14:paraId="1E0F8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26.91</w:t>
                  </w:r>
                </w:p>
              </w:tc>
              <w:tc>
                <w:tcPr>
                  <w:tcW w:w="2697" w:type="dxa"/>
                  <w:vAlign w:val="center"/>
                </w:tcPr>
                <w:p w14:paraId="226542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8073.6</w:t>
                  </w:r>
                </w:p>
              </w:tc>
            </w:tr>
            <w:tr w14:paraId="3D4D0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188" w:type="pct"/>
                  <w:vAlign w:val="center"/>
                </w:tcPr>
                <w:p w14:paraId="3CF5F93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合计</w:t>
                  </w:r>
                </w:p>
              </w:tc>
              <w:tc>
                <w:tcPr>
                  <w:tcW w:w="2659" w:type="dxa"/>
                  <w:vAlign w:val="center"/>
                </w:tcPr>
                <w:p w14:paraId="19FADF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15471.6</w:t>
                  </w:r>
                </w:p>
              </w:tc>
              <w:tc>
                <w:tcPr>
                  <w:tcW w:w="2175" w:type="dxa"/>
                  <w:vAlign w:val="center"/>
                </w:tcPr>
                <w:p w14:paraId="1B68F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5389.8</w:t>
                  </w:r>
                </w:p>
              </w:tc>
              <w:tc>
                <w:tcPr>
                  <w:tcW w:w="2697" w:type="dxa"/>
                  <w:vAlign w:val="center"/>
                </w:tcPr>
                <w:p w14:paraId="67E5A2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33.66</w:t>
                  </w:r>
                </w:p>
              </w:tc>
              <w:tc>
                <w:tcPr>
                  <w:tcW w:w="2697" w:type="dxa"/>
                  <w:vAlign w:val="center"/>
                </w:tcPr>
                <w:p w14:paraId="3F3002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10098.6</w:t>
                  </w:r>
                </w:p>
              </w:tc>
            </w:tr>
          </w:tbl>
          <w:p w14:paraId="2F32080B">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生活污水经“三级化粪池</w:t>
            </w:r>
            <w:r>
              <w:rPr>
                <w:rFonts w:hint="eastAsia" w:cs="Times New Roman"/>
                <w:color w:val="auto"/>
                <w:highlight w:val="none"/>
                <w:lang w:val="en-US" w:eastAsia="zh-CN"/>
              </w:rPr>
              <w:t>、隔油隔渣池</w:t>
            </w:r>
            <w:r>
              <w:rPr>
                <w:rFonts w:hint="default" w:ascii="Times New Roman" w:hAnsi="Times New Roman" w:cs="Times New Roman"/>
                <w:color w:val="auto"/>
                <w:highlight w:val="none"/>
                <w:lang w:val="en-US" w:eastAsia="zh-CN"/>
              </w:rPr>
              <w:t>”处理；</w:t>
            </w:r>
            <w:r>
              <w:rPr>
                <w:rFonts w:hint="default" w:ascii="Times New Roman" w:hAnsi="Times New Roman" w:cs="Times New Roman"/>
                <w:color w:val="auto"/>
                <w:highlight w:val="none"/>
              </w:rPr>
              <w:t>生产废水经“中和调节+混凝沉淀+气浮+化学除氟”处理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两股废水处理后达到广东省地方标准《水污染物排放限值》（DB44/26-2001）第二时段三级标准及园区污水处理厂接管水质要求两者较严值要求后，</w:t>
            </w:r>
            <w:r>
              <w:rPr>
                <w:rFonts w:hint="default" w:ascii="Times New Roman" w:hAnsi="Times New Roman" w:cs="Times New Roman"/>
                <w:color w:val="auto"/>
                <w:highlight w:val="none"/>
              </w:rPr>
              <w:t>排入园区污水处理厂处理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项目设置一个废水总排口，生活污水和生产废水经各自处理后混合排入园区污水处理厂，项目综合废水排放情况如下表所示。</w:t>
            </w:r>
          </w:p>
          <w:p w14:paraId="671806A0">
            <w:pPr>
              <w:keepNext/>
              <w:keepLines/>
              <w:numPr>
                <w:ilvl w:val="0"/>
                <w:numId w:val="0"/>
              </w:numPr>
              <w:suppressLineNumbers w:val="0"/>
              <w:tabs>
                <w:tab w:val="left" w:pos="0"/>
              </w:tabs>
              <w:spacing w:before="0" w:beforeAutospacing="0" w:after="0" w:afterAutospacing="0"/>
              <w:ind w:left="0" w:leftChars="0" w:right="0" w:rightChars="0" w:firstLine="40" w:firstLineChars="0"/>
              <w:jc w:val="center"/>
              <w:outlineLvl w:val="3"/>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表4-24</w:t>
            </w:r>
            <w:r>
              <w:rPr>
                <w:rFonts w:hint="default" w:ascii="Times New Roman" w:hAnsi="Times New Roman" w:cs="Times New Roman"/>
                <w:b/>
                <w:bCs/>
                <w:color w:val="auto"/>
                <w:sz w:val="21"/>
                <w:szCs w:val="21"/>
                <w:highlight w:val="none"/>
                <w:lang w:val="en-US" w:eastAsia="zh-CN"/>
              </w:rPr>
              <w:t>本项目综合废水排放情况表</w:t>
            </w:r>
          </w:p>
          <w:tbl>
            <w:tblPr>
              <w:tblStyle w:val="38"/>
              <w:tblW w:w="136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00"/>
              <w:gridCol w:w="2408"/>
              <w:gridCol w:w="3586"/>
              <w:gridCol w:w="2013"/>
              <w:gridCol w:w="1707"/>
              <w:gridCol w:w="1516"/>
            </w:tblGrid>
            <w:tr w14:paraId="7C95CA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F36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w:t>
                  </w:r>
                </w:p>
              </w:tc>
              <w:tc>
                <w:tcPr>
                  <w:tcW w:w="8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034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废水产生量</w:t>
                  </w:r>
                </w:p>
              </w:tc>
              <w:tc>
                <w:tcPr>
                  <w:tcW w:w="13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1B3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主要污染物</w:t>
                  </w:r>
                </w:p>
              </w:tc>
              <w:tc>
                <w:tcPr>
                  <w:tcW w:w="7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062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排放浓度</w:t>
                  </w:r>
                </w:p>
              </w:tc>
              <w:tc>
                <w:tcPr>
                  <w:tcW w:w="118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6A9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w:t>
                  </w:r>
                  <w:r>
                    <w:rPr>
                      <w:rFonts w:hint="eastAsia" w:ascii="宋体" w:hAnsi="宋体" w:cs="宋体"/>
                      <w:b/>
                      <w:bCs/>
                      <w:i w:val="0"/>
                      <w:iCs w:val="0"/>
                      <w:color w:val="auto"/>
                      <w:kern w:val="0"/>
                      <w:sz w:val="21"/>
                      <w:szCs w:val="21"/>
                      <w:highlight w:val="none"/>
                      <w:u w:val="none"/>
                      <w:lang w:val="en-US" w:eastAsia="zh-CN" w:bidi="ar"/>
                    </w:rPr>
                    <w:t>排放</w:t>
                  </w:r>
                  <w:r>
                    <w:rPr>
                      <w:rFonts w:hint="eastAsia" w:ascii="宋体" w:hAnsi="宋体" w:eastAsia="宋体" w:cs="宋体"/>
                      <w:b/>
                      <w:bCs/>
                      <w:i w:val="0"/>
                      <w:iCs w:val="0"/>
                      <w:color w:val="auto"/>
                      <w:kern w:val="0"/>
                      <w:sz w:val="21"/>
                      <w:szCs w:val="21"/>
                      <w:highlight w:val="none"/>
                      <w:u w:val="none"/>
                      <w:lang w:val="en-US" w:eastAsia="zh-CN" w:bidi="ar"/>
                    </w:rPr>
                    <w:t>量</w:t>
                  </w:r>
                </w:p>
              </w:tc>
            </w:tr>
            <w:tr w14:paraId="152DB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B9B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8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41AF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/a</w:t>
                  </w:r>
                </w:p>
              </w:tc>
              <w:tc>
                <w:tcPr>
                  <w:tcW w:w="13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66E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b/>
                      <w:bCs/>
                      <w:i w:val="0"/>
                      <w:iCs w:val="0"/>
                      <w:color w:val="auto"/>
                      <w:sz w:val="21"/>
                      <w:szCs w:val="21"/>
                      <w:highlight w:val="none"/>
                      <w:u w:val="none"/>
                    </w:rPr>
                  </w:pPr>
                </w:p>
              </w:tc>
              <w:tc>
                <w:tcPr>
                  <w:tcW w:w="7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728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mg/L</w:t>
                  </w:r>
                </w:p>
              </w:tc>
              <w:tc>
                <w:tcPr>
                  <w:tcW w:w="6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710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kg/d</w:t>
                  </w:r>
                </w:p>
              </w:tc>
              <w:tc>
                <w:tcPr>
                  <w:tcW w:w="5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AD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r>
            <w:tr w14:paraId="477C8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880" w:type="pct"/>
                  <w:vMerge w:val="restart"/>
                  <w:tcBorders>
                    <w:top w:val="single" w:color="000000" w:sz="4" w:space="0"/>
                    <w:left w:val="single" w:color="000000" w:sz="4" w:space="0"/>
                    <w:right w:val="single" w:color="000000" w:sz="4" w:space="0"/>
                  </w:tcBorders>
                  <w:shd w:val="clear" w:color="auto" w:fill="auto"/>
                  <w:vAlign w:val="center"/>
                </w:tcPr>
                <w:p w14:paraId="1FE54D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生活污水</w:t>
                  </w:r>
                </w:p>
              </w:tc>
              <w:tc>
                <w:tcPr>
                  <w:tcW w:w="883" w:type="pct"/>
                  <w:vMerge w:val="restart"/>
                  <w:tcBorders>
                    <w:top w:val="single" w:color="000000" w:sz="4" w:space="0"/>
                    <w:left w:val="single" w:color="000000" w:sz="4" w:space="0"/>
                    <w:right w:val="single" w:color="000000" w:sz="4" w:space="0"/>
                  </w:tcBorders>
                  <w:shd w:val="clear" w:color="auto" w:fill="auto"/>
                  <w:vAlign w:val="center"/>
                </w:tcPr>
                <w:p w14:paraId="5D0A8D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2025</w:t>
                  </w: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D55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730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6917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1.35</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56C7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0.4048</w:t>
                  </w:r>
                </w:p>
              </w:tc>
            </w:tr>
            <w:tr w14:paraId="22319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880" w:type="pct"/>
                  <w:vMerge w:val="continue"/>
                  <w:tcBorders>
                    <w:left w:val="single" w:color="000000" w:sz="4" w:space="0"/>
                    <w:right w:val="single" w:color="000000" w:sz="4" w:space="0"/>
                  </w:tcBorders>
                  <w:shd w:val="clear" w:color="auto" w:fill="auto"/>
                  <w:vAlign w:val="center"/>
                </w:tcPr>
                <w:p w14:paraId="35C5EB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1" w:name="OLE_LINK9" w:colFirst="4" w:colLast="5"/>
                </w:p>
              </w:tc>
              <w:tc>
                <w:tcPr>
                  <w:tcW w:w="883" w:type="pct"/>
                  <w:vMerge w:val="continue"/>
                  <w:tcBorders>
                    <w:left w:val="single" w:color="000000" w:sz="4" w:space="0"/>
                    <w:right w:val="single" w:color="000000" w:sz="4" w:space="0"/>
                  </w:tcBorders>
                  <w:shd w:val="clear" w:color="auto" w:fill="auto"/>
                  <w:vAlign w:val="center"/>
                </w:tcPr>
                <w:p w14:paraId="715CCD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E75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CC64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142.5</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3BA3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0.96</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51E6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r>
            <w:bookmarkEnd w:id="161"/>
            <w:tr w14:paraId="6786E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left w:val="single" w:color="000000" w:sz="4" w:space="0"/>
                    <w:right w:val="single" w:color="000000" w:sz="4" w:space="0"/>
                  </w:tcBorders>
                  <w:shd w:val="clear" w:color="auto" w:fill="auto"/>
                  <w:vAlign w:val="center"/>
                </w:tcPr>
                <w:p w14:paraId="2213FA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2" w:name="OLE_LINK11" w:colFirst="4" w:colLast="5"/>
                </w:p>
              </w:tc>
              <w:tc>
                <w:tcPr>
                  <w:tcW w:w="883" w:type="pct"/>
                  <w:vMerge w:val="continue"/>
                  <w:tcBorders>
                    <w:left w:val="single" w:color="000000" w:sz="4" w:space="0"/>
                    <w:right w:val="single" w:color="000000" w:sz="4" w:space="0"/>
                  </w:tcBorders>
                  <w:shd w:val="clear" w:color="auto" w:fill="auto"/>
                  <w:vAlign w:val="center"/>
                </w:tcPr>
                <w:p w14:paraId="7F25D3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902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690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CC76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0.71</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9728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0.2128</w:t>
                  </w:r>
                </w:p>
              </w:tc>
            </w:tr>
            <w:bookmarkEnd w:id="162"/>
            <w:tr w14:paraId="4C5D7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left w:val="single" w:color="000000" w:sz="4" w:space="0"/>
                    <w:right w:val="single" w:color="000000" w:sz="4" w:space="0"/>
                  </w:tcBorders>
                  <w:shd w:val="clear" w:color="auto" w:fill="auto"/>
                  <w:vAlign w:val="center"/>
                </w:tcPr>
                <w:p w14:paraId="782EC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left w:val="single" w:color="000000" w:sz="4" w:space="0"/>
                    <w:right w:val="single" w:color="000000" w:sz="4" w:space="0"/>
                  </w:tcBorders>
                  <w:shd w:val="clear" w:color="auto" w:fill="auto"/>
                  <w:vAlign w:val="center"/>
                </w:tcPr>
                <w:p w14:paraId="10004C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F35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9657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057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B7B6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r>
            <w:tr w14:paraId="2B04F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880" w:type="pct"/>
                  <w:vMerge w:val="continue"/>
                  <w:tcBorders>
                    <w:left w:val="single" w:color="000000" w:sz="4" w:space="0"/>
                    <w:right w:val="single" w:color="000000" w:sz="4" w:space="0"/>
                  </w:tcBorders>
                  <w:shd w:val="clear" w:color="auto" w:fill="auto"/>
                  <w:vAlign w:val="center"/>
                </w:tcPr>
                <w:p w14:paraId="791295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3" w:name="OLE_LINK5" w:colFirst="4" w:colLast="5"/>
                </w:p>
              </w:tc>
              <w:tc>
                <w:tcPr>
                  <w:tcW w:w="883" w:type="pct"/>
                  <w:vMerge w:val="continue"/>
                  <w:tcBorders>
                    <w:left w:val="single" w:color="000000" w:sz="4" w:space="0"/>
                    <w:right w:val="single" w:color="000000" w:sz="4" w:space="0"/>
                  </w:tcBorders>
                  <w:shd w:val="clear" w:color="auto" w:fill="auto"/>
                  <w:vAlign w:val="center"/>
                </w:tcPr>
                <w:p w14:paraId="7002A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DC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总磷</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759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6CD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EE5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150349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left w:val="single" w:color="000000" w:sz="4" w:space="0"/>
                    <w:bottom w:val="single" w:color="000000" w:sz="4" w:space="0"/>
                    <w:right w:val="single" w:color="000000" w:sz="4" w:space="0"/>
                  </w:tcBorders>
                  <w:shd w:val="clear" w:color="auto" w:fill="auto"/>
                  <w:vAlign w:val="center"/>
                </w:tcPr>
                <w:p w14:paraId="3D8912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4" w:name="OLE_LINK10" w:colFirst="4" w:colLast="5"/>
                </w:p>
              </w:tc>
              <w:tc>
                <w:tcPr>
                  <w:tcW w:w="883" w:type="pct"/>
                  <w:vMerge w:val="continue"/>
                  <w:tcBorders>
                    <w:left w:val="single" w:color="000000" w:sz="4" w:space="0"/>
                    <w:bottom w:val="single" w:color="000000" w:sz="4" w:space="0"/>
                    <w:right w:val="single" w:color="000000" w:sz="4" w:space="0"/>
                  </w:tcBorders>
                  <w:shd w:val="clear" w:color="auto" w:fill="auto"/>
                  <w:vAlign w:val="center"/>
                </w:tcPr>
                <w:p w14:paraId="37A502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B5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动植物油</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E5DF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3870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0C1E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r>
            <w:bookmarkEnd w:id="163"/>
            <w:tr w14:paraId="0C4BF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07BD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前处理废水</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594F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8073.6</w:t>
                  </w: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9C59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4079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4711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1.21</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4F8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0.363</w:t>
                  </w:r>
                </w:p>
              </w:tc>
            </w:tr>
            <w:bookmarkEnd w:id="164"/>
            <w:tr w14:paraId="4C4EBE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6058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098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19E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DE6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8.88</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9E27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0.24</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1FFD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r>
            <w:tr w14:paraId="2F6E9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503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5" w:name="OLE_LINK6" w:colFirst="4" w:colLast="5"/>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9238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8AA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阴离子表面活性剂</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C45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E04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E37D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bookmarkEnd w:id="165"/>
            <w:tr w14:paraId="74C07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175E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6" w:name="OLE_LINK7" w:colFirst="4" w:colLast="5"/>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4B67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46DD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氟化物</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CBC7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7F69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CC94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r>
            <w:bookmarkEnd w:id="166"/>
            <w:tr w14:paraId="1CB78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AD5C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bookmarkStart w:id="167" w:name="OLE_LINK8" w:colFirst="4" w:colLast="5"/>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395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356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石油类</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8073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F7C1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4431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r>
            <w:bookmarkEnd w:id="167"/>
            <w:tr w14:paraId="6D84B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EC5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bookmarkStart w:id="168" w:name="OLE_LINK18" w:colFirst="5" w:colLast="5"/>
                  <w:bookmarkStart w:id="169" w:name="OLE_LINK21" w:colFirst="4" w:colLast="4"/>
                  <w:r>
                    <w:rPr>
                      <w:rFonts w:hint="eastAsia" w:ascii="宋体" w:hAnsi="宋体" w:eastAsia="宋体" w:cs="宋体"/>
                      <w:i w:val="0"/>
                      <w:iCs w:val="0"/>
                      <w:color w:val="auto"/>
                      <w:kern w:val="0"/>
                      <w:sz w:val="21"/>
                      <w:szCs w:val="21"/>
                      <w:highlight w:val="none"/>
                      <w:u w:val="none"/>
                      <w:lang w:val="en-US" w:eastAsia="zh-CN" w:bidi="ar"/>
                    </w:rPr>
                    <w:t>综合废水</w:t>
                  </w:r>
                </w:p>
              </w:tc>
              <w:tc>
                <w:tcPr>
                  <w:tcW w:w="88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C6D0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10098.6</w:t>
                  </w: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055D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F908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76.03</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56EE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1894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0.7678</w:t>
                  </w:r>
                </w:p>
              </w:tc>
            </w:tr>
            <w:tr w14:paraId="0510B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932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E407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5E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DB88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28.6</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C663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0.96</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567D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r>
            <w:tr w14:paraId="5AE56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70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47F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F07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9B79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28.2</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BFBA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0.95</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AA14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0.2848</w:t>
                  </w:r>
                </w:p>
              </w:tc>
            </w:tr>
            <w:tr w14:paraId="572E93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47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EB93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F8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17FC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6.04</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FE4E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D8D3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r>
            <w:tr w14:paraId="3A8AB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C87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BD6F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A60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总磷</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41D5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3168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3B45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0D00E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CDB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C72C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7CE3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阴离子表面活性剂</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F6A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0BB6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ED8D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1E64BA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57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65BF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D21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氟化物</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54F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2.67</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18D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0.09</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6F12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r>
            <w:tr w14:paraId="60EAE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727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09D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BD7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动植物油</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7E27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7829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4F90E">
                  <w:pPr>
                    <w:keepNext w:val="0"/>
                    <w:keepLines w:val="0"/>
                    <w:widowControl/>
                    <w:suppressLineNumbers w:val="0"/>
                    <w:spacing w:before="0" w:beforeAutospacing="0" w:after="0" w:afterAutospacing="0" w:line="240" w:lineRule="auto"/>
                    <w:ind w:left="0" w:right="0"/>
                    <w:jc w:val="center"/>
                    <w:textAlignment w:val="center"/>
                    <w:rPr>
                      <w:rFonts w:hint="eastAsia"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r>
            <w:tr w14:paraId="21350D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F51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eastAsia" w:ascii="宋体" w:hAnsi="宋体" w:eastAsia="宋体" w:cs="宋体"/>
                      <w:i w:val="0"/>
                      <w:iCs w:val="0"/>
                      <w:color w:val="auto"/>
                      <w:sz w:val="21"/>
                      <w:szCs w:val="21"/>
                      <w:highlight w:val="none"/>
                      <w:u w:val="none"/>
                    </w:rPr>
                  </w:pPr>
                </w:p>
              </w:tc>
              <w:tc>
                <w:tcPr>
                  <w:tcW w:w="88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72A8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3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5E4B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石油类</w:t>
                  </w:r>
                </w:p>
              </w:tc>
              <w:tc>
                <w:tcPr>
                  <w:tcW w:w="20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7A2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1.58</w:t>
                  </w:r>
                </w:p>
              </w:tc>
              <w:tc>
                <w:tcPr>
                  <w:tcW w:w="1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DCF6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5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3191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r>
            <w:bookmarkEnd w:id="168"/>
            <w:bookmarkEnd w:id="169"/>
          </w:tbl>
          <w:p w14:paraId="454057D4">
            <w:pPr>
              <w:pStyle w:val="43"/>
              <w:keepNext w:val="0"/>
              <w:keepLines w:val="0"/>
              <w:suppressLineNumbers w:val="0"/>
              <w:spacing w:before="0" w:beforeAutospacing="0" w:after="0" w:afterAutospacing="0"/>
              <w:ind w:left="0" w:right="0"/>
              <w:rPr>
                <w:rFonts w:hint="default"/>
                <w:color w:val="auto"/>
                <w:highlight w:val="none"/>
                <w:lang w:val="en-US" w:eastAsia="zh-CN"/>
              </w:rPr>
            </w:pPr>
          </w:p>
          <w:p w14:paraId="09731FDF">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bidi="ar-SA"/>
              </w:rPr>
              <w:t>表4-25</w:t>
            </w:r>
            <w:r>
              <w:rPr>
                <w:rFonts w:hint="default" w:ascii="Times New Roman" w:hAnsi="Times New Roman" w:cs="Times New Roman"/>
                <w:b/>
                <w:bCs/>
                <w:color w:val="auto"/>
                <w:sz w:val="21"/>
                <w:szCs w:val="21"/>
                <w:highlight w:val="none"/>
                <w:vertAlign w:val="baseline"/>
                <w:lang w:val="en-US" w:eastAsia="zh-CN"/>
              </w:rPr>
              <w:t>本项目废水污染源源强核算结果及相关参数一览表</w:t>
            </w:r>
          </w:p>
          <w:tbl>
            <w:tblPr>
              <w:tblStyle w:val="38"/>
              <w:tblW w:w="497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5"/>
              <w:gridCol w:w="1207"/>
              <w:gridCol w:w="912"/>
              <w:gridCol w:w="996"/>
              <w:gridCol w:w="1123"/>
              <w:gridCol w:w="1085"/>
              <w:gridCol w:w="787"/>
              <w:gridCol w:w="724"/>
              <w:gridCol w:w="933"/>
              <w:gridCol w:w="941"/>
              <w:gridCol w:w="1069"/>
              <w:gridCol w:w="1123"/>
              <w:gridCol w:w="1180"/>
              <w:gridCol w:w="741"/>
            </w:tblGrid>
            <w:tr w14:paraId="266A5F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90" w:hRule="atLeast"/>
                <w:jc w:val="center"/>
              </w:trPr>
              <w:tc>
                <w:tcPr>
                  <w:tcW w:w="2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A7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类别</w:t>
                  </w:r>
                </w:p>
              </w:tc>
              <w:tc>
                <w:tcPr>
                  <w:tcW w:w="4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2B25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517"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4499F7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污染物产生情况</w:t>
                  </w:r>
                </w:p>
              </w:tc>
              <w:tc>
                <w:tcPr>
                  <w:tcW w:w="90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03016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治理措施基本情况</w:t>
                  </w:r>
                </w:p>
              </w:tc>
              <w:tc>
                <w:tcPr>
                  <w:tcW w:w="159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6226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污染物排放情况</w:t>
                  </w:r>
                </w:p>
              </w:tc>
              <w:tc>
                <w:tcPr>
                  <w:tcW w:w="2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FB58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排放时间</w:t>
                  </w:r>
                </w:p>
              </w:tc>
            </w:tr>
            <w:tr w14:paraId="1B944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 w:hRule="atLeast"/>
                <w:jc w:val="center"/>
              </w:trPr>
              <w:tc>
                <w:tcPr>
                  <w:tcW w:w="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5B5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EEE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C09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3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93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废水量产生量（t/a）</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615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产生浓度（mg/L）</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10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产生量（t/a）</w:t>
                  </w:r>
                </w:p>
              </w:tc>
              <w:tc>
                <w:tcPr>
                  <w:tcW w:w="290" w:type="pct"/>
                  <w:tcBorders>
                    <w:top w:val="single" w:color="000000" w:sz="4" w:space="0"/>
                    <w:left w:val="single" w:color="000000" w:sz="4" w:space="0"/>
                    <w:right w:val="single" w:color="000000" w:sz="4" w:space="0"/>
                  </w:tcBorders>
                  <w:shd w:val="clear" w:color="auto" w:fill="auto"/>
                  <w:vAlign w:val="center"/>
                </w:tcPr>
                <w:p w14:paraId="29B6F8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w:t>
                  </w:r>
                </w:p>
                <w:p w14:paraId="34168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274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治理效率</w:t>
                  </w:r>
                </w:p>
              </w:tc>
              <w:tc>
                <w:tcPr>
                  <w:tcW w:w="3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FC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是否为可行技术</w:t>
                  </w:r>
                </w:p>
              </w:tc>
              <w:tc>
                <w:tcPr>
                  <w:tcW w:w="347" w:type="pct"/>
                  <w:tcBorders>
                    <w:top w:val="single" w:color="000000" w:sz="4" w:space="0"/>
                    <w:left w:val="single" w:color="000000" w:sz="4" w:space="0"/>
                    <w:right w:val="single" w:color="000000" w:sz="4" w:space="0"/>
                  </w:tcBorders>
                  <w:shd w:val="clear" w:color="auto" w:fill="auto"/>
                  <w:vAlign w:val="center"/>
                </w:tcPr>
                <w:p w14:paraId="589438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w:t>
                  </w:r>
                </w:p>
                <w:p w14:paraId="1C9EE3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方法</w:t>
                  </w:r>
                </w:p>
              </w:tc>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76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废水排放量（t/a）</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63E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6B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排放量（t/a）</w:t>
                  </w:r>
                </w:p>
              </w:tc>
              <w:tc>
                <w:tcPr>
                  <w:tcW w:w="2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6C5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5BB06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1" w:type="pct"/>
                  <w:vMerge w:val="restart"/>
                  <w:tcBorders>
                    <w:top w:val="single" w:color="000000" w:sz="4" w:space="0"/>
                    <w:left w:val="single" w:color="000000" w:sz="4" w:space="0"/>
                    <w:right w:val="single" w:color="000000" w:sz="4" w:space="0"/>
                  </w:tcBorders>
                  <w:shd w:val="clear" w:color="auto" w:fill="auto"/>
                  <w:vAlign w:val="center"/>
                </w:tcPr>
                <w:p w14:paraId="3150C2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A0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336" w:type="pct"/>
                  <w:vMerge w:val="restart"/>
                  <w:tcBorders>
                    <w:top w:val="single" w:color="000000" w:sz="4" w:space="0"/>
                    <w:left w:val="single" w:color="000000" w:sz="4" w:space="0"/>
                    <w:right w:val="single" w:color="000000" w:sz="4" w:space="0"/>
                  </w:tcBorders>
                  <w:shd w:val="clear" w:color="auto" w:fill="auto"/>
                  <w:vAlign w:val="center"/>
                </w:tcPr>
                <w:p w14:paraId="290731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367" w:type="pct"/>
                  <w:vMerge w:val="restart"/>
                  <w:tcBorders>
                    <w:top w:val="single" w:color="000000" w:sz="4" w:space="0"/>
                    <w:left w:val="single" w:color="000000" w:sz="4" w:space="0"/>
                    <w:right w:val="single" w:color="000000" w:sz="4" w:space="0"/>
                  </w:tcBorders>
                  <w:shd w:val="clear" w:color="auto" w:fill="auto"/>
                  <w:vAlign w:val="center"/>
                </w:tcPr>
                <w:p w14:paraId="413AD6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2025</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197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E9AD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0.563</w:t>
                  </w:r>
                </w:p>
              </w:tc>
              <w:tc>
                <w:tcPr>
                  <w:tcW w:w="2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F5F9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三级化粪池</w:t>
                  </w:r>
                  <w:r>
                    <w:rPr>
                      <w:rFonts w:hint="eastAsia" w:ascii="宋体" w:hAnsi="宋体" w:cs="宋体"/>
                      <w:i w:val="0"/>
                      <w:iCs w:val="0"/>
                      <w:color w:val="auto"/>
                      <w:kern w:val="0"/>
                      <w:sz w:val="21"/>
                      <w:szCs w:val="21"/>
                      <w:highlight w:val="none"/>
                      <w:u w:val="none"/>
                      <w:lang w:val="en-US" w:eastAsia="zh-CN" w:bidi="ar"/>
                    </w:rPr>
                    <w:t>、隔油隔渣池</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3F92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343" w:type="pct"/>
                  <w:vMerge w:val="restart"/>
                  <w:tcBorders>
                    <w:top w:val="single" w:color="000000" w:sz="4" w:space="0"/>
                    <w:left w:val="single" w:color="000000" w:sz="4" w:space="0"/>
                    <w:right w:val="single" w:color="000000" w:sz="4" w:space="0"/>
                  </w:tcBorders>
                  <w:shd w:val="clear" w:color="auto" w:fill="auto"/>
                  <w:vAlign w:val="center"/>
                </w:tcPr>
                <w:p w14:paraId="09DD9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347" w:type="pct"/>
                  <w:vMerge w:val="restart"/>
                  <w:tcBorders>
                    <w:top w:val="single" w:color="000000" w:sz="4" w:space="0"/>
                    <w:left w:val="single" w:color="000000" w:sz="4" w:space="0"/>
                    <w:right w:val="single" w:color="000000" w:sz="4" w:space="0"/>
                  </w:tcBorders>
                  <w:shd w:val="clear" w:color="auto" w:fill="auto"/>
                  <w:vAlign w:val="center"/>
                </w:tcPr>
                <w:p w14:paraId="63A2E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物料平衡法</w:t>
                  </w:r>
                </w:p>
              </w:tc>
              <w:tc>
                <w:tcPr>
                  <w:tcW w:w="394" w:type="pct"/>
                  <w:vMerge w:val="restart"/>
                  <w:tcBorders>
                    <w:top w:val="single" w:color="000000" w:sz="4" w:space="0"/>
                    <w:left w:val="single" w:color="000000" w:sz="4" w:space="0"/>
                    <w:right w:val="single" w:color="000000" w:sz="4" w:space="0"/>
                  </w:tcBorders>
                  <w:shd w:val="clear" w:color="auto" w:fill="auto"/>
                  <w:vAlign w:val="center"/>
                </w:tcPr>
                <w:p w14:paraId="39576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2025</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9B3F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200</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1B7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0.4048</w:t>
                  </w:r>
                </w:p>
              </w:tc>
              <w:tc>
                <w:tcPr>
                  <w:tcW w:w="273" w:type="pct"/>
                  <w:vMerge w:val="restart"/>
                  <w:tcBorders>
                    <w:top w:val="single" w:color="000000" w:sz="4" w:space="0"/>
                    <w:left w:val="single" w:color="000000" w:sz="4" w:space="0"/>
                    <w:right w:val="single" w:color="000000" w:sz="4" w:space="0"/>
                  </w:tcBorders>
                  <w:shd w:val="clear" w:color="auto" w:fill="auto"/>
                  <w:vAlign w:val="center"/>
                </w:tcPr>
                <w:p w14:paraId="3C9051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724B25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7EBCAF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53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336" w:type="pct"/>
                  <w:vMerge w:val="continue"/>
                  <w:tcBorders>
                    <w:left w:val="single" w:color="000000" w:sz="4" w:space="0"/>
                    <w:right w:val="single" w:color="000000" w:sz="4" w:space="0"/>
                  </w:tcBorders>
                  <w:shd w:val="clear" w:color="auto" w:fill="auto"/>
                  <w:vAlign w:val="center"/>
                </w:tcPr>
                <w:p w14:paraId="25B799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170E9E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5B7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51E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0.338</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5D35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A26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343" w:type="pct"/>
                  <w:vMerge w:val="continue"/>
                  <w:tcBorders>
                    <w:left w:val="single" w:color="000000" w:sz="4" w:space="0"/>
                    <w:right w:val="single" w:color="000000" w:sz="4" w:space="0"/>
                  </w:tcBorders>
                  <w:shd w:val="clear" w:color="auto" w:fill="auto"/>
                  <w:vAlign w:val="center"/>
                </w:tcPr>
                <w:p w14:paraId="3B962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19E18C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381AD5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381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142.5</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65C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c>
                <w:tcPr>
                  <w:tcW w:w="273" w:type="pct"/>
                  <w:vMerge w:val="continue"/>
                  <w:tcBorders>
                    <w:left w:val="single" w:color="000000" w:sz="4" w:space="0"/>
                    <w:right w:val="single" w:color="000000" w:sz="4" w:space="0"/>
                  </w:tcBorders>
                  <w:shd w:val="clear" w:color="auto" w:fill="auto"/>
                  <w:vAlign w:val="center"/>
                </w:tcPr>
                <w:p w14:paraId="6A93E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E5E6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30E27E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C657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336" w:type="pct"/>
                  <w:vMerge w:val="continue"/>
                  <w:tcBorders>
                    <w:left w:val="single" w:color="000000" w:sz="4" w:space="0"/>
                    <w:right w:val="single" w:color="000000" w:sz="4" w:space="0"/>
                  </w:tcBorders>
                  <w:shd w:val="clear" w:color="auto" w:fill="auto"/>
                  <w:vAlign w:val="center"/>
                </w:tcPr>
                <w:p w14:paraId="0E34D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5A4F5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8FA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3E8F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0.338</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D427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54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343" w:type="pct"/>
                  <w:vMerge w:val="continue"/>
                  <w:tcBorders>
                    <w:left w:val="single" w:color="000000" w:sz="4" w:space="0"/>
                    <w:right w:val="single" w:color="000000" w:sz="4" w:space="0"/>
                  </w:tcBorders>
                  <w:shd w:val="clear" w:color="auto" w:fill="auto"/>
                  <w:vAlign w:val="center"/>
                </w:tcPr>
                <w:p w14:paraId="12772A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577407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6F737E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FBD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105</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170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0.2128</w:t>
                  </w:r>
                </w:p>
              </w:tc>
              <w:tc>
                <w:tcPr>
                  <w:tcW w:w="273" w:type="pct"/>
                  <w:vMerge w:val="continue"/>
                  <w:tcBorders>
                    <w:left w:val="single" w:color="000000" w:sz="4" w:space="0"/>
                    <w:right w:val="single" w:color="000000" w:sz="4" w:space="0"/>
                  </w:tcBorders>
                  <w:shd w:val="clear" w:color="auto" w:fill="auto"/>
                  <w:vAlign w:val="center"/>
                </w:tcPr>
                <w:p w14:paraId="0DD6DE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695C8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64E41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09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336" w:type="pct"/>
                  <w:vMerge w:val="continue"/>
                  <w:tcBorders>
                    <w:left w:val="single" w:color="000000" w:sz="4" w:space="0"/>
                    <w:right w:val="single" w:color="000000" w:sz="4" w:space="0"/>
                  </w:tcBorders>
                  <w:shd w:val="clear" w:color="auto" w:fill="auto"/>
                  <w:vAlign w:val="center"/>
                </w:tcPr>
                <w:p w14:paraId="621CB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2B5043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19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63FE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0.068</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FE2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65D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343" w:type="pct"/>
                  <w:vMerge w:val="continue"/>
                  <w:tcBorders>
                    <w:left w:val="single" w:color="000000" w:sz="4" w:space="0"/>
                    <w:right w:val="single" w:color="000000" w:sz="4" w:space="0"/>
                  </w:tcBorders>
                  <w:shd w:val="clear" w:color="auto" w:fill="auto"/>
                  <w:vAlign w:val="center"/>
                </w:tcPr>
                <w:p w14:paraId="008D4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671A9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02C54F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FFFB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30</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6C5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c>
                <w:tcPr>
                  <w:tcW w:w="273" w:type="pct"/>
                  <w:vMerge w:val="continue"/>
                  <w:tcBorders>
                    <w:left w:val="single" w:color="000000" w:sz="4" w:space="0"/>
                    <w:right w:val="single" w:color="000000" w:sz="4" w:space="0"/>
                  </w:tcBorders>
                  <w:shd w:val="clear" w:color="auto" w:fill="auto"/>
                  <w:vAlign w:val="center"/>
                </w:tcPr>
                <w:p w14:paraId="149E54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5CC48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6C993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85B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总磷</w:t>
                  </w:r>
                </w:p>
              </w:tc>
              <w:tc>
                <w:tcPr>
                  <w:tcW w:w="336" w:type="pct"/>
                  <w:vMerge w:val="continue"/>
                  <w:tcBorders>
                    <w:left w:val="single" w:color="000000" w:sz="4" w:space="0"/>
                    <w:right w:val="single" w:color="000000" w:sz="4" w:space="0"/>
                  </w:tcBorders>
                  <w:shd w:val="clear" w:color="auto" w:fill="auto"/>
                  <w:vAlign w:val="center"/>
                </w:tcPr>
                <w:p w14:paraId="2EC1FC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7D38B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5D01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EEE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0.011</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8F2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307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343" w:type="pct"/>
                  <w:vMerge w:val="continue"/>
                  <w:tcBorders>
                    <w:left w:val="single" w:color="000000" w:sz="4" w:space="0"/>
                    <w:right w:val="single" w:color="000000" w:sz="4" w:space="0"/>
                  </w:tcBorders>
                  <w:shd w:val="clear" w:color="auto" w:fill="auto"/>
                  <w:vAlign w:val="center"/>
                </w:tcPr>
                <w:p w14:paraId="22FFB3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3C3426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6E6404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328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4</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C70A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73" w:type="pct"/>
                  <w:vMerge w:val="continue"/>
                  <w:tcBorders>
                    <w:left w:val="single" w:color="000000" w:sz="4" w:space="0"/>
                    <w:right w:val="single" w:color="000000" w:sz="4" w:space="0"/>
                  </w:tcBorders>
                  <w:shd w:val="clear" w:color="auto" w:fill="auto"/>
                  <w:vAlign w:val="center"/>
                </w:tcPr>
                <w:p w14:paraId="78376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E5A61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bottom w:val="single" w:color="000000" w:sz="4" w:space="0"/>
                    <w:right w:val="single" w:color="000000" w:sz="4" w:space="0"/>
                  </w:tcBorders>
                  <w:shd w:val="clear" w:color="auto" w:fill="auto"/>
                  <w:vAlign w:val="center"/>
                </w:tcPr>
                <w:p w14:paraId="31358F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E91E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动植物油</w:t>
                  </w:r>
                </w:p>
              </w:tc>
              <w:tc>
                <w:tcPr>
                  <w:tcW w:w="336" w:type="pct"/>
                  <w:vMerge w:val="continue"/>
                  <w:tcBorders>
                    <w:left w:val="single" w:color="000000" w:sz="4" w:space="0"/>
                    <w:bottom w:val="single" w:color="000000" w:sz="4" w:space="0"/>
                    <w:right w:val="single" w:color="000000" w:sz="4" w:space="0"/>
                  </w:tcBorders>
                  <w:shd w:val="clear" w:color="auto" w:fill="auto"/>
                  <w:vAlign w:val="center"/>
                </w:tcPr>
                <w:p w14:paraId="2C62D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bottom w:val="single" w:color="000000" w:sz="4" w:space="0"/>
                    <w:right w:val="single" w:color="000000" w:sz="4" w:space="0"/>
                  </w:tcBorders>
                  <w:shd w:val="clear" w:color="auto" w:fill="auto"/>
                  <w:vAlign w:val="center"/>
                </w:tcPr>
                <w:p w14:paraId="574469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EFD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D9C9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0.203</w:t>
                  </w:r>
                </w:p>
              </w:tc>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82AF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E5B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w:t>
                  </w:r>
                </w:p>
              </w:tc>
              <w:tc>
                <w:tcPr>
                  <w:tcW w:w="343" w:type="pct"/>
                  <w:vMerge w:val="continue"/>
                  <w:tcBorders>
                    <w:left w:val="single" w:color="000000" w:sz="4" w:space="0"/>
                    <w:bottom w:val="single" w:color="000000" w:sz="4" w:space="0"/>
                    <w:right w:val="single" w:color="000000" w:sz="4" w:space="0"/>
                  </w:tcBorders>
                  <w:shd w:val="clear" w:color="auto" w:fill="auto"/>
                  <w:vAlign w:val="center"/>
                </w:tcPr>
                <w:p w14:paraId="32645A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bottom w:val="single" w:color="000000" w:sz="4" w:space="0"/>
                    <w:right w:val="single" w:color="000000" w:sz="4" w:space="0"/>
                  </w:tcBorders>
                  <w:shd w:val="clear" w:color="auto" w:fill="auto"/>
                  <w:vAlign w:val="center"/>
                </w:tcPr>
                <w:p w14:paraId="49AE30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bottom w:val="single" w:color="000000" w:sz="4" w:space="0"/>
                    <w:right w:val="single" w:color="000000" w:sz="4" w:space="0"/>
                  </w:tcBorders>
                  <w:shd w:val="clear" w:color="auto" w:fill="auto"/>
                  <w:vAlign w:val="center"/>
                </w:tcPr>
                <w:p w14:paraId="4506F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2FE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20</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99A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0.0406</w:t>
                  </w:r>
                </w:p>
              </w:tc>
              <w:tc>
                <w:tcPr>
                  <w:tcW w:w="273" w:type="pct"/>
                  <w:vMerge w:val="continue"/>
                  <w:tcBorders>
                    <w:left w:val="single" w:color="000000" w:sz="4" w:space="0"/>
                    <w:bottom w:val="single" w:color="000000" w:sz="4" w:space="0"/>
                    <w:right w:val="single" w:color="000000" w:sz="4" w:space="0"/>
                  </w:tcBorders>
                  <w:shd w:val="clear" w:color="auto" w:fill="auto"/>
                  <w:vAlign w:val="center"/>
                </w:tcPr>
                <w:p w14:paraId="086C49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EF85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285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前处理废水</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45E8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3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C0C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3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7972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8073.6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1C0F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AFC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1.211</w:t>
                  </w:r>
                </w:p>
              </w:tc>
              <w:tc>
                <w:tcPr>
                  <w:tcW w:w="2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4B18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中和调节</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混凝沉淀</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46A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34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664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34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55EC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物料平衡法</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C7D7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8073.6</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4C96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45</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5D09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0.363</w:t>
                  </w:r>
                </w:p>
              </w:tc>
              <w:tc>
                <w:tcPr>
                  <w:tcW w:w="27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7692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454D28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8470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5EEB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33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B07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34C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2BF2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F77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0.597</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EF5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64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0D2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28A0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12AD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E23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r>
                    <w:rPr>
                      <w:rFonts w:hint="eastAsia" w:cs="Times New Roman"/>
                      <w:i w:val="0"/>
                      <w:iCs w:val="0"/>
                      <w:color w:val="auto"/>
                      <w:kern w:val="0"/>
                      <w:sz w:val="21"/>
                      <w:szCs w:val="21"/>
                      <w:highlight w:val="none"/>
                      <w:u w:val="none"/>
                      <w:lang w:val="en-US" w:eastAsia="zh-CN" w:bidi="ar"/>
                    </w:rPr>
                    <w:t>88</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5FC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0.072</w:t>
                  </w:r>
                </w:p>
              </w:tc>
              <w:tc>
                <w:tcPr>
                  <w:tcW w:w="2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D95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51B66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 w:hRule="atLeast"/>
                <w:jc w:val="center"/>
              </w:trPr>
              <w:tc>
                <w:tcPr>
                  <w:tcW w:w="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A06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B71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p>
              </w:tc>
              <w:tc>
                <w:tcPr>
                  <w:tcW w:w="33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85D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7CE5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496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1.40 </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6A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0.011</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5696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4FE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DDAD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7E6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9C38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8162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A0A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0.008</w:t>
                  </w:r>
                </w:p>
              </w:tc>
              <w:tc>
                <w:tcPr>
                  <w:tcW w:w="2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09EF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2BE058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2AA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3999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33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F5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FEE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E86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F36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0.089</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DAD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BB3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3E6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560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8FFB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B10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3.3</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74F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0.027</w:t>
                  </w:r>
                </w:p>
              </w:tc>
              <w:tc>
                <w:tcPr>
                  <w:tcW w:w="2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C28F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01C844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BC69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FB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33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2A23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D74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8F6C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10</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60F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0.08</w:t>
                  </w:r>
                </w:p>
              </w:tc>
              <w:tc>
                <w:tcPr>
                  <w:tcW w:w="2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58E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CE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3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A7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E94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B454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09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B6EE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0.016</w:t>
                  </w:r>
                </w:p>
              </w:tc>
              <w:tc>
                <w:tcPr>
                  <w:tcW w:w="27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A47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3B494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restart"/>
                  <w:tcBorders>
                    <w:top w:val="single" w:color="000000" w:sz="4" w:space="0"/>
                    <w:left w:val="single" w:color="000000" w:sz="4" w:space="0"/>
                    <w:right w:val="single" w:color="000000" w:sz="4" w:space="0"/>
                  </w:tcBorders>
                  <w:shd w:val="clear" w:color="auto" w:fill="auto"/>
                  <w:vAlign w:val="center"/>
                </w:tcPr>
                <w:p w14:paraId="1DA2B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综合废水</w:t>
                  </w: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C9A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336" w:type="pct"/>
                  <w:vMerge w:val="restart"/>
                  <w:tcBorders>
                    <w:top w:val="single" w:color="000000" w:sz="4" w:space="0"/>
                    <w:left w:val="single" w:color="000000" w:sz="4" w:space="0"/>
                    <w:right w:val="single" w:color="000000" w:sz="4" w:space="0"/>
                  </w:tcBorders>
                  <w:shd w:val="clear" w:color="auto" w:fill="auto"/>
                  <w:vAlign w:val="center"/>
                </w:tcPr>
                <w:p w14:paraId="6EB461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物料平衡法</w:t>
                  </w:r>
                </w:p>
              </w:tc>
              <w:tc>
                <w:tcPr>
                  <w:tcW w:w="367" w:type="pct"/>
                  <w:vMerge w:val="restart"/>
                  <w:tcBorders>
                    <w:top w:val="single" w:color="000000" w:sz="4" w:space="0"/>
                    <w:left w:val="single" w:color="000000" w:sz="4" w:space="0"/>
                    <w:right w:val="single" w:color="000000" w:sz="4" w:space="0"/>
                  </w:tcBorders>
                  <w:shd w:val="clear" w:color="auto" w:fill="auto"/>
                  <w:vAlign w:val="center"/>
                </w:tcPr>
                <w:p w14:paraId="6A68CE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10098.6</w:t>
                  </w: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D4AF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76.03</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A9AF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0.7678</w:t>
                  </w:r>
                </w:p>
              </w:tc>
              <w:tc>
                <w:tcPr>
                  <w:tcW w:w="290" w:type="pct"/>
                  <w:vMerge w:val="restart"/>
                  <w:tcBorders>
                    <w:top w:val="single" w:color="000000" w:sz="4" w:space="0"/>
                    <w:left w:val="single" w:color="000000" w:sz="4" w:space="0"/>
                    <w:right w:val="single" w:color="000000" w:sz="4" w:space="0"/>
                  </w:tcBorders>
                  <w:shd w:val="clear" w:color="auto" w:fill="auto"/>
                  <w:vAlign w:val="center"/>
                </w:tcPr>
                <w:p w14:paraId="02F55F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排入园区污水处理厂</w:t>
                  </w: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A26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restart"/>
                  <w:tcBorders>
                    <w:top w:val="single" w:color="000000" w:sz="4" w:space="0"/>
                    <w:left w:val="single" w:color="000000" w:sz="4" w:space="0"/>
                    <w:right w:val="single" w:color="000000" w:sz="4" w:space="0"/>
                  </w:tcBorders>
                  <w:shd w:val="clear" w:color="auto" w:fill="auto"/>
                  <w:vAlign w:val="center"/>
                </w:tcPr>
                <w:p w14:paraId="635438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7" w:type="pct"/>
                  <w:vMerge w:val="restart"/>
                  <w:tcBorders>
                    <w:top w:val="single" w:color="000000" w:sz="4" w:space="0"/>
                    <w:left w:val="single" w:color="000000" w:sz="4" w:space="0"/>
                    <w:right w:val="single" w:color="000000" w:sz="4" w:space="0"/>
                  </w:tcBorders>
                  <w:shd w:val="clear" w:color="auto" w:fill="auto"/>
                  <w:vAlign w:val="center"/>
                </w:tcPr>
                <w:p w14:paraId="6D0994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94" w:type="pct"/>
                  <w:vMerge w:val="restart"/>
                  <w:tcBorders>
                    <w:top w:val="single" w:color="000000" w:sz="4" w:space="0"/>
                    <w:left w:val="single" w:color="000000" w:sz="4" w:space="0"/>
                    <w:right w:val="single" w:color="000000" w:sz="4" w:space="0"/>
                  </w:tcBorders>
                  <w:shd w:val="clear" w:color="auto" w:fill="auto"/>
                  <w:vAlign w:val="center"/>
                </w:tcPr>
                <w:p w14:paraId="79BB91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10098.6</w:t>
                  </w: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31C1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76.03</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0FEF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0.7678</w:t>
                  </w:r>
                </w:p>
              </w:tc>
              <w:tc>
                <w:tcPr>
                  <w:tcW w:w="273" w:type="pct"/>
                  <w:vMerge w:val="restart"/>
                  <w:tcBorders>
                    <w:top w:val="single" w:color="000000" w:sz="4" w:space="0"/>
                    <w:left w:val="single" w:color="000000" w:sz="4" w:space="0"/>
                    <w:right w:val="single" w:color="000000" w:sz="4" w:space="0"/>
                  </w:tcBorders>
                  <w:shd w:val="clear" w:color="auto" w:fill="auto"/>
                  <w:vAlign w:val="center"/>
                </w:tcPr>
                <w:p w14:paraId="7E583A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2400</w:t>
                  </w:r>
                </w:p>
              </w:tc>
            </w:tr>
            <w:tr w14:paraId="175CD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5FFFAB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D2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336" w:type="pct"/>
                  <w:vMerge w:val="continue"/>
                  <w:tcBorders>
                    <w:left w:val="single" w:color="000000" w:sz="4" w:space="0"/>
                    <w:right w:val="single" w:color="000000" w:sz="4" w:space="0"/>
                  </w:tcBorders>
                  <w:shd w:val="clear" w:color="auto" w:fill="auto"/>
                  <w:vAlign w:val="center"/>
                </w:tcPr>
                <w:p w14:paraId="4DCC5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0026C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ED4F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7C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c>
                <w:tcPr>
                  <w:tcW w:w="290" w:type="pct"/>
                  <w:vMerge w:val="continue"/>
                  <w:tcBorders>
                    <w:left w:val="single" w:color="000000" w:sz="4" w:space="0"/>
                    <w:right w:val="single" w:color="000000" w:sz="4" w:space="0"/>
                  </w:tcBorders>
                  <w:shd w:val="clear" w:color="auto" w:fill="auto"/>
                  <w:vAlign w:val="center"/>
                </w:tcPr>
                <w:p w14:paraId="0C09B8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9D0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799100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263CD9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0C3178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C7E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01B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c>
                <w:tcPr>
                  <w:tcW w:w="273" w:type="pct"/>
                  <w:vMerge w:val="continue"/>
                  <w:tcBorders>
                    <w:left w:val="single" w:color="000000" w:sz="4" w:space="0"/>
                    <w:right w:val="single" w:color="000000" w:sz="4" w:space="0"/>
                  </w:tcBorders>
                  <w:shd w:val="clear" w:color="auto" w:fill="auto"/>
                  <w:vAlign w:val="center"/>
                </w:tcPr>
                <w:p w14:paraId="145B53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B86F6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75803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CF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336" w:type="pct"/>
                  <w:vMerge w:val="continue"/>
                  <w:tcBorders>
                    <w:left w:val="single" w:color="000000" w:sz="4" w:space="0"/>
                    <w:right w:val="single" w:color="000000" w:sz="4" w:space="0"/>
                  </w:tcBorders>
                  <w:shd w:val="clear" w:color="auto" w:fill="auto"/>
                  <w:vAlign w:val="center"/>
                </w:tcPr>
                <w:p w14:paraId="150CD3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27BA83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1BC4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D1D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0.2848</w:t>
                  </w:r>
                </w:p>
              </w:tc>
              <w:tc>
                <w:tcPr>
                  <w:tcW w:w="290" w:type="pct"/>
                  <w:vMerge w:val="continue"/>
                  <w:tcBorders>
                    <w:left w:val="single" w:color="000000" w:sz="4" w:space="0"/>
                    <w:right w:val="single" w:color="000000" w:sz="4" w:space="0"/>
                  </w:tcBorders>
                  <w:shd w:val="clear" w:color="auto" w:fill="auto"/>
                  <w:vAlign w:val="center"/>
                </w:tcPr>
                <w:p w14:paraId="62AA09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0C1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4DB71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54B38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645E6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42CB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361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0.2848</w:t>
                  </w:r>
                </w:p>
              </w:tc>
              <w:tc>
                <w:tcPr>
                  <w:tcW w:w="273" w:type="pct"/>
                  <w:vMerge w:val="continue"/>
                  <w:tcBorders>
                    <w:left w:val="single" w:color="000000" w:sz="4" w:space="0"/>
                    <w:right w:val="single" w:color="000000" w:sz="4" w:space="0"/>
                  </w:tcBorders>
                  <w:shd w:val="clear" w:color="auto" w:fill="auto"/>
                  <w:vAlign w:val="center"/>
                </w:tcPr>
                <w:p w14:paraId="40D89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1DCFB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18DF69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5EE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336" w:type="pct"/>
                  <w:vMerge w:val="continue"/>
                  <w:tcBorders>
                    <w:left w:val="single" w:color="000000" w:sz="4" w:space="0"/>
                    <w:right w:val="single" w:color="000000" w:sz="4" w:space="0"/>
                  </w:tcBorders>
                  <w:shd w:val="clear" w:color="auto" w:fill="auto"/>
                  <w:vAlign w:val="center"/>
                </w:tcPr>
                <w:p w14:paraId="2833C0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172ECF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201E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6.04</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7C3D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c>
                <w:tcPr>
                  <w:tcW w:w="290" w:type="pct"/>
                  <w:vMerge w:val="continue"/>
                  <w:tcBorders>
                    <w:left w:val="single" w:color="000000" w:sz="4" w:space="0"/>
                    <w:right w:val="single" w:color="000000" w:sz="4" w:space="0"/>
                  </w:tcBorders>
                  <w:shd w:val="clear" w:color="auto" w:fill="auto"/>
                  <w:vAlign w:val="center"/>
                </w:tcPr>
                <w:p w14:paraId="13F67F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154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0A1CFD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28C7E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11ACC8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AEC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6.04</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83F8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c>
                <w:tcPr>
                  <w:tcW w:w="273" w:type="pct"/>
                  <w:vMerge w:val="continue"/>
                  <w:tcBorders>
                    <w:left w:val="single" w:color="000000" w:sz="4" w:space="0"/>
                    <w:right w:val="single" w:color="000000" w:sz="4" w:space="0"/>
                  </w:tcBorders>
                  <w:shd w:val="clear" w:color="auto" w:fill="auto"/>
                  <w:vAlign w:val="center"/>
                </w:tcPr>
                <w:p w14:paraId="48E43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440B9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2E6BA8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E7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总磷</w:t>
                  </w:r>
                </w:p>
              </w:tc>
              <w:tc>
                <w:tcPr>
                  <w:tcW w:w="336" w:type="pct"/>
                  <w:vMerge w:val="continue"/>
                  <w:tcBorders>
                    <w:left w:val="single" w:color="000000" w:sz="4" w:space="0"/>
                    <w:right w:val="single" w:color="000000" w:sz="4" w:space="0"/>
                  </w:tcBorders>
                  <w:shd w:val="clear" w:color="auto" w:fill="auto"/>
                  <w:vAlign w:val="center"/>
                </w:tcPr>
                <w:p w14:paraId="015321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388F64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B9C0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6B6A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90" w:type="pct"/>
                  <w:vMerge w:val="continue"/>
                  <w:tcBorders>
                    <w:left w:val="single" w:color="000000" w:sz="4" w:space="0"/>
                    <w:right w:val="single" w:color="000000" w:sz="4" w:space="0"/>
                  </w:tcBorders>
                  <w:shd w:val="clear" w:color="auto" w:fill="auto"/>
                  <w:vAlign w:val="center"/>
                </w:tcPr>
                <w:p w14:paraId="4C4D9C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F3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2F4323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60D7B2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511C3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DF0D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F6A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73" w:type="pct"/>
                  <w:vMerge w:val="continue"/>
                  <w:tcBorders>
                    <w:left w:val="single" w:color="000000" w:sz="4" w:space="0"/>
                    <w:right w:val="single" w:color="000000" w:sz="4" w:space="0"/>
                  </w:tcBorders>
                  <w:shd w:val="clear" w:color="auto" w:fill="auto"/>
                  <w:vAlign w:val="center"/>
                </w:tcPr>
                <w:p w14:paraId="3AC58C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71D53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 w:hRule="atLeast"/>
                <w:jc w:val="center"/>
              </w:trPr>
              <w:tc>
                <w:tcPr>
                  <w:tcW w:w="271" w:type="pct"/>
                  <w:vMerge w:val="continue"/>
                  <w:tcBorders>
                    <w:left w:val="single" w:color="000000" w:sz="4" w:space="0"/>
                    <w:right w:val="single" w:color="000000" w:sz="4" w:space="0"/>
                  </w:tcBorders>
                  <w:shd w:val="clear" w:color="auto" w:fill="auto"/>
                  <w:vAlign w:val="center"/>
                </w:tcPr>
                <w:p w14:paraId="2CB101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650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p>
              </w:tc>
              <w:tc>
                <w:tcPr>
                  <w:tcW w:w="336" w:type="pct"/>
                  <w:vMerge w:val="continue"/>
                  <w:tcBorders>
                    <w:left w:val="single" w:color="000000" w:sz="4" w:space="0"/>
                    <w:right w:val="single" w:color="000000" w:sz="4" w:space="0"/>
                  </w:tcBorders>
                  <w:shd w:val="clear" w:color="auto" w:fill="auto"/>
                  <w:vAlign w:val="center"/>
                </w:tcPr>
                <w:p w14:paraId="552DDC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305283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B8B4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A672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90" w:type="pct"/>
                  <w:vMerge w:val="continue"/>
                  <w:tcBorders>
                    <w:left w:val="single" w:color="000000" w:sz="4" w:space="0"/>
                    <w:right w:val="single" w:color="000000" w:sz="4" w:space="0"/>
                  </w:tcBorders>
                  <w:shd w:val="clear" w:color="auto" w:fill="auto"/>
                  <w:vAlign w:val="center"/>
                </w:tcPr>
                <w:p w14:paraId="2FDDF3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AB23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14E9D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63C0C5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24D625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FA1F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DBCF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c>
                <w:tcPr>
                  <w:tcW w:w="273" w:type="pct"/>
                  <w:vMerge w:val="continue"/>
                  <w:tcBorders>
                    <w:left w:val="single" w:color="000000" w:sz="4" w:space="0"/>
                    <w:right w:val="single" w:color="000000" w:sz="4" w:space="0"/>
                  </w:tcBorders>
                  <w:shd w:val="clear" w:color="auto" w:fill="auto"/>
                  <w:vAlign w:val="center"/>
                </w:tcPr>
                <w:p w14:paraId="7C9037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47F0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42CD6D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874D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336" w:type="pct"/>
                  <w:vMerge w:val="continue"/>
                  <w:tcBorders>
                    <w:left w:val="single" w:color="000000" w:sz="4" w:space="0"/>
                    <w:right w:val="single" w:color="000000" w:sz="4" w:space="0"/>
                  </w:tcBorders>
                  <w:shd w:val="clear" w:color="auto" w:fill="auto"/>
                  <w:vAlign w:val="center"/>
                </w:tcPr>
                <w:p w14:paraId="5AFF0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20C47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8685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2.67</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D8D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c>
                <w:tcPr>
                  <w:tcW w:w="290" w:type="pct"/>
                  <w:vMerge w:val="continue"/>
                  <w:tcBorders>
                    <w:left w:val="single" w:color="000000" w:sz="4" w:space="0"/>
                    <w:right w:val="single" w:color="000000" w:sz="4" w:space="0"/>
                  </w:tcBorders>
                  <w:shd w:val="clear" w:color="auto" w:fill="auto"/>
                  <w:vAlign w:val="center"/>
                </w:tcPr>
                <w:p w14:paraId="38750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57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7A0427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4116D0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5E37D8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FFF2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2.67</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8684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c>
                <w:tcPr>
                  <w:tcW w:w="273" w:type="pct"/>
                  <w:vMerge w:val="continue"/>
                  <w:tcBorders>
                    <w:left w:val="single" w:color="000000" w:sz="4" w:space="0"/>
                    <w:right w:val="single" w:color="000000" w:sz="4" w:space="0"/>
                  </w:tcBorders>
                  <w:shd w:val="clear" w:color="auto" w:fill="auto"/>
                  <w:vAlign w:val="center"/>
                </w:tcPr>
                <w:p w14:paraId="44191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55A9B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right w:val="single" w:color="000000" w:sz="4" w:space="0"/>
                  </w:tcBorders>
                  <w:shd w:val="clear" w:color="auto" w:fill="auto"/>
                  <w:vAlign w:val="center"/>
                </w:tcPr>
                <w:p w14:paraId="1C0592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0049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动植物油</w:t>
                  </w:r>
                </w:p>
              </w:tc>
              <w:tc>
                <w:tcPr>
                  <w:tcW w:w="336" w:type="pct"/>
                  <w:vMerge w:val="continue"/>
                  <w:tcBorders>
                    <w:left w:val="single" w:color="000000" w:sz="4" w:space="0"/>
                    <w:right w:val="single" w:color="000000" w:sz="4" w:space="0"/>
                  </w:tcBorders>
                  <w:shd w:val="clear" w:color="auto" w:fill="auto"/>
                  <w:vAlign w:val="center"/>
                </w:tcPr>
                <w:p w14:paraId="0DC296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right w:val="single" w:color="000000" w:sz="4" w:space="0"/>
                  </w:tcBorders>
                  <w:shd w:val="clear" w:color="auto" w:fill="auto"/>
                  <w:vAlign w:val="center"/>
                </w:tcPr>
                <w:p w14:paraId="7009A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7915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70C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c>
                <w:tcPr>
                  <w:tcW w:w="290" w:type="pct"/>
                  <w:vMerge w:val="continue"/>
                  <w:tcBorders>
                    <w:left w:val="single" w:color="000000" w:sz="4" w:space="0"/>
                    <w:right w:val="single" w:color="000000" w:sz="4" w:space="0"/>
                  </w:tcBorders>
                  <w:shd w:val="clear" w:color="auto" w:fill="auto"/>
                  <w:vAlign w:val="center"/>
                </w:tcPr>
                <w:p w14:paraId="64195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E2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43" w:type="pct"/>
                  <w:vMerge w:val="continue"/>
                  <w:tcBorders>
                    <w:left w:val="single" w:color="000000" w:sz="4" w:space="0"/>
                    <w:right w:val="single" w:color="000000" w:sz="4" w:space="0"/>
                  </w:tcBorders>
                  <w:shd w:val="clear" w:color="auto" w:fill="auto"/>
                  <w:vAlign w:val="center"/>
                </w:tcPr>
                <w:p w14:paraId="0238E0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right w:val="single" w:color="000000" w:sz="4" w:space="0"/>
                  </w:tcBorders>
                  <w:shd w:val="clear" w:color="auto" w:fill="auto"/>
                  <w:vAlign w:val="center"/>
                </w:tcPr>
                <w:p w14:paraId="1122E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right w:val="single" w:color="000000" w:sz="4" w:space="0"/>
                  </w:tcBorders>
                  <w:shd w:val="clear" w:color="auto" w:fill="auto"/>
                  <w:vAlign w:val="center"/>
                </w:tcPr>
                <w:p w14:paraId="76247D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9D27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D6E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c>
                <w:tcPr>
                  <w:tcW w:w="273" w:type="pct"/>
                  <w:vMerge w:val="continue"/>
                  <w:tcBorders>
                    <w:left w:val="single" w:color="000000" w:sz="4" w:space="0"/>
                    <w:right w:val="single" w:color="000000" w:sz="4" w:space="0"/>
                  </w:tcBorders>
                  <w:shd w:val="clear" w:color="auto" w:fill="auto"/>
                  <w:vAlign w:val="center"/>
                </w:tcPr>
                <w:p w14:paraId="0E018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r w14:paraId="1803D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71" w:type="pct"/>
                  <w:vMerge w:val="continue"/>
                  <w:tcBorders>
                    <w:left w:val="single" w:color="000000" w:sz="4" w:space="0"/>
                    <w:bottom w:val="single" w:color="000000" w:sz="4" w:space="0"/>
                    <w:right w:val="single" w:color="000000" w:sz="4" w:space="0"/>
                  </w:tcBorders>
                  <w:shd w:val="clear" w:color="auto" w:fill="auto"/>
                  <w:vAlign w:val="center"/>
                </w:tcPr>
                <w:p w14:paraId="72C0C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2FE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336" w:type="pct"/>
                  <w:vMerge w:val="continue"/>
                  <w:tcBorders>
                    <w:left w:val="single" w:color="000000" w:sz="4" w:space="0"/>
                    <w:bottom w:val="single" w:color="000000" w:sz="4" w:space="0"/>
                    <w:right w:val="single" w:color="000000" w:sz="4" w:space="0"/>
                  </w:tcBorders>
                  <w:shd w:val="clear" w:color="auto" w:fill="auto"/>
                  <w:vAlign w:val="center"/>
                </w:tcPr>
                <w:p w14:paraId="20F587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67" w:type="pct"/>
                  <w:vMerge w:val="continue"/>
                  <w:tcBorders>
                    <w:left w:val="single" w:color="000000" w:sz="4" w:space="0"/>
                    <w:bottom w:val="single" w:color="000000" w:sz="4" w:space="0"/>
                    <w:right w:val="single" w:color="000000" w:sz="4" w:space="0"/>
                  </w:tcBorders>
                  <w:shd w:val="clear" w:color="auto" w:fill="auto"/>
                  <w:vAlign w:val="center"/>
                </w:tcPr>
                <w:p w14:paraId="1A6709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570C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1.58</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C3D2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290" w:type="pct"/>
                  <w:vMerge w:val="continue"/>
                  <w:tcBorders>
                    <w:left w:val="single" w:color="000000" w:sz="4" w:space="0"/>
                    <w:bottom w:val="single" w:color="000000" w:sz="4" w:space="0"/>
                    <w:right w:val="single" w:color="000000" w:sz="4" w:space="0"/>
                  </w:tcBorders>
                  <w:shd w:val="clear" w:color="auto" w:fill="auto"/>
                  <w:vAlign w:val="center"/>
                </w:tcPr>
                <w:p w14:paraId="624EE9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1FFC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43" w:type="pct"/>
                  <w:vMerge w:val="continue"/>
                  <w:tcBorders>
                    <w:left w:val="single" w:color="000000" w:sz="4" w:space="0"/>
                    <w:bottom w:val="single" w:color="000000" w:sz="4" w:space="0"/>
                    <w:right w:val="single" w:color="000000" w:sz="4" w:space="0"/>
                  </w:tcBorders>
                  <w:shd w:val="clear" w:color="auto" w:fill="auto"/>
                  <w:vAlign w:val="center"/>
                </w:tcPr>
                <w:p w14:paraId="588A9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47" w:type="pct"/>
                  <w:vMerge w:val="continue"/>
                  <w:tcBorders>
                    <w:left w:val="single" w:color="000000" w:sz="4" w:space="0"/>
                    <w:bottom w:val="single" w:color="000000" w:sz="4" w:space="0"/>
                    <w:right w:val="single" w:color="000000" w:sz="4" w:space="0"/>
                  </w:tcBorders>
                  <w:shd w:val="clear" w:color="auto" w:fill="auto"/>
                  <w:vAlign w:val="center"/>
                </w:tcPr>
                <w:p w14:paraId="458850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94" w:type="pct"/>
                  <w:vMerge w:val="continue"/>
                  <w:tcBorders>
                    <w:left w:val="single" w:color="000000" w:sz="4" w:space="0"/>
                    <w:bottom w:val="single" w:color="000000" w:sz="4" w:space="0"/>
                    <w:right w:val="single" w:color="000000" w:sz="4" w:space="0"/>
                  </w:tcBorders>
                  <w:shd w:val="clear" w:color="auto" w:fill="auto"/>
                  <w:vAlign w:val="center"/>
                </w:tcPr>
                <w:p w14:paraId="5821C6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C903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1.58</w:t>
                  </w:r>
                </w:p>
              </w:tc>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8989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273" w:type="pct"/>
                  <w:vMerge w:val="continue"/>
                  <w:tcBorders>
                    <w:left w:val="single" w:color="000000" w:sz="4" w:space="0"/>
                    <w:bottom w:val="single" w:color="000000" w:sz="4" w:space="0"/>
                    <w:right w:val="single" w:color="000000" w:sz="4" w:space="0"/>
                  </w:tcBorders>
                  <w:shd w:val="clear" w:color="auto" w:fill="auto"/>
                  <w:vAlign w:val="center"/>
                </w:tcPr>
                <w:p w14:paraId="758198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r>
          </w:tbl>
          <w:p w14:paraId="6D4F18D9">
            <w:pPr>
              <w:keepNext/>
              <w:keepLines/>
              <w:suppressLineNumbers w:val="0"/>
              <w:tabs>
                <w:tab w:val="left" w:pos="0"/>
              </w:tabs>
              <w:spacing w:before="0" w:beforeAutospacing="0" w:after="0" w:afterAutospacing="0"/>
              <w:ind w:left="0" w:right="0" w:firstLine="480" w:firstLineChars="200"/>
              <w:outlineLvl w:val="3"/>
              <w:rPr>
                <w:rFonts w:hint="default" w:cs="Times New Roman"/>
                <w:b/>
                <w:bCs/>
                <w:color w:val="auto"/>
                <w:highlight w:val="none"/>
                <w:lang w:val="en-US" w:eastAsia="zh-CN"/>
              </w:rPr>
            </w:pPr>
            <w:r>
              <w:rPr>
                <w:rFonts w:hint="eastAsia" w:cs="Times New Roman"/>
                <w:b/>
                <w:bCs/>
                <w:color w:val="auto"/>
                <w:highlight w:val="none"/>
                <w:lang w:val="en-US" w:eastAsia="zh-CN"/>
              </w:rPr>
              <w:t>（4）锆、钛离子影响分析</w:t>
            </w:r>
          </w:p>
          <w:p w14:paraId="522F4AEE">
            <w:pPr>
              <w:keepNext/>
              <w:keepLines/>
              <w:suppressLineNumbers w:val="0"/>
              <w:tabs>
                <w:tab w:val="left" w:pos="0"/>
              </w:tabs>
              <w:spacing w:before="0" w:beforeAutospacing="0" w:after="0" w:afterAutospacing="0"/>
              <w:ind w:left="0" w:right="0" w:firstLine="480" w:firstLineChars="200"/>
              <w:outlineLvl w:val="3"/>
              <w:rPr>
                <w:rFonts w:hint="eastAsia" w:cs="Times New Roman"/>
                <w:color w:val="auto"/>
                <w:highlight w:val="none"/>
                <w:lang w:val="en-US" w:eastAsia="zh-CN"/>
              </w:rPr>
            </w:pPr>
            <w:r>
              <w:rPr>
                <w:rFonts w:hint="eastAsia"/>
                <w:color w:val="auto"/>
                <w:highlight w:val="none"/>
                <w:lang w:val="en-US" w:eastAsia="zh-CN"/>
              </w:rPr>
              <w:t>项目工件均为铝质工件，在清洗过程中会因为铝基材而带有极少的铝，本项目忽略不计，不进行额外分析。</w:t>
            </w:r>
          </w:p>
          <w:p w14:paraId="34C3C7D4">
            <w:pPr>
              <w:keepNext/>
              <w:keepLines/>
              <w:suppressLineNumbers w:val="0"/>
              <w:tabs>
                <w:tab w:val="left" w:pos="0"/>
              </w:tabs>
              <w:spacing w:before="0" w:beforeAutospacing="0" w:after="0" w:afterAutospacing="0"/>
              <w:ind w:left="0" w:right="0" w:firstLine="480" w:firstLineChars="200"/>
              <w:outlineLvl w:val="3"/>
              <w:rPr>
                <w:rFonts w:hint="eastAsia" w:cs="Times New Roman"/>
                <w:color w:val="auto"/>
                <w:highlight w:val="none"/>
                <w:vertAlign w:val="baseline"/>
                <w:lang w:val="en-US" w:eastAsia="zh-CN"/>
              </w:rPr>
            </w:pPr>
            <w:r>
              <w:rPr>
                <w:rFonts w:hint="eastAsia" w:cs="Times New Roman"/>
                <w:color w:val="auto"/>
                <w:highlight w:val="none"/>
                <w:lang w:val="en-US" w:eastAsia="zh-CN"/>
              </w:rPr>
              <w:t>由于项目无铬钝化剂中含氟锆酸和氟钛酸，会有少量锆离子和钛离子产生，但目前锆、钛未有相关排放标准要求，且项目钝化剂使用量较少，本项目不将锆和钛作为控制标准，但为进一步考虑环境影响，本项目将锆、钛定量分析，论证本项目废水处理工艺是否亦能对上述污染物进行有效处理。本项目无铬钝化剂用量为7.2t/a，氟锆酸和氟钛酸含量均为5%～10%，项目按最大占比10%计算，分子式分别为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F</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Zr、H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TiF</w:t>
            </w:r>
            <w:r>
              <w:rPr>
                <w:rFonts w:hint="eastAsia" w:cs="Times New Roman"/>
                <w:color w:val="auto"/>
                <w:highlight w:val="none"/>
                <w:vertAlign w:val="subscript"/>
                <w:lang w:val="en-US" w:eastAsia="zh-CN"/>
              </w:rPr>
              <w:t>6</w:t>
            </w:r>
            <w:r>
              <w:rPr>
                <w:rFonts w:hint="eastAsia" w:cs="Times New Roman"/>
                <w:color w:val="auto"/>
                <w:highlight w:val="none"/>
                <w:vertAlign w:val="baseline"/>
                <w:lang w:val="en-US" w:eastAsia="zh-CN"/>
              </w:rPr>
              <w:t>，按照原子质量占比计算得Zr产生量为0.31656t/a，Ti产生量为0.20592t/a，本项目生产废水产生量为8073.6t/a，按最不利情况，折算得出Zr和Ti产生浓度分别为39.21mg/L和25.5mg/L。</w:t>
            </w:r>
          </w:p>
          <w:p w14:paraId="4816704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val="0"/>
                <w:bCs w:val="0"/>
                <w:color w:val="auto"/>
                <w:highlight w:val="none"/>
                <w:vertAlign w:val="baseline"/>
                <w:lang w:val="en-US"/>
              </w:rPr>
            </w:pPr>
            <w:r>
              <w:rPr>
                <w:rFonts w:hint="default" w:ascii="Times New Roman" w:hAnsi="Times New Roman" w:cs="Times New Roman"/>
                <w:b w:val="0"/>
                <w:bCs w:val="0"/>
                <w:color w:val="auto"/>
                <w:highlight w:val="none"/>
                <w:vertAlign w:val="baseline"/>
                <w:lang w:val="en-US"/>
              </w:rPr>
              <w:t>“中和调节+混凝沉淀+气浮+化学除氟”组合工艺对锆（Zr）和钛（Ti）的处理效率预计可达85%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95%。其机理与氟处理高度相似：中和调节通过精准控制pH（Zr:8~10，Ti:6~8），促使Zr⁴⁺和Ti⁴⁺形成难溶氢氧化物沉淀（如Zr(OH)₄、Ti(OH)₄），初步去除率约50%</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80%，类比氟化钙沉淀的pH依赖性（pH6.5~7.0时氟去除率&gt;90%）；混凝沉淀中铝盐（PAC）或铁盐（聚合硫酸铁）水解生成Al(OH)₃/Fe(OH)₃胶体，通过电荷中和与共沉淀吸附残留金属离子，提升效率10%</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30%（参考铁盐对氟的去除率&gt;96%）；气浮利用微小气泡（如电凝聚产生的H₂/O₂）强化絮体分离，减少悬浮物残留（国家科技支撑项目验证其分离优化效果），提升总去除率5%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15%；化学除氟钙盐（如CaO、CaCl₂）通过释放Ca²⁺与F⁻生成CaF₂沉淀，同时调节pH至碱性环境促进其他金属氢氧化物沉淀，进一步降低浓度5%</w:t>
            </w:r>
            <w:r>
              <w:rPr>
                <w:rFonts w:hint="eastAsia" w:cs="Times New Roman"/>
                <w:b w:val="0"/>
                <w:bCs w:val="0"/>
                <w:color w:val="auto"/>
                <w:highlight w:val="none"/>
                <w:vertAlign w:val="baseline"/>
                <w:lang w:val="en-US" w:eastAsia="zh-CN"/>
              </w:rPr>
              <w:t>～</w:t>
            </w:r>
            <w:r>
              <w:rPr>
                <w:rFonts w:hint="default" w:ascii="Times New Roman" w:hAnsi="Times New Roman" w:cs="Times New Roman"/>
                <w:b w:val="0"/>
                <w:bCs w:val="0"/>
                <w:color w:val="auto"/>
                <w:highlight w:val="none"/>
                <w:vertAlign w:val="baseline"/>
                <w:lang w:val="en-US"/>
              </w:rPr>
              <w:t>10%（类似其对氟的深度去除能力）。</w:t>
            </w:r>
          </w:p>
          <w:p w14:paraId="44E7E1A3">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b w:val="0"/>
                <w:bCs w:val="0"/>
                <w:color w:val="auto"/>
                <w:highlight w:val="none"/>
                <w:vertAlign w:val="baseline"/>
                <w:lang w:val="en-US" w:eastAsia="zh-CN"/>
              </w:rPr>
            </w:pPr>
            <w:r>
              <w:rPr>
                <w:rFonts w:hint="eastAsia" w:cs="Times New Roman"/>
                <w:b w:val="0"/>
                <w:bCs w:val="0"/>
                <w:color w:val="auto"/>
                <w:highlight w:val="none"/>
                <w:vertAlign w:val="baseline"/>
                <w:lang w:val="en-US" w:eastAsia="zh-CN"/>
              </w:rPr>
              <w:t>本项目</w:t>
            </w:r>
            <w:r>
              <w:rPr>
                <w:rFonts w:hint="default" w:ascii="Times New Roman" w:hAnsi="Times New Roman" w:cs="Times New Roman"/>
                <w:b w:val="0"/>
                <w:bCs w:val="0"/>
                <w:color w:val="auto"/>
                <w:highlight w:val="none"/>
                <w:vertAlign w:val="baseline"/>
                <w:lang w:val="en-US"/>
              </w:rPr>
              <w:t>“中和调节+混凝沉淀+气浮+化学除氟”</w:t>
            </w:r>
            <w:r>
              <w:rPr>
                <w:rFonts w:hint="eastAsia" w:cs="Times New Roman"/>
                <w:b w:val="0"/>
                <w:bCs w:val="0"/>
                <w:color w:val="auto"/>
                <w:highlight w:val="none"/>
                <w:vertAlign w:val="baseline"/>
                <w:lang w:val="en-US" w:eastAsia="zh-CN"/>
              </w:rPr>
              <w:t>对Zr和Ti保守按70%处理效率计算。计算得出Zr和Ti排放浓度分别为9.40mg/L和6.11mg/L，此排放浓度较低，经过与其他废水混合稀释后排入园区污水处理厂再进一步处理，对外环境影响很小。</w:t>
            </w:r>
          </w:p>
          <w:p w14:paraId="6BD3923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2、废水收集处理情况</w:t>
            </w:r>
          </w:p>
          <w:p w14:paraId="2BE52F61">
            <w:pPr>
              <w:pStyle w:val="43"/>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生活污水经“三级化粪池</w:t>
            </w:r>
            <w:r>
              <w:rPr>
                <w:rFonts w:hint="eastAsia" w:ascii="Times New Roman" w:cs="Times New Roman"/>
                <w:color w:val="auto"/>
                <w:highlight w:val="none"/>
                <w:lang w:val="en-US" w:eastAsia="zh-CN"/>
              </w:rPr>
              <w:t>、隔油隔渣池</w:t>
            </w:r>
            <w:r>
              <w:rPr>
                <w:rFonts w:hint="default" w:ascii="Times New Roman" w:hAnsi="Times New Roman" w:cs="Times New Roman"/>
                <w:color w:val="auto"/>
                <w:highlight w:val="none"/>
                <w:lang w:val="en-US" w:eastAsia="zh-CN"/>
              </w:rPr>
              <w:t>”处理；</w:t>
            </w:r>
            <w:r>
              <w:rPr>
                <w:rFonts w:hint="default" w:ascii="Times New Roman" w:hAnsi="Times New Roman" w:cs="Times New Roman"/>
                <w:color w:val="auto"/>
                <w:highlight w:val="none"/>
              </w:rPr>
              <w:t>生产废水经“中和调节+混凝沉淀+气浮+化学除氟”处理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两股废水处理后均达到广东省地方标准《水污染物排放限值》（DB44/26-2001）第二时段三级标准及园区污水处理厂接管水质要求两者较严值要求后，一并</w:t>
            </w:r>
            <w:r>
              <w:rPr>
                <w:rFonts w:hint="default" w:ascii="Times New Roman" w:hAnsi="Times New Roman" w:cs="Times New Roman"/>
                <w:color w:val="auto"/>
                <w:highlight w:val="none"/>
              </w:rPr>
              <w:t>排入园区污水处理厂处理，园区污水处理厂处理后达到广东省《</w:t>
            </w:r>
            <w:r>
              <w:rPr>
                <w:rFonts w:hint="eastAsia" w:ascii="Times New Roman" w:cs="Times New Roman"/>
                <w:color w:val="auto"/>
                <w:highlight w:val="none"/>
                <w:lang w:eastAsia="zh-CN"/>
              </w:rPr>
              <w:t>水污染物排放限值</w:t>
            </w:r>
            <w:r>
              <w:rPr>
                <w:rFonts w:hint="default" w:ascii="Times New Roman" w:hAnsi="Times New Roman" w:cs="Times New Roman"/>
                <w:color w:val="auto"/>
                <w:highlight w:val="none"/>
              </w:rPr>
              <w:t>》（DB44/26-2001）第二时段一级标准和《城镇污水处理厂污染物排放标准》（GB18919-2002）一级B标准中严者后</w:t>
            </w:r>
            <w:r>
              <w:rPr>
                <w:rFonts w:hint="default" w:ascii="Times New Roman" w:hAnsi="Times New Roman" w:cs="Times New Roman"/>
                <w:color w:val="auto"/>
                <w:highlight w:val="none"/>
                <w:lang w:eastAsia="zh-CN"/>
              </w:rPr>
              <w:t>排</w:t>
            </w:r>
            <w:r>
              <w:rPr>
                <w:rFonts w:hint="default" w:ascii="Times New Roman" w:hAnsi="Times New Roman" w:cs="Times New Roman"/>
                <w:color w:val="auto"/>
                <w:highlight w:val="none"/>
              </w:rPr>
              <w:t>入武江。</w:t>
            </w:r>
          </w:p>
          <w:p w14:paraId="3CE1E72A">
            <w:pPr>
              <w:pStyle w:val="43"/>
              <w:keepNext w:val="0"/>
              <w:keepLines w:val="0"/>
              <w:pageBreakBefore w:val="0"/>
              <w:widowControl w:val="0"/>
              <w:suppressLineNumbers w:val="0"/>
              <w:kinsoku/>
              <w:wordWrap/>
              <w:overflowPunct/>
              <w:topLinePunct w:val="0"/>
              <w:bidi w:val="0"/>
              <w:snapToGrid w:val="0"/>
              <w:spacing w:before="0" w:beforeAutospacing="0" w:after="0" w:afterAutospacing="0"/>
              <w:ind w:left="0" w:right="0"/>
              <w:jc w:val="center"/>
              <w:textAlignment w:val="auto"/>
              <w:rPr>
                <w:rFonts w:hint="default" w:ascii="Times New Roman" w:hAnsi="Times New Roman" w:cs="Times New Roman"/>
                <w:color w:val="auto"/>
                <w:sz w:val="24"/>
                <w:szCs w:val="24"/>
                <w:highlight w:val="none"/>
              </w:rPr>
            </w:pPr>
            <w:r>
              <w:rPr>
                <w:rFonts w:hint="eastAsia"/>
                <w:color w:val="auto"/>
                <w:highlight w:val="none"/>
              </w:rPr>
              <w:drawing>
                <wp:inline distT="0" distB="0" distL="114300" distR="114300">
                  <wp:extent cx="6953250" cy="1945005"/>
                  <wp:effectExtent l="0" t="0" r="0" b="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22"/>
                          <a:srcRect b="3679"/>
                          <a:stretch>
                            <a:fillRect/>
                          </a:stretch>
                        </pic:blipFill>
                        <pic:spPr>
                          <a:xfrm>
                            <a:off x="0" y="0"/>
                            <a:ext cx="6953250" cy="1945005"/>
                          </a:xfrm>
                          <a:prstGeom prst="rect">
                            <a:avLst/>
                          </a:prstGeom>
                          <a:noFill/>
                          <a:ln>
                            <a:noFill/>
                          </a:ln>
                        </pic:spPr>
                      </pic:pic>
                    </a:graphicData>
                  </a:graphic>
                </wp:inline>
              </w:drawing>
            </w:r>
          </w:p>
          <w:p w14:paraId="067E456D">
            <w:pPr>
              <w:keepNext/>
              <w:keepLines/>
              <w:pageBreakBefore w:val="0"/>
              <w:widowControl w:val="0"/>
              <w:numPr>
                <w:ilvl w:val="0"/>
                <w:numId w:val="8"/>
              </w:numPr>
              <w:suppressLineNumbers w:val="0"/>
              <w:kinsoku/>
              <w:wordWrap/>
              <w:overflowPunct/>
              <w:topLinePunct w:val="0"/>
              <w:bidi w:val="0"/>
              <w:snapToGrid w:val="0"/>
              <w:spacing w:before="0" w:beforeAutospacing="0" w:after="0" w:afterAutospacing="0"/>
              <w:ind w:left="0" w:leftChars="0" w:right="0" w:firstLine="0" w:firstLineChars="0"/>
              <w:jc w:val="center"/>
              <w:textAlignment w:val="auto"/>
              <w:outlineLvl w:val="3"/>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项目生产废水处理流程图</w:t>
            </w:r>
          </w:p>
          <w:p w14:paraId="4DF8213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工艺说明：</w:t>
            </w:r>
          </w:p>
          <w:p w14:paraId="7AE0F751">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①中和调节池</w:t>
            </w:r>
          </w:p>
          <w:p w14:paraId="2B4AA011">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default" w:ascii="Times New Roman" w:hAnsi="Times New Roman" w:cs="Times New Roman"/>
                <w:color w:val="auto"/>
                <w:highlight w:val="none"/>
              </w:rPr>
              <w:t>生产废水进入中和调节池，通过8-12小时水力停留实现水质水量均衡。池内配备机械搅拌装置和pH在线监测系统，自动投加H</w:t>
            </w:r>
            <w:r>
              <w:rPr>
                <w:rFonts w:hint="eastAsia" w:cs="Times New Roman"/>
                <w:color w:val="auto"/>
                <w:highlight w:val="none"/>
                <w:vertAlign w:val="subscript"/>
                <w:lang w:val="en-US" w:eastAsia="zh-CN"/>
              </w:rPr>
              <w:t>2</w:t>
            </w:r>
            <w:r>
              <w:rPr>
                <w:rFonts w:hint="default" w:ascii="Times New Roman" w:hAnsi="Times New Roman" w:cs="Times New Roman"/>
                <w:color w:val="auto"/>
                <w:highlight w:val="none"/>
              </w:rPr>
              <w:t>SO₄或NaOH调节pH至6-9范围，液位控制器联动提升泵稳定输送均质废水至后续单元。</w:t>
            </w:r>
          </w:p>
          <w:p w14:paraId="5A8634EB">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②混凝沉淀</w:t>
            </w:r>
          </w:p>
          <w:p w14:paraId="0783BE84">
            <w:pPr>
              <w:keepNext/>
              <w:keepLines/>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right="0" w:firstLine="480" w:firstLineChars="200"/>
              <w:textAlignment w:val="auto"/>
              <w:outlineLvl w:val="3"/>
              <w:rPr>
                <w:rFonts w:hint="default" w:ascii="Times New Roman" w:hAnsi="Times New Roman" w:cs="Times New Roman"/>
                <w:color w:val="auto"/>
                <w:sz w:val="24"/>
                <w:szCs w:val="24"/>
                <w:highlight w:val="none"/>
                <w:lang w:val="en-US"/>
              </w:rPr>
            </w:pPr>
            <w:r>
              <w:rPr>
                <w:rFonts w:hint="default" w:ascii="Times New Roman" w:hAnsi="Times New Roman" w:eastAsia="Segoe UI" w:cs="Times New Roman"/>
                <w:i w:val="0"/>
                <w:iCs w:val="0"/>
                <w:caps w:val="0"/>
                <w:color w:val="auto"/>
                <w:spacing w:val="0"/>
                <w:sz w:val="24"/>
                <w:szCs w:val="24"/>
                <w:highlight w:val="none"/>
                <w:shd w:val="clear" w:fill="FFFFFF"/>
              </w:rPr>
              <w:t>均质废水经提升泵进入混凝反应池，依次投加PAC和PAM，快混阶段实现胶体脱稳，慢混阶段形成毫米级矾花。混合液进入斜板沉淀池，污泥沉降至泥斗定期排放</w:t>
            </w:r>
            <w:r>
              <w:rPr>
                <w:rFonts w:hint="eastAsia" w:ascii="Times New Roman" w:hAnsi="Times New Roman" w:eastAsia="宋体" w:cs="Times New Roman"/>
                <w:i w:val="0"/>
                <w:iCs w:val="0"/>
                <w:caps w:val="0"/>
                <w:color w:val="auto"/>
                <w:spacing w:val="0"/>
                <w:sz w:val="24"/>
                <w:szCs w:val="24"/>
                <w:highlight w:val="none"/>
                <w:shd w:val="clear" w:fill="FFFFFF"/>
                <w:lang w:eastAsia="zh-CN"/>
              </w:rPr>
              <w:t>。</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污染物去除效率分别为SS：70%、COD</w:t>
            </w:r>
            <w:r>
              <w:rPr>
                <w:rFonts w:hint="eastAsia" w:ascii="Times New Roman" w:hAnsi="Times New Roman" w:eastAsia="宋体" w:cs="Times New Roman"/>
                <w:i w:val="0"/>
                <w:iCs w:val="0"/>
                <w:caps w:val="0"/>
                <w:color w:val="auto"/>
                <w:spacing w:val="0"/>
                <w:sz w:val="24"/>
                <w:szCs w:val="24"/>
                <w:highlight w:val="none"/>
                <w:shd w:val="clear" w:fill="FFFFFF"/>
                <w:vertAlign w:val="subscript"/>
                <w:lang w:val="en-US" w:eastAsia="zh-CN"/>
              </w:rPr>
              <w:t>Cr</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w:t>
            </w:r>
            <w:r>
              <w:rPr>
                <w:rFonts w:hint="eastAsia" w:cs="Times New Roman"/>
                <w:i w:val="0"/>
                <w:iCs w:val="0"/>
                <w:caps w:val="0"/>
                <w:color w:val="auto"/>
                <w:spacing w:val="0"/>
                <w:sz w:val="24"/>
                <w:szCs w:val="24"/>
                <w:highlight w:val="none"/>
                <w:shd w:val="clear" w:fill="FFFFFF"/>
                <w:lang w:val="en-US" w:eastAsia="zh-CN"/>
              </w:rPr>
              <w:t>70</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w:t>
            </w:r>
          </w:p>
          <w:p w14:paraId="570A5AB6">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③</w:t>
            </w:r>
            <w:r>
              <w:rPr>
                <w:rFonts w:hint="eastAsia" w:ascii="Times New Roman" w:hAnsi="Times New Roman" w:eastAsia="宋体" w:cs="Times New Roman"/>
                <w:b/>
                <w:bCs/>
                <w:color w:val="auto"/>
                <w:kern w:val="0"/>
                <w:sz w:val="24"/>
                <w:szCs w:val="24"/>
                <w:highlight w:val="none"/>
                <w:lang w:val="en-US" w:eastAsia="zh-CN" w:bidi="ar"/>
              </w:rPr>
              <w:t>气浮单元</w:t>
            </w:r>
          </w:p>
          <w:p w14:paraId="595EB74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混凝出水进入溶气气浮系统（DAF），溶气水压力0.3-0.5MPa，回流比30%-50%，释放30-50μm微气泡吸附石油类及LAS。浮渣由刮渣机清除</w:t>
            </w:r>
            <w:r>
              <w:rPr>
                <w:rFonts w:hint="eastAsia" w:ascii="Times New Roman" w:hAnsi="Times New Roman" w:eastAsia="宋体" w:cs="Times New Roman"/>
                <w:color w:val="auto"/>
                <w:highlight w:val="none"/>
                <w:lang w:val="en-US" w:eastAsia="zh-CN"/>
              </w:rPr>
              <w:t>。根据《气浮设备技术条件》（JB/T 11645-2013）：石油类去除率60%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80%，本项目取</w:t>
            </w:r>
            <w:r>
              <w:rPr>
                <w:rFonts w:hint="eastAsia" w:cs="Times New Roman"/>
                <w:color w:val="auto"/>
                <w:highlight w:val="none"/>
                <w:lang w:val="en-US" w:eastAsia="zh-CN"/>
              </w:rPr>
              <w:t>8</w:t>
            </w:r>
            <w:r>
              <w:rPr>
                <w:rFonts w:hint="eastAsia" w:ascii="Times New Roman" w:hAnsi="Times New Roman" w:eastAsia="宋体" w:cs="Times New Roman"/>
                <w:color w:val="auto"/>
                <w:highlight w:val="none"/>
                <w:lang w:val="en-US" w:eastAsia="zh-CN"/>
              </w:rPr>
              <w:t>0%，气浮工艺对悬浮物（SS）的去除效率通常为50%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70%，本项目取60%；《污水气浮处理工程技术规范》（T/CECS 548-2018）：LAS去除率20%</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30%，本项目取25%。</w:t>
            </w:r>
          </w:p>
          <w:p w14:paraId="00818C5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④化学除氟单元</w:t>
            </w:r>
          </w:p>
          <w:p w14:paraId="7CB5E9EF">
            <w:pPr>
              <w:keepNext w:val="0"/>
              <w:keepLines w:val="0"/>
              <w:widowControl/>
              <w:suppressLineNumbers w:val="0"/>
              <w:spacing w:before="0" w:beforeAutospacing="0" w:after="0" w:afterAutospacing="0"/>
              <w:ind w:left="0" w:right="0" w:firstLine="480" w:firstLineChars="200"/>
              <w:jc w:val="left"/>
              <w:rPr>
                <w:rFonts w:hint="eastAsia"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气浮出水进入钙盐沉淀池，投加石灰（pH8.5-9.5）和CaCl₂（钙氟摩尔比1.2:1），搅拌反应30分钟生成CaF₂沉淀。混合液经竖流沉淀池（HRT≥2h）分离后，出水pH回调至6-9，引用《工业废水处理技术手册》第12章“化学沉淀法”</w:t>
            </w:r>
            <w:r>
              <w:rPr>
                <w:rFonts w:hint="eastAsia" w:cs="Times New Roman"/>
                <w:b w:val="0"/>
                <w:bCs w:val="0"/>
                <w:color w:val="auto"/>
                <w:kern w:val="0"/>
                <w:sz w:val="24"/>
                <w:szCs w:val="24"/>
                <w:highlight w:val="none"/>
                <w:lang w:val="en-US" w:eastAsia="zh-CN" w:bidi="ar"/>
              </w:rPr>
              <w:t>：</w:t>
            </w:r>
            <w:r>
              <w:rPr>
                <w:rFonts w:hint="default" w:ascii="Times New Roman" w:hAnsi="Times New Roman" w:eastAsia="宋体" w:cs="Times New Roman"/>
                <w:b w:val="0"/>
                <w:bCs w:val="0"/>
                <w:color w:val="auto"/>
                <w:kern w:val="0"/>
                <w:sz w:val="24"/>
                <w:szCs w:val="24"/>
                <w:highlight w:val="none"/>
                <w:lang w:val="en-US" w:eastAsia="zh-CN" w:bidi="ar"/>
              </w:rPr>
              <w:t>钙盐</w:t>
            </w:r>
            <w:r>
              <w:rPr>
                <w:rFonts w:hint="eastAsia" w:ascii="Times New Roman" w:hAnsi="Times New Roman" w:eastAsia="宋体" w:cs="Times New Roman"/>
                <w:b w:val="0"/>
                <w:bCs w:val="0"/>
                <w:color w:val="auto"/>
                <w:kern w:val="0"/>
                <w:sz w:val="24"/>
                <w:szCs w:val="24"/>
                <w:highlight w:val="none"/>
                <w:lang w:val="en-US" w:eastAsia="zh-CN" w:bidi="ar"/>
              </w:rPr>
              <w:t>除氟效率为70%。</w:t>
            </w:r>
          </w:p>
          <w:p w14:paraId="6EC18DEA">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⑤污泥处理系统</w:t>
            </w:r>
          </w:p>
          <w:p w14:paraId="4CF09060">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各单元污泥（SS污泥、浮渣、含氟污泥）汇集至浓缩池，投加0.1%-0.3%PAM改性后通过板框压滤脱水</w:t>
            </w:r>
            <w:r>
              <w:rPr>
                <w:rFonts w:hint="eastAsia" w:cs="Times New Roman"/>
                <w:b w:val="0"/>
                <w:bCs w:val="0"/>
                <w:color w:val="auto"/>
                <w:kern w:val="0"/>
                <w:sz w:val="24"/>
                <w:szCs w:val="24"/>
                <w:highlight w:val="none"/>
                <w:lang w:val="en-US" w:eastAsia="zh-CN" w:bidi="ar"/>
              </w:rPr>
              <w:t>，脱水后污泥含水率按60%计算，污泥按作危险废物交由有处理资质的单位处理。</w:t>
            </w:r>
          </w:p>
          <w:p w14:paraId="0FB4F218">
            <w:pPr>
              <w:keepNext w:val="0"/>
              <w:keepLines w:val="0"/>
              <w:widowControl/>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color w:val="auto"/>
                <w:kern w:val="0"/>
                <w:sz w:val="24"/>
                <w:szCs w:val="24"/>
                <w:highlight w:val="none"/>
                <w:lang w:val="en-US" w:eastAsia="zh-CN" w:bidi="ar"/>
              </w:rPr>
            </w:pPr>
            <w:r>
              <w:rPr>
                <w:rFonts w:hint="default" w:ascii="Times New Roman" w:hAnsi="Times New Roman" w:eastAsia="宋体" w:cs="Times New Roman"/>
                <w:b w:val="0"/>
                <w:bCs w:val="0"/>
                <w:color w:val="auto"/>
                <w:kern w:val="0"/>
                <w:sz w:val="24"/>
                <w:szCs w:val="24"/>
                <w:highlight w:val="none"/>
                <w:lang w:val="en-US" w:eastAsia="zh-CN" w:bidi="ar"/>
              </w:rPr>
              <w:t>根据建设单位提供的废水处理方案，本项目废水处理设施处理能力为</w:t>
            </w:r>
            <w:r>
              <w:rPr>
                <w:rFonts w:hint="eastAsia" w:cs="Times New Roman"/>
                <w:b w:val="0"/>
                <w:bCs w:val="0"/>
                <w:color w:val="auto"/>
                <w:kern w:val="0"/>
                <w:sz w:val="24"/>
                <w:szCs w:val="24"/>
                <w:highlight w:val="none"/>
                <w:lang w:val="en-US" w:eastAsia="zh-CN" w:bidi="ar"/>
              </w:rPr>
              <w:t>30</w:t>
            </w:r>
            <w:r>
              <w:rPr>
                <w:rFonts w:hint="default" w:ascii="Times New Roman" w:hAnsi="Times New Roman" w:eastAsia="宋体" w:cs="Times New Roman"/>
                <w:b w:val="0"/>
                <w:bCs w:val="0"/>
                <w:color w:val="auto"/>
                <w:kern w:val="0"/>
                <w:sz w:val="24"/>
                <w:szCs w:val="24"/>
                <w:highlight w:val="none"/>
                <w:lang w:val="en-US" w:eastAsia="zh-CN" w:bidi="ar"/>
              </w:rPr>
              <w:t>m</w:t>
            </w:r>
            <w:r>
              <w:rPr>
                <w:rFonts w:hint="default" w:ascii="Times New Roman" w:hAnsi="Times New Roman" w:eastAsia="宋体" w:cs="Times New Roman"/>
                <w:b w:val="0"/>
                <w:bCs w:val="0"/>
                <w:color w:val="auto"/>
                <w:kern w:val="0"/>
                <w:sz w:val="24"/>
                <w:szCs w:val="24"/>
                <w:highlight w:val="none"/>
                <w:vertAlign w:val="superscript"/>
                <w:lang w:val="en-US" w:eastAsia="zh-CN" w:bidi="ar"/>
              </w:rPr>
              <w:t>3</w:t>
            </w:r>
            <w:r>
              <w:rPr>
                <w:rFonts w:hint="default" w:ascii="Times New Roman" w:hAnsi="Times New Roman" w:eastAsia="宋体" w:cs="Times New Roman"/>
                <w:b w:val="0"/>
                <w:bCs w:val="0"/>
                <w:color w:val="auto"/>
                <w:kern w:val="0"/>
                <w:sz w:val="24"/>
                <w:szCs w:val="24"/>
                <w:highlight w:val="none"/>
                <w:lang w:val="en-US" w:eastAsia="zh-CN" w:bidi="ar"/>
              </w:rPr>
              <w:t>/d，项目废水处理设施主要构筑物参数：</w:t>
            </w:r>
          </w:p>
          <w:p w14:paraId="1806A512">
            <w:pPr>
              <w:keepNext/>
              <w:keepLines/>
              <w:numPr>
                <w:ilvl w:val="0"/>
                <w:numId w:val="0"/>
              </w:numPr>
              <w:suppressLineNumbers w:val="0"/>
              <w:tabs>
                <w:tab w:val="left" w:pos="0"/>
              </w:tabs>
              <w:spacing w:before="0" w:beforeAutospacing="0" w:after="0" w:afterAutospacing="0"/>
              <w:ind w:left="0" w:leftChars="0" w:right="0" w:rightChars="0" w:firstLine="40" w:firstLineChars="0"/>
              <w:jc w:val="center"/>
              <w:outlineLvl w:val="3"/>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表4-26</w:t>
            </w:r>
            <w:r>
              <w:rPr>
                <w:rFonts w:hint="default" w:ascii="Times New Roman" w:hAnsi="Times New Roman" w:cs="Times New Roman"/>
                <w:b/>
                <w:bCs/>
                <w:color w:val="auto"/>
                <w:sz w:val="21"/>
                <w:szCs w:val="21"/>
                <w:highlight w:val="none"/>
              </w:rPr>
              <w:t>项目污水处理站废水处理设施主要构筑物参数</w:t>
            </w:r>
          </w:p>
          <w:tbl>
            <w:tblPr>
              <w:tblStyle w:val="38"/>
              <w:tblW w:w="13356" w:type="dxa"/>
              <w:tblInd w:w="-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68"/>
              <w:gridCol w:w="3820"/>
              <w:gridCol w:w="1585"/>
              <w:gridCol w:w="1585"/>
              <w:gridCol w:w="1319"/>
              <w:gridCol w:w="1209"/>
              <w:gridCol w:w="1585"/>
              <w:gridCol w:w="1585"/>
            </w:tblGrid>
            <w:tr w14:paraId="27EA1E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488"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20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各级处理效果各项指标</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5F2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水量</w:t>
                  </w:r>
                  <w:r>
                    <w:rPr>
                      <w:rFonts w:hint="default" w:ascii="Times New Roman" w:hAnsi="Times New Roman" w:eastAsia="宋体" w:cs="Times New Roman"/>
                      <w:b/>
                      <w:bCs/>
                      <w:i w:val="0"/>
                      <w:iCs w:val="0"/>
                      <w:color w:val="auto"/>
                      <w:kern w:val="0"/>
                      <w:sz w:val="21"/>
                      <w:szCs w:val="21"/>
                      <w:highlight w:val="none"/>
                      <w:u w:val="none"/>
                      <w:lang w:val="en-US" w:eastAsia="zh-CN" w:bidi="ar"/>
                    </w:rPr>
                    <w:t>(m³/a)</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85C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COD</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cr</w:t>
                  </w:r>
                </w:p>
              </w:tc>
              <w:tc>
                <w:tcPr>
                  <w:tcW w:w="13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87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SS</w:t>
                  </w:r>
                </w:p>
              </w:tc>
              <w:tc>
                <w:tcPr>
                  <w:tcW w:w="12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6B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LAS</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E0C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氟化物</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F46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石油类</w:t>
                  </w:r>
                </w:p>
              </w:tc>
            </w:tr>
            <w:tr w14:paraId="26D012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5C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生产废水</w:t>
                  </w: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69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进水</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58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021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8073.6</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AC6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150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EB1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74</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444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1.40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1C1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11</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13F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10</w:t>
                  </w:r>
                </w:p>
              </w:tc>
            </w:tr>
            <w:tr w14:paraId="44FBD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4F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37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中和调节池去除效率</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0C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49B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DD3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8A1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390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2F7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r>
            <w:tr w14:paraId="62DC6A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637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FE2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处理后浓度（</w:t>
                  </w:r>
                  <w:r>
                    <w:rPr>
                      <w:rFonts w:hint="default" w:ascii="Times New Roman" w:hAnsi="Times New Roman" w:eastAsia="宋体" w:cs="Times New Roman"/>
                      <w:i w:val="0"/>
                      <w:iCs w:val="0"/>
                      <w:color w:val="auto"/>
                      <w:kern w:val="0"/>
                      <w:sz w:val="21"/>
                      <w:szCs w:val="21"/>
                      <w:highlight w:val="none"/>
                      <w:u w:val="none"/>
                      <w:lang w:val="en-US" w:eastAsia="zh-CN" w:bidi="ar"/>
                    </w:rPr>
                    <w:t>mg/L</w:t>
                  </w:r>
                  <w:r>
                    <w:rPr>
                      <w:rFonts w:hint="eastAsia" w:ascii="宋体" w:hAnsi="宋体" w:eastAsia="宋体" w:cs="宋体"/>
                      <w:i w:val="0"/>
                      <w:iCs w:val="0"/>
                      <w:color w:val="auto"/>
                      <w:kern w:val="0"/>
                      <w:sz w:val="21"/>
                      <w:szCs w:val="21"/>
                      <w:highlight w:val="none"/>
                      <w:u w:val="none"/>
                      <w:lang w:val="en-US" w:eastAsia="zh-CN" w:bidi="ar"/>
                    </w:rPr>
                    <w:t>）</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E75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E7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150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2EF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74</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FBA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1.40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BE6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952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10</w:t>
                  </w:r>
                </w:p>
              </w:tc>
            </w:tr>
            <w:tr w14:paraId="1C7CB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BC3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78B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混凝沉淀池去除效率</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125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D93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7</w:t>
                  </w: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32D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FB3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CF5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FD9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r>
            <w:tr w14:paraId="5D49D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A9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41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处理后浓度（</w:t>
                  </w:r>
                  <w:r>
                    <w:rPr>
                      <w:rFonts w:hint="default" w:ascii="Times New Roman" w:hAnsi="Times New Roman" w:eastAsia="宋体" w:cs="Times New Roman"/>
                      <w:i w:val="0"/>
                      <w:iCs w:val="0"/>
                      <w:color w:val="auto"/>
                      <w:kern w:val="0"/>
                      <w:sz w:val="21"/>
                      <w:szCs w:val="21"/>
                      <w:highlight w:val="none"/>
                      <w:u w:val="none"/>
                      <w:lang w:val="en-US" w:eastAsia="zh-CN" w:bidi="ar"/>
                    </w:rPr>
                    <w:t>mg/L</w:t>
                  </w:r>
                  <w:r>
                    <w:rPr>
                      <w:rFonts w:hint="eastAsia" w:ascii="宋体" w:hAnsi="宋体" w:eastAsia="宋体" w:cs="宋体"/>
                      <w:i w:val="0"/>
                      <w:iCs w:val="0"/>
                      <w:color w:val="auto"/>
                      <w:kern w:val="0"/>
                      <w:sz w:val="21"/>
                      <w:szCs w:val="21"/>
                      <w:highlight w:val="none"/>
                      <w:u w:val="none"/>
                      <w:lang w:val="en-US" w:eastAsia="zh-CN" w:bidi="ar"/>
                    </w:rPr>
                    <w:t>）</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7EB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5EA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45</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183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22 </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F04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1.40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2F6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B30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10</w:t>
                  </w:r>
                </w:p>
              </w:tc>
            </w:tr>
            <w:tr w14:paraId="265FB5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876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73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气浮池去除效率</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202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7F9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508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60%</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A24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793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444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8</w:t>
                  </w:r>
                  <w:r>
                    <w:rPr>
                      <w:rFonts w:hint="default" w:ascii="Times New Roman" w:hAnsi="Times New Roman" w:eastAsia="宋体" w:cs="Times New Roman"/>
                      <w:i w:val="0"/>
                      <w:iCs w:val="0"/>
                      <w:color w:val="auto"/>
                      <w:kern w:val="0"/>
                      <w:sz w:val="20"/>
                      <w:szCs w:val="20"/>
                      <w:highlight w:val="none"/>
                      <w:u w:val="none"/>
                      <w:lang w:val="en-US" w:eastAsia="zh-CN" w:bidi="ar"/>
                    </w:rPr>
                    <w:t>0%</w:t>
                  </w:r>
                </w:p>
              </w:tc>
            </w:tr>
            <w:tr w14:paraId="4104D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1A9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A66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处理后浓度（</w:t>
                  </w:r>
                  <w:r>
                    <w:rPr>
                      <w:rFonts w:hint="default" w:ascii="Times New Roman" w:hAnsi="Times New Roman" w:eastAsia="宋体" w:cs="Times New Roman"/>
                      <w:i w:val="0"/>
                      <w:iCs w:val="0"/>
                      <w:color w:val="auto"/>
                      <w:kern w:val="0"/>
                      <w:sz w:val="21"/>
                      <w:szCs w:val="21"/>
                      <w:highlight w:val="none"/>
                      <w:u w:val="none"/>
                      <w:lang w:val="en-US" w:eastAsia="zh-CN" w:bidi="ar"/>
                    </w:rPr>
                    <w:t>mg/L</w:t>
                  </w:r>
                  <w:r>
                    <w:rPr>
                      <w:rFonts w:hint="eastAsia" w:ascii="宋体" w:hAnsi="宋体" w:eastAsia="宋体" w:cs="宋体"/>
                      <w:i w:val="0"/>
                      <w:iCs w:val="0"/>
                      <w:color w:val="auto"/>
                      <w:kern w:val="0"/>
                      <w:sz w:val="21"/>
                      <w:szCs w:val="21"/>
                      <w:highlight w:val="none"/>
                      <w:u w:val="none"/>
                      <w:lang w:val="en-US" w:eastAsia="zh-CN" w:bidi="ar"/>
                    </w:rPr>
                    <w:t>）</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3C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E75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45</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E84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8.88 </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610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1.05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54A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11</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748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2</w:t>
                  </w:r>
                </w:p>
              </w:tc>
            </w:tr>
            <w:tr w14:paraId="16F5D6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099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9F7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化学除氟池去除效率</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765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E49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D7F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36E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9BE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C06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0%</w:t>
                  </w:r>
                </w:p>
              </w:tc>
            </w:tr>
            <w:tr w14:paraId="458E75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66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E1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8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80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处理后浓度（</w:t>
                  </w:r>
                  <w:r>
                    <w:rPr>
                      <w:rFonts w:hint="default" w:ascii="Times New Roman" w:hAnsi="Times New Roman" w:eastAsia="宋体" w:cs="Times New Roman"/>
                      <w:i w:val="0"/>
                      <w:iCs w:val="0"/>
                      <w:color w:val="auto"/>
                      <w:kern w:val="0"/>
                      <w:sz w:val="21"/>
                      <w:szCs w:val="21"/>
                      <w:highlight w:val="none"/>
                      <w:u w:val="none"/>
                      <w:lang w:val="en-US" w:eastAsia="zh-CN" w:bidi="ar"/>
                    </w:rPr>
                    <w:t>mg/L</w:t>
                  </w:r>
                  <w:r>
                    <w:rPr>
                      <w:rFonts w:hint="eastAsia" w:ascii="宋体" w:hAnsi="宋体" w:eastAsia="宋体" w:cs="宋体"/>
                      <w:i w:val="0"/>
                      <w:iCs w:val="0"/>
                      <w:color w:val="auto"/>
                      <w:kern w:val="0"/>
                      <w:sz w:val="21"/>
                      <w:szCs w:val="21"/>
                      <w:highlight w:val="none"/>
                      <w:u w:val="none"/>
                      <w:lang w:val="en-US" w:eastAsia="zh-CN" w:bidi="ar"/>
                    </w:rPr>
                    <w:t>）</w:t>
                  </w:r>
                </w:p>
              </w:tc>
              <w:tc>
                <w:tcPr>
                  <w:tcW w:w="158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966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777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45</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70A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8.88 </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5C9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1.05 </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033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0"/>
                      <w:szCs w:val="20"/>
                      <w:highlight w:val="none"/>
                      <w:u w:val="none"/>
                      <w:lang w:val="en-US" w:eastAsia="zh-CN" w:bidi="ar"/>
                    </w:rPr>
                    <w:t>3.3</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DD1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0"/>
                      <w:szCs w:val="20"/>
                      <w:highlight w:val="none"/>
                      <w:u w:val="none"/>
                      <w:lang w:val="en-US" w:eastAsia="zh-CN" w:bidi="ar"/>
                    </w:rPr>
                    <w:t>2</w:t>
                  </w:r>
                </w:p>
              </w:tc>
            </w:tr>
            <w:tr w14:paraId="15A963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6073"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B8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执行标准排放限值（</w:t>
                  </w:r>
                  <w:r>
                    <w:rPr>
                      <w:rFonts w:hint="default" w:ascii="Times New Roman" w:hAnsi="Times New Roman" w:eastAsia="宋体" w:cs="Times New Roman"/>
                      <w:i w:val="0"/>
                      <w:iCs w:val="0"/>
                      <w:color w:val="auto"/>
                      <w:kern w:val="0"/>
                      <w:sz w:val="21"/>
                      <w:szCs w:val="21"/>
                      <w:highlight w:val="none"/>
                      <w:u w:val="none"/>
                      <w:lang w:val="en-US" w:eastAsia="zh-CN" w:bidi="ar"/>
                    </w:rPr>
                    <w:t>mg/L</w:t>
                  </w:r>
                  <w:r>
                    <w:rPr>
                      <w:rFonts w:hint="eastAsia" w:ascii="宋体" w:hAnsi="宋体" w:eastAsia="宋体" w:cs="宋体"/>
                      <w:i w:val="0"/>
                      <w:iCs w:val="0"/>
                      <w:color w:val="auto"/>
                      <w:kern w:val="0"/>
                      <w:sz w:val="21"/>
                      <w:szCs w:val="21"/>
                      <w:highlight w:val="none"/>
                      <w:u w:val="none"/>
                      <w:lang w:val="en-US" w:eastAsia="zh-CN" w:bidi="ar"/>
                    </w:rPr>
                    <w:t>）</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C9E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80</w:t>
                  </w:r>
                </w:p>
              </w:tc>
              <w:tc>
                <w:tcPr>
                  <w:tcW w:w="13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E18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30</w:t>
                  </w:r>
                </w:p>
              </w:tc>
              <w:tc>
                <w:tcPr>
                  <w:tcW w:w="12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93E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437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10</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466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w:t>
                  </w:r>
                  <w:r>
                    <w:rPr>
                      <w:rFonts w:hint="eastAsia" w:cs="Times New Roman"/>
                      <w:i w:val="0"/>
                      <w:iCs w:val="0"/>
                      <w:color w:val="auto"/>
                      <w:kern w:val="0"/>
                      <w:sz w:val="20"/>
                      <w:szCs w:val="20"/>
                      <w:highlight w:val="none"/>
                      <w:u w:val="none"/>
                      <w:lang w:val="en-US" w:eastAsia="zh-CN" w:bidi="ar"/>
                    </w:rPr>
                    <w:t>2</w:t>
                  </w:r>
                </w:p>
              </w:tc>
            </w:tr>
          </w:tbl>
          <w:p w14:paraId="33E2E152">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lang w:val="en-US" w:eastAsia="zh-CN"/>
              </w:rPr>
            </w:pPr>
            <w:r>
              <w:rPr>
                <w:rFonts w:hint="eastAsia" w:cs="Times New Roman"/>
                <w:b w:val="0"/>
                <w:bCs w:val="0"/>
                <w:color w:val="auto"/>
                <w:highlight w:val="none"/>
                <w:lang w:val="en-US" w:eastAsia="zh-CN"/>
              </w:rPr>
              <w:t>根据上表计算，本项目生产废水经</w:t>
            </w:r>
            <w:r>
              <w:rPr>
                <w:rFonts w:hint="default" w:ascii="Times New Roman" w:hAnsi="Times New Roman" w:cs="Times New Roman"/>
                <w:color w:val="auto"/>
                <w:highlight w:val="none"/>
              </w:rPr>
              <w:t>“中和调节+混凝沉淀+气浮+化学除氟”处理</w:t>
            </w:r>
            <w:r>
              <w:rPr>
                <w:rFonts w:hint="default" w:ascii="Times New Roman" w:hAnsi="Times New Roman" w:cs="Times New Roman"/>
                <w:color w:val="auto"/>
                <w:highlight w:val="none"/>
                <w:lang w:val="en-US" w:eastAsia="zh-CN"/>
              </w:rPr>
              <w:t>后达到广东省地方标准《水污染物排放限值》（DB44/26-2001）第二时段三级标准及园区污水处理厂接管水质要求两者较严值要求</w:t>
            </w:r>
            <w:r>
              <w:rPr>
                <w:rFonts w:hint="eastAsia" w:ascii="Times New Roman" w:hAnsi="Times New Roman" w:cs="Times New Roman"/>
                <w:color w:val="auto"/>
                <w:highlight w:val="none"/>
                <w:lang w:val="en-US" w:eastAsia="zh-CN"/>
              </w:rPr>
              <w:t>，满足进入园区污水处理厂的要求。</w:t>
            </w:r>
          </w:p>
          <w:p w14:paraId="5C33B84D">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3、排放口基本情况</w:t>
            </w:r>
          </w:p>
          <w:p w14:paraId="62827E06">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营运期排放的废水主要为生活污水、生产废水。</w:t>
            </w:r>
            <w:r>
              <w:rPr>
                <w:rFonts w:hint="eastAsia" w:cs="Times New Roman"/>
                <w:color w:val="auto"/>
                <w:highlight w:val="none"/>
                <w:lang w:val="en-US" w:eastAsia="zh-CN"/>
              </w:rPr>
              <w:t>综合废水合计</w:t>
            </w:r>
            <w:r>
              <w:rPr>
                <w:rFonts w:hint="default" w:ascii="Times New Roman" w:hAnsi="Times New Roman" w:cs="Times New Roman"/>
                <w:color w:val="auto"/>
                <w:highlight w:val="none"/>
              </w:rPr>
              <w:t>产生量为</w:t>
            </w:r>
            <w:r>
              <w:rPr>
                <w:rFonts w:hint="eastAsia" w:cs="Times New Roman"/>
                <w:color w:val="auto"/>
                <w:highlight w:val="none"/>
                <w:lang w:val="en-US" w:eastAsia="zh-CN"/>
              </w:rPr>
              <w:t>13743.6</w:t>
            </w:r>
            <w:r>
              <w:rPr>
                <w:rFonts w:hint="default" w:ascii="Times New Roman" w:hAnsi="Times New Roman" w:cs="Times New Roman"/>
                <w:color w:val="auto"/>
                <w:highlight w:val="none"/>
              </w:rPr>
              <w:t>t/a，主要污染物为COD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、SS、氨氮、阴离子表面活性剂、氟化物、石油类。本项目生活污水经三级化粪池</w:t>
            </w:r>
            <w:r>
              <w:rPr>
                <w:rFonts w:hint="eastAsia" w:cs="Times New Roman"/>
                <w:color w:val="auto"/>
                <w:highlight w:val="none"/>
                <w:lang w:eastAsia="zh-CN"/>
              </w:rPr>
              <w:t>、</w:t>
            </w:r>
            <w:r>
              <w:rPr>
                <w:rFonts w:hint="eastAsia" w:ascii="Times New Roman" w:cs="Times New Roman"/>
                <w:color w:val="auto"/>
                <w:highlight w:val="none"/>
                <w:lang w:val="en-US" w:eastAsia="zh-CN"/>
              </w:rPr>
              <w:t>隔油隔渣池</w:t>
            </w:r>
            <w:r>
              <w:rPr>
                <w:rFonts w:hint="default" w:ascii="Times New Roman" w:hAnsi="Times New Roman" w:cs="Times New Roman"/>
                <w:color w:val="auto"/>
                <w:highlight w:val="none"/>
              </w:rPr>
              <w:t>处理、生产废水经自建污水处理站处理后排入园区污水处理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进一步处理后排放，不新增污水排放口，属于一般排放口。</w:t>
            </w:r>
          </w:p>
          <w:p w14:paraId="25B3D954">
            <w:pPr>
              <w:pStyle w:val="15"/>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表4-27</w:t>
            </w:r>
            <w:r>
              <w:rPr>
                <w:rFonts w:hint="default" w:ascii="Times New Roman" w:hAnsi="Times New Roman" w:cs="Times New Roman"/>
                <w:color w:val="auto"/>
                <w:highlight w:val="none"/>
              </w:rPr>
              <w:t>项目废水排放口基本情况表</w:t>
            </w:r>
          </w:p>
          <w:tbl>
            <w:tblPr>
              <w:tblStyle w:val="3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3"/>
              <w:gridCol w:w="899"/>
              <w:gridCol w:w="1068"/>
              <w:gridCol w:w="964"/>
              <w:gridCol w:w="983"/>
              <w:gridCol w:w="1206"/>
              <w:gridCol w:w="1645"/>
              <w:gridCol w:w="915"/>
              <w:gridCol w:w="814"/>
              <w:gridCol w:w="1762"/>
              <w:gridCol w:w="2528"/>
            </w:tblGrid>
            <w:tr w14:paraId="20CDB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restart"/>
                  <w:vAlign w:val="center"/>
                </w:tcPr>
                <w:p w14:paraId="5292130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排放口编号</w:t>
                  </w:r>
                </w:p>
              </w:tc>
              <w:tc>
                <w:tcPr>
                  <w:tcW w:w="330" w:type="pct"/>
                  <w:vMerge w:val="restart"/>
                  <w:vAlign w:val="center"/>
                </w:tcPr>
                <w:p w14:paraId="4096FA8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排放口名称</w:t>
                  </w:r>
                </w:p>
              </w:tc>
              <w:tc>
                <w:tcPr>
                  <w:tcW w:w="746" w:type="pct"/>
                  <w:gridSpan w:val="2"/>
                  <w:vAlign w:val="center"/>
                </w:tcPr>
                <w:p w14:paraId="2758815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排放口坐标</w:t>
                  </w:r>
                </w:p>
              </w:tc>
              <w:tc>
                <w:tcPr>
                  <w:tcW w:w="361" w:type="pct"/>
                  <w:vMerge w:val="restart"/>
                  <w:vAlign w:val="center"/>
                </w:tcPr>
                <w:p w14:paraId="297FA32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废水排放量/（万t/a）</w:t>
                  </w:r>
                </w:p>
              </w:tc>
              <w:tc>
                <w:tcPr>
                  <w:tcW w:w="443" w:type="pct"/>
                  <w:vMerge w:val="restart"/>
                  <w:vAlign w:val="center"/>
                </w:tcPr>
                <w:p w14:paraId="18105DA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排放去向</w:t>
                  </w:r>
                </w:p>
              </w:tc>
              <w:tc>
                <w:tcPr>
                  <w:tcW w:w="604" w:type="pct"/>
                  <w:vMerge w:val="restart"/>
                  <w:vAlign w:val="center"/>
                </w:tcPr>
                <w:p w14:paraId="344218D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排放规律</w:t>
                  </w:r>
                </w:p>
              </w:tc>
              <w:tc>
                <w:tcPr>
                  <w:tcW w:w="336" w:type="pct"/>
                  <w:vMerge w:val="restart"/>
                  <w:vAlign w:val="center"/>
                </w:tcPr>
                <w:p w14:paraId="08B4F24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排放口类型</w:t>
                  </w:r>
                </w:p>
              </w:tc>
              <w:tc>
                <w:tcPr>
                  <w:tcW w:w="1869" w:type="pct"/>
                  <w:gridSpan w:val="3"/>
                  <w:vAlign w:val="center"/>
                </w:tcPr>
                <w:p w14:paraId="6E29BB0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受纳污水处理厂信息</w:t>
                  </w:r>
                </w:p>
              </w:tc>
            </w:tr>
            <w:tr w14:paraId="6F1B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9" w:hRule="atLeast"/>
                <w:jc w:val="center"/>
              </w:trPr>
              <w:tc>
                <w:tcPr>
                  <w:tcW w:w="306" w:type="pct"/>
                  <w:vMerge w:val="continue"/>
                  <w:vAlign w:val="center"/>
                </w:tcPr>
                <w:p w14:paraId="1FC242A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30" w:type="pct"/>
                  <w:vMerge w:val="continue"/>
                  <w:vAlign w:val="center"/>
                </w:tcPr>
                <w:p w14:paraId="7A7DE12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92" w:type="pct"/>
                  <w:vAlign w:val="center"/>
                </w:tcPr>
                <w:p w14:paraId="23C3E9D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X</w:t>
                  </w:r>
                </w:p>
              </w:tc>
              <w:tc>
                <w:tcPr>
                  <w:tcW w:w="354" w:type="pct"/>
                  <w:vAlign w:val="center"/>
                </w:tcPr>
                <w:p w14:paraId="1C54A3E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Y</w:t>
                  </w:r>
                </w:p>
              </w:tc>
              <w:tc>
                <w:tcPr>
                  <w:tcW w:w="361" w:type="pct"/>
                  <w:vMerge w:val="continue"/>
                  <w:vAlign w:val="center"/>
                </w:tcPr>
                <w:p w14:paraId="3D980BB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443" w:type="pct"/>
                  <w:vMerge w:val="continue"/>
                  <w:vAlign w:val="center"/>
                </w:tcPr>
                <w:p w14:paraId="0B32780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604" w:type="pct"/>
                  <w:vMerge w:val="continue"/>
                  <w:vAlign w:val="center"/>
                </w:tcPr>
                <w:p w14:paraId="2DADAE2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36" w:type="pct"/>
                  <w:vMerge w:val="continue"/>
                  <w:vAlign w:val="center"/>
                </w:tcPr>
                <w:p w14:paraId="7D6F2B1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299" w:type="pct"/>
                  <w:vAlign w:val="center"/>
                </w:tcPr>
                <w:p w14:paraId="173B122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名称</w:t>
                  </w:r>
                </w:p>
              </w:tc>
              <w:tc>
                <w:tcPr>
                  <w:tcW w:w="647" w:type="pct"/>
                  <w:vAlign w:val="center"/>
                </w:tcPr>
                <w:p w14:paraId="470ED49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污染物种类</w:t>
                  </w:r>
                </w:p>
              </w:tc>
              <w:tc>
                <w:tcPr>
                  <w:tcW w:w="921" w:type="pct"/>
                  <w:vAlign w:val="center"/>
                </w:tcPr>
                <w:p w14:paraId="634F153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国家或地方污染物排放标准浓度限值/(mg/L)</w:t>
                  </w:r>
                </w:p>
              </w:tc>
            </w:tr>
            <w:tr w14:paraId="1CB0C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restart"/>
                  <w:vAlign w:val="center"/>
                </w:tcPr>
                <w:p w14:paraId="20BA7CF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DW0</w:t>
                  </w:r>
                  <w:r>
                    <w:rPr>
                      <w:rFonts w:hint="eastAsia" w:cs="Times New Roman"/>
                      <w:color w:val="auto"/>
                      <w:kern w:val="2"/>
                      <w:sz w:val="21"/>
                      <w:szCs w:val="21"/>
                      <w:highlight w:val="none"/>
                      <w:lang w:val="en-US" w:eastAsia="zh-CN"/>
                    </w:rPr>
                    <w:t>0</w:t>
                  </w:r>
                  <w:r>
                    <w:rPr>
                      <w:rFonts w:hint="default" w:ascii="Times New Roman" w:hAnsi="Times New Roman" w:cs="Times New Roman"/>
                      <w:color w:val="auto"/>
                      <w:kern w:val="2"/>
                      <w:sz w:val="21"/>
                      <w:szCs w:val="21"/>
                      <w:highlight w:val="none"/>
                    </w:rPr>
                    <w:t>1</w:t>
                  </w:r>
                </w:p>
              </w:tc>
              <w:tc>
                <w:tcPr>
                  <w:tcW w:w="330" w:type="pct"/>
                  <w:vMerge w:val="restart"/>
                  <w:vAlign w:val="center"/>
                </w:tcPr>
                <w:p w14:paraId="11D8149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综合废水排放口</w:t>
                  </w:r>
                </w:p>
              </w:tc>
              <w:tc>
                <w:tcPr>
                  <w:tcW w:w="392" w:type="pct"/>
                  <w:vMerge w:val="restart"/>
                  <w:vAlign w:val="center"/>
                </w:tcPr>
                <w:p w14:paraId="31EA6B5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c>
                <w:tcPr>
                  <w:tcW w:w="354" w:type="pct"/>
                  <w:vMerge w:val="restart"/>
                  <w:vAlign w:val="center"/>
                </w:tcPr>
                <w:p w14:paraId="0B205B1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w:t>
                  </w:r>
                </w:p>
              </w:tc>
              <w:tc>
                <w:tcPr>
                  <w:tcW w:w="361" w:type="pct"/>
                  <w:vMerge w:val="restart"/>
                  <w:shd w:val="clear" w:color="auto" w:fill="auto"/>
                  <w:vAlign w:val="center"/>
                </w:tcPr>
                <w:p w14:paraId="13ABEC4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1.00986</w:t>
                  </w:r>
                </w:p>
              </w:tc>
              <w:tc>
                <w:tcPr>
                  <w:tcW w:w="443" w:type="pct"/>
                  <w:vMerge w:val="restart"/>
                  <w:vAlign w:val="center"/>
                </w:tcPr>
                <w:p w14:paraId="575F1F0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集中式工业污水处理厂</w:t>
                  </w:r>
                </w:p>
                <w:p w14:paraId="53DD9D3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restart"/>
                  <w:vAlign w:val="center"/>
                </w:tcPr>
                <w:p w14:paraId="7ACEEDD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间歇排放，流量不稳定，但不属于冲击型排放</w:t>
                  </w:r>
                </w:p>
              </w:tc>
              <w:tc>
                <w:tcPr>
                  <w:tcW w:w="336" w:type="pct"/>
                  <w:vMerge w:val="restart"/>
                  <w:vAlign w:val="center"/>
                </w:tcPr>
                <w:p w14:paraId="1ED29F1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一般排放口</w:t>
                  </w:r>
                </w:p>
              </w:tc>
              <w:tc>
                <w:tcPr>
                  <w:tcW w:w="299" w:type="pct"/>
                  <w:vMerge w:val="restart"/>
                  <w:vAlign w:val="center"/>
                </w:tcPr>
                <w:p w14:paraId="0FD7CAD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园区污水处理厂</w:t>
                  </w:r>
                </w:p>
              </w:tc>
              <w:tc>
                <w:tcPr>
                  <w:tcW w:w="647" w:type="pct"/>
                  <w:vAlign w:val="center"/>
                </w:tcPr>
                <w:p w14:paraId="15F261A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pH</w:t>
                  </w:r>
                </w:p>
              </w:tc>
              <w:tc>
                <w:tcPr>
                  <w:tcW w:w="921" w:type="pct"/>
                  <w:vAlign w:val="center"/>
                </w:tcPr>
                <w:p w14:paraId="0EEB878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6~9</w:t>
                  </w:r>
                </w:p>
              </w:tc>
            </w:tr>
            <w:tr w14:paraId="5C3C9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06CECED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2F3F04D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4AE44A3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162B4D6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1E300B9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6EC800C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6A1C542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6A2077B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3A0333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7" w:type="pct"/>
                  <w:vAlign w:val="center"/>
                </w:tcPr>
                <w:p w14:paraId="78733F6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COD</w:t>
                  </w:r>
                  <w:r>
                    <w:rPr>
                      <w:rFonts w:hint="default" w:ascii="Times New Roman" w:hAnsi="Times New Roman" w:cs="Times New Roman"/>
                      <w:b w:val="0"/>
                      <w:bCs w:val="0"/>
                      <w:color w:val="auto"/>
                      <w:kern w:val="2"/>
                      <w:sz w:val="21"/>
                      <w:szCs w:val="21"/>
                      <w:highlight w:val="none"/>
                      <w:vertAlign w:val="subscript"/>
                    </w:rPr>
                    <w:t>Cr</w:t>
                  </w:r>
                </w:p>
              </w:tc>
              <w:tc>
                <w:tcPr>
                  <w:tcW w:w="921" w:type="pct"/>
                  <w:vAlign w:val="center"/>
                </w:tcPr>
                <w:p w14:paraId="0ED53654">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3</w:t>
                  </w:r>
                  <w:r>
                    <w:rPr>
                      <w:rFonts w:hint="default" w:ascii="Times New Roman" w:hAnsi="Times New Roman" w:cs="Times New Roman"/>
                      <w:bCs/>
                      <w:color w:val="auto"/>
                      <w:sz w:val="21"/>
                      <w:szCs w:val="21"/>
                      <w:highlight w:val="none"/>
                      <w:lang w:val="en-US" w:eastAsia="zh-CN"/>
                    </w:rPr>
                    <w:t>00</w:t>
                  </w:r>
                </w:p>
              </w:tc>
            </w:tr>
            <w:tr w14:paraId="20F62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1C68DF3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03B2510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22EDE04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3A2FABC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385F713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401B67A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7A03910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5FCBA62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63F4206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p>
              </w:tc>
              <w:tc>
                <w:tcPr>
                  <w:tcW w:w="647" w:type="pct"/>
                  <w:vAlign w:val="center"/>
                </w:tcPr>
                <w:p w14:paraId="5B97C88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BOD</w:t>
                  </w:r>
                  <w:r>
                    <w:rPr>
                      <w:rFonts w:hint="default" w:ascii="Times New Roman" w:hAnsi="Times New Roman" w:cs="Times New Roman"/>
                      <w:b w:val="0"/>
                      <w:bCs w:val="0"/>
                      <w:color w:val="auto"/>
                      <w:kern w:val="2"/>
                      <w:sz w:val="21"/>
                      <w:szCs w:val="21"/>
                      <w:highlight w:val="none"/>
                      <w:vertAlign w:val="subscript"/>
                    </w:rPr>
                    <w:t>5</w:t>
                  </w:r>
                </w:p>
              </w:tc>
              <w:tc>
                <w:tcPr>
                  <w:tcW w:w="921" w:type="pct"/>
                  <w:vAlign w:val="center"/>
                </w:tcPr>
                <w:p w14:paraId="05345932">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150</w:t>
                  </w:r>
                </w:p>
              </w:tc>
            </w:tr>
            <w:tr w14:paraId="0CEC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1B68660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6C683F8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380ACD0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4F5E0CE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2CB2CE2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3F98BBB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3B4E8E2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2589525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34B2DD7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7" w:type="pct"/>
                  <w:vAlign w:val="center"/>
                </w:tcPr>
                <w:p w14:paraId="5A1884D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SS</w:t>
                  </w:r>
                </w:p>
              </w:tc>
              <w:tc>
                <w:tcPr>
                  <w:tcW w:w="921" w:type="pct"/>
                  <w:vAlign w:val="center"/>
                </w:tcPr>
                <w:p w14:paraId="4C5AC8AD">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250</w:t>
                  </w:r>
                </w:p>
              </w:tc>
            </w:tr>
            <w:tr w14:paraId="24DA9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6000A6E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082CA31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617C550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6994AD5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1AB5006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79C2D14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430F0C2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70909D6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06CE33D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7" w:type="pct"/>
                  <w:vAlign w:val="center"/>
                </w:tcPr>
                <w:p w14:paraId="6E11A11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氨氮</w:t>
                  </w:r>
                </w:p>
              </w:tc>
              <w:tc>
                <w:tcPr>
                  <w:tcW w:w="921" w:type="pct"/>
                  <w:vAlign w:val="center"/>
                </w:tcPr>
                <w:p w14:paraId="7D693AB8">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40</w:t>
                  </w:r>
                </w:p>
              </w:tc>
            </w:tr>
            <w:tr w14:paraId="224E2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3B62F42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345C276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3305C1A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24DD313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44B4FFA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304AA89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63749CA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32C00E8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7791703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7" w:type="pct"/>
                  <w:vAlign w:val="center"/>
                </w:tcPr>
                <w:p w14:paraId="3B44C5B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eastAsia"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总磷</w:t>
                  </w:r>
                </w:p>
              </w:tc>
              <w:tc>
                <w:tcPr>
                  <w:tcW w:w="921" w:type="pct"/>
                  <w:vAlign w:val="center"/>
                </w:tcPr>
                <w:p w14:paraId="6C24DBB7">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r>
            <w:tr w14:paraId="746F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28A3B47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443A7DE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38A53B2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0B3E614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0F8505A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3456806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2B396FF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190EAFD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C54CB2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7" w:type="pct"/>
                  <w:vAlign w:val="center"/>
                </w:tcPr>
                <w:p w14:paraId="19C3603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阴离子表面活性剂</w:t>
                  </w:r>
                </w:p>
              </w:tc>
              <w:tc>
                <w:tcPr>
                  <w:tcW w:w="921" w:type="pct"/>
                  <w:vAlign w:val="center"/>
                </w:tcPr>
                <w:p w14:paraId="5823C0C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20</w:t>
                  </w:r>
                </w:p>
              </w:tc>
            </w:tr>
            <w:tr w14:paraId="69C8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306" w:type="pct"/>
                  <w:vMerge w:val="continue"/>
                  <w:vAlign w:val="center"/>
                </w:tcPr>
                <w:p w14:paraId="1967C23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0" w:type="pct"/>
                  <w:vMerge w:val="continue"/>
                  <w:vAlign w:val="center"/>
                </w:tcPr>
                <w:p w14:paraId="7788151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92" w:type="pct"/>
                  <w:vMerge w:val="continue"/>
                  <w:vAlign w:val="center"/>
                </w:tcPr>
                <w:p w14:paraId="65B727F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54" w:type="pct"/>
                  <w:vMerge w:val="continue"/>
                  <w:vAlign w:val="center"/>
                </w:tcPr>
                <w:p w14:paraId="1DC4EAC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61" w:type="pct"/>
                  <w:vMerge w:val="continue"/>
                  <w:vAlign w:val="center"/>
                </w:tcPr>
                <w:p w14:paraId="0FD9914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443" w:type="pct"/>
                  <w:vMerge w:val="continue"/>
                  <w:vAlign w:val="center"/>
                </w:tcPr>
                <w:p w14:paraId="7E5E716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04" w:type="pct"/>
                  <w:vMerge w:val="continue"/>
                  <w:vAlign w:val="center"/>
                </w:tcPr>
                <w:p w14:paraId="42CD7DE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336" w:type="pct"/>
                  <w:vMerge w:val="continue"/>
                  <w:vAlign w:val="center"/>
                </w:tcPr>
                <w:p w14:paraId="2321073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9" w:type="pct"/>
                  <w:vMerge w:val="continue"/>
                  <w:vAlign w:val="center"/>
                </w:tcPr>
                <w:p w14:paraId="4BCFEF9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647" w:type="pct"/>
                  <w:vAlign w:val="center"/>
                </w:tcPr>
                <w:p w14:paraId="1D08B70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石油类</w:t>
                  </w:r>
                </w:p>
              </w:tc>
              <w:tc>
                <w:tcPr>
                  <w:tcW w:w="921" w:type="pct"/>
                  <w:vAlign w:val="center"/>
                </w:tcPr>
                <w:p w14:paraId="789B691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20</w:t>
                  </w:r>
                </w:p>
              </w:tc>
            </w:tr>
            <w:tr w14:paraId="314AE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5000" w:type="pct"/>
                  <w:gridSpan w:val="11"/>
                  <w:vAlign w:val="center"/>
                </w:tcPr>
                <w:p w14:paraId="028782D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left"/>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注：项目废水排放执行广东省地方标准《水污染物排放限值》（DB44/26-2001）第二时段三级标准及园区污水处理厂接管水质要求两者较严值。</w:t>
                  </w:r>
                </w:p>
              </w:tc>
            </w:tr>
          </w:tbl>
          <w:p w14:paraId="00E5E452">
            <w:pPr>
              <w:keepNext w:val="0"/>
              <w:keepLines w:val="0"/>
              <w:numPr>
                <w:ilvl w:val="0"/>
                <w:numId w:val="0"/>
              </w:numPr>
              <w:suppressLineNumbers w:val="0"/>
              <w:tabs>
                <w:tab w:val="left" w:pos="0"/>
              </w:tabs>
              <w:autoSpaceDE w:val="0"/>
              <w:autoSpaceDN w:val="0"/>
              <w:spacing w:before="0" w:beforeAutospacing="0" w:after="0" w:afterAutospacing="0"/>
              <w:ind w:left="0" w:leftChars="0" w:right="0" w:rightChars="0" w:firstLine="40" w:firstLineChars="0"/>
              <w:jc w:val="center"/>
              <w:textAlignment w:val="baseline"/>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表4-28</w:t>
            </w:r>
            <w:r>
              <w:rPr>
                <w:rFonts w:hint="default" w:ascii="Times New Roman" w:hAnsi="Times New Roman" w:cs="Times New Roman"/>
                <w:b/>
                <w:color w:val="auto"/>
                <w:sz w:val="21"/>
                <w:szCs w:val="21"/>
                <w:highlight w:val="none"/>
              </w:rPr>
              <w:t>废水污染物排放信息表</w:t>
            </w:r>
          </w:p>
          <w:tbl>
            <w:tblPr>
              <w:tblStyle w:val="38"/>
              <w:tblW w:w="1362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43"/>
              <w:gridCol w:w="2025"/>
              <w:gridCol w:w="2747"/>
              <w:gridCol w:w="2576"/>
              <w:gridCol w:w="2674"/>
              <w:gridCol w:w="2660"/>
            </w:tblGrid>
            <w:tr w14:paraId="03761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2"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D3E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79D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排放口编号</w:t>
                  </w: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EE2A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9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1C3F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排放浓度/（mg/L）</w:t>
                  </w:r>
                </w:p>
              </w:tc>
              <w:tc>
                <w:tcPr>
                  <w:tcW w:w="9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2E77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全厂日排放量/（</w:t>
                  </w:r>
                  <w:r>
                    <w:rPr>
                      <w:rFonts w:hint="eastAsia" w:cs="Times New Roman"/>
                      <w:b/>
                      <w:bCs/>
                      <w:i w:val="0"/>
                      <w:iCs w:val="0"/>
                      <w:color w:val="auto"/>
                      <w:kern w:val="0"/>
                      <w:sz w:val="21"/>
                      <w:szCs w:val="21"/>
                      <w:highlight w:val="none"/>
                      <w:u w:val="none"/>
                      <w:lang w:val="en-US" w:eastAsia="zh-CN" w:bidi="ar"/>
                    </w:rPr>
                    <w:t>kg</w:t>
                  </w:r>
                  <w:r>
                    <w:rPr>
                      <w:rFonts w:hint="default" w:ascii="Times New Roman" w:hAnsi="Times New Roman" w:eastAsia="宋体" w:cs="Times New Roman"/>
                      <w:b/>
                      <w:bCs/>
                      <w:i w:val="0"/>
                      <w:iCs w:val="0"/>
                      <w:color w:val="auto"/>
                      <w:kern w:val="0"/>
                      <w:sz w:val="21"/>
                      <w:szCs w:val="21"/>
                      <w:highlight w:val="none"/>
                      <w:u w:val="none"/>
                      <w:lang w:val="en-US" w:eastAsia="zh-CN" w:bidi="ar"/>
                    </w:rPr>
                    <w:t>/d）</w:t>
                  </w:r>
                </w:p>
              </w:tc>
              <w:tc>
                <w:tcPr>
                  <w:tcW w:w="97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E12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全厂年排放量/（t/a）</w:t>
                  </w:r>
                </w:p>
              </w:tc>
            </w:tr>
            <w:tr w14:paraId="148CA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4E33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743" w:type="pct"/>
                  <w:vMerge w:val="restart"/>
                  <w:tcBorders>
                    <w:top w:val="single" w:color="000000" w:sz="4" w:space="0"/>
                    <w:left w:val="single" w:color="000000" w:sz="4" w:space="0"/>
                    <w:right w:val="single" w:color="000000" w:sz="4" w:space="0"/>
                  </w:tcBorders>
                  <w:shd w:val="clear" w:color="auto" w:fill="FFFFFF"/>
                  <w:vAlign w:val="center"/>
                </w:tcPr>
                <w:p w14:paraId="27052F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DW001</w:t>
                  </w: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A6BE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4D1F8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76.03</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19A67">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2.56</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C4CF9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0.7678</w:t>
                  </w:r>
                </w:p>
              </w:tc>
            </w:tr>
            <w:tr w14:paraId="2639D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31F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w:t>
                  </w:r>
                </w:p>
              </w:tc>
              <w:tc>
                <w:tcPr>
                  <w:tcW w:w="743" w:type="pct"/>
                  <w:vMerge w:val="continue"/>
                  <w:tcBorders>
                    <w:left w:val="single" w:color="000000" w:sz="4" w:space="0"/>
                    <w:right w:val="single" w:color="000000" w:sz="4" w:space="0"/>
                  </w:tcBorders>
                  <w:shd w:val="clear" w:color="auto" w:fill="FFFFFF"/>
                  <w:vAlign w:val="center"/>
                </w:tcPr>
                <w:p w14:paraId="478582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0616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00F8AC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DDE688">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0.96</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2F0CE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r>
            <w:tr w14:paraId="6117A9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51BD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w:t>
                  </w:r>
                </w:p>
              </w:tc>
              <w:tc>
                <w:tcPr>
                  <w:tcW w:w="743" w:type="pct"/>
                  <w:vMerge w:val="continue"/>
                  <w:tcBorders>
                    <w:left w:val="single" w:color="000000" w:sz="4" w:space="0"/>
                    <w:right w:val="single" w:color="000000" w:sz="4" w:space="0"/>
                  </w:tcBorders>
                  <w:shd w:val="clear" w:color="auto" w:fill="FFFFFF"/>
                  <w:vAlign w:val="center"/>
                </w:tcPr>
                <w:p w14:paraId="594D79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B646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3B06A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28.2</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A3A6A">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0.95</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54FEF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0.2848</w:t>
                  </w:r>
                </w:p>
              </w:tc>
            </w:tr>
            <w:tr w14:paraId="2C30B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0AF0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w:t>
                  </w:r>
                </w:p>
              </w:tc>
              <w:tc>
                <w:tcPr>
                  <w:tcW w:w="743" w:type="pct"/>
                  <w:vMerge w:val="continue"/>
                  <w:tcBorders>
                    <w:left w:val="single" w:color="000000" w:sz="4" w:space="0"/>
                    <w:right w:val="single" w:color="000000" w:sz="4" w:space="0"/>
                  </w:tcBorders>
                  <w:shd w:val="clear" w:color="auto" w:fill="FFFFFF"/>
                  <w:vAlign w:val="center"/>
                </w:tcPr>
                <w:p w14:paraId="6E24B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5815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28118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6.04</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590442">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4C6DA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r>
            <w:tr w14:paraId="240DCA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80F6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743" w:type="pct"/>
                  <w:vMerge w:val="continue"/>
                  <w:tcBorders>
                    <w:left w:val="single" w:color="000000" w:sz="4" w:space="0"/>
                    <w:right w:val="single" w:color="000000" w:sz="4" w:space="0"/>
                  </w:tcBorders>
                  <w:shd w:val="clear" w:color="auto" w:fill="FFFFFF"/>
                  <w:vAlign w:val="center"/>
                </w:tcPr>
                <w:p w14:paraId="63A1E0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ECED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总磷</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87C1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4F77E8">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B784E4">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6FD8B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B53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w:t>
                  </w:r>
                </w:p>
              </w:tc>
              <w:tc>
                <w:tcPr>
                  <w:tcW w:w="743" w:type="pct"/>
                  <w:vMerge w:val="continue"/>
                  <w:tcBorders>
                    <w:left w:val="single" w:color="000000" w:sz="4" w:space="0"/>
                    <w:right w:val="single" w:color="000000" w:sz="4" w:space="0"/>
                  </w:tcBorders>
                  <w:shd w:val="clear" w:color="auto" w:fill="FFFFFF"/>
                  <w:vAlign w:val="center"/>
                </w:tcPr>
                <w:p w14:paraId="052BE2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CCA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249985">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0.79</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500C9D">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2968A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39CCE6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6249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w:t>
                  </w:r>
                </w:p>
              </w:tc>
              <w:tc>
                <w:tcPr>
                  <w:tcW w:w="743" w:type="pct"/>
                  <w:vMerge w:val="continue"/>
                  <w:tcBorders>
                    <w:left w:val="single" w:color="000000" w:sz="4" w:space="0"/>
                    <w:right w:val="single" w:color="000000" w:sz="4" w:space="0"/>
                  </w:tcBorders>
                  <w:shd w:val="clear" w:color="auto" w:fill="FFFFFF"/>
                  <w:vAlign w:val="center"/>
                </w:tcPr>
                <w:p w14:paraId="05DBDB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B087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23AE7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2.67</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481CEA">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0.09</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60CEF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r>
            <w:tr w14:paraId="1DF3E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587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743" w:type="pct"/>
                  <w:vMerge w:val="continue"/>
                  <w:tcBorders>
                    <w:left w:val="single" w:color="000000" w:sz="4" w:space="0"/>
                    <w:right w:val="single" w:color="000000" w:sz="4" w:space="0"/>
                  </w:tcBorders>
                  <w:shd w:val="clear" w:color="auto" w:fill="FFFFFF"/>
                  <w:vAlign w:val="center"/>
                </w:tcPr>
                <w:p w14:paraId="3AD99E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7E40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动植物油</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D546B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43DCF1">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53BBB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r>
            <w:tr w14:paraId="3838B8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34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29E0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eastAsia" w:cs="Times New Roman"/>
                      <w:i w:val="0"/>
                      <w:iCs w:val="0"/>
                      <w:color w:val="auto"/>
                      <w:kern w:val="0"/>
                      <w:sz w:val="20"/>
                      <w:szCs w:val="20"/>
                      <w:highlight w:val="none"/>
                      <w:u w:val="none"/>
                      <w:lang w:val="en-US" w:eastAsia="zh-CN" w:bidi="ar"/>
                    </w:rPr>
                    <w:t>9</w:t>
                  </w:r>
                </w:p>
              </w:tc>
              <w:tc>
                <w:tcPr>
                  <w:tcW w:w="743" w:type="pct"/>
                  <w:vMerge w:val="continue"/>
                  <w:tcBorders>
                    <w:left w:val="single" w:color="000000" w:sz="4" w:space="0"/>
                    <w:bottom w:val="single" w:color="000000" w:sz="4" w:space="0"/>
                    <w:right w:val="single" w:color="000000" w:sz="4" w:space="0"/>
                  </w:tcBorders>
                  <w:shd w:val="clear" w:color="auto" w:fill="FFFFFF"/>
                  <w:vAlign w:val="center"/>
                </w:tcPr>
                <w:p w14:paraId="0B44B3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100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1445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25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9B8CA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1.58</w:t>
                  </w:r>
                </w:p>
              </w:tc>
              <w:tc>
                <w:tcPr>
                  <w:tcW w:w="267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96978F">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A4877B">
                  <w:pPr>
                    <w:keepNext w:val="0"/>
                    <w:keepLines w:val="0"/>
                    <w:widowControl/>
                    <w:suppressLineNumbers w:val="0"/>
                    <w:spacing w:before="0" w:beforeAutospacing="0" w:after="0" w:afterAutospacing="0" w:line="240" w:lineRule="auto"/>
                    <w:ind w:left="0" w:right="0"/>
                    <w:jc w:val="center"/>
                    <w:textAlignment w:val="center"/>
                    <w:rPr>
                      <w:rFonts w:hint="default"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r>
            <w:tr w14:paraId="56B9E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1AA26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全厂排放口合计</w:t>
                  </w: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22C7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Cr</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A817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0.7678</w:t>
                  </w:r>
                </w:p>
              </w:tc>
            </w:tr>
            <w:tr w14:paraId="57A4D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C7E8A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3D2B3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BOD</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5</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CCF1A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0.2888</w:t>
                  </w:r>
                </w:p>
              </w:tc>
            </w:tr>
            <w:tr w14:paraId="2F84A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C992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0D9CC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SS</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298C0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0.2848</w:t>
                  </w:r>
                </w:p>
              </w:tc>
            </w:tr>
            <w:tr w14:paraId="7F1720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D544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0A3DE1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5AA77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0.061</w:t>
                  </w:r>
                </w:p>
              </w:tc>
            </w:tr>
            <w:tr w14:paraId="4F1CD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8DF9F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59756C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总磷</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ACC0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48D52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48488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46CB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阴离子表面活性剂</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6A662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0.008</w:t>
                  </w:r>
                </w:p>
              </w:tc>
            </w:tr>
            <w:tr w14:paraId="34271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90C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3800A6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E4BF02">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0.027</w:t>
                  </w:r>
                </w:p>
              </w:tc>
            </w:tr>
            <w:tr w14:paraId="4C199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4"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1A5D0F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470B94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动植物油</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0C96C9">
                  <w:pPr>
                    <w:keepNext w:val="0"/>
                    <w:keepLines w:val="0"/>
                    <w:widowControl/>
                    <w:suppressLineNumbers w:val="0"/>
                    <w:spacing w:before="0" w:beforeAutospacing="0" w:after="0" w:afterAutospacing="0" w:line="240" w:lineRule="auto"/>
                    <w:ind w:left="0" w:right="0"/>
                    <w:jc w:val="center"/>
                    <w:textAlignment w:val="center"/>
                    <w:rPr>
                      <w:rFonts w:hint="eastAsia"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0.0406</w:t>
                  </w:r>
                </w:p>
              </w:tc>
            </w:tr>
            <w:tr w14:paraId="24D12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4" w:hRule="atLeast"/>
              </w:trPr>
              <w:tc>
                <w:tcPr>
                  <w:tcW w:w="1089" w:type="pct"/>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9DD03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2934"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14:paraId="146AB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26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5C859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r>
          </w:tbl>
          <w:p w14:paraId="79A4E9B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4、污染治理设施情况</w:t>
            </w:r>
          </w:p>
          <w:p w14:paraId="1B0B9E36">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本项目位于园区污水处理厂纳污范围内，生活污水经三级化粪池</w:t>
            </w:r>
            <w:r>
              <w:rPr>
                <w:rFonts w:hint="eastAsia" w:cs="Times New Roman"/>
                <w:color w:val="auto"/>
                <w:highlight w:val="none"/>
                <w:lang w:eastAsia="zh-CN"/>
              </w:rPr>
              <w:t>、</w:t>
            </w:r>
            <w:r>
              <w:rPr>
                <w:rFonts w:hint="eastAsia" w:ascii="Times New Roman" w:cs="Times New Roman"/>
                <w:color w:val="auto"/>
                <w:highlight w:val="none"/>
                <w:lang w:val="en-US" w:eastAsia="zh-CN"/>
              </w:rPr>
              <w:t>隔油隔渣池</w:t>
            </w:r>
            <w:r>
              <w:rPr>
                <w:rFonts w:hint="default" w:ascii="Times New Roman" w:hAnsi="Times New Roman" w:cs="Times New Roman"/>
                <w:color w:val="auto"/>
                <w:highlight w:val="none"/>
              </w:rPr>
              <w:t>预处理、生产废水经自建污水处理处理后经综合废水排放口DW001进入园区污水处理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处理。处理后达到广东省地方标准《水污染物排放限值》（DB44/26-2001）第二时段三级标准及园区污水处理厂接管水质要求两者较严值后排入园区污水处理厂。</w:t>
            </w:r>
          </w:p>
          <w:p w14:paraId="26C5B86C">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表4-29</w:t>
            </w:r>
            <w:r>
              <w:rPr>
                <w:rFonts w:hint="default" w:ascii="Times New Roman" w:hAnsi="Times New Roman" w:cs="Times New Roman"/>
                <w:color w:val="auto"/>
                <w:highlight w:val="none"/>
              </w:rPr>
              <w:t>废水类别、污染物及污染治理设施信息表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15"/>
              <w:gridCol w:w="1866"/>
              <w:gridCol w:w="883"/>
              <w:gridCol w:w="1532"/>
              <w:gridCol w:w="1155"/>
              <w:gridCol w:w="1352"/>
              <w:gridCol w:w="1284"/>
              <w:gridCol w:w="902"/>
              <w:gridCol w:w="1333"/>
              <w:gridCol w:w="2393"/>
            </w:tblGrid>
            <w:tr w14:paraId="03068D1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336" w:type="pct"/>
                  <w:vMerge w:val="restart"/>
                  <w:vAlign w:val="center"/>
                </w:tcPr>
                <w:p w14:paraId="624FF9F9">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废水类别</w:t>
                  </w:r>
                </w:p>
              </w:tc>
              <w:tc>
                <w:tcPr>
                  <w:tcW w:w="685" w:type="pct"/>
                  <w:vMerge w:val="restart"/>
                  <w:vAlign w:val="center"/>
                </w:tcPr>
                <w:p w14:paraId="7F328AE1">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污染物种类</w:t>
                  </w:r>
                </w:p>
              </w:tc>
              <w:tc>
                <w:tcPr>
                  <w:tcW w:w="324" w:type="pct"/>
                  <w:vMerge w:val="restart"/>
                  <w:vAlign w:val="center"/>
                </w:tcPr>
                <w:p w14:paraId="29303FC9">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排放去向</w:t>
                  </w:r>
                </w:p>
              </w:tc>
              <w:tc>
                <w:tcPr>
                  <w:tcW w:w="562" w:type="pct"/>
                  <w:vMerge w:val="restart"/>
                  <w:vAlign w:val="center"/>
                </w:tcPr>
                <w:p w14:paraId="721E6443">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排放规律</w:t>
                  </w:r>
                </w:p>
              </w:tc>
              <w:tc>
                <w:tcPr>
                  <w:tcW w:w="1391" w:type="pct"/>
                  <w:gridSpan w:val="3"/>
                  <w:vAlign w:val="center"/>
                </w:tcPr>
                <w:p w14:paraId="7283BEA1">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w:t>
                  </w:r>
                </w:p>
              </w:tc>
              <w:tc>
                <w:tcPr>
                  <w:tcW w:w="331" w:type="pct"/>
                  <w:vMerge w:val="restart"/>
                  <w:vAlign w:val="center"/>
                </w:tcPr>
                <w:p w14:paraId="282309BC">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排放口编号</w:t>
                  </w:r>
                </w:p>
              </w:tc>
              <w:tc>
                <w:tcPr>
                  <w:tcW w:w="489" w:type="pct"/>
                  <w:vMerge w:val="restart"/>
                  <w:vAlign w:val="center"/>
                </w:tcPr>
                <w:p w14:paraId="1AF7FC08">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排放口设置是否符合要求</w:t>
                  </w:r>
                </w:p>
              </w:tc>
              <w:tc>
                <w:tcPr>
                  <w:tcW w:w="878" w:type="pct"/>
                  <w:vMerge w:val="restart"/>
                  <w:vAlign w:val="center"/>
                </w:tcPr>
                <w:p w14:paraId="77F75975">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排放口类型</w:t>
                  </w:r>
                </w:p>
              </w:tc>
            </w:tr>
            <w:tr w14:paraId="58091E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89" w:hRule="atLeast"/>
                <w:jc w:val="center"/>
              </w:trPr>
              <w:tc>
                <w:tcPr>
                  <w:tcW w:w="336" w:type="pct"/>
                  <w:vMerge w:val="continue"/>
                  <w:vAlign w:val="center"/>
                </w:tcPr>
                <w:p w14:paraId="1B76EC4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685" w:type="pct"/>
                  <w:vMerge w:val="continue"/>
                  <w:vAlign w:val="center"/>
                </w:tcPr>
                <w:p w14:paraId="397AAC6E">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324" w:type="pct"/>
                  <w:vMerge w:val="continue"/>
                  <w:vAlign w:val="center"/>
                </w:tcPr>
                <w:p w14:paraId="052DBA26">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562" w:type="pct"/>
                  <w:vMerge w:val="continue"/>
                  <w:vAlign w:val="center"/>
                </w:tcPr>
                <w:p w14:paraId="7FE00E9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24" w:type="pct"/>
                  <w:vAlign w:val="center"/>
                </w:tcPr>
                <w:p w14:paraId="502B235D">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污染治理设施编号</w:t>
                  </w:r>
                </w:p>
              </w:tc>
              <w:tc>
                <w:tcPr>
                  <w:tcW w:w="496" w:type="pct"/>
                  <w:vAlign w:val="center"/>
                </w:tcPr>
                <w:p w14:paraId="75E84879">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污染治理设施名称</w:t>
                  </w:r>
                </w:p>
              </w:tc>
              <w:tc>
                <w:tcPr>
                  <w:tcW w:w="470" w:type="pct"/>
                  <w:vAlign w:val="center"/>
                </w:tcPr>
                <w:p w14:paraId="2F1DD816">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污染治理设施工艺</w:t>
                  </w:r>
                </w:p>
              </w:tc>
              <w:tc>
                <w:tcPr>
                  <w:tcW w:w="331" w:type="pct"/>
                  <w:vMerge w:val="continue"/>
                  <w:vAlign w:val="center"/>
                </w:tcPr>
                <w:p w14:paraId="6D66998F">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489" w:type="pct"/>
                  <w:vMerge w:val="continue"/>
                  <w:vAlign w:val="center"/>
                </w:tcPr>
                <w:p w14:paraId="601685A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c>
                <w:tcPr>
                  <w:tcW w:w="878" w:type="pct"/>
                  <w:vMerge w:val="continue"/>
                  <w:vAlign w:val="center"/>
                </w:tcPr>
                <w:p w14:paraId="2667E797">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p>
              </w:tc>
            </w:tr>
            <w:tr w14:paraId="6C812F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738" w:hRule="atLeast"/>
                <w:jc w:val="center"/>
              </w:trPr>
              <w:tc>
                <w:tcPr>
                  <w:tcW w:w="336" w:type="pct"/>
                  <w:vAlign w:val="center"/>
                </w:tcPr>
                <w:p w14:paraId="6E206515">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生活污水</w:t>
                  </w:r>
                </w:p>
              </w:tc>
              <w:tc>
                <w:tcPr>
                  <w:tcW w:w="685" w:type="pct"/>
                  <w:vMerge w:val="restart"/>
                  <w:vAlign w:val="center"/>
                </w:tcPr>
                <w:p w14:paraId="73BF87B4">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rPr>
                    <w:t>pH、COD</w:t>
                  </w:r>
                  <w:r>
                    <w:rPr>
                      <w:rFonts w:hint="default" w:ascii="Times New Roman" w:hAnsi="Times New Roman" w:cs="Times New Roman"/>
                      <w:color w:val="auto"/>
                      <w:kern w:val="2"/>
                      <w:highlight w:val="none"/>
                      <w:vertAlign w:val="subscript"/>
                    </w:rPr>
                    <w:t>Cr</w:t>
                  </w:r>
                  <w:r>
                    <w:rPr>
                      <w:rFonts w:hint="default" w:ascii="Times New Roman" w:hAnsi="Times New Roman" w:cs="Times New Roman"/>
                      <w:color w:val="auto"/>
                      <w:kern w:val="2"/>
                      <w:highlight w:val="none"/>
                    </w:rPr>
                    <w:t>、BOD</w:t>
                  </w:r>
                  <w:r>
                    <w:rPr>
                      <w:rFonts w:hint="default" w:ascii="Times New Roman" w:hAnsi="Times New Roman" w:cs="Times New Roman"/>
                      <w:color w:val="auto"/>
                      <w:kern w:val="2"/>
                      <w:highlight w:val="none"/>
                      <w:vertAlign w:val="subscript"/>
                    </w:rPr>
                    <w:t>5</w:t>
                  </w:r>
                  <w:r>
                    <w:rPr>
                      <w:rFonts w:hint="default" w:ascii="Times New Roman" w:hAnsi="Times New Roman" w:cs="Times New Roman"/>
                      <w:color w:val="auto"/>
                      <w:kern w:val="2"/>
                      <w:highlight w:val="none"/>
                    </w:rPr>
                    <w:t>、SS、阴离子表面活性剂、氟化物、石油类、氨氮</w:t>
                  </w:r>
                  <w:r>
                    <w:rPr>
                      <w:rFonts w:hint="eastAsia" w:cs="Times New Roman"/>
                      <w:color w:val="auto"/>
                      <w:kern w:val="2"/>
                      <w:highlight w:val="none"/>
                      <w:lang w:eastAsia="zh-CN"/>
                    </w:rPr>
                    <w:t>、</w:t>
                  </w:r>
                  <w:r>
                    <w:rPr>
                      <w:rFonts w:hint="eastAsia" w:cs="Times New Roman"/>
                      <w:color w:val="auto"/>
                      <w:kern w:val="2"/>
                      <w:highlight w:val="none"/>
                      <w:lang w:val="en-US" w:eastAsia="zh-CN"/>
                    </w:rPr>
                    <w:t>总磷</w:t>
                  </w:r>
                </w:p>
              </w:tc>
              <w:tc>
                <w:tcPr>
                  <w:tcW w:w="324" w:type="pct"/>
                  <w:vMerge w:val="restart"/>
                  <w:vAlign w:val="center"/>
                </w:tcPr>
                <w:p w14:paraId="38F88B17">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进入园区污水处理厂</w:t>
                  </w:r>
                </w:p>
              </w:tc>
              <w:tc>
                <w:tcPr>
                  <w:tcW w:w="562" w:type="pct"/>
                  <w:vMerge w:val="restart"/>
                  <w:vAlign w:val="center"/>
                </w:tcPr>
                <w:p w14:paraId="789C3F8B">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间歇排放，流量不稳定，但不属于冲击型排放</w:t>
                  </w:r>
                </w:p>
              </w:tc>
              <w:tc>
                <w:tcPr>
                  <w:tcW w:w="424" w:type="pct"/>
                  <w:vAlign w:val="center"/>
                </w:tcPr>
                <w:p w14:paraId="3B8E8301">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TW001</w:t>
                  </w:r>
                </w:p>
              </w:tc>
              <w:tc>
                <w:tcPr>
                  <w:tcW w:w="496" w:type="pct"/>
                  <w:vAlign w:val="center"/>
                </w:tcPr>
                <w:p w14:paraId="0DD2C59E">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三级化粪池</w:t>
                  </w:r>
                </w:p>
              </w:tc>
              <w:tc>
                <w:tcPr>
                  <w:tcW w:w="470" w:type="pct"/>
                  <w:vAlign w:val="center"/>
                </w:tcPr>
                <w:p w14:paraId="08E4FA78">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化粪池</w:t>
                  </w:r>
                </w:p>
              </w:tc>
              <w:tc>
                <w:tcPr>
                  <w:tcW w:w="331" w:type="pct"/>
                  <w:vMerge w:val="restart"/>
                  <w:vAlign w:val="center"/>
                </w:tcPr>
                <w:p w14:paraId="0BE74259">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DW001</w:t>
                  </w:r>
                </w:p>
              </w:tc>
              <w:tc>
                <w:tcPr>
                  <w:tcW w:w="489" w:type="pct"/>
                  <w:vMerge w:val="restart"/>
                  <w:vAlign w:val="center"/>
                </w:tcPr>
                <w:p w14:paraId="4EDBEBF4">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是</w:t>
                  </w:r>
                </w:p>
                <w:p w14:paraId="2AB8DCE5">
                  <w:pPr>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否</w:t>
                  </w:r>
                </w:p>
              </w:tc>
              <w:tc>
                <w:tcPr>
                  <w:tcW w:w="878" w:type="pct"/>
                  <w:vMerge w:val="restart"/>
                  <w:vAlign w:val="center"/>
                </w:tcPr>
                <w:p w14:paraId="1B5338B9">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企业总排</w:t>
                  </w:r>
                </w:p>
                <w:p w14:paraId="133BAEB3">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雨水排放</w:t>
                  </w:r>
                </w:p>
                <w:p w14:paraId="57B236F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清净下水排放</w:t>
                  </w:r>
                </w:p>
                <w:p w14:paraId="35F26BCB">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温排水排放</w:t>
                  </w:r>
                </w:p>
                <w:p w14:paraId="68D31296">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76" w:lineRule="auto"/>
                    <w:ind w:left="0" w:right="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sym w:font="Wingdings 2" w:char="00A3"/>
                  </w:r>
                  <w:r>
                    <w:rPr>
                      <w:rFonts w:hint="default" w:ascii="Times New Roman" w:hAnsi="Times New Roman" w:cs="Times New Roman"/>
                      <w:color w:val="auto"/>
                      <w:sz w:val="21"/>
                      <w:szCs w:val="21"/>
                      <w:highlight w:val="none"/>
                    </w:rPr>
                    <w:t>车间或车间处理设施排放口</w:t>
                  </w:r>
                </w:p>
              </w:tc>
            </w:tr>
            <w:tr w14:paraId="71CD32B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1320" w:hRule="atLeast"/>
                <w:jc w:val="center"/>
              </w:trPr>
              <w:tc>
                <w:tcPr>
                  <w:tcW w:w="336" w:type="pct"/>
                  <w:tcBorders>
                    <w:bottom w:val="single" w:color="auto" w:sz="4" w:space="0"/>
                  </w:tcBorders>
                  <w:vAlign w:val="center"/>
                </w:tcPr>
                <w:p w14:paraId="0CC83A27">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生产废水</w:t>
                  </w:r>
                </w:p>
              </w:tc>
              <w:tc>
                <w:tcPr>
                  <w:tcW w:w="685" w:type="pct"/>
                  <w:vMerge w:val="continue"/>
                  <w:tcBorders>
                    <w:bottom w:val="single" w:color="auto" w:sz="4" w:space="0"/>
                  </w:tcBorders>
                  <w:vAlign w:val="center"/>
                </w:tcPr>
                <w:p w14:paraId="49EE2745">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324" w:type="pct"/>
                  <w:vMerge w:val="continue"/>
                  <w:tcBorders>
                    <w:bottom w:val="single" w:color="auto" w:sz="4" w:space="0"/>
                  </w:tcBorders>
                  <w:vAlign w:val="center"/>
                </w:tcPr>
                <w:p w14:paraId="039A7734">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562" w:type="pct"/>
                  <w:vMerge w:val="continue"/>
                  <w:tcBorders>
                    <w:bottom w:val="single" w:color="auto" w:sz="4" w:space="0"/>
                  </w:tcBorders>
                  <w:vAlign w:val="center"/>
                </w:tcPr>
                <w:p w14:paraId="09DE8B9E">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424" w:type="pct"/>
                  <w:tcBorders>
                    <w:bottom w:val="single" w:color="auto" w:sz="4" w:space="0"/>
                  </w:tcBorders>
                  <w:vAlign w:val="center"/>
                </w:tcPr>
                <w:p w14:paraId="7DC01C4E">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TW002</w:t>
                  </w:r>
                </w:p>
              </w:tc>
              <w:tc>
                <w:tcPr>
                  <w:tcW w:w="496" w:type="pct"/>
                  <w:tcBorders>
                    <w:bottom w:val="single" w:color="auto" w:sz="4" w:space="0"/>
                  </w:tcBorders>
                  <w:vAlign w:val="center"/>
                </w:tcPr>
                <w:p w14:paraId="6FDE731E">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废水处理站</w:t>
                  </w:r>
                </w:p>
              </w:tc>
              <w:tc>
                <w:tcPr>
                  <w:tcW w:w="470" w:type="pct"/>
                  <w:tcBorders>
                    <w:bottom w:val="single" w:color="auto" w:sz="4" w:space="0"/>
                  </w:tcBorders>
                  <w:vAlign w:val="center"/>
                </w:tcPr>
                <w:p w14:paraId="6C78E844">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中和调节+混凝沉淀+气浮+化学除氟</w:t>
                  </w:r>
                </w:p>
              </w:tc>
              <w:tc>
                <w:tcPr>
                  <w:tcW w:w="331" w:type="pct"/>
                  <w:vMerge w:val="continue"/>
                  <w:tcBorders>
                    <w:bottom w:val="single" w:color="auto" w:sz="4" w:space="0"/>
                  </w:tcBorders>
                  <w:vAlign w:val="center"/>
                </w:tcPr>
                <w:p w14:paraId="1ECEA512">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489" w:type="pct"/>
                  <w:vMerge w:val="continue"/>
                  <w:tcBorders>
                    <w:bottom w:val="single" w:color="auto" w:sz="4" w:space="0"/>
                  </w:tcBorders>
                  <w:vAlign w:val="center"/>
                </w:tcPr>
                <w:p w14:paraId="25B802D1">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c>
                <w:tcPr>
                  <w:tcW w:w="878" w:type="pct"/>
                  <w:vMerge w:val="continue"/>
                  <w:tcBorders>
                    <w:bottom w:val="single" w:color="auto" w:sz="4" w:space="0"/>
                  </w:tcBorders>
                  <w:vAlign w:val="center"/>
                </w:tcPr>
                <w:p w14:paraId="0B9A4CFA">
                  <w:pPr>
                    <w:pStyle w:val="56"/>
                    <w:keepNext/>
                    <w:keepLines/>
                    <w:pageBreakBefore w:val="0"/>
                    <w:widowControl w:val="0"/>
                    <w:suppressLineNumbers w:val="0"/>
                    <w:kinsoku/>
                    <w:overflowPunct/>
                    <w:topLinePunct w:val="0"/>
                    <w:bidi w:val="0"/>
                    <w:adjustRightInd w:val="0"/>
                    <w:snapToGrid w:val="0"/>
                    <w:spacing w:before="0" w:beforeAutospacing="0" w:after="0" w:afterAutospacing="0" w:line="276" w:lineRule="auto"/>
                    <w:ind w:left="0" w:right="0"/>
                    <w:rPr>
                      <w:rFonts w:hint="default" w:ascii="Times New Roman" w:hAnsi="Times New Roman" w:cs="Times New Roman"/>
                      <w:color w:val="auto"/>
                      <w:kern w:val="2"/>
                      <w:highlight w:val="none"/>
                    </w:rPr>
                  </w:pPr>
                </w:p>
              </w:tc>
            </w:tr>
          </w:tbl>
          <w:p w14:paraId="31A55005">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5、达标情况分析</w:t>
            </w:r>
          </w:p>
          <w:p w14:paraId="1DBB894B">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（1）可行性技术分析</w:t>
            </w:r>
          </w:p>
          <w:p w14:paraId="606B88E0">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参考《排污许可证申请与核发技术规范铁路、船舶、航空航天和其他运输设备制造业》（HJ 1124—2020）中表A.7表面处理（涂装）排污单位废水污染防治推荐可行技术可知，本项目生产废水采用“中和调节+混凝沉淀+气浮+化学除氟””</w:t>
            </w:r>
            <w:r>
              <w:rPr>
                <w:rFonts w:hint="eastAsia" w:cs="Times New Roman"/>
                <w:color w:val="auto"/>
                <w:highlight w:val="none"/>
                <w:lang w:val="en-US" w:eastAsia="zh-CN"/>
              </w:rPr>
              <w:t>处理和</w:t>
            </w:r>
            <w:r>
              <w:rPr>
                <w:rFonts w:hint="default" w:ascii="Times New Roman" w:hAnsi="Times New Roman" w:cs="Times New Roman"/>
                <w:color w:val="auto"/>
                <w:highlight w:val="none"/>
              </w:rPr>
              <w:t>生活污水采用三级化粪池处理</w:t>
            </w:r>
            <w:r>
              <w:rPr>
                <w:rFonts w:hint="eastAsia" w:cs="Times New Roman"/>
                <w:color w:val="auto"/>
                <w:highlight w:val="none"/>
                <w:lang w:eastAsia="zh-CN"/>
              </w:rPr>
              <w:t>，</w:t>
            </w:r>
            <w:r>
              <w:rPr>
                <w:rFonts w:hint="eastAsia" w:cs="Times New Roman"/>
                <w:color w:val="auto"/>
                <w:highlight w:val="none"/>
                <w:lang w:val="en-US" w:eastAsia="zh-CN"/>
              </w:rPr>
              <w:t>所用技术均</w:t>
            </w:r>
            <w:r>
              <w:rPr>
                <w:rFonts w:hint="default" w:ascii="Times New Roman" w:hAnsi="Times New Roman" w:cs="Times New Roman"/>
                <w:color w:val="auto"/>
                <w:highlight w:val="none"/>
              </w:rPr>
              <w:t>属于可行技术。因此，项目废水处理措施可行。</w:t>
            </w:r>
          </w:p>
          <w:p w14:paraId="01064B10">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（2）水污染物控制和水环境影响减缓措施有效性评价</w:t>
            </w:r>
          </w:p>
          <w:p w14:paraId="5BCD5329">
            <w:pPr>
              <w:pStyle w:val="14"/>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位于广东省韶关市乐昌市乐昌产业转移工业园内，属于园区污水处理范围。项目生活污水经三级化粪池预处理、生产废水经自建废水处理设施处理后，进入园区污水处理厂深度处理，处理后的尾水排入武江（乐昌城-犁市河段）。</w:t>
            </w:r>
          </w:p>
          <w:p w14:paraId="29790AC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自建废水处理设施设计处理能力为</w:t>
            </w:r>
            <w:r>
              <w:rPr>
                <w:rFonts w:hint="eastAsia" w:cs="Times New Roman"/>
                <w:color w:val="auto"/>
                <w:highlight w:val="none"/>
                <w:lang w:val="en-US" w:eastAsia="zh-CN"/>
              </w:rPr>
              <w:t>30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为避免预、主除油池，无铬钝化池等处理池槽液更换期间，更换废水一并进入自建污水处理站造成水质冲击，本项目处理池及污水排放管网设置有阀门，自建污水处理站设置流量调节装置，可将槽液更换期间产生的废水分批次纳入调节池中，另建设单位应加强废水管理，避免所有处理池排放废水在同一天排入自建污水处理站中，废水处理设计</w:t>
            </w:r>
            <w:r>
              <w:rPr>
                <w:rFonts w:hint="eastAsia" w:cs="Times New Roman"/>
                <w:color w:val="auto"/>
                <w:highlight w:val="none"/>
                <w:lang w:val="en-US" w:eastAsia="zh-CN"/>
              </w:rPr>
              <w:t>处理能力为30m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/d，</w:t>
            </w:r>
            <w:r>
              <w:rPr>
                <w:rFonts w:hint="default" w:ascii="Times New Roman" w:hAnsi="Times New Roman" w:cs="Times New Roman"/>
                <w:color w:val="auto"/>
                <w:highlight w:val="none"/>
              </w:rPr>
              <w:t>满足本项目所需处理的</w:t>
            </w:r>
            <w:r>
              <w:rPr>
                <w:rFonts w:hint="eastAsia" w:cs="Times New Roman"/>
                <w:color w:val="auto"/>
                <w:highlight w:val="none"/>
                <w:lang w:val="en-US" w:eastAsia="zh-CN"/>
              </w:rPr>
              <w:t>生产</w:t>
            </w:r>
            <w:r>
              <w:rPr>
                <w:rFonts w:hint="default" w:ascii="Times New Roman" w:hAnsi="Times New Roman" w:cs="Times New Roman"/>
                <w:color w:val="auto"/>
                <w:highlight w:val="none"/>
              </w:rPr>
              <w:t>废水量</w:t>
            </w:r>
            <w:r>
              <w:rPr>
                <w:rFonts w:hint="eastAsia" w:cs="Times New Roman"/>
                <w:color w:val="auto"/>
                <w:highlight w:val="none"/>
                <w:lang w:val="en-US" w:eastAsia="zh-CN"/>
              </w:rPr>
              <w:t>26.91</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/d</w:t>
            </w:r>
            <w:r>
              <w:rPr>
                <w:rFonts w:hint="default" w:ascii="Times New Roman" w:hAnsi="Times New Roman" w:cs="Times New Roman"/>
                <w:color w:val="auto"/>
                <w:highlight w:val="none"/>
              </w:rPr>
              <w:t>。</w:t>
            </w:r>
          </w:p>
          <w:p w14:paraId="2A3DABBE">
            <w:pPr>
              <w:pStyle w:val="12"/>
              <w:keepNext w:val="0"/>
              <w:keepLines w:val="0"/>
              <w:suppressLineNumbers w:val="0"/>
              <w:spacing w:before="0" w:beforeAutospacing="0" w:after="0" w:afterAutospacing="0"/>
              <w:ind w:left="0" w:right="0" w:firstLine="482"/>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园区污水处理厂出水水质执行《城镇污水处理厂污染物排放标准》（GB18918-2002）中一级B标准和广东省《水污染物排放限值》（DB44/26-2001）中的第二时段一级排放标准较严者，对周围环境影响较小。</w:t>
            </w:r>
          </w:p>
          <w:p w14:paraId="2A72F80C">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（3）依托污水设施的环境可行性评价</w:t>
            </w:r>
          </w:p>
          <w:p w14:paraId="2A73E8F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产业园范围内已有乐昌产业转移工业园污水处理厂，</w:t>
            </w:r>
            <w:r>
              <w:rPr>
                <w:rFonts w:hint="default" w:ascii="Times New Roman" w:hAnsi="Times New Roman" w:cs="Times New Roman"/>
                <w:color w:val="auto"/>
                <w:highlight w:val="none"/>
                <w:lang w:val="en-US" w:eastAsia="zh-CN"/>
              </w:rPr>
              <w:t>根据乐昌产业转移工业园管网分布图（附图15）可知，本项目所在地块已纳入现状排污管收集范围内。</w:t>
            </w:r>
            <w:r>
              <w:rPr>
                <w:rFonts w:hint="default" w:ascii="Times New Roman" w:hAnsi="Times New Roman" w:cs="Times New Roman"/>
                <w:color w:val="auto"/>
                <w:highlight w:val="none"/>
              </w:rPr>
              <w:t>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1ED2B332">
            <w:pPr>
              <w:pStyle w:val="12"/>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w:t>
            </w:r>
            <w:r>
              <w:rPr>
                <w:rFonts w:hint="default" w:ascii="Times New Roman" w:hAnsi="Times New Roman" w:cs="Times New Roman"/>
                <w:color w:val="auto"/>
                <w:highlight w:val="none"/>
                <w:vertAlign w:val="superscript"/>
              </w:rPr>
              <w:t>-</w:t>
            </w:r>
            <w:r>
              <w:rPr>
                <w:rFonts w:hint="default" w:ascii="Times New Roman" w:hAnsi="Times New Roman" w:cs="Times New Roman"/>
                <w:color w:val="auto"/>
                <w:highlight w:val="none"/>
              </w:rPr>
              <w:t>后，预处理达到广东省《水污染</w:t>
            </w:r>
            <w:r>
              <w:rPr>
                <w:rFonts w:hint="eastAsia"/>
                <w:color w:val="auto"/>
                <w:highlight w:val="none"/>
                <w:lang w:val="en-US" w:eastAsia="zh-CN"/>
              </w:rPr>
              <w:t>物</w:t>
            </w:r>
            <w:r>
              <w:rPr>
                <w:rFonts w:hint="default" w:ascii="Times New Roman" w:hAnsi="Times New Roman" w:cs="Times New Roman"/>
                <w:color w:val="auto"/>
                <w:highlight w:val="none"/>
              </w:rPr>
              <w:t>排放限值》(DB44/26-2001)第二时段三级标准</w:t>
            </w:r>
            <w:r>
              <w:rPr>
                <w:rFonts w:hint="default" w:ascii="Times New Roman" w:hAnsi="Times New Roman" w:cs="Times New Roman"/>
                <w:color w:val="auto"/>
                <w:highlight w:val="none"/>
                <w:lang w:eastAsia="zh-CN"/>
              </w:rPr>
              <w:t>。</w:t>
            </w:r>
          </w:p>
          <w:p w14:paraId="0EA3CC9E">
            <w:pPr>
              <w:pStyle w:val="14"/>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产业园污水处理厂目前已建成正常运行，并安装了在线监控设施并</w:t>
            </w:r>
            <w:r>
              <w:rPr>
                <w:rFonts w:hint="default" w:ascii="Times New Roman" w:hAnsi="Times New Roman" w:cs="Times New Roman"/>
                <w:color w:val="auto"/>
                <w:sz w:val="24"/>
                <w:highlight w:val="none"/>
                <w:lang w:eastAsia="zh-CN"/>
              </w:rPr>
              <w:t>与</w:t>
            </w:r>
            <w:r>
              <w:rPr>
                <w:rFonts w:hint="default" w:ascii="Times New Roman" w:hAnsi="Times New Roman" w:cs="Times New Roman"/>
                <w:color w:val="auto"/>
                <w:sz w:val="24"/>
                <w:highlight w:val="none"/>
              </w:rPr>
              <w:t>环保部门联网，园区污水处理厂占地面积15400m²，设计处理能力为10000m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/d，分两期建设，一期处理能力5000m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/d，二期处理能力5000m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/d，现状首期5000m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/d已经建成运行。</w:t>
            </w:r>
          </w:p>
          <w:p w14:paraId="21687775">
            <w:pPr>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color w:val="auto"/>
                <w:sz w:val="24"/>
                <w:highlight w:val="none"/>
              </w:rPr>
            </w:pPr>
            <w:r>
              <w:rPr>
                <w:rFonts w:hint="eastAsia"/>
                <w:color w:val="auto"/>
                <w:highlight w:val="none"/>
                <w:lang w:val="en-US" w:eastAsia="zh-CN"/>
              </w:rPr>
              <w:t>根据乐昌产业转移工业园管委会提供的资料显示：2025年1月至6月期间，乐昌市产业转移工业园污水处理厂接纳污水总量为404312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最大接纳污水量为6月</w:t>
            </w:r>
            <w:r>
              <w:rPr>
                <w:rFonts w:hint="eastAsia"/>
                <w:color w:val="auto"/>
                <w:highlight w:val="none"/>
                <w:lang w:val="en-US" w:eastAsia="zh-CN"/>
              </w:rPr>
              <w:t>110739</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最小接纳污水量为1月</w:t>
            </w:r>
            <w:r>
              <w:rPr>
                <w:rFonts w:hint="eastAsia"/>
                <w:color w:val="auto"/>
                <w:highlight w:val="none"/>
                <w:lang w:val="en-US" w:eastAsia="zh-CN"/>
              </w:rPr>
              <w:t>32168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平均每月接纳污水总量为80862.4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val="en-US" w:eastAsia="zh-CN"/>
              </w:rPr>
              <w:t>，按每月30日折算</w:t>
            </w:r>
            <w:r>
              <w:rPr>
                <w:rFonts w:hint="default" w:ascii="Times New Roman" w:hAnsi="Times New Roman" w:cs="Times New Roman"/>
                <w:color w:val="auto"/>
                <w:kern w:val="0"/>
                <w:sz w:val="24"/>
                <w:szCs w:val="24"/>
                <w:highlight w:val="none"/>
                <w:lang w:val="en-US" w:eastAsia="zh-CN" w:bidi="ar"/>
              </w:rPr>
              <w:t>日处理量约为</w:t>
            </w:r>
            <w:r>
              <w:rPr>
                <w:rFonts w:hint="eastAsia" w:cs="Times New Roman"/>
                <w:color w:val="auto"/>
                <w:kern w:val="0"/>
                <w:sz w:val="24"/>
                <w:szCs w:val="24"/>
                <w:highlight w:val="none"/>
                <w:lang w:val="en-US" w:eastAsia="zh-CN" w:bidi="ar"/>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/d，则剩余</w:t>
            </w:r>
            <w:r>
              <w:rPr>
                <w:rFonts w:hint="eastAsia" w:cs="Times New Roman"/>
                <w:color w:val="auto"/>
                <w:kern w:val="0"/>
                <w:sz w:val="24"/>
                <w:szCs w:val="24"/>
                <w:highlight w:val="none"/>
                <w:lang w:val="en-US" w:eastAsia="zh-CN" w:bidi="ar"/>
              </w:rPr>
              <w:t>接纳污水</w:t>
            </w:r>
            <w:r>
              <w:rPr>
                <w:rFonts w:hint="default" w:ascii="Times New Roman" w:hAnsi="Times New Roman" w:cs="Times New Roman"/>
                <w:color w:val="auto"/>
                <w:kern w:val="0"/>
                <w:sz w:val="24"/>
                <w:szCs w:val="24"/>
                <w:highlight w:val="none"/>
                <w:lang w:val="en-US" w:eastAsia="zh-CN" w:bidi="ar"/>
              </w:rPr>
              <w:t>能力</w:t>
            </w:r>
            <w:r>
              <w:rPr>
                <w:rFonts w:hint="eastAsia" w:cs="Times New Roman"/>
                <w:color w:val="auto"/>
                <w:kern w:val="0"/>
                <w:sz w:val="24"/>
                <w:szCs w:val="24"/>
                <w:highlight w:val="none"/>
                <w:lang w:val="en-US" w:eastAsia="zh-CN" w:bidi="ar"/>
              </w:rPr>
              <w:t>为</w:t>
            </w:r>
            <w:r>
              <w:rPr>
                <w:rFonts w:hint="default" w:ascii="Times New Roman" w:hAnsi="Times New Roman" w:cs="Times New Roman"/>
                <w:color w:val="auto"/>
                <w:sz w:val="24"/>
                <w:highlight w:val="none"/>
              </w:rPr>
              <w:t>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eastAsia" w:cs="Times New Roman"/>
                <w:color w:val="auto"/>
                <w:sz w:val="24"/>
                <w:highlight w:val="none"/>
                <w:lang w:val="en-US" w:eastAsia="zh-CN"/>
              </w:rPr>
              <w:t>-</w:t>
            </w:r>
            <w:r>
              <w:rPr>
                <w:rFonts w:hint="eastAsia" w:cs="Times New Roman"/>
                <w:color w:val="auto"/>
                <w:kern w:val="0"/>
                <w:sz w:val="24"/>
                <w:szCs w:val="24"/>
                <w:highlight w:val="none"/>
                <w:lang w:val="en-US" w:eastAsia="zh-CN" w:bidi="ar"/>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w:t>
            </w:r>
            <w:r>
              <w:rPr>
                <w:rFonts w:hint="eastAsia" w:cs="Times New Roman"/>
                <w:color w:val="auto"/>
                <w:kern w:val="0"/>
                <w:sz w:val="24"/>
                <w:szCs w:val="24"/>
                <w:highlight w:val="none"/>
                <w:lang w:val="en-US" w:eastAsia="zh-CN" w:bidi="ar"/>
              </w:rPr>
              <w:t>=2304.6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w:t>
            </w:r>
          </w:p>
          <w:p w14:paraId="10D49C63">
            <w:pPr>
              <w:pStyle w:val="14"/>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本项目纳入污水处理厂的污水排放量为</w:t>
            </w:r>
            <w:r>
              <w:rPr>
                <w:rFonts w:hint="eastAsia" w:cs="Times New Roman"/>
                <w:color w:val="auto"/>
                <w:sz w:val="24"/>
                <w:highlight w:val="none"/>
                <w:lang w:val="en-US" w:eastAsia="zh-CN"/>
              </w:rPr>
              <w:t>33.66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eastAsia" w:cs="Times New Roman"/>
                <w:color w:val="auto"/>
                <w:sz w:val="24"/>
                <w:highlight w:val="none"/>
                <w:lang w:val="en-US" w:eastAsia="zh-CN"/>
              </w:rPr>
              <w:t>约</w:t>
            </w:r>
            <w:r>
              <w:rPr>
                <w:rFonts w:hint="default" w:ascii="Times New Roman" w:hAnsi="Times New Roman" w:cs="Times New Roman"/>
                <w:color w:val="auto"/>
                <w:sz w:val="24"/>
                <w:highlight w:val="none"/>
                <w:lang w:eastAsia="zh-CN"/>
              </w:rPr>
              <w:t>占剩余处理能力的</w:t>
            </w:r>
            <w:r>
              <w:rPr>
                <w:rFonts w:hint="eastAsia" w:cs="Times New Roman"/>
                <w:color w:val="auto"/>
                <w:sz w:val="24"/>
                <w:highlight w:val="none"/>
                <w:lang w:val="en-US" w:eastAsia="zh-CN"/>
              </w:rPr>
              <w:t>1.46</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污水中的污染物主要为SS、COD</w:t>
            </w:r>
            <w:r>
              <w:rPr>
                <w:rFonts w:hint="eastAsia" w:cs="Times New Roman"/>
                <w:color w:val="auto"/>
                <w:sz w:val="24"/>
                <w:highlight w:val="none"/>
                <w:vertAlign w:val="subscript"/>
                <w:lang w:val="en-US" w:eastAsia="zh-CN"/>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-N、氟化物、LAS、石油类</w:t>
            </w:r>
            <w:r>
              <w:rPr>
                <w:rFonts w:hint="eastAsia" w:cs="Times New Roman"/>
                <w:color w:val="auto"/>
                <w:sz w:val="24"/>
                <w:highlight w:val="none"/>
                <w:lang w:val="en-US" w:eastAsia="zh-CN"/>
              </w:rPr>
              <w:t>、锆、钛</w:t>
            </w:r>
            <w:r>
              <w:rPr>
                <w:rFonts w:hint="default" w:ascii="Times New Roman" w:hAnsi="Times New Roman" w:cs="Times New Roman"/>
                <w:color w:val="auto"/>
                <w:sz w:val="24"/>
                <w:highlight w:val="none"/>
              </w:rPr>
              <w:t>等，污染物种类较简单</w:t>
            </w:r>
            <w:r>
              <w:rPr>
                <w:rFonts w:hint="eastAsia" w:cs="Times New Roman"/>
                <w:color w:val="auto"/>
                <w:sz w:val="24"/>
                <w:highlight w:val="none"/>
                <w:lang w:eastAsia="zh-CN"/>
              </w:rPr>
              <w:t>。</w:t>
            </w:r>
          </w:p>
          <w:p w14:paraId="2F4B9A10">
            <w:pPr>
              <w:pStyle w:val="14"/>
              <w:keepNext w:val="0"/>
              <w:keepLines w:val="0"/>
              <w:suppressLineNumbers w:val="0"/>
              <w:spacing w:before="0" w:beforeAutospacing="0" w:after="0" w:afterAutospacing="0"/>
              <w:ind w:left="0" w:right="0" w:firstLine="480"/>
              <w:rPr>
                <w:rFonts w:hint="default" w:ascii="Times New Roman" w:hAnsi="Times New Roman" w:cs="Times New Roman"/>
                <w:b/>
                <w:bCs/>
                <w:color w:val="auto"/>
                <w:sz w:val="24"/>
                <w:highlight w:val="none"/>
                <w:lang w:val="en-US"/>
              </w:rPr>
            </w:pPr>
            <w:r>
              <w:rPr>
                <w:rFonts w:hint="default" w:ascii="Times New Roman" w:hAnsi="Times New Roman" w:cs="Times New Roman"/>
                <w:b/>
                <w:bCs/>
                <w:color w:val="auto"/>
                <w:sz w:val="24"/>
                <w:highlight w:val="none"/>
                <w:lang w:val="en-US" w:eastAsia="zh-CN"/>
              </w:rPr>
              <w:t>园区污水处理</w:t>
            </w:r>
            <w:r>
              <w:rPr>
                <w:rFonts w:hint="eastAsia" w:cs="Times New Roman"/>
                <w:b/>
                <w:bCs/>
                <w:color w:val="auto"/>
                <w:sz w:val="24"/>
                <w:highlight w:val="none"/>
                <w:lang w:val="en-US" w:eastAsia="zh-CN"/>
              </w:rPr>
              <w:t>厂</w:t>
            </w:r>
            <w:r>
              <w:rPr>
                <w:rFonts w:hint="default" w:ascii="Times New Roman" w:hAnsi="Times New Roman" w:cs="Times New Roman"/>
                <w:b/>
                <w:bCs/>
                <w:color w:val="auto"/>
                <w:sz w:val="24"/>
                <w:highlight w:val="none"/>
                <w:lang w:val="en-US" w:eastAsia="zh-CN"/>
              </w:rPr>
              <w:t>对</w:t>
            </w:r>
            <w:bookmarkStart w:id="170" w:name="OLE_LINK49"/>
            <w:r>
              <w:rPr>
                <w:rFonts w:hint="default" w:ascii="Times New Roman" w:hAnsi="Times New Roman" w:cs="Times New Roman"/>
                <w:b/>
                <w:bCs/>
                <w:color w:val="auto"/>
                <w:sz w:val="24"/>
                <w:highlight w:val="none"/>
                <w:lang w:val="en-US" w:eastAsia="zh-CN"/>
              </w:rPr>
              <w:t>LAS、氟化物、</w:t>
            </w:r>
            <w:bookmarkEnd w:id="170"/>
            <w:r>
              <w:rPr>
                <w:rFonts w:hint="default" w:ascii="Times New Roman" w:hAnsi="Times New Roman" w:cs="Times New Roman"/>
                <w:b/>
                <w:bCs/>
                <w:color w:val="auto"/>
                <w:sz w:val="24"/>
                <w:highlight w:val="none"/>
                <w:lang w:val="en-US" w:eastAsia="zh-CN"/>
              </w:rPr>
              <w:t>锆和钛的处理</w:t>
            </w:r>
            <w:r>
              <w:rPr>
                <w:rFonts w:hint="eastAsia" w:cs="Times New Roman"/>
                <w:b/>
                <w:bCs/>
                <w:color w:val="auto"/>
                <w:sz w:val="24"/>
                <w:highlight w:val="none"/>
                <w:lang w:val="en-US" w:eastAsia="zh-CN"/>
              </w:rPr>
              <w:t>能力分析：</w:t>
            </w:r>
          </w:p>
          <w:p w14:paraId="0D9A7CE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bookmarkStart w:id="171" w:name="OLE_LINK50"/>
            <w:r>
              <w:rPr>
                <w:rFonts w:hint="default" w:ascii="Times New Roman" w:hAnsi="Times New Roman" w:eastAsia="宋体" w:cs="Times New Roman"/>
                <w:b w:val="0"/>
                <w:bCs w:val="0"/>
                <w:color w:val="auto"/>
                <w:sz w:val="24"/>
                <w:szCs w:val="24"/>
                <w:highlight w:val="none"/>
              </w:rPr>
              <w:t>一、工艺适配性分析</w:t>
            </w:r>
          </w:p>
          <w:p w14:paraId="36EF0D8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预处理工艺与园区工艺衔接</w:t>
            </w:r>
          </w:p>
          <w:p w14:paraId="4C67509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eastAsia="zh-CN"/>
              </w:rPr>
              <w:t>本项目</w:t>
            </w:r>
            <w:r>
              <w:rPr>
                <w:rFonts w:hint="default" w:ascii="Times New Roman" w:hAnsi="Times New Roman" w:eastAsia="宋体" w:cs="Times New Roman"/>
                <w:b w:val="0"/>
                <w:bCs w:val="0"/>
                <w:color w:val="auto"/>
                <w:sz w:val="24"/>
                <w:szCs w:val="24"/>
                <w:highlight w:val="none"/>
              </w:rPr>
              <w:t>采用“中和调节+混凝沉淀+气浮+化学除氟”预处理工艺，混凝沉淀通过电荷中和作用破坏LAS胶体稳定性，气浮则通过微气泡吸附将其分离</w:t>
            </w:r>
            <w:r>
              <w:rPr>
                <w:rFonts w:hint="eastAsia" w:ascii="Times New Roman" w:hAnsi="Times New Roman" w:eastAsia="宋体" w:cs="Times New Roman"/>
                <w:b w:val="0"/>
                <w:bCs w:val="0"/>
                <w:color w:val="auto"/>
                <w:sz w:val="24"/>
                <w:szCs w:val="24"/>
                <w:highlight w:val="none"/>
                <w:lang w:eastAsia="zh-CN"/>
              </w:rPr>
              <w:t>。预处理工艺</w:t>
            </w:r>
            <w:r>
              <w:rPr>
                <w:rFonts w:hint="default" w:ascii="Times New Roman" w:hAnsi="Times New Roman" w:eastAsia="宋体" w:cs="Times New Roman"/>
                <w:b w:val="0"/>
                <w:bCs w:val="0"/>
                <w:color w:val="auto"/>
                <w:sz w:val="24"/>
                <w:szCs w:val="24"/>
                <w:highlight w:val="none"/>
              </w:rPr>
              <w:t>可有效降低废水中</w:t>
            </w:r>
            <w:r>
              <w:rPr>
                <w:rFonts w:hint="default" w:ascii="Times New Roman" w:hAnsi="Times New Roman" w:eastAsia="宋体" w:cs="Times New Roman"/>
                <w:b w:val="0"/>
                <w:bCs w:val="0"/>
                <w:color w:val="auto"/>
                <w:sz w:val="24"/>
                <w:szCs w:val="24"/>
                <w:highlight w:val="none"/>
                <w:lang w:val="en-US" w:eastAsia="zh-CN"/>
              </w:rPr>
              <w:t>LAS、氟化物、</w:t>
            </w:r>
            <w:r>
              <w:rPr>
                <w:rFonts w:hint="default" w:ascii="Times New Roman" w:hAnsi="Times New Roman" w:eastAsia="宋体" w:cs="Times New Roman"/>
                <w:b w:val="0"/>
                <w:bCs w:val="0"/>
                <w:color w:val="auto"/>
                <w:sz w:val="24"/>
                <w:szCs w:val="24"/>
                <w:highlight w:val="none"/>
              </w:rPr>
              <w:t>锆（Zr）、钛（Ti）浓度</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显著减轻园区污水处理厂负荷。</w:t>
            </w:r>
          </w:p>
          <w:p w14:paraId="226348F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CASS工艺处理能力</w:t>
            </w:r>
          </w:p>
          <w:p w14:paraId="02BE7B6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金属氢氧化物沉淀机理</w:t>
            </w:r>
          </w:p>
          <w:p w14:paraId="30EF2BF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Zr⁴⁺在pH≥7.0条件下生成 Zr(OH)₄ 沉淀（Ksp≈10⁻⁵⁶），Ti⁴⁺形成 Ti(OH)₄ 胶体（Ksp≈10⁻⁴⁴），投加PAC（聚合氯化铝）和PAM（聚丙烯酰胺）后，通过电荷中和、吸附架桥及网捕作用，形成致密絮体，</w:t>
            </w:r>
            <w:r>
              <w:rPr>
                <w:rFonts w:hint="default" w:ascii="Times New Roman" w:hAnsi="Times New Roman" w:eastAsia="宋体" w:cs="Times New Roman"/>
                <w:b w:val="0"/>
                <w:bCs w:val="0"/>
                <w:color w:val="auto"/>
                <w:sz w:val="24"/>
                <w:szCs w:val="24"/>
                <w:highlight w:val="none"/>
                <w:lang w:val="en-US" w:eastAsia="zh-CN"/>
              </w:rPr>
              <w:t>可</w:t>
            </w:r>
            <w:r>
              <w:rPr>
                <w:rFonts w:hint="default" w:ascii="Times New Roman" w:hAnsi="Times New Roman" w:eastAsia="宋体" w:cs="Times New Roman"/>
                <w:b w:val="0"/>
                <w:bCs w:val="0"/>
                <w:color w:val="auto"/>
                <w:sz w:val="24"/>
                <w:szCs w:val="24"/>
                <w:highlight w:val="none"/>
              </w:rPr>
              <w:t>沉淀</w:t>
            </w:r>
            <w:r>
              <w:rPr>
                <w:rFonts w:hint="default" w:ascii="Times New Roman" w:hAnsi="Times New Roman" w:eastAsia="宋体" w:cs="Times New Roman"/>
                <w:b w:val="0"/>
                <w:bCs w:val="0"/>
                <w:color w:val="auto"/>
                <w:sz w:val="24"/>
                <w:szCs w:val="24"/>
                <w:highlight w:val="none"/>
                <w:lang w:val="en-US" w:eastAsia="zh-CN"/>
              </w:rPr>
              <w:t>去除，沉淀</w:t>
            </w:r>
            <w:r>
              <w:rPr>
                <w:rFonts w:hint="default" w:ascii="Times New Roman" w:hAnsi="Times New Roman" w:eastAsia="宋体" w:cs="Times New Roman"/>
                <w:b w:val="0"/>
                <w:bCs w:val="0"/>
                <w:color w:val="auto"/>
                <w:sz w:val="24"/>
                <w:szCs w:val="24"/>
                <w:highlight w:val="none"/>
              </w:rPr>
              <w:t>效率提升20%</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30%</w:t>
            </w:r>
            <w:r>
              <w:rPr>
                <w:rFonts w:hint="default" w:ascii="Times New Roman" w:hAnsi="Times New Roman" w:eastAsia="宋体" w:cs="Times New Roman"/>
                <w:b w:val="0"/>
                <w:bCs w:val="0"/>
                <w:color w:val="auto"/>
                <w:sz w:val="24"/>
                <w:szCs w:val="24"/>
                <w:highlight w:val="none"/>
                <w:lang w:eastAsia="zh-CN"/>
              </w:rPr>
              <w:t>。</w:t>
            </w:r>
          </w:p>
          <w:p w14:paraId="68BFFC1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b</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生物吸附机制</w:t>
            </w:r>
          </w:p>
          <w:p w14:paraId="2733B71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活性污泥中微生物（如假单胞菌、芽孢杆菌）的细胞壁含羧基（-COOH）、羟基（-OH）等官能团，通过离子交换与表面络合吸附Zr⁴⁺、Ti⁴⁺，污泥回流设计（污泥龄15</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25天）增强吸附容量（5</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8mg/g MLSS）</w:t>
            </w:r>
            <w:r>
              <w:rPr>
                <w:rFonts w:hint="default" w:ascii="Times New Roman" w:hAnsi="Times New Roman" w:eastAsia="宋体" w:cs="Times New Roman"/>
                <w:b w:val="0"/>
                <w:bCs w:val="0"/>
                <w:color w:val="auto"/>
                <w:sz w:val="24"/>
                <w:szCs w:val="24"/>
                <w:highlight w:val="none"/>
                <w:lang w:eastAsia="zh-CN"/>
              </w:rPr>
              <w:t>。CASS工艺中活性污泥的微生物（如假单胞菌）可通过生物氧化分解LAS，其长污泥龄（15~25天）增强了对难降解有机物的去除能力</w:t>
            </w:r>
            <w:r>
              <w:rPr>
                <w:rFonts w:hint="eastAsia" w:ascii="Times New Roman" w:hAnsi="Times New Roman" w:eastAsia="宋体" w:cs="Times New Roman"/>
                <w:b w:val="0"/>
                <w:bCs w:val="0"/>
                <w:color w:val="auto"/>
                <w:sz w:val="24"/>
                <w:szCs w:val="24"/>
                <w:highlight w:val="none"/>
                <w:lang w:eastAsia="zh-CN"/>
              </w:rPr>
              <w:t>。尽管预处理已大幅降低氟化物浓度，CASS工艺通过生物吸附和化学沉淀的协同作用（如微生物胞外聚合物对F</w:t>
            </w:r>
            <w:r>
              <w:rPr>
                <w:rFonts w:hint="eastAsia" w:ascii="Times New Roman" w:hAnsi="Times New Roman" w:eastAsia="宋体" w:cs="Times New Roman"/>
                <w:b w:val="0"/>
                <w:bCs w:val="0"/>
                <w:color w:val="auto"/>
                <w:sz w:val="24"/>
                <w:szCs w:val="24"/>
                <w:highlight w:val="none"/>
                <w:vertAlign w:val="superscript"/>
                <w:lang w:eastAsia="zh-CN"/>
              </w:rPr>
              <w:t>−</w:t>
            </w:r>
            <w:r>
              <w:rPr>
                <w:rFonts w:hint="eastAsia" w:ascii="Times New Roman" w:hAnsi="Times New Roman" w:eastAsia="宋体" w:cs="Times New Roman"/>
                <w:b w:val="0"/>
                <w:bCs w:val="0"/>
                <w:color w:val="auto"/>
                <w:sz w:val="24"/>
                <w:szCs w:val="24"/>
                <w:highlight w:val="none"/>
                <w:lang w:eastAsia="zh-CN"/>
              </w:rPr>
              <w:t>的络合），可进一步将氟化物浓度降</w:t>
            </w:r>
            <w:r>
              <w:rPr>
                <w:rFonts w:hint="eastAsia" w:ascii="Times New Roman" w:hAnsi="Times New Roman" w:eastAsia="宋体" w:cs="Times New Roman"/>
                <w:b w:val="0"/>
                <w:bCs w:val="0"/>
                <w:color w:val="auto"/>
                <w:sz w:val="24"/>
                <w:szCs w:val="24"/>
                <w:highlight w:val="none"/>
                <w:lang w:val="en-US" w:eastAsia="zh-CN"/>
              </w:rPr>
              <w:t>低</w:t>
            </w:r>
            <w:r>
              <w:rPr>
                <w:rFonts w:hint="eastAsia" w:ascii="Times New Roman" w:hAnsi="Times New Roman" w:eastAsia="宋体" w:cs="Times New Roman"/>
                <w:b w:val="0"/>
                <w:bCs w:val="0"/>
                <w:color w:val="auto"/>
                <w:sz w:val="24"/>
                <w:szCs w:val="24"/>
                <w:highlight w:val="none"/>
                <w:lang w:eastAsia="zh-CN"/>
              </w:rPr>
              <w:t>，强化达标保障</w:t>
            </w:r>
          </w:p>
          <w:p w14:paraId="0827D1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c</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协同增效效应</w:t>
            </w:r>
          </w:p>
          <w:p w14:paraId="637AE3F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化学沉淀生成的金属絮体与活性污泥包裹形成“生物-化学复合体”，较单一工艺提升去除率15%</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25%。</w:t>
            </w:r>
          </w:p>
          <w:p w14:paraId="6AB8B26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深度处理保障：后续絮凝沉淀池及纤维滤池可进一步截留微量金属</w:t>
            </w:r>
            <w:r>
              <w:rPr>
                <w:rFonts w:hint="default" w:ascii="Times New Roman" w:hAnsi="Times New Roman" w:eastAsia="宋体" w:cs="Times New Roman"/>
                <w:b w:val="0"/>
                <w:bCs w:val="0"/>
                <w:color w:val="auto"/>
                <w:sz w:val="24"/>
                <w:szCs w:val="24"/>
                <w:highlight w:val="none"/>
                <w:lang w:val="en-US" w:eastAsia="zh-CN"/>
              </w:rPr>
              <w:t>离子</w:t>
            </w:r>
            <w:r>
              <w:rPr>
                <w:rFonts w:hint="default" w:ascii="Times New Roman" w:hAnsi="Times New Roman" w:eastAsia="宋体" w:cs="Times New Roman"/>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对</w:t>
            </w:r>
            <w:r>
              <w:rPr>
                <w:rFonts w:hint="default" w:ascii="Times New Roman" w:hAnsi="Times New Roman" w:eastAsia="宋体" w:cs="Times New Roman"/>
                <w:b w:val="0"/>
                <w:bCs w:val="0"/>
                <w:color w:val="auto"/>
                <w:sz w:val="24"/>
                <w:szCs w:val="24"/>
                <w:highlight w:val="none"/>
              </w:rPr>
              <w:t>污染物</w:t>
            </w:r>
            <w:r>
              <w:rPr>
                <w:rFonts w:hint="default" w:ascii="Times New Roman" w:hAnsi="Times New Roman" w:eastAsia="宋体" w:cs="Times New Roman"/>
                <w:b w:val="0"/>
                <w:bCs w:val="0"/>
                <w:color w:val="auto"/>
                <w:sz w:val="24"/>
                <w:szCs w:val="24"/>
                <w:highlight w:val="none"/>
                <w:lang w:val="en-US" w:eastAsia="zh-CN"/>
              </w:rPr>
              <w:t>进行进一步的</w:t>
            </w:r>
            <w:r>
              <w:rPr>
                <w:rFonts w:hint="default" w:ascii="Times New Roman" w:hAnsi="Times New Roman" w:eastAsia="宋体" w:cs="Times New Roman"/>
                <w:b w:val="0"/>
                <w:bCs w:val="0"/>
                <w:color w:val="auto"/>
                <w:sz w:val="24"/>
                <w:szCs w:val="24"/>
                <w:highlight w:val="none"/>
              </w:rPr>
              <w:t>截留。</w:t>
            </w:r>
          </w:p>
          <w:p w14:paraId="4FDC1D2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二、重金属去除效能验证</w:t>
            </w:r>
          </w:p>
          <w:p w14:paraId="7D38E41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污染物浓度与工艺负荷</w:t>
            </w:r>
          </w:p>
          <w:p w14:paraId="2C1B7ED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eastAsia="zh-CN"/>
              </w:rPr>
              <w:t>本项目</w:t>
            </w:r>
            <w:r>
              <w:rPr>
                <w:rFonts w:hint="default" w:ascii="Times New Roman" w:hAnsi="Times New Roman" w:eastAsia="宋体" w:cs="Times New Roman"/>
                <w:b w:val="0"/>
                <w:bCs w:val="0"/>
                <w:color w:val="auto"/>
                <w:sz w:val="24"/>
                <w:szCs w:val="24"/>
                <w:highlight w:val="none"/>
              </w:rPr>
              <w:t>预处理后Zr、Ti总浓度</w:t>
            </w:r>
            <w:r>
              <w:rPr>
                <w:rFonts w:hint="default" w:ascii="Times New Roman" w:hAnsi="Times New Roman" w:eastAsia="宋体" w:cs="Times New Roman"/>
                <w:b w:val="0"/>
                <w:bCs w:val="0"/>
                <w:color w:val="auto"/>
                <w:sz w:val="24"/>
                <w:szCs w:val="24"/>
                <w:highlight w:val="none"/>
                <w:lang w:val="en-US" w:eastAsia="zh-CN"/>
              </w:rPr>
              <w:t>约</w:t>
            </w:r>
            <w:r>
              <w:rPr>
                <w:rFonts w:hint="default" w:ascii="Times New Roman" w:hAnsi="Times New Roman" w:eastAsia="宋体" w:cs="Times New Roman"/>
                <w:b w:val="0"/>
                <w:bCs w:val="0"/>
                <w:color w:val="auto"/>
                <w:sz w:val="24"/>
                <w:szCs w:val="24"/>
                <w:highlight w:val="none"/>
              </w:rPr>
              <w:t>为</w:t>
            </w:r>
            <w:r>
              <w:rPr>
                <w:rFonts w:hint="eastAsia" w:cs="Times New Roman"/>
                <w:b w:val="0"/>
                <w:bCs w:val="0"/>
                <w:color w:val="auto"/>
                <w:sz w:val="24"/>
                <w:szCs w:val="24"/>
                <w:highlight w:val="none"/>
                <w:lang w:val="en-US" w:eastAsia="zh-CN"/>
              </w:rPr>
              <w:t>8.09</w:t>
            </w:r>
            <w:r>
              <w:rPr>
                <w:rFonts w:hint="default" w:ascii="Times New Roman" w:hAnsi="Times New Roman" w:eastAsia="宋体" w:cs="Times New Roman"/>
                <w:b w:val="0"/>
                <w:bCs w:val="0"/>
                <w:color w:val="auto"/>
                <w:sz w:val="24"/>
                <w:szCs w:val="24"/>
                <w:highlight w:val="none"/>
              </w:rPr>
              <w:t>mg/L（</w:t>
            </w:r>
            <w:r>
              <w:rPr>
                <w:rFonts w:hint="eastAsia" w:cs="Times New Roman"/>
                <w:b w:val="0"/>
                <w:bCs w:val="0"/>
                <w:color w:val="auto"/>
                <w:sz w:val="24"/>
                <w:szCs w:val="24"/>
                <w:highlight w:val="none"/>
                <w:lang w:val="en-US" w:eastAsia="zh-CN"/>
              </w:rPr>
              <w:t>4.90</w:t>
            </w:r>
            <w:r>
              <w:rPr>
                <w:rFonts w:hint="default" w:ascii="Times New Roman" w:hAnsi="Times New Roman" w:eastAsia="宋体" w:cs="Times New Roman"/>
                <w:b w:val="0"/>
                <w:bCs w:val="0"/>
                <w:color w:val="auto"/>
                <w:sz w:val="24"/>
                <w:szCs w:val="24"/>
                <w:highlight w:val="none"/>
              </w:rPr>
              <w:t>mg/L+</w:t>
            </w:r>
            <w:r>
              <w:rPr>
                <w:rFonts w:hint="eastAsia" w:cs="Times New Roman"/>
                <w:b w:val="0"/>
                <w:bCs w:val="0"/>
                <w:color w:val="auto"/>
                <w:sz w:val="24"/>
                <w:szCs w:val="24"/>
                <w:highlight w:val="none"/>
                <w:lang w:val="en-US" w:eastAsia="zh-CN"/>
              </w:rPr>
              <w:t>3.19</w:t>
            </w:r>
            <w:r>
              <w:rPr>
                <w:rFonts w:hint="default" w:ascii="Times New Roman" w:hAnsi="Times New Roman" w:eastAsia="宋体" w:cs="Times New Roman"/>
                <w:b w:val="0"/>
                <w:bCs w:val="0"/>
                <w:color w:val="auto"/>
                <w:sz w:val="24"/>
                <w:szCs w:val="24"/>
                <w:highlight w:val="none"/>
              </w:rPr>
              <w:t>mg/L），低于园区污水处理厂设计进水重金属综合限值（参照《污水排入城镇下水道水质标准》</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GB/T31962-2015</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，通常设定为10mg/L），工艺安全余量充足。</w:t>
            </w:r>
          </w:p>
          <w:p w14:paraId="19C815A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水量稀释效应</w:t>
            </w:r>
          </w:p>
          <w:p w14:paraId="55B4AD36">
            <w:pPr>
              <w:pStyle w:val="14"/>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废水排放量为</w:t>
            </w:r>
            <w:r>
              <w:rPr>
                <w:rFonts w:hint="eastAsia" w:cs="Times New Roman"/>
                <w:color w:val="auto"/>
                <w:sz w:val="24"/>
                <w:szCs w:val="24"/>
                <w:highlight w:val="none"/>
                <w:lang w:val="en-US" w:eastAsia="zh-CN"/>
              </w:rPr>
              <w:t>33.66</w:t>
            </w:r>
            <w:r>
              <w:rPr>
                <w:rFonts w:hint="default" w:ascii="Times New Roman" w:hAnsi="Times New Roman" w:eastAsia="宋体" w:cs="Times New Roman"/>
                <w:color w:val="auto"/>
                <w:sz w:val="24"/>
                <w:szCs w:val="24"/>
                <w:highlight w:val="none"/>
              </w:rPr>
              <w:t>m³/d，仅占园区污水处理厂剩余处理能力（3380.09m³/d）的</w:t>
            </w:r>
            <w:r>
              <w:rPr>
                <w:rFonts w:hint="eastAsia"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%。大水量对污染物具有显著稀释作用，结合工艺处理，预计Zr、Ti浓度可进一步降至0.25mg/L以下，远低于环境风险阈值。</w:t>
            </w:r>
          </w:p>
          <w:bookmarkEnd w:id="171"/>
          <w:p w14:paraId="3419AEB1">
            <w:pPr>
              <w:pStyle w:val="14"/>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乐昌产业转移工业园污水处理厂现有CASS工艺具备处理</w:t>
            </w:r>
            <w:r>
              <w:rPr>
                <w:rFonts w:hint="eastAsia" w:cs="Times New Roman"/>
                <w:color w:val="auto"/>
                <w:sz w:val="24"/>
                <w:highlight w:val="none"/>
                <w:lang w:eastAsia="zh-CN"/>
              </w:rPr>
              <w:t>致远</w:t>
            </w:r>
            <w:r>
              <w:rPr>
                <w:rFonts w:hint="default" w:ascii="Times New Roman" w:hAnsi="Times New Roman" w:cs="Times New Roman"/>
                <w:color w:val="auto"/>
                <w:sz w:val="24"/>
                <w:highlight w:val="none"/>
              </w:rPr>
              <w:t>公司含锆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钛废水的能力，预处理后</w:t>
            </w:r>
            <w:r>
              <w:rPr>
                <w:rFonts w:hint="default" w:ascii="Times New Roman" w:hAnsi="Times New Roman" w:cs="Times New Roman"/>
                <w:color w:val="auto"/>
                <w:sz w:val="24"/>
                <w:highlight w:val="none"/>
                <w:lang w:val="en-US" w:eastAsia="zh-CN"/>
              </w:rPr>
              <w:t>的</w:t>
            </w:r>
            <w:r>
              <w:rPr>
                <w:rFonts w:hint="default" w:ascii="Times New Roman" w:hAnsi="Times New Roman" w:cs="Times New Roman"/>
                <w:color w:val="auto"/>
                <w:sz w:val="24"/>
                <w:highlight w:val="none"/>
              </w:rPr>
              <w:t>水质及水量均在</w:t>
            </w:r>
            <w:r>
              <w:rPr>
                <w:rFonts w:hint="default" w:ascii="Times New Roman" w:hAnsi="Times New Roman" w:cs="Times New Roman"/>
                <w:color w:val="auto"/>
                <w:sz w:val="24"/>
                <w:highlight w:val="none"/>
                <w:lang w:val="en-US" w:eastAsia="zh-CN"/>
              </w:rPr>
              <w:t>园区污水处理厂</w:t>
            </w:r>
            <w:r>
              <w:rPr>
                <w:rFonts w:hint="default" w:ascii="Times New Roman" w:hAnsi="Times New Roman" w:cs="Times New Roman"/>
                <w:color w:val="auto"/>
                <w:sz w:val="24"/>
                <w:highlight w:val="none"/>
              </w:rPr>
              <w:t>工艺耐受范围内，同意</w:t>
            </w:r>
            <w:r>
              <w:rPr>
                <w:rFonts w:hint="eastAsia" w:cs="Times New Roman"/>
                <w:color w:val="auto"/>
                <w:sz w:val="24"/>
                <w:highlight w:val="none"/>
                <w:lang w:val="en-US" w:eastAsia="zh-CN"/>
              </w:rPr>
              <w:t>本项目生产废水</w:t>
            </w:r>
            <w:r>
              <w:rPr>
                <w:rFonts w:hint="default" w:ascii="Times New Roman" w:hAnsi="Times New Roman" w:cs="Times New Roman"/>
                <w:color w:val="auto"/>
                <w:sz w:val="24"/>
                <w:highlight w:val="none"/>
              </w:rPr>
              <w:t>接入园区</w:t>
            </w:r>
            <w:r>
              <w:rPr>
                <w:rFonts w:hint="default" w:ascii="Times New Roman" w:hAnsi="Times New Roman" w:cs="Times New Roman"/>
                <w:color w:val="auto"/>
                <w:sz w:val="24"/>
                <w:highlight w:val="none"/>
                <w:lang w:val="en-US" w:eastAsia="zh-CN"/>
              </w:rPr>
              <w:t>污水</w:t>
            </w:r>
            <w:r>
              <w:rPr>
                <w:rFonts w:hint="default" w:ascii="Times New Roman" w:hAnsi="Times New Roman" w:cs="Times New Roman"/>
                <w:color w:val="auto"/>
                <w:sz w:val="24"/>
                <w:highlight w:val="none"/>
              </w:rPr>
              <w:t>管网</w:t>
            </w:r>
            <w:r>
              <w:rPr>
                <w:rFonts w:hint="eastAsia" w:cs="Times New Roman"/>
                <w:color w:val="auto"/>
                <w:sz w:val="24"/>
                <w:highlight w:val="none"/>
                <w:lang w:eastAsia="zh-CN"/>
              </w:rPr>
              <w:t>（</w:t>
            </w:r>
            <w:r>
              <w:rPr>
                <w:rFonts w:hint="eastAsia" w:cs="Times New Roman"/>
                <w:color w:val="auto"/>
                <w:sz w:val="24"/>
                <w:highlight w:val="none"/>
                <w:lang w:val="en-US" w:eastAsia="zh-CN"/>
              </w:rPr>
              <w:t>详见附件9</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。根据前</w:t>
            </w:r>
            <w:r>
              <w:rPr>
                <w:rFonts w:hint="eastAsia" w:cs="Times New Roman"/>
                <w:color w:val="auto"/>
                <w:sz w:val="24"/>
                <w:highlight w:val="none"/>
                <w:lang w:val="en-US" w:eastAsia="zh-CN"/>
              </w:rPr>
              <w:t>文</w:t>
            </w:r>
            <w:r>
              <w:rPr>
                <w:rFonts w:hint="default" w:ascii="Times New Roman" w:hAnsi="Times New Roman" w:cs="Times New Roman"/>
                <w:color w:val="auto"/>
                <w:sz w:val="24"/>
                <w:highlight w:val="none"/>
              </w:rPr>
              <w:t>分析，</w:t>
            </w:r>
            <w:bookmarkStart w:id="172" w:name="OLE_LINK51"/>
            <w:r>
              <w:rPr>
                <w:rFonts w:hint="default" w:ascii="Times New Roman" w:hAnsi="Times New Roman" w:cs="Times New Roman"/>
                <w:color w:val="auto"/>
                <w:sz w:val="24"/>
                <w:highlight w:val="none"/>
              </w:rPr>
              <w:t>园区污水处理厂剩余污水处理能力完全可以容纳处理本项目排入的污水，且与园区处理能力匹配</w:t>
            </w:r>
            <w:r>
              <w:rPr>
                <w:rFonts w:hint="eastAsia" w:cs="Times New Roman"/>
                <w:color w:val="auto"/>
                <w:sz w:val="24"/>
                <w:highlight w:val="none"/>
                <w:lang w:eastAsia="zh-CN"/>
              </w:rPr>
              <w:t>。</w:t>
            </w:r>
            <w:bookmarkEnd w:id="172"/>
            <w:r>
              <w:rPr>
                <w:rFonts w:hint="default" w:ascii="Times New Roman" w:hAnsi="Times New Roman" w:cs="Times New Roman"/>
                <w:color w:val="auto"/>
                <w:sz w:val="24"/>
                <w:highlight w:val="none"/>
              </w:rPr>
              <w:t>因此，本</w:t>
            </w:r>
            <w:bookmarkStart w:id="173" w:name="OLE_LINK52"/>
            <w:r>
              <w:rPr>
                <w:rFonts w:hint="default" w:ascii="Times New Roman" w:hAnsi="Times New Roman" w:cs="Times New Roman"/>
                <w:color w:val="auto"/>
                <w:sz w:val="24"/>
                <w:highlight w:val="none"/>
              </w:rPr>
              <w:t>项目产生的</w:t>
            </w:r>
            <w:r>
              <w:rPr>
                <w:rFonts w:hint="eastAsia" w:cs="Times New Roman"/>
                <w:color w:val="auto"/>
                <w:sz w:val="24"/>
                <w:highlight w:val="none"/>
                <w:lang w:val="en-US" w:eastAsia="zh-CN"/>
              </w:rPr>
              <w:t>废</w:t>
            </w:r>
            <w:r>
              <w:rPr>
                <w:rFonts w:hint="default" w:ascii="Times New Roman" w:hAnsi="Times New Roman" w:cs="Times New Roman"/>
                <w:color w:val="auto"/>
                <w:sz w:val="24"/>
                <w:highlight w:val="none"/>
              </w:rPr>
              <w:t>水经预处理后排入园区污水处理厂处理具有环境可行性</w:t>
            </w:r>
            <w:bookmarkEnd w:id="173"/>
            <w:r>
              <w:rPr>
                <w:rFonts w:hint="default" w:ascii="Times New Roman" w:hAnsi="Times New Roman" w:cs="Times New Roman"/>
                <w:color w:val="auto"/>
                <w:sz w:val="24"/>
                <w:highlight w:val="none"/>
              </w:rPr>
              <w:t>。</w:t>
            </w:r>
          </w:p>
          <w:p w14:paraId="70607749">
            <w:pPr>
              <w:pStyle w:val="47"/>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998210" cy="2456180"/>
                  <wp:effectExtent l="0" t="0" r="2540" b="127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3"/>
                          <a:stretch>
                            <a:fillRect/>
                          </a:stretch>
                        </pic:blipFill>
                        <pic:spPr>
                          <a:xfrm>
                            <a:off x="0" y="0"/>
                            <a:ext cx="5998210" cy="2456180"/>
                          </a:xfrm>
                          <a:prstGeom prst="rect">
                            <a:avLst/>
                          </a:prstGeom>
                          <a:noFill/>
                          <a:ln>
                            <a:noFill/>
                          </a:ln>
                        </pic:spPr>
                      </pic:pic>
                    </a:graphicData>
                  </a:graphic>
                </wp:inline>
              </w:drawing>
            </w:r>
          </w:p>
          <w:p w14:paraId="3895F72E">
            <w:pPr>
              <w:keepNext w:val="0"/>
              <w:keepLines w:val="0"/>
              <w:pageBreakBefore w:val="0"/>
              <w:widowControl/>
              <w:numPr>
                <w:ilvl w:val="0"/>
                <w:numId w:val="8"/>
              </w:numPr>
              <w:suppressLineNumbers w:val="0"/>
              <w:kinsoku/>
              <w:wordWrap/>
              <w:overflowPunct/>
              <w:topLinePunct w:val="0"/>
              <w:autoSpaceDE/>
              <w:autoSpaceDN/>
              <w:bidi w:val="0"/>
              <w:adjustRightInd/>
              <w:snapToGrid w:val="0"/>
              <w:spacing w:before="0" w:beforeAutospacing="0" w:after="0" w:afterAutospacing="0"/>
              <w:ind w:left="0" w:leftChars="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园区</w:t>
            </w:r>
            <w:r>
              <w:rPr>
                <w:rFonts w:hint="default" w:ascii="Times New Roman" w:hAnsi="Times New Roman" w:eastAsia="宋体" w:cs="Times New Roman"/>
                <w:b/>
                <w:bCs/>
                <w:color w:val="auto"/>
                <w:kern w:val="0"/>
                <w:sz w:val="21"/>
                <w:szCs w:val="21"/>
                <w:highlight w:val="none"/>
                <w:lang w:val="en-US" w:eastAsia="zh-CN" w:bidi="ar"/>
              </w:rPr>
              <w:t>污水处理厂工艺流程图</w:t>
            </w:r>
          </w:p>
          <w:p w14:paraId="1C108F10">
            <w:pPr>
              <w:pStyle w:val="12"/>
              <w:keepNext w:val="0"/>
              <w:keepLines w:val="0"/>
              <w:suppressLineNumbers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5、监测要求</w:t>
            </w:r>
          </w:p>
          <w:p w14:paraId="44E1758B">
            <w:pPr>
              <w:pStyle w:val="19"/>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总则》(HJ819-2017)，制定本项目生产废水自行监测计划，监测要求见下表。</w:t>
            </w:r>
          </w:p>
          <w:p w14:paraId="2EACFE73">
            <w:pPr>
              <w:pStyle w:val="1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360" w:lineRule="auto"/>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表4-30</w:t>
            </w:r>
            <w:r>
              <w:rPr>
                <w:rFonts w:hint="default" w:ascii="Times New Roman" w:hAnsi="Times New Roman" w:cs="Times New Roman"/>
                <w:color w:val="auto"/>
                <w:highlight w:val="none"/>
              </w:rPr>
              <w:t>监测要求</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5"/>
              <w:gridCol w:w="2978"/>
              <w:gridCol w:w="2036"/>
              <w:gridCol w:w="6151"/>
            </w:tblGrid>
            <w:tr w14:paraId="160A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901" w:type="pct"/>
                  <w:vAlign w:val="center"/>
                </w:tcPr>
                <w:p w14:paraId="52680B0D">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监测点位</w:t>
                  </w:r>
                </w:p>
              </w:tc>
              <w:tc>
                <w:tcPr>
                  <w:tcW w:w="1093" w:type="pct"/>
                  <w:vAlign w:val="center"/>
                </w:tcPr>
                <w:p w14:paraId="5964CD67">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监测指标</w:t>
                  </w:r>
                </w:p>
              </w:tc>
              <w:tc>
                <w:tcPr>
                  <w:tcW w:w="747" w:type="pct"/>
                  <w:vAlign w:val="center"/>
                </w:tcPr>
                <w:p w14:paraId="1C04DED4">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监测频次</w:t>
                  </w:r>
                </w:p>
              </w:tc>
              <w:tc>
                <w:tcPr>
                  <w:tcW w:w="2257" w:type="pct"/>
                  <w:vAlign w:val="center"/>
                </w:tcPr>
                <w:p w14:paraId="1A7D289B">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监测标准</w:t>
                  </w:r>
                </w:p>
              </w:tc>
            </w:tr>
            <w:tr w14:paraId="0C08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901" w:type="pct"/>
                  <w:vAlign w:val="center"/>
                </w:tcPr>
                <w:p w14:paraId="51A87D7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综合废水排放口</w:t>
                  </w:r>
                </w:p>
                <w:p w14:paraId="2CED01DF">
                  <w:pPr>
                    <w:pStyle w:val="56"/>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kern w:val="2"/>
                      <w:highlight w:val="none"/>
                      <w:lang w:val="en-US" w:eastAsia="zh-CN"/>
                    </w:rPr>
                  </w:pPr>
                  <w:r>
                    <w:rPr>
                      <w:rFonts w:hint="default" w:ascii="Times New Roman" w:hAnsi="Times New Roman" w:cs="Times New Roman"/>
                      <w:color w:val="auto"/>
                      <w:kern w:val="2"/>
                      <w:highlight w:val="none"/>
                      <w:lang w:val="en-US" w:eastAsia="zh-CN"/>
                    </w:rPr>
                    <w:t>DW001</w:t>
                  </w:r>
                </w:p>
              </w:tc>
              <w:tc>
                <w:tcPr>
                  <w:tcW w:w="1093" w:type="pct"/>
                  <w:vAlign w:val="center"/>
                </w:tcPr>
                <w:p w14:paraId="6EC4062B">
                  <w:pPr>
                    <w:pStyle w:val="1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pH、COD</w:t>
                  </w:r>
                  <w:r>
                    <w:rPr>
                      <w:rFonts w:hint="default" w:ascii="Times New Roman" w:hAnsi="Times New Roman" w:cs="Times New Roman"/>
                      <w:color w:val="auto"/>
                      <w:sz w:val="21"/>
                      <w:szCs w:val="21"/>
                      <w:highlight w:val="none"/>
                      <w:vertAlign w:val="subscript"/>
                    </w:rPr>
                    <w:t>Cr</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rPr>
                    <w:t>、SS、石油类、氨氮</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动植物油、总磷、</w:t>
                  </w:r>
                  <w:bookmarkStart w:id="174" w:name="OLE_LINK53"/>
                  <w:r>
                    <w:rPr>
                      <w:rFonts w:hint="eastAsia" w:cs="Times New Roman"/>
                      <w:color w:val="auto"/>
                      <w:sz w:val="21"/>
                      <w:szCs w:val="21"/>
                      <w:highlight w:val="none"/>
                      <w:lang w:val="en-US" w:eastAsia="zh-CN"/>
                    </w:rPr>
                    <w:t>LAS</w:t>
                  </w:r>
                  <w:r>
                    <w:rPr>
                      <w:rFonts w:hint="default" w:ascii="Times New Roman" w:hAnsi="Times New Roman" w:eastAsia="宋体" w:cs="Times New Roman"/>
                      <w:color w:val="auto"/>
                      <w:sz w:val="21"/>
                      <w:szCs w:val="21"/>
                      <w:highlight w:val="none"/>
                      <w:lang w:val="en-US" w:eastAsia="zh-CN"/>
                    </w:rPr>
                    <w:t>、氟化物</w:t>
                  </w:r>
                  <w:bookmarkEnd w:id="174"/>
                </w:p>
              </w:tc>
              <w:tc>
                <w:tcPr>
                  <w:tcW w:w="747" w:type="pct"/>
                  <w:vAlign w:val="center"/>
                </w:tcPr>
                <w:p w14:paraId="0A9000FC">
                  <w:pPr>
                    <w:pStyle w:val="56"/>
                    <w:keepNext w:val="0"/>
                    <w:keepLines w:val="0"/>
                    <w:widowControl/>
                    <w:suppressLineNumbers w:val="0"/>
                    <w:spacing w:before="0" w:beforeAutospacing="0" w:after="0" w:afterAutospacing="0"/>
                    <w:ind w:left="0" w:right="0"/>
                    <w:rPr>
                      <w:rFonts w:hint="eastAsia"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1次/</w:t>
                  </w:r>
                  <w:r>
                    <w:rPr>
                      <w:rFonts w:hint="eastAsia" w:ascii="Times New Roman" w:hAnsi="Times New Roman" w:cs="Times New Roman"/>
                      <w:color w:val="auto"/>
                      <w:kern w:val="2"/>
                      <w:highlight w:val="none"/>
                      <w:lang w:val="en-US" w:eastAsia="zh-CN"/>
                    </w:rPr>
                    <w:t>年</w:t>
                  </w:r>
                </w:p>
              </w:tc>
              <w:tc>
                <w:tcPr>
                  <w:tcW w:w="2257" w:type="pct"/>
                  <w:vAlign w:val="center"/>
                </w:tcPr>
                <w:p w14:paraId="1D6F6E9F">
                  <w:pPr>
                    <w:pStyle w:val="56"/>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highlight w:val="none"/>
                    </w:rPr>
                    <w:t>广东省地方标准《水污染物排放限值》（DB44/26-2001）第二时段三级标准及园区污水处理厂接管水质要求两者较严值</w:t>
                  </w:r>
                </w:p>
              </w:tc>
            </w:tr>
          </w:tbl>
          <w:p w14:paraId="2A47FC14">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三、噪声污染源</w:t>
            </w:r>
          </w:p>
          <w:p w14:paraId="2AE21A60">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1、污染源源强分析</w:t>
            </w:r>
          </w:p>
          <w:p w14:paraId="1346A90F">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本项目运营期主要噪声为铝卷表面预处理生产线的烘水炉燃烧机；钣金</w:t>
            </w:r>
            <w:r>
              <w:rPr>
                <w:rFonts w:hint="eastAsia" w:cs="Times New Roman"/>
                <w:bCs/>
                <w:color w:val="auto"/>
                <w:highlight w:val="none"/>
                <w:lang w:eastAsia="zh-CN"/>
              </w:rPr>
              <w:t>机</w:t>
            </w:r>
            <w:r>
              <w:rPr>
                <w:rFonts w:hint="default" w:ascii="Times New Roman" w:hAnsi="Times New Roman" w:cs="Times New Roman"/>
                <w:bCs/>
                <w:color w:val="auto"/>
                <w:highlight w:val="none"/>
              </w:rPr>
              <w:t>加工车间电液全数控折弯机、冲床自动化设备等机械设备运行时所产生的机械噪声，根据建设单位提供的设备资料，噪声级从60~85dB(A)不等，</w:t>
            </w:r>
            <w:r>
              <w:rPr>
                <w:rFonts w:hint="default" w:ascii="Times New Roman" w:hAnsi="Times New Roman" w:cs="Times New Roman"/>
                <w:bCs/>
                <w:color w:val="auto"/>
                <w:kern w:val="0"/>
                <w:highlight w:val="none"/>
              </w:rPr>
              <w:t>噪声特征以连续性噪声为主，间歇性噪声为辅，</w:t>
            </w:r>
            <w:r>
              <w:rPr>
                <w:rFonts w:hint="default" w:ascii="Times New Roman" w:hAnsi="Times New Roman" w:cs="Times New Roman"/>
                <w:bCs/>
                <w:color w:val="auto"/>
                <w:highlight w:val="none"/>
              </w:rPr>
              <w:t>噪声污染源源强核算结果见下表。</w:t>
            </w:r>
          </w:p>
          <w:p w14:paraId="1EA6B8E4">
            <w:pPr>
              <w:pStyle w:val="15"/>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表4-31</w:t>
            </w:r>
            <w:r>
              <w:rPr>
                <w:rFonts w:hint="default" w:ascii="Times New Roman" w:hAnsi="Times New Roman" w:cs="Times New Roman"/>
                <w:color w:val="auto"/>
                <w:highlight w:val="none"/>
              </w:rPr>
              <w:t>工业企业噪声源强调查清单（室内声源）</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1087"/>
              <w:gridCol w:w="2197"/>
              <w:gridCol w:w="1559"/>
              <w:gridCol w:w="3049"/>
              <w:gridCol w:w="1431"/>
              <w:gridCol w:w="1324"/>
              <w:gridCol w:w="812"/>
              <w:gridCol w:w="1417"/>
            </w:tblGrid>
            <w:tr w14:paraId="0C3A7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Merge w:val="restart"/>
                  <w:vAlign w:val="center"/>
                </w:tcPr>
                <w:p w14:paraId="182316F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序号</w:t>
                  </w:r>
                </w:p>
              </w:tc>
              <w:tc>
                <w:tcPr>
                  <w:tcW w:w="399" w:type="pct"/>
                  <w:vMerge w:val="restart"/>
                  <w:vAlign w:val="center"/>
                </w:tcPr>
                <w:p w14:paraId="5AED877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建筑物名称</w:t>
                  </w:r>
                </w:p>
              </w:tc>
              <w:tc>
                <w:tcPr>
                  <w:tcW w:w="806" w:type="pct"/>
                  <w:vMerge w:val="restart"/>
                  <w:vAlign w:val="center"/>
                </w:tcPr>
                <w:p w14:paraId="14B2BEA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声源名称</w:t>
                  </w:r>
                </w:p>
              </w:tc>
              <w:tc>
                <w:tcPr>
                  <w:tcW w:w="572" w:type="pct"/>
                  <w:vMerge w:val="restart"/>
                  <w:vAlign w:val="center"/>
                </w:tcPr>
                <w:p w14:paraId="0219467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数量</w:t>
                  </w:r>
                </w:p>
              </w:tc>
              <w:tc>
                <w:tcPr>
                  <w:tcW w:w="1119" w:type="pct"/>
                  <w:vMerge w:val="restart"/>
                  <w:vAlign w:val="center"/>
                </w:tcPr>
                <w:p w14:paraId="74A7D6C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型号</w:t>
                  </w:r>
                </w:p>
              </w:tc>
              <w:tc>
                <w:tcPr>
                  <w:tcW w:w="525" w:type="pct"/>
                  <w:vAlign w:val="center"/>
                </w:tcPr>
                <w:p w14:paraId="5E26E37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声源源强</w:t>
                  </w:r>
                </w:p>
              </w:tc>
              <w:tc>
                <w:tcPr>
                  <w:tcW w:w="486" w:type="pct"/>
                  <w:vMerge w:val="restart"/>
                  <w:vAlign w:val="center"/>
                </w:tcPr>
                <w:p w14:paraId="53DA738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声源控制措施</w:t>
                  </w:r>
                </w:p>
              </w:tc>
              <w:tc>
                <w:tcPr>
                  <w:tcW w:w="298" w:type="pct"/>
                  <w:vMerge w:val="restart"/>
                  <w:vAlign w:val="center"/>
                </w:tcPr>
                <w:p w14:paraId="4CD0904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运行时段</w:t>
                  </w:r>
                </w:p>
              </w:tc>
              <w:tc>
                <w:tcPr>
                  <w:tcW w:w="520" w:type="pct"/>
                  <w:vMerge w:val="restart"/>
                  <w:vAlign w:val="center"/>
                </w:tcPr>
                <w:p w14:paraId="741D447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建筑物插入损失/dB（A）</w:t>
                  </w:r>
                </w:p>
              </w:tc>
            </w:tr>
            <w:tr w14:paraId="420ED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Merge w:val="continue"/>
                  <w:vAlign w:val="center"/>
                </w:tcPr>
                <w:p w14:paraId="1E493FD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399" w:type="pct"/>
                  <w:vMerge w:val="continue"/>
                  <w:vAlign w:val="center"/>
                </w:tcPr>
                <w:p w14:paraId="01C290C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806" w:type="pct"/>
                  <w:vMerge w:val="continue"/>
                  <w:vAlign w:val="center"/>
                </w:tcPr>
                <w:p w14:paraId="3984B77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572" w:type="pct"/>
                  <w:vMerge w:val="continue"/>
                  <w:vAlign w:val="center"/>
                </w:tcPr>
                <w:p w14:paraId="6549BB5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1119" w:type="pct"/>
                  <w:vMerge w:val="continue"/>
                  <w:vAlign w:val="center"/>
                </w:tcPr>
                <w:p w14:paraId="70426A7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525" w:type="pct"/>
                  <w:vAlign w:val="center"/>
                </w:tcPr>
                <w:p w14:paraId="17690AE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声压级/dB（A）</w:t>
                  </w:r>
                </w:p>
              </w:tc>
              <w:tc>
                <w:tcPr>
                  <w:tcW w:w="486" w:type="pct"/>
                  <w:vMerge w:val="continue"/>
                  <w:vAlign w:val="center"/>
                </w:tcPr>
                <w:p w14:paraId="4567EF6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c>
                <w:tcPr>
                  <w:tcW w:w="298" w:type="pct"/>
                  <w:vMerge w:val="continue"/>
                  <w:vAlign w:val="center"/>
                </w:tcPr>
                <w:p w14:paraId="6D735F0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4B9EAE8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r>
            <w:tr w14:paraId="6E37D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24DD2D0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w:t>
                  </w:r>
                </w:p>
              </w:tc>
              <w:tc>
                <w:tcPr>
                  <w:tcW w:w="399" w:type="pct"/>
                  <w:vMerge w:val="restart"/>
                  <w:vAlign w:val="center"/>
                </w:tcPr>
                <w:p w14:paraId="65AE13F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钣金</w:t>
                  </w:r>
                  <w:r>
                    <w:rPr>
                      <w:rFonts w:hint="eastAsia" w:cs="Times New Roman"/>
                      <w:color w:val="auto"/>
                      <w:sz w:val="21"/>
                      <w:szCs w:val="21"/>
                      <w:highlight w:val="none"/>
                      <w:lang w:eastAsia="zh-CN"/>
                    </w:rPr>
                    <w:t>机</w:t>
                  </w:r>
                  <w:r>
                    <w:rPr>
                      <w:rFonts w:hint="default" w:ascii="Times New Roman" w:hAnsi="Times New Roman" w:cs="Times New Roman"/>
                      <w:color w:val="auto"/>
                      <w:sz w:val="21"/>
                      <w:szCs w:val="21"/>
                      <w:highlight w:val="none"/>
                    </w:rPr>
                    <w:t>加工车间</w:t>
                  </w:r>
                </w:p>
              </w:tc>
              <w:tc>
                <w:tcPr>
                  <w:tcW w:w="806" w:type="pct"/>
                  <w:shd w:val="clear" w:color="auto" w:fill="auto"/>
                  <w:vAlign w:val="center"/>
                </w:tcPr>
                <w:p w14:paraId="733BEACF">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电液全数控折弯机</w:t>
                  </w:r>
                </w:p>
              </w:tc>
              <w:tc>
                <w:tcPr>
                  <w:tcW w:w="572" w:type="pct"/>
                  <w:shd w:val="clear" w:color="auto" w:fill="auto"/>
                  <w:vAlign w:val="center"/>
                </w:tcPr>
                <w:p w14:paraId="307ACC5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4B556A2F">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RGM2-3512</w:t>
                  </w:r>
                </w:p>
              </w:tc>
              <w:tc>
                <w:tcPr>
                  <w:tcW w:w="525" w:type="pct"/>
                  <w:shd w:val="clear" w:color="auto" w:fill="auto"/>
                  <w:vAlign w:val="center"/>
                </w:tcPr>
                <w:p w14:paraId="0649EF2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65.0</w:t>
                  </w:r>
                </w:p>
              </w:tc>
              <w:tc>
                <w:tcPr>
                  <w:tcW w:w="486" w:type="pct"/>
                  <w:vMerge w:val="restart"/>
                  <w:vAlign w:val="center"/>
                </w:tcPr>
                <w:p w14:paraId="315F2BD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减振、吸声、隔声</w:t>
                  </w:r>
                </w:p>
              </w:tc>
              <w:tc>
                <w:tcPr>
                  <w:tcW w:w="298" w:type="pct"/>
                  <w:vMerge w:val="restart"/>
                  <w:vAlign w:val="center"/>
                </w:tcPr>
                <w:p w14:paraId="6BCA777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生产期间</w:t>
                  </w:r>
                </w:p>
              </w:tc>
              <w:tc>
                <w:tcPr>
                  <w:tcW w:w="520" w:type="pct"/>
                  <w:vMerge w:val="restart"/>
                  <w:vAlign w:val="center"/>
                </w:tcPr>
                <w:p w14:paraId="77C5C7B3">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r>
            <w:tr w14:paraId="51DD4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1" w:type="pct"/>
                  <w:vAlign w:val="center"/>
                </w:tcPr>
                <w:p w14:paraId="103D2A7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2</w:t>
                  </w:r>
                </w:p>
              </w:tc>
              <w:tc>
                <w:tcPr>
                  <w:tcW w:w="399" w:type="pct"/>
                  <w:vMerge w:val="continue"/>
                  <w:vAlign w:val="center"/>
                </w:tcPr>
                <w:p w14:paraId="54D6531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806" w:type="pct"/>
                  <w:shd w:val="clear" w:color="auto" w:fill="auto"/>
                  <w:vAlign w:val="center"/>
                </w:tcPr>
                <w:p w14:paraId="2298C83F">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冲床自动化设备</w:t>
                  </w:r>
                </w:p>
              </w:tc>
              <w:tc>
                <w:tcPr>
                  <w:tcW w:w="572" w:type="pct"/>
                  <w:shd w:val="clear" w:color="auto" w:fill="auto"/>
                  <w:vAlign w:val="center"/>
                </w:tcPr>
                <w:p w14:paraId="5EC38B6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1C76E076">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NCF-700</w:t>
                  </w:r>
                </w:p>
              </w:tc>
              <w:tc>
                <w:tcPr>
                  <w:tcW w:w="525" w:type="pct"/>
                  <w:shd w:val="clear" w:color="auto" w:fill="auto"/>
                  <w:vAlign w:val="center"/>
                </w:tcPr>
                <w:p w14:paraId="4C76FED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85.0</w:t>
                  </w:r>
                </w:p>
              </w:tc>
              <w:tc>
                <w:tcPr>
                  <w:tcW w:w="486" w:type="pct"/>
                  <w:vMerge w:val="continue"/>
                  <w:vAlign w:val="center"/>
                </w:tcPr>
                <w:p w14:paraId="70B4B42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6830852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40B2B68B">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2E87D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5BECABD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3</w:t>
                  </w:r>
                </w:p>
              </w:tc>
              <w:tc>
                <w:tcPr>
                  <w:tcW w:w="399" w:type="pct"/>
                  <w:vMerge w:val="continue"/>
                  <w:vAlign w:val="center"/>
                </w:tcPr>
                <w:p w14:paraId="0EAAEDF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806" w:type="pct"/>
                  <w:shd w:val="clear" w:color="auto" w:fill="auto"/>
                  <w:vAlign w:val="center"/>
                </w:tcPr>
                <w:p w14:paraId="209B7AF1">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氩弧焊机</w:t>
                  </w:r>
                </w:p>
              </w:tc>
              <w:tc>
                <w:tcPr>
                  <w:tcW w:w="572" w:type="pct"/>
                  <w:shd w:val="clear" w:color="auto" w:fill="auto"/>
                  <w:vAlign w:val="center"/>
                </w:tcPr>
                <w:p w14:paraId="7BC33C2B">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sz w:val="21"/>
                      <w:szCs w:val="21"/>
                      <w:highlight w:val="none"/>
                      <w:lang w:val="en-US" w:eastAsia="zh-CN"/>
                    </w:rPr>
                    <w:t>1</w:t>
                  </w:r>
                </w:p>
              </w:tc>
              <w:tc>
                <w:tcPr>
                  <w:tcW w:w="1119" w:type="pct"/>
                  <w:shd w:val="clear" w:color="auto" w:fill="auto"/>
                  <w:vAlign w:val="center"/>
                </w:tcPr>
                <w:p w14:paraId="49A749BF">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WSE-250P-1~8</w:t>
                  </w:r>
                </w:p>
              </w:tc>
              <w:tc>
                <w:tcPr>
                  <w:tcW w:w="525" w:type="pct"/>
                  <w:shd w:val="clear" w:color="auto" w:fill="auto"/>
                  <w:vAlign w:val="center"/>
                </w:tcPr>
                <w:p w14:paraId="41CEFE5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65.0</w:t>
                  </w:r>
                </w:p>
              </w:tc>
              <w:tc>
                <w:tcPr>
                  <w:tcW w:w="486" w:type="pct"/>
                  <w:vMerge w:val="continue"/>
                  <w:vAlign w:val="center"/>
                </w:tcPr>
                <w:p w14:paraId="5CC0F47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47C75B3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786B8B75">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0897D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1" w:type="pct"/>
                  <w:vAlign w:val="center"/>
                </w:tcPr>
                <w:p w14:paraId="2915490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4</w:t>
                  </w:r>
                </w:p>
              </w:tc>
              <w:tc>
                <w:tcPr>
                  <w:tcW w:w="399" w:type="pct"/>
                  <w:vMerge w:val="continue"/>
                  <w:vAlign w:val="center"/>
                </w:tcPr>
                <w:p w14:paraId="1B04404A">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p>
              </w:tc>
              <w:tc>
                <w:tcPr>
                  <w:tcW w:w="806" w:type="pct"/>
                  <w:shd w:val="clear" w:color="auto" w:fill="auto"/>
                  <w:vAlign w:val="center"/>
                </w:tcPr>
                <w:p w14:paraId="3BBADCA5">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手持式激光焊机</w:t>
                  </w:r>
                </w:p>
              </w:tc>
              <w:tc>
                <w:tcPr>
                  <w:tcW w:w="572" w:type="pct"/>
                  <w:shd w:val="clear" w:color="auto" w:fill="auto"/>
                  <w:vAlign w:val="center"/>
                </w:tcPr>
                <w:p w14:paraId="61136FD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2748AD71">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86"/>
                      <w:rFonts w:hint="default" w:ascii="Times New Roman" w:hAnsi="Times New Roman" w:cs="Times New Roman"/>
                      <w:color w:val="auto"/>
                      <w:sz w:val="21"/>
                      <w:szCs w:val="21"/>
                      <w:highlight w:val="none"/>
                    </w:rPr>
                    <w:t>DNP-CW-1500-CX</w:t>
                  </w:r>
                </w:p>
              </w:tc>
              <w:tc>
                <w:tcPr>
                  <w:tcW w:w="525" w:type="pct"/>
                  <w:shd w:val="clear" w:color="auto" w:fill="auto"/>
                  <w:vAlign w:val="center"/>
                </w:tcPr>
                <w:p w14:paraId="003EF3E5">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65.0</w:t>
                  </w:r>
                </w:p>
              </w:tc>
              <w:tc>
                <w:tcPr>
                  <w:tcW w:w="486" w:type="pct"/>
                  <w:vMerge w:val="continue"/>
                  <w:vAlign w:val="center"/>
                </w:tcPr>
                <w:p w14:paraId="23A73E6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44F197B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37100EE5">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3185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01A8B91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5</w:t>
                  </w:r>
                </w:p>
              </w:tc>
              <w:tc>
                <w:tcPr>
                  <w:tcW w:w="399" w:type="pct"/>
                  <w:vMerge w:val="continue"/>
                  <w:vAlign w:val="center"/>
                </w:tcPr>
                <w:p w14:paraId="6352A39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shd w:val="clear" w:color="auto" w:fill="auto"/>
                  <w:vAlign w:val="center"/>
                </w:tcPr>
                <w:p w14:paraId="020DBA5E">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角磨机</w:t>
                  </w:r>
                </w:p>
              </w:tc>
              <w:tc>
                <w:tcPr>
                  <w:tcW w:w="572" w:type="pct"/>
                  <w:shd w:val="clear" w:color="auto" w:fill="auto"/>
                  <w:vAlign w:val="center"/>
                </w:tcPr>
                <w:p w14:paraId="50202B2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71DB38D5">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DSM820-100</w:t>
                  </w:r>
                </w:p>
              </w:tc>
              <w:tc>
                <w:tcPr>
                  <w:tcW w:w="525" w:type="pct"/>
                  <w:shd w:val="clear" w:color="auto" w:fill="auto"/>
                  <w:vAlign w:val="center"/>
                </w:tcPr>
                <w:p w14:paraId="08DB50A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85.0</w:t>
                  </w:r>
                </w:p>
              </w:tc>
              <w:tc>
                <w:tcPr>
                  <w:tcW w:w="486" w:type="pct"/>
                  <w:vMerge w:val="continue"/>
                  <w:vAlign w:val="center"/>
                </w:tcPr>
                <w:p w14:paraId="215E3CE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1756A5A2">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7CC63223">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0C380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5B7FB2B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w:t>
                  </w:r>
                </w:p>
              </w:tc>
              <w:tc>
                <w:tcPr>
                  <w:tcW w:w="399" w:type="pct"/>
                  <w:vMerge w:val="continue"/>
                  <w:vAlign w:val="center"/>
                </w:tcPr>
                <w:p w14:paraId="65456BB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shd w:val="clear" w:color="auto" w:fill="auto"/>
                  <w:vAlign w:val="center"/>
                </w:tcPr>
                <w:p w14:paraId="7E871967">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Style w:val="76"/>
                      <w:rFonts w:hint="default" w:ascii="Times New Roman" w:hAnsi="Times New Roman" w:cs="Times New Roman"/>
                      <w:color w:val="auto"/>
                      <w:sz w:val="21"/>
                      <w:szCs w:val="21"/>
                      <w:highlight w:val="none"/>
                      <w:lang w:bidi="ar"/>
                    </w:rPr>
                    <w:t>振磨机</w:t>
                  </w:r>
                </w:p>
              </w:tc>
              <w:tc>
                <w:tcPr>
                  <w:tcW w:w="572" w:type="pct"/>
                  <w:shd w:val="clear" w:color="auto" w:fill="auto"/>
                  <w:vAlign w:val="center"/>
                </w:tcPr>
                <w:p w14:paraId="1780C90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7E812627">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5寸</w:t>
                  </w:r>
                </w:p>
              </w:tc>
              <w:tc>
                <w:tcPr>
                  <w:tcW w:w="525" w:type="pct"/>
                  <w:shd w:val="clear" w:color="auto" w:fill="auto"/>
                  <w:vAlign w:val="center"/>
                </w:tcPr>
                <w:p w14:paraId="3217DF7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85.0</w:t>
                  </w:r>
                </w:p>
              </w:tc>
              <w:tc>
                <w:tcPr>
                  <w:tcW w:w="486" w:type="pct"/>
                  <w:vMerge w:val="continue"/>
                  <w:vAlign w:val="center"/>
                </w:tcPr>
                <w:p w14:paraId="7626542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636325AA">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5FA5AA0A">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35E5C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16316E2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7</w:t>
                  </w:r>
                </w:p>
              </w:tc>
              <w:tc>
                <w:tcPr>
                  <w:tcW w:w="399" w:type="pct"/>
                  <w:vMerge w:val="continue"/>
                  <w:vAlign w:val="center"/>
                </w:tcPr>
                <w:p w14:paraId="35163A1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shd w:val="clear" w:color="auto" w:fill="auto"/>
                  <w:vAlign w:val="center"/>
                </w:tcPr>
                <w:p w14:paraId="302EA274">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气动抛光机</w:t>
                  </w:r>
                </w:p>
              </w:tc>
              <w:tc>
                <w:tcPr>
                  <w:tcW w:w="572" w:type="pct"/>
                  <w:shd w:val="clear" w:color="auto" w:fill="auto"/>
                  <w:vAlign w:val="center"/>
                </w:tcPr>
                <w:p w14:paraId="62E4841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shd w:val="clear" w:color="auto" w:fill="auto"/>
                  <w:vAlign w:val="center"/>
                </w:tcPr>
                <w:p w14:paraId="73DC865B">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A-FPA-G32-P07R32</w:t>
                  </w:r>
                </w:p>
              </w:tc>
              <w:tc>
                <w:tcPr>
                  <w:tcW w:w="525" w:type="pct"/>
                  <w:shd w:val="clear" w:color="auto" w:fill="auto"/>
                  <w:vAlign w:val="center"/>
                </w:tcPr>
                <w:p w14:paraId="60BA617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80.0</w:t>
                  </w:r>
                </w:p>
              </w:tc>
              <w:tc>
                <w:tcPr>
                  <w:tcW w:w="486" w:type="pct"/>
                  <w:vMerge w:val="continue"/>
                  <w:vAlign w:val="center"/>
                </w:tcPr>
                <w:p w14:paraId="4CD6AF4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539E8E6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385C9160">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0A366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1" w:type="pct"/>
                  <w:vAlign w:val="center"/>
                </w:tcPr>
                <w:p w14:paraId="47F3CD5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8</w:t>
                  </w:r>
                </w:p>
              </w:tc>
              <w:tc>
                <w:tcPr>
                  <w:tcW w:w="399" w:type="pct"/>
                  <w:vMerge w:val="continue"/>
                  <w:vAlign w:val="center"/>
                </w:tcPr>
                <w:p w14:paraId="5D89F30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shd w:val="clear" w:color="auto" w:fill="auto"/>
                  <w:vAlign w:val="center"/>
                </w:tcPr>
                <w:p w14:paraId="49A08B9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种钉机</w:t>
                  </w:r>
                </w:p>
              </w:tc>
              <w:tc>
                <w:tcPr>
                  <w:tcW w:w="572" w:type="pct"/>
                  <w:shd w:val="clear" w:color="auto" w:fill="auto"/>
                  <w:vAlign w:val="center"/>
                </w:tcPr>
                <w:p w14:paraId="5271C1C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3</w:t>
                  </w:r>
                </w:p>
              </w:tc>
              <w:tc>
                <w:tcPr>
                  <w:tcW w:w="1119" w:type="pct"/>
                  <w:shd w:val="clear" w:color="auto" w:fill="auto"/>
                  <w:vAlign w:val="center"/>
                </w:tcPr>
                <w:p w14:paraId="5A0D6F55">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RSR-2500</w:t>
                  </w:r>
                </w:p>
              </w:tc>
              <w:tc>
                <w:tcPr>
                  <w:tcW w:w="525" w:type="pct"/>
                  <w:shd w:val="clear" w:color="auto" w:fill="auto"/>
                  <w:vAlign w:val="center"/>
                </w:tcPr>
                <w:p w14:paraId="5A6EE241">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70.0</w:t>
                  </w:r>
                </w:p>
              </w:tc>
              <w:tc>
                <w:tcPr>
                  <w:tcW w:w="486" w:type="pct"/>
                  <w:vMerge w:val="continue"/>
                  <w:vAlign w:val="center"/>
                </w:tcPr>
                <w:p w14:paraId="12C68BB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4E815D80">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5355E098">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6C53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71" w:type="pct"/>
                  <w:vAlign w:val="center"/>
                </w:tcPr>
                <w:p w14:paraId="6AEF04EE">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9</w:t>
                  </w:r>
                </w:p>
              </w:tc>
              <w:tc>
                <w:tcPr>
                  <w:tcW w:w="399" w:type="pct"/>
                  <w:vMerge w:val="continue"/>
                  <w:vAlign w:val="center"/>
                </w:tcPr>
                <w:p w14:paraId="1A7F23D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shd w:val="clear" w:color="auto" w:fill="auto"/>
                  <w:vAlign w:val="center"/>
                </w:tcPr>
                <w:p w14:paraId="6D4528D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拉钉机</w:t>
                  </w:r>
                </w:p>
              </w:tc>
              <w:tc>
                <w:tcPr>
                  <w:tcW w:w="572" w:type="pct"/>
                  <w:shd w:val="clear" w:color="auto" w:fill="auto"/>
                  <w:vAlign w:val="center"/>
                </w:tcPr>
                <w:p w14:paraId="4A4E622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eastAsia" w:ascii="Times New Roman" w:hAnsi="Times New Roman" w:eastAsia="宋体" w:cs="Times New Roman"/>
                      <w:color w:val="auto"/>
                      <w:kern w:val="2"/>
                      <w:position w:val="-10"/>
                      <w:sz w:val="21"/>
                      <w:szCs w:val="21"/>
                      <w:highlight w:val="none"/>
                      <w:lang w:val="en-US" w:eastAsia="zh-CN" w:bidi="ar"/>
                    </w:rPr>
                  </w:pPr>
                  <w:r>
                    <w:rPr>
                      <w:rFonts w:hint="eastAsia" w:cs="Times New Roman"/>
                      <w:color w:val="auto"/>
                      <w:kern w:val="2"/>
                      <w:sz w:val="21"/>
                      <w:szCs w:val="21"/>
                      <w:highlight w:val="none"/>
                      <w:lang w:val="en-US" w:eastAsia="zh-CN" w:bidi="ar"/>
                    </w:rPr>
                    <w:t>3</w:t>
                  </w:r>
                </w:p>
              </w:tc>
              <w:tc>
                <w:tcPr>
                  <w:tcW w:w="1119" w:type="pct"/>
                  <w:shd w:val="clear" w:color="auto" w:fill="auto"/>
                  <w:vAlign w:val="center"/>
                </w:tcPr>
                <w:p w14:paraId="18275E29">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SZENT-AU100</w:t>
                  </w:r>
                </w:p>
              </w:tc>
              <w:tc>
                <w:tcPr>
                  <w:tcW w:w="525" w:type="pct"/>
                  <w:shd w:val="clear" w:color="auto" w:fill="auto"/>
                  <w:vAlign w:val="center"/>
                </w:tcPr>
                <w:p w14:paraId="413EB009">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rPr>
                    <w:t>65.0</w:t>
                  </w:r>
                </w:p>
              </w:tc>
              <w:tc>
                <w:tcPr>
                  <w:tcW w:w="486" w:type="pct"/>
                  <w:vMerge w:val="continue"/>
                  <w:vAlign w:val="center"/>
                </w:tcPr>
                <w:p w14:paraId="036AA12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008E9854">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33BD33FB">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29495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7C38DED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10</w:t>
                  </w:r>
                </w:p>
              </w:tc>
              <w:tc>
                <w:tcPr>
                  <w:tcW w:w="399" w:type="pct"/>
                  <w:vMerge w:val="continue"/>
                  <w:vAlign w:val="center"/>
                </w:tcPr>
                <w:p w14:paraId="15117D1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806" w:type="pct"/>
                  <w:vAlign w:val="center"/>
                </w:tcPr>
                <w:p w14:paraId="7301CD80">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eastAsia"/>
                      <w:color w:val="auto"/>
                      <w:sz w:val="21"/>
                      <w:szCs w:val="21"/>
                      <w:highlight w:val="none"/>
                    </w:rPr>
                    <w:t>空压机组</w:t>
                  </w:r>
                </w:p>
              </w:tc>
              <w:tc>
                <w:tcPr>
                  <w:tcW w:w="572" w:type="pct"/>
                  <w:vAlign w:val="center"/>
                </w:tcPr>
                <w:p w14:paraId="3629976D">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1</w:t>
                  </w:r>
                </w:p>
              </w:tc>
              <w:tc>
                <w:tcPr>
                  <w:tcW w:w="1119" w:type="pct"/>
                  <w:vAlign w:val="center"/>
                </w:tcPr>
                <w:p w14:paraId="538F1AAC">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25" w:type="pct"/>
                  <w:vAlign w:val="center"/>
                </w:tcPr>
                <w:p w14:paraId="00CE5C4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85.0</w:t>
                  </w:r>
                </w:p>
              </w:tc>
              <w:tc>
                <w:tcPr>
                  <w:tcW w:w="486" w:type="pct"/>
                  <w:vMerge w:val="continue"/>
                  <w:vAlign w:val="center"/>
                </w:tcPr>
                <w:p w14:paraId="2CD7D91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06119DF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42DAB61B">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r w14:paraId="16ABB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1" w:type="pct"/>
                  <w:vAlign w:val="center"/>
                </w:tcPr>
                <w:p w14:paraId="09CA1D08">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11</w:t>
                  </w:r>
                </w:p>
              </w:tc>
              <w:tc>
                <w:tcPr>
                  <w:tcW w:w="399" w:type="pct"/>
                  <w:vAlign w:val="center"/>
                </w:tcPr>
                <w:p w14:paraId="4BBDA00F">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铝卷表面预处理生产线</w:t>
                  </w:r>
                </w:p>
              </w:tc>
              <w:tc>
                <w:tcPr>
                  <w:tcW w:w="806" w:type="pct"/>
                  <w:vAlign w:val="center"/>
                </w:tcPr>
                <w:p w14:paraId="464EB5F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bidi="ar"/>
                    </w:rPr>
                    <w:t>烘水炉燃烧机1</w:t>
                  </w:r>
                </w:p>
              </w:tc>
              <w:tc>
                <w:tcPr>
                  <w:tcW w:w="572" w:type="pct"/>
                  <w:vAlign w:val="center"/>
                </w:tcPr>
                <w:p w14:paraId="1766AFC7">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lang w:bidi="ar"/>
                    </w:rPr>
                  </w:pPr>
                  <w:r>
                    <w:rPr>
                      <w:rFonts w:hint="default" w:ascii="Times New Roman" w:hAnsi="Times New Roman" w:cs="Times New Roman"/>
                      <w:color w:val="auto"/>
                      <w:kern w:val="2"/>
                      <w:sz w:val="21"/>
                      <w:szCs w:val="21"/>
                      <w:highlight w:val="none"/>
                      <w:lang w:bidi="ar"/>
                    </w:rPr>
                    <w:t>1</w:t>
                  </w:r>
                </w:p>
              </w:tc>
              <w:tc>
                <w:tcPr>
                  <w:tcW w:w="1119" w:type="pct"/>
                  <w:vAlign w:val="center"/>
                </w:tcPr>
                <w:p w14:paraId="0AB539A1">
                  <w:pPr>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20万大卡/小时</w:t>
                  </w:r>
                </w:p>
              </w:tc>
              <w:tc>
                <w:tcPr>
                  <w:tcW w:w="525" w:type="pct"/>
                  <w:vAlign w:val="center"/>
                </w:tcPr>
                <w:p w14:paraId="5AEBA20C">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65.0</w:t>
                  </w:r>
                </w:p>
              </w:tc>
              <w:tc>
                <w:tcPr>
                  <w:tcW w:w="486" w:type="pct"/>
                  <w:vMerge w:val="continue"/>
                  <w:vAlign w:val="center"/>
                </w:tcPr>
                <w:p w14:paraId="73332976">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298" w:type="pct"/>
                  <w:vMerge w:val="continue"/>
                  <w:vAlign w:val="center"/>
                </w:tcPr>
                <w:p w14:paraId="73873783">
                  <w:pPr>
                    <w:pStyle w:val="56"/>
                    <w:keepNext w:val="0"/>
                    <w:keepLines w:val="0"/>
                    <w:pageBreakBefore w:val="0"/>
                    <w:widowControl/>
                    <w:suppressLineNumbers w:val="0"/>
                    <w:kinsoku/>
                    <w:overflowPunct/>
                    <w:topLinePunct w:val="0"/>
                    <w:bidi w:val="0"/>
                    <w:adjustRightInd/>
                    <w:snapToGrid w:val="0"/>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p>
              </w:tc>
              <w:tc>
                <w:tcPr>
                  <w:tcW w:w="520" w:type="pct"/>
                  <w:vMerge w:val="continue"/>
                  <w:vAlign w:val="center"/>
                </w:tcPr>
                <w:p w14:paraId="5B29D5EF">
                  <w:pPr>
                    <w:keepNext w:val="0"/>
                    <w:keepLines w:val="0"/>
                    <w:pageBreakBefore w:val="0"/>
                    <w:suppressLineNumbers w:val="0"/>
                    <w:kinsoku/>
                    <w:overflowPunct/>
                    <w:topLinePunct w:val="0"/>
                    <w:bidi w:val="0"/>
                    <w:adjustRightInd/>
                    <w:snapToGrid w:val="0"/>
                    <w:spacing w:before="0" w:beforeAutospacing="0" w:after="0" w:afterAutospacing="0" w:line="276" w:lineRule="auto"/>
                    <w:ind w:left="0" w:right="0"/>
                    <w:jc w:val="center"/>
                    <w:rPr>
                      <w:rFonts w:hint="default" w:ascii="Times New Roman" w:hAnsi="Times New Roman" w:cs="Times New Roman"/>
                      <w:color w:val="auto"/>
                      <w:kern w:val="2"/>
                      <w:sz w:val="21"/>
                      <w:szCs w:val="21"/>
                      <w:highlight w:val="none"/>
                    </w:rPr>
                  </w:pPr>
                </w:p>
              </w:tc>
            </w:tr>
          </w:tbl>
          <w:p w14:paraId="4E504C9B">
            <w:pPr>
              <w:pStyle w:val="91"/>
              <w:keepNext w:val="0"/>
              <w:keepLines w:val="0"/>
              <w:suppressLineNumbers w:val="0"/>
              <w:bidi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表4-32</w:t>
            </w:r>
            <w:r>
              <w:rPr>
                <w:rFonts w:hint="default"/>
                <w:color w:val="auto"/>
                <w:sz w:val="21"/>
                <w:szCs w:val="21"/>
                <w:highlight w:val="none"/>
                <w:lang w:val="en-US" w:eastAsia="zh-CN"/>
              </w:rPr>
              <w:t>项目噪声源强情况一览表（室外声源）</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1417"/>
              <w:gridCol w:w="1411"/>
              <w:gridCol w:w="1305"/>
              <w:gridCol w:w="1354"/>
              <w:gridCol w:w="2251"/>
              <w:gridCol w:w="1136"/>
              <w:gridCol w:w="1548"/>
            </w:tblGrid>
            <w:tr w14:paraId="799B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vMerge w:val="restart"/>
                  <w:noWrap w:val="0"/>
                  <w:vAlign w:val="center"/>
                </w:tcPr>
                <w:p w14:paraId="2B595DE0">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声源名称</w:t>
                  </w:r>
                </w:p>
              </w:tc>
              <w:tc>
                <w:tcPr>
                  <w:tcW w:w="520" w:type="pct"/>
                  <w:vMerge w:val="restart"/>
                  <w:noWrap w:val="0"/>
                  <w:vAlign w:val="center"/>
                </w:tcPr>
                <w:p w14:paraId="4B347B34">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数量/台</w:t>
                  </w:r>
                </w:p>
              </w:tc>
              <w:tc>
                <w:tcPr>
                  <w:tcW w:w="1494" w:type="pct"/>
                  <w:gridSpan w:val="3"/>
                  <w:noWrap w:val="0"/>
                  <w:vAlign w:val="center"/>
                </w:tcPr>
                <w:p w14:paraId="201EEC08">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空间相对位置/m</w:t>
                  </w:r>
                </w:p>
              </w:tc>
              <w:tc>
                <w:tcPr>
                  <w:tcW w:w="826" w:type="pct"/>
                  <w:vMerge w:val="restart"/>
                  <w:noWrap w:val="0"/>
                  <w:vAlign w:val="center"/>
                </w:tcPr>
                <w:p w14:paraId="37365F5C">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声源源强声功率级</w:t>
                  </w:r>
                  <w:r>
                    <w:rPr>
                      <w:rStyle w:val="75"/>
                      <w:rFonts w:hint="default" w:ascii="Times New Roman" w:hAnsi="Times New Roman" w:eastAsia="宋体" w:cs="Times New Roman"/>
                      <w:b/>
                      <w:bCs/>
                      <w:color w:val="auto"/>
                      <w:sz w:val="21"/>
                      <w:szCs w:val="21"/>
                      <w:highlight w:val="none"/>
                      <w:lang w:val="en-US" w:eastAsia="zh-CN" w:bidi="ar"/>
                    </w:rPr>
                    <w:t>/dB(A)</w:t>
                  </w:r>
                </w:p>
              </w:tc>
              <w:tc>
                <w:tcPr>
                  <w:tcW w:w="417" w:type="pct"/>
                  <w:vMerge w:val="restart"/>
                  <w:noWrap w:val="0"/>
                  <w:vAlign w:val="center"/>
                </w:tcPr>
                <w:p w14:paraId="34A01F10">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降噪措施</w:t>
                  </w:r>
                </w:p>
              </w:tc>
              <w:tc>
                <w:tcPr>
                  <w:tcW w:w="568" w:type="pct"/>
                  <w:vMerge w:val="restart"/>
                  <w:noWrap w:val="0"/>
                  <w:vAlign w:val="center"/>
                </w:tcPr>
                <w:p w14:paraId="6362F0A1">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持续时间（h/a）</w:t>
                  </w:r>
                </w:p>
              </w:tc>
            </w:tr>
            <w:tr w14:paraId="22632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72" w:type="pct"/>
                  <w:vMerge w:val="continue"/>
                  <w:noWrap w:val="0"/>
                  <w:vAlign w:val="center"/>
                </w:tcPr>
                <w:p w14:paraId="65C5004C">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20" w:type="pct"/>
                  <w:vMerge w:val="continue"/>
                  <w:noWrap w:val="0"/>
                  <w:vAlign w:val="center"/>
                </w:tcPr>
                <w:p w14:paraId="6DD3DEF3">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18" w:type="pct"/>
                  <w:noWrap w:val="0"/>
                  <w:vAlign w:val="center"/>
                </w:tcPr>
                <w:p w14:paraId="4CDB578F">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X</w:t>
                  </w:r>
                </w:p>
              </w:tc>
              <w:tc>
                <w:tcPr>
                  <w:tcW w:w="479" w:type="pct"/>
                  <w:noWrap w:val="0"/>
                  <w:vAlign w:val="center"/>
                </w:tcPr>
                <w:p w14:paraId="3D63B708">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Y</w:t>
                  </w:r>
                </w:p>
              </w:tc>
              <w:tc>
                <w:tcPr>
                  <w:tcW w:w="497" w:type="pct"/>
                  <w:noWrap w:val="0"/>
                  <w:vAlign w:val="center"/>
                </w:tcPr>
                <w:p w14:paraId="75DD3343">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default" w:ascii="Times New Roman" w:hAnsi="Times New Roman" w:eastAsia="宋体" w:cs="Times New Roman"/>
                      <w:b/>
                      <w:color w:val="auto"/>
                      <w:kern w:val="0"/>
                      <w:sz w:val="21"/>
                      <w:szCs w:val="21"/>
                      <w:highlight w:val="none"/>
                      <w:vertAlign w:val="baseline"/>
                      <w:lang w:val="en-US" w:eastAsia="zh-CN" w:bidi="ar"/>
                    </w:rPr>
                    <w:t>Z</w:t>
                  </w:r>
                </w:p>
              </w:tc>
              <w:tc>
                <w:tcPr>
                  <w:tcW w:w="826" w:type="pct"/>
                  <w:vMerge w:val="continue"/>
                  <w:noWrap w:val="0"/>
                  <w:vAlign w:val="center"/>
                </w:tcPr>
                <w:p w14:paraId="52686F9B">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417" w:type="pct"/>
                  <w:vMerge w:val="continue"/>
                  <w:noWrap w:val="0"/>
                  <w:vAlign w:val="center"/>
                </w:tcPr>
                <w:p w14:paraId="2D2EB3AF">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c>
                <w:tcPr>
                  <w:tcW w:w="568" w:type="pct"/>
                  <w:vMerge w:val="continue"/>
                  <w:noWrap w:val="0"/>
                  <w:vAlign w:val="center"/>
                </w:tcPr>
                <w:p w14:paraId="10ACD490">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p>
              </w:tc>
            </w:tr>
            <w:tr w14:paraId="38435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pct"/>
                  <w:noWrap w:val="0"/>
                  <w:vAlign w:val="center"/>
                </w:tcPr>
                <w:p w14:paraId="09D851E1">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eastAsia" w:ascii="Times New Roman" w:hAnsi="Times New Roman" w:eastAsia="宋体" w:cs="Times New Roman"/>
                      <w:b w:val="0"/>
                      <w:bCs/>
                      <w:color w:val="auto"/>
                      <w:kern w:val="0"/>
                      <w:sz w:val="21"/>
                      <w:szCs w:val="21"/>
                      <w:highlight w:val="none"/>
                      <w:vertAlign w:val="baseline"/>
                      <w:lang w:val="en-US" w:eastAsia="zh-CN" w:bidi="ar"/>
                    </w:rPr>
                    <w:t>废气处理风机</w:t>
                  </w:r>
                </w:p>
              </w:tc>
              <w:tc>
                <w:tcPr>
                  <w:tcW w:w="520" w:type="pct"/>
                  <w:noWrap w:val="0"/>
                  <w:vAlign w:val="center"/>
                </w:tcPr>
                <w:p w14:paraId="2576E1F0">
                  <w:pPr>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1</w:t>
                  </w:r>
                </w:p>
              </w:tc>
              <w:tc>
                <w:tcPr>
                  <w:tcW w:w="518" w:type="pct"/>
                  <w:noWrap w:val="0"/>
                  <w:vAlign w:val="center"/>
                </w:tcPr>
                <w:p w14:paraId="5BFECCE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-10</w:t>
                  </w:r>
                </w:p>
              </w:tc>
              <w:tc>
                <w:tcPr>
                  <w:tcW w:w="479" w:type="pct"/>
                  <w:noWrap w:val="0"/>
                  <w:vAlign w:val="center"/>
                </w:tcPr>
                <w:p w14:paraId="42ACFE1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w:t>
                  </w:r>
                </w:p>
              </w:tc>
              <w:tc>
                <w:tcPr>
                  <w:tcW w:w="497" w:type="pct"/>
                  <w:noWrap w:val="0"/>
                  <w:vAlign w:val="center"/>
                </w:tcPr>
                <w:p w14:paraId="49ADA9C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i w:val="0"/>
                      <w:iCs w:val="0"/>
                      <w:color w:val="auto"/>
                      <w:kern w:val="0"/>
                      <w:sz w:val="21"/>
                      <w:szCs w:val="21"/>
                      <w:highlight w:val="none"/>
                      <w:u w:val="none"/>
                      <w:lang w:val="en-US" w:eastAsia="zh-CN" w:bidi="ar"/>
                    </w:rPr>
                  </w:pPr>
                  <w:r>
                    <w:rPr>
                      <w:rFonts w:hint="eastAsia" w:ascii="Times New Roman" w:hAnsi="Times New Roman" w:eastAsia="宋体" w:cs="Times New Roman"/>
                      <w:b w:val="0"/>
                      <w:bCs/>
                      <w:i w:val="0"/>
                      <w:iCs w:val="0"/>
                      <w:color w:val="auto"/>
                      <w:kern w:val="0"/>
                      <w:sz w:val="21"/>
                      <w:szCs w:val="21"/>
                      <w:highlight w:val="none"/>
                      <w:u w:val="none"/>
                      <w:lang w:val="en-US" w:eastAsia="zh-CN" w:bidi="ar"/>
                    </w:rPr>
                    <w:t>1</w:t>
                  </w:r>
                </w:p>
              </w:tc>
              <w:tc>
                <w:tcPr>
                  <w:tcW w:w="826" w:type="pct"/>
                  <w:noWrap w:val="0"/>
                  <w:vAlign w:val="center"/>
                </w:tcPr>
                <w:p w14:paraId="2ABCE1B7">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417" w:type="pct"/>
                  <w:noWrap w:val="0"/>
                  <w:vAlign w:val="center"/>
                </w:tcPr>
                <w:p w14:paraId="79A51645">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eastAsia" w:ascii="Times New Roman" w:hAnsi="Times New Roman" w:eastAsia="宋体" w:cs="Times New Roman"/>
                      <w:b/>
                      <w:color w:val="auto"/>
                      <w:kern w:val="0"/>
                      <w:sz w:val="21"/>
                      <w:szCs w:val="21"/>
                      <w:highlight w:val="none"/>
                      <w:vertAlign w:val="baseline"/>
                      <w:lang w:val="en-US" w:eastAsia="zh-CN" w:bidi="ar"/>
                    </w:rPr>
                    <w:t>减振</w:t>
                  </w:r>
                </w:p>
              </w:tc>
              <w:tc>
                <w:tcPr>
                  <w:tcW w:w="568" w:type="pct"/>
                  <w:noWrap w:val="0"/>
                  <w:vAlign w:val="center"/>
                </w:tcPr>
                <w:p w14:paraId="2D2BB8D9">
                  <w:pPr>
                    <w:pStyle w:val="43"/>
                    <w:keepNext w:val="0"/>
                    <w:keepLines w:val="0"/>
                    <w:pageBreakBefore w:val="0"/>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color w:val="auto"/>
                      <w:kern w:val="0"/>
                      <w:sz w:val="21"/>
                      <w:szCs w:val="21"/>
                      <w:highlight w:val="none"/>
                      <w:vertAlign w:val="baseline"/>
                      <w:lang w:val="en-US" w:eastAsia="zh-CN" w:bidi="ar"/>
                    </w:rPr>
                  </w:pPr>
                  <w:r>
                    <w:rPr>
                      <w:rFonts w:hint="eastAsia" w:ascii="Times New Roman" w:hAnsi="Times New Roman" w:eastAsia="宋体" w:cs="Times New Roman"/>
                      <w:b/>
                      <w:color w:val="auto"/>
                      <w:kern w:val="0"/>
                      <w:sz w:val="21"/>
                      <w:szCs w:val="21"/>
                      <w:highlight w:val="none"/>
                      <w:vertAlign w:val="baseline"/>
                      <w:lang w:val="en-US" w:eastAsia="zh-CN" w:bidi="ar"/>
                    </w:rPr>
                    <w:t>2400</w:t>
                  </w:r>
                </w:p>
              </w:tc>
            </w:tr>
          </w:tbl>
          <w:p w14:paraId="3C7107B4">
            <w:pPr>
              <w:pStyle w:val="4"/>
              <w:numPr>
                <w:ilvl w:val="2"/>
                <w:numId w:val="0"/>
              </w:numPr>
              <w:suppressLineNumbers w:val="0"/>
              <w:spacing w:before="0" w:beforeAutospacing="0" w:after="0" w:afterAutospacing="0"/>
              <w:ind w:left="0" w:right="0"/>
              <w:rPr>
                <w:rFonts w:hint="default" w:ascii="Times New Roman" w:hAnsi="Times New Roman" w:cs="Times New Roman"/>
                <w:color w:val="auto"/>
                <w:highlight w:val="none"/>
              </w:rPr>
            </w:pPr>
          </w:p>
        </w:tc>
      </w:tr>
    </w:tbl>
    <w:p w14:paraId="09AE03AF">
      <w:pPr>
        <w:rPr>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numberInDash"/>
          <w:cols w:space="0" w:num="1"/>
          <w:rtlGutter w:val="0"/>
          <w:docGrid w:type="linesAndChars" w:linePitch="336" w:charSpace="0"/>
        </w:sectPr>
      </w:pP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9345"/>
      </w:tblGrid>
      <w:tr w14:paraId="60571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508" w:type="dxa"/>
            <w:vAlign w:val="center"/>
          </w:tcPr>
          <w:p w14:paraId="0EC3B42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bookmarkStart w:id="175" w:name="_Toc7465"/>
            <w:r>
              <w:rPr>
                <w:rFonts w:hint="default" w:ascii="Times New Roman" w:hAnsi="Times New Roman" w:cs="Times New Roman"/>
                <w:b/>
                <w:bCs/>
                <w:color w:val="auto"/>
                <w:kern w:val="2"/>
                <w:highlight w:val="none"/>
              </w:rPr>
              <w:t>运营期环境影响和保护措施</w:t>
            </w:r>
          </w:p>
        </w:tc>
        <w:tc>
          <w:tcPr>
            <w:tcW w:w="9345" w:type="dxa"/>
          </w:tcPr>
          <w:p w14:paraId="2D7B277E">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2、达标分析</w:t>
            </w:r>
          </w:p>
          <w:p w14:paraId="66425394">
            <w:pPr>
              <w:keepNext w:val="0"/>
              <w:keepLines w:val="0"/>
              <w:suppressLineNumbers w:val="0"/>
              <w:adjustRightInd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项目厂界外50米范围内无声环境保护目标。</w:t>
            </w:r>
            <w:r>
              <w:rPr>
                <w:rFonts w:hint="default" w:ascii="Times New Roman" w:hAnsi="Times New Roman" w:cs="Times New Roman"/>
                <w:bCs/>
                <w:color w:val="auto"/>
                <w:kern w:val="0"/>
                <w:highlight w:val="none"/>
              </w:rPr>
              <w:t>项目运营期产生的噪声主要为生产设备运行时产生的噪声，其噪声的强度值为60~85dB（A）之间。</w:t>
            </w:r>
          </w:p>
          <w:p w14:paraId="504AC6DF">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color w:val="auto"/>
                <w:kern w:val="0"/>
                <w:sz w:val="24"/>
                <w:highlight w:val="none"/>
                <w:lang w:eastAsia="zh-CN"/>
              </w:rPr>
            </w:pPr>
            <w:r>
              <w:rPr>
                <w:rFonts w:hint="default" w:ascii="Times New Roman" w:hAnsi="Times New Roman" w:cs="Times New Roman"/>
                <w:color w:val="auto"/>
                <w:sz w:val="24"/>
                <w:highlight w:val="none"/>
                <w:lang w:val="en-US" w:eastAsia="zh-CN"/>
              </w:rPr>
              <w:t>根据</w:t>
            </w:r>
            <w:r>
              <w:rPr>
                <w:rFonts w:hint="default" w:ascii="Times New Roman" w:hAnsi="Times New Roman" w:cs="Times New Roman"/>
                <w:color w:val="auto"/>
                <w:sz w:val="24"/>
                <w:highlight w:val="none"/>
              </w:rPr>
              <w:t>《环境影响评价技术导则</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声环境》（HJ2.4-2021）</w:t>
            </w:r>
            <w:r>
              <w:rPr>
                <w:rFonts w:hint="default" w:ascii="Times New Roman" w:hAnsi="Times New Roman" w:cs="Times New Roman"/>
                <w:color w:val="auto"/>
                <w:sz w:val="24"/>
                <w:highlight w:val="none"/>
                <w:lang w:val="en-US" w:eastAsia="zh-CN"/>
              </w:rPr>
              <w:t>提出噪声</w:t>
            </w:r>
            <w:r>
              <w:rPr>
                <w:rFonts w:hint="default" w:ascii="Times New Roman" w:hAnsi="Times New Roman" w:cs="Times New Roman"/>
                <w:color w:val="auto"/>
                <w:sz w:val="24"/>
                <w:highlight w:val="none"/>
              </w:rPr>
              <w:t>预测方法，</w:t>
            </w:r>
            <w:r>
              <w:rPr>
                <w:rFonts w:hint="default" w:ascii="Times New Roman" w:hAnsi="Times New Roman" w:cs="Times New Roman"/>
                <w:color w:val="auto"/>
                <w:sz w:val="24"/>
                <w:highlight w:val="none"/>
                <w:lang w:val="en-US" w:eastAsia="zh-CN"/>
              </w:rPr>
              <w:t>对于生产车间内的</w:t>
            </w:r>
            <w:r>
              <w:rPr>
                <w:rFonts w:hint="default" w:ascii="Times New Roman" w:hAnsi="Times New Roman" w:cs="Times New Roman"/>
                <w:color w:val="auto"/>
                <w:sz w:val="24"/>
                <w:highlight w:val="none"/>
              </w:rPr>
              <w:t>室内声源</w:t>
            </w:r>
            <w:r>
              <w:rPr>
                <w:rFonts w:hint="default" w:ascii="Times New Roman" w:hAnsi="Times New Roman" w:cs="Times New Roman"/>
                <w:color w:val="auto"/>
                <w:sz w:val="24"/>
                <w:highlight w:val="none"/>
                <w:lang w:val="en-US" w:eastAsia="zh-CN"/>
              </w:rPr>
              <w:t>应先预测</w:t>
            </w:r>
            <w:r>
              <w:rPr>
                <w:rFonts w:hint="default" w:ascii="Times New Roman" w:hAnsi="Times New Roman" w:cs="Times New Roman"/>
                <w:color w:val="auto"/>
                <w:sz w:val="24"/>
                <w:highlight w:val="none"/>
              </w:rPr>
              <w:t>噪声源靠近围护结构处的噪声值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再根据建筑隔声情况采</w:t>
            </w:r>
            <w:r>
              <w:rPr>
                <w:rFonts w:hint="default" w:ascii="Times New Roman" w:hAnsi="Times New Roman" w:cs="Times New Roman"/>
                <w:color w:val="auto"/>
                <w:sz w:val="24"/>
                <w:highlight w:val="none"/>
              </w:rPr>
              <w:t>用等效室外声源声</w:t>
            </w:r>
            <w:r>
              <w:rPr>
                <w:rFonts w:hint="default" w:ascii="Times New Roman" w:hAnsi="Times New Roman" w:cs="Times New Roman"/>
                <w:color w:val="auto"/>
                <w:sz w:val="24"/>
                <w:highlight w:val="none"/>
                <w:lang w:val="en-US" w:eastAsia="zh-CN"/>
              </w:rPr>
              <w:t>压</w:t>
            </w:r>
            <w:r>
              <w:rPr>
                <w:rFonts w:hint="default" w:ascii="Times New Roman" w:hAnsi="Times New Roman" w:cs="Times New Roman"/>
                <w:color w:val="auto"/>
                <w:sz w:val="24"/>
                <w:highlight w:val="none"/>
              </w:rPr>
              <w:t>级法进行</w:t>
            </w:r>
            <w:r>
              <w:rPr>
                <w:rFonts w:hint="default" w:ascii="Times New Roman" w:hAnsi="Times New Roman" w:cs="Times New Roman"/>
                <w:color w:val="auto"/>
                <w:sz w:val="24"/>
                <w:highlight w:val="none"/>
                <w:lang w:val="en-US" w:eastAsia="zh-CN"/>
              </w:rPr>
              <w:t>换算；对于处于室外的噪声源</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在考虑相关降噪措施后按照噪声衰减公式进行预测。相关计算公式</w:t>
            </w:r>
            <w:r>
              <w:rPr>
                <w:rFonts w:hint="default" w:ascii="Times New Roman" w:hAnsi="Times New Roman" w:cs="Times New Roman"/>
                <w:color w:val="auto"/>
                <w:kern w:val="0"/>
                <w:sz w:val="24"/>
                <w:highlight w:val="none"/>
              </w:rPr>
              <w:t>如下</w:t>
            </w:r>
            <w:r>
              <w:rPr>
                <w:rFonts w:hint="default" w:ascii="Times New Roman" w:hAnsi="Times New Roman" w:cs="Times New Roman"/>
                <w:color w:val="auto"/>
                <w:kern w:val="0"/>
                <w:sz w:val="24"/>
                <w:highlight w:val="none"/>
                <w:lang w:eastAsia="zh-CN"/>
              </w:rPr>
              <w:t>：</w:t>
            </w:r>
          </w:p>
          <w:p w14:paraId="6D1776D7">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①</w:t>
            </w:r>
            <w:r>
              <w:rPr>
                <w:rFonts w:hint="default" w:ascii="Times New Roman" w:hAnsi="Times New Roman" w:cs="Times New Roman"/>
                <w:color w:val="auto"/>
                <w:sz w:val="24"/>
                <w:highlight w:val="none"/>
              </w:rPr>
              <w:t>噪声源靠近围护结构处的噪声值预测</w:t>
            </w:r>
          </w:p>
          <w:p w14:paraId="445C538A">
            <w:pPr>
              <w:pStyle w:val="7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480" w:leftChars="200" w:right="0"/>
              <w:jc w:val="left"/>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A.</w:t>
            </w:r>
            <w:r>
              <w:rPr>
                <w:rFonts w:hint="default" w:ascii="Times New Roman" w:hAnsi="Times New Roman" w:cs="Times New Roman"/>
                <w:color w:val="auto"/>
                <w:kern w:val="0"/>
                <w:sz w:val="24"/>
                <w:highlight w:val="none"/>
              </w:rPr>
              <w:t>计算某一室内声源靠近围护结构处产生的A声压级Lp1：</w:t>
            </w:r>
          </w:p>
          <w:p w14:paraId="2D10B9A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p1</m:t>
                    </m:r>
                    <m:ctrlPr>
                      <w:rPr>
                        <w:rFonts w:hint="default" w:ascii="Cambria Math" w:hAnsi="Cambria Math" w:cs="Times New Roman"/>
                        <w:color w:val="auto"/>
                        <w:sz w:val="24"/>
                        <w:highlight w:val="none"/>
                      </w:rPr>
                    </m:ctrlPr>
                  </m:sub>
                </m:sSub>
                <m:r>
                  <m:rPr>
                    <m:sty m:val="p"/>
                  </m:rPr>
                  <w:rPr>
                    <w:rFonts w:hint="default" w:ascii="Cambria Math" w:hAnsi="Cambria Math" w:cs="Times New Roman"/>
                    <w:color w:val="auto"/>
                    <w:sz w:val="24"/>
                    <w:highlight w:val="none"/>
                  </w:rPr>
                  <m:t>=</m:t>
                </m:r>
                <m:sSub>
                  <m:sSubPr>
                    <m:ctrlPr>
                      <w:rPr>
                        <w:rFonts w:hint="default" w:ascii="Cambria Math" w:hAnsi="Cambria Math" w:cs="Times New Roman"/>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color w:val="auto"/>
                        <w:sz w:val="24"/>
                        <w:highlight w:val="none"/>
                      </w:rPr>
                    </m:ctrlPr>
                  </m:e>
                  <m:sub>
                    <m:r>
                      <m:rPr/>
                      <w:rPr>
                        <w:rFonts w:hint="default" w:ascii="Cambria Math" w:hAnsi="Cambria Math" w:cs="Times New Roman"/>
                        <w:color w:val="auto"/>
                        <w:sz w:val="24"/>
                        <w:highlight w:val="none"/>
                      </w:rPr>
                      <m:t>w</m:t>
                    </m:r>
                    <m:ctrlPr>
                      <w:rPr>
                        <w:rFonts w:hint="default" w:ascii="Cambria Math" w:hAnsi="Cambria Math" w:cs="Times New Roman"/>
                        <w:color w:val="auto"/>
                        <w:sz w:val="24"/>
                        <w:highlight w:val="none"/>
                      </w:rPr>
                    </m:ctrlPr>
                  </m:sub>
                </m:sSub>
                <m:r>
                  <m:rPr>
                    <m:sty m:val="p"/>
                  </m:rPr>
                  <w:rPr>
                    <w:rFonts w:hint="default" w:ascii="Cambria Math" w:hAnsi="Cambria Math" w:cs="Times New Roman"/>
                    <w:color w:val="auto"/>
                    <w:sz w:val="24"/>
                    <w:highlight w:val="none"/>
                  </w:rPr>
                  <m:t>+10lg⁡(</m:t>
                </m:r>
                <m:f>
                  <m:fPr>
                    <m:ctrlPr>
                      <w:rPr>
                        <w:rFonts w:hint="default" w:ascii="Cambria Math" w:hAnsi="Cambria Math" w:cs="Times New Roman"/>
                        <w:color w:val="auto"/>
                        <w:sz w:val="24"/>
                        <w:highlight w:val="none"/>
                      </w:rPr>
                    </m:ctrlPr>
                  </m:fPr>
                  <m:num>
                    <m:r>
                      <m:rPr/>
                      <w:rPr>
                        <w:rFonts w:hint="default" w:ascii="Cambria Math" w:hAnsi="Cambria Math" w:cs="Times New Roman"/>
                        <w:color w:val="auto"/>
                        <w:sz w:val="24"/>
                        <w:highlight w:val="none"/>
                      </w:rPr>
                      <m:t>Q</m:t>
                    </m:r>
                    <m:ctrlPr>
                      <w:rPr>
                        <w:rFonts w:hint="default" w:ascii="Cambria Math" w:hAnsi="Cambria Math" w:cs="Times New Roman"/>
                        <w:color w:val="auto"/>
                        <w:sz w:val="24"/>
                        <w:highlight w:val="none"/>
                      </w:rPr>
                    </m:ctrlPr>
                  </m:num>
                  <m:den>
                    <m:r>
                      <m:rPr/>
                      <w:rPr>
                        <w:rFonts w:hint="default" w:ascii="Cambria Math" w:hAnsi="Cambria Math" w:cs="Times New Roman"/>
                        <w:color w:val="auto"/>
                        <w:sz w:val="24"/>
                        <w:highlight w:val="none"/>
                      </w:rPr>
                      <m:t>4π</m:t>
                    </m:r>
                    <m:sSup>
                      <m:sSupPr>
                        <m:ctrlPr>
                          <w:rPr>
                            <w:rFonts w:hint="default" w:ascii="Cambria Math" w:hAnsi="Cambria Math" w:cs="Times New Roman"/>
                            <w:i/>
                            <w:color w:val="auto"/>
                            <w:sz w:val="24"/>
                            <w:highlight w:val="none"/>
                          </w:rPr>
                        </m:ctrlPr>
                      </m:sSupPr>
                      <m:e>
                        <m:r>
                          <m:rPr/>
                          <w:rPr>
                            <w:rFonts w:hint="default" w:ascii="Cambria Math" w:hAnsi="Cambria Math" w:cs="Times New Roman"/>
                            <w:color w:val="auto"/>
                            <w:sz w:val="24"/>
                            <w:highlight w:val="none"/>
                          </w:rPr>
                          <m:t>r</m:t>
                        </m:r>
                        <m:ctrlPr>
                          <w:rPr>
                            <w:rFonts w:hint="default" w:ascii="Cambria Math" w:hAnsi="Cambria Math" w:cs="Times New Roman"/>
                            <w:i/>
                            <w:color w:val="auto"/>
                            <w:sz w:val="24"/>
                            <w:highlight w:val="none"/>
                          </w:rPr>
                        </m:ctrlPr>
                      </m:e>
                      <m:sup>
                        <m:r>
                          <m:rPr/>
                          <w:rPr>
                            <w:rFonts w:hint="default" w:ascii="Cambria Math" w:hAnsi="Cambria Math" w:cs="Times New Roman"/>
                            <w:color w:val="auto"/>
                            <w:sz w:val="24"/>
                            <w:highlight w:val="none"/>
                          </w:rPr>
                          <m:t>2</m:t>
                        </m:r>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den>
                </m:f>
                <m:r>
                  <m:rPr/>
                  <w:rPr>
                    <w:rFonts w:hint="default" w:ascii="Cambria Math" w:hAnsi="Cambria Math" w:cs="Times New Roman"/>
                    <w:color w:val="auto"/>
                    <w:sz w:val="24"/>
                    <w:highlight w:val="none"/>
                  </w:rPr>
                  <m:t>+</m:t>
                </m:r>
                <m:f>
                  <m:fPr>
                    <m:ctrlPr>
                      <w:rPr>
                        <w:rFonts w:hint="default" w:ascii="Cambria Math" w:hAnsi="Cambria Math" w:cs="Times New Roman"/>
                        <w:i/>
                        <w:color w:val="auto"/>
                        <w:sz w:val="24"/>
                        <w:highlight w:val="none"/>
                      </w:rPr>
                    </m:ctrlPr>
                  </m:fPr>
                  <m:num>
                    <m:r>
                      <m:rPr/>
                      <w:rPr>
                        <w:rFonts w:hint="default" w:ascii="Cambria Math" w:hAnsi="Cambria Math" w:cs="Times New Roman"/>
                        <w:color w:val="auto"/>
                        <w:sz w:val="24"/>
                        <w:highlight w:val="none"/>
                      </w:rPr>
                      <m:t>4</m:t>
                    </m:r>
                    <m:ctrlPr>
                      <w:rPr>
                        <w:rFonts w:hint="default" w:ascii="Cambria Math" w:hAnsi="Cambria Math" w:cs="Times New Roman"/>
                        <w:i/>
                        <w:color w:val="auto"/>
                        <w:sz w:val="24"/>
                        <w:highlight w:val="none"/>
                      </w:rPr>
                    </m:ctrlPr>
                  </m:num>
                  <m:den>
                    <m:r>
                      <m:rPr/>
                      <w:rPr>
                        <w:rFonts w:hint="default" w:ascii="Cambria Math" w:hAnsi="Cambria Math" w:cs="Times New Roman"/>
                        <w:color w:val="auto"/>
                        <w:sz w:val="24"/>
                        <w:highlight w:val="none"/>
                      </w:rPr>
                      <m:t>R</m:t>
                    </m:r>
                    <m:ctrlPr>
                      <w:rPr>
                        <w:rFonts w:hint="default" w:ascii="Cambria Math" w:hAnsi="Cambria Math" w:cs="Times New Roman"/>
                        <w:i/>
                        <w:color w:val="auto"/>
                        <w:sz w:val="24"/>
                        <w:highlight w:val="none"/>
                      </w:rPr>
                    </m:ctrlPr>
                  </m:den>
                </m:f>
                <m:r>
                  <m:rPr/>
                  <w:rPr>
                    <w:rFonts w:hint="default" w:ascii="Cambria Math" w:hAnsi="Cambria Math" w:cs="Times New Roman"/>
                    <w:color w:val="auto"/>
                    <w:sz w:val="24"/>
                    <w:highlight w:val="none"/>
                  </w:rPr>
                  <m:t>)</m:t>
                </m:r>
              </m:oMath>
            </m:oMathPara>
          </w:p>
          <w:p w14:paraId="1D582F9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0ECDF3C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Q－指向性因数：通常对无指向性声源，当声源放在房间中心时，Q=1；当放在一面墙的中心时，Q=2；当放在两面墙夹角时，Q=4；当放在三面墙夹角处时，Q=8。</w:t>
            </w:r>
          </w:p>
          <w:p w14:paraId="7896D5F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R－房间常数：R=Sa/(1-a)，S为房间内表面面积，m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；a为平均吸声系数。</w:t>
            </w:r>
          </w:p>
          <w:p w14:paraId="6D89AF4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r－声源到靠近围护结构某点处的距离，m。</w:t>
            </w:r>
          </w:p>
          <w:p w14:paraId="3B65BED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Lw为设备</w:t>
            </w:r>
            <w:r>
              <w:rPr>
                <w:rFonts w:hint="default" w:ascii="Times New Roman" w:hAnsi="Times New Roman" w:cs="Times New Roman"/>
                <w:color w:val="auto"/>
                <w:kern w:val="0"/>
                <w:sz w:val="24"/>
                <w:highlight w:val="none"/>
                <w:lang w:val="en-US" w:eastAsia="zh-CN"/>
              </w:rPr>
              <w:t>源强</w:t>
            </w:r>
            <w:r>
              <w:rPr>
                <w:rFonts w:hint="default" w:ascii="Times New Roman" w:hAnsi="Times New Roman" w:cs="Times New Roman"/>
                <w:color w:val="auto"/>
                <w:kern w:val="0"/>
                <w:sz w:val="24"/>
                <w:highlight w:val="none"/>
              </w:rPr>
              <w:t>声级。</w:t>
            </w:r>
          </w:p>
          <w:p w14:paraId="66691AE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B.</w:t>
            </w:r>
            <w:r>
              <w:rPr>
                <w:rFonts w:hint="default" w:ascii="Times New Roman" w:hAnsi="Times New Roman" w:cs="Times New Roman"/>
                <w:color w:val="auto"/>
                <w:kern w:val="0"/>
                <w:sz w:val="24"/>
                <w:highlight w:val="none"/>
              </w:rPr>
              <w:t>计算出所有室内声源在围护结构处产生的叠加A声压级：</w:t>
            </w:r>
          </w:p>
          <w:p w14:paraId="2552F10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m:oMathPara>
              <m:oMathParaPr>
                <m:jc m:val="center"/>
              </m:oMathParaPr>
              <m:oMath>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P1</m:t>
                    </m:r>
                    <m:ctrlPr>
                      <w:rPr>
                        <w:rFonts w:hint="default" w:ascii="Cambria Math" w:hAnsi="Cambria Math" w:cs="Times New Roman"/>
                        <w:i/>
                        <w:color w:val="auto"/>
                        <w:sz w:val="24"/>
                        <w:highlight w:val="none"/>
                      </w:rPr>
                    </m:ctrlPr>
                  </m:sub>
                </m:sSub>
                <m:r>
                  <m:rPr>
                    <m:sty m:val="p"/>
                  </m:rPr>
                  <w:rPr>
                    <w:rFonts w:hint="default" w:ascii="Cambria Math" w:hAnsi="Cambria Math" w:cs="Times New Roman"/>
                    <w:color w:val="auto"/>
                    <w:sz w:val="24"/>
                    <w:highlight w:val="none"/>
                  </w:rPr>
                  <m:t>(</m:t>
                </m:r>
                <m:r>
                  <m:rPr/>
                  <w:rPr>
                    <w:rFonts w:hint="default" w:ascii="Cambria Math" w:hAnsi="Cambria Math" w:cs="Times New Roman"/>
                    <w:color w:val="auto"/>
                    <w:sz w:val="24"/>
                    <w:highlight w:val="none"/>
                  </w:rPr>
                  <m:t>T</m:t>
                </m:r>
                <m:r>
                  <m:rPr>
                    <m:sty m:val="p"/>
                  </m:rPr>
                  <w:rPr>
                    <w:rFonts w:hint="default" w:ascii="Cambria Math" w:hAnsi="Cambria Math" w:cs="Times New Roman"/>
                    <w:color w:val="auto"/>
                    <w:sz w:val="24"/>
                    <w:highlight w:val="none"/>
                  </w:rPr>
                  <m:t>)=10lg</m:t>
                </m:r>
                <m:nary>
                  <m:naryPr>
                    <m:chr m:val="∑"/>
                    <m:limLoc m:val="undOvr"/>
                    <m:ctrlPr>
                      <w:rPr>
                        <w:rFonts w:hint="default" w:ascii="Cambria Math" w:hAnsi="Cambria Math" w:cs="Times New Roman"/>
                        <w:color w:val="auto"/>
                        <w:sz w:val="24"/>
                        <w:highlight w:val="none"/>
                      </w:rPr>
                    </m:ctrlPr>
                  </m:naryPr>
                  <m:sub>
                    <m:r>
                      <m:rPr/>
                      <w:rPr>
                        <w:rFonts w:hint="default" w:ascii="Cambria Math" w:hAnsi="Cambria Math" w:cs="Times New Roman"/>
                        <w:color w:val="auto"/>
                        <w:sz w:val="24"/>
                        <w:highlight w:val="none"/>
                      </w:rPr>
                      <m:t>i</m:t>
                    </m:r>
                    <m:r>
                      <m:rPr>
                        <m:sty m:val="p"/>
                      </m:rPr>
                      <w:rPr>
                        <w:rFonts w:hint="default" w:ascii="Cambria Math" w:hAnsi="Cambria Math" w:cs="Times New Roman"/>
                        <w:color w:val="auto"/>
                        <w:sz w:val="24"/>
                        <w:highlight w:val="none"/>
                      </w:rPr>
                      <m:t>=1</m:t>
                    </m:r>
                    <m:ctrlPr>
                      <w:rPr>
                        <w:rFonts w:hint="default" w:ascii="Cambria Math" w:hAnsi="Cambria Math" w:cs="Times New Roman"/>
                        <w:color w:val="auto"/>
                        <w:sz w:val="24"/>
                        <w:highlight w:val="none"/>
                      </w:rPr>
                    </m:ctrlPr>
                  </m:sub>
                  <m:sup>
                    <m:r>
                      <m:rPr/>
                      <w:rPr>
                        <w:rFonts w:hint="default" w:ascii="Cambria Math" w:hAnsi="Cambria Math" w:cs="Times New Roman"/>
                        <w:color w:val="auto"/>
                        <w:sz w:val="24"/>
                        <w:highlight w:val="none"/>
                      </w:rPr>
                      <m:t>n</m:t>
                    </m:r>
                    <m:ctrlPr>
                      <w:rPr>
                        <w:rFonts w:hint="default" w:ascii="Cambria Math" w:hAnsi="Cambria Math" w:cs="Times New Roman"/>
                        <w:color w:val="auto"/>
                        <w:sz w:val="24"/>
                        <w:highlight w:val="none"/>
                      </w:rPr>
                    </m:ctrlPr>
                  </m:sup>
                  <m:e>
                    <m:sSup>
                      <m:sSupPr>
                        <m:ctrlPr>
                          <w:rPr>
                            <w:rFonts w:hint="default" w:ascii="Cambria Math" w:hAnsi="Cambria Math" w:cs="Times New Roman"/>
                            <w:i/>
                            <w:color w:val="auto"/>
                            <w:sz w:val="24"/>
                            <w:highlight w:val="none"/>
                          </w:rPr>
                        </m:ctrlPr>
                      </m:sSupPr>
                      <m:e>
                        <m:r>
                          <m:rPr/>
                          <w:rPr>
                            <w:rFonts w:hint="default" w:ascii="Cambria Math" w:hAnsi="Cambria Math" w:cs="Times New Roman"/>
                            <w:color w:val="auto"/>
                            <w:sz w:val="24"/>
                            <w:highlight w:val="none"/>
                          </w:rPr>
                          <m:t>10</m:t>
                        </m:r>
                        <m:ctrlPr>
                          <w:rPr>
                            <w:rFonts w:hint="default" w:ascii="Cambria Math" w:hAnsi="Cambria Math" w:cs="Times New Roman"/>
                            <w:i/>
                            <w:color w:val="auto"/>
                            <w:sz w:val="24"/>
                            <w:highlight w:val="none"/>
                          </w:rPr>
                        </m:ctrlPr>
                      </m:e>
                      <m:sup>
                        <m:r>
                          <m:rPr/>
                          <w:rPr>
                            <w:rFonts w:hint="default" w:ascii="Cambria Math" w:hAnsi="Cambria Math" w:cs="Times New Roman"/>
                            <w:color w:val="auto"/>
                            <w:sz w:val="24"/>
                            <w:highlight w:val="none"/>
                          </w:rPr>
                          <m:t>0.1</m:t>
                        </m:r>
                        <m:sSub>
                          <m:sSubPr>
                            <m:ctrlPr>
                              <w:rPr>
                                <w:rFonts w:hint="default" w:ascii="Cambria Math" w:hAnsi="Cambria Math" w:cs="Times New Roman"/>
                                <w:i/>
                                <w:color w:val="auto"/>
                                <w:sz w:val="24"/>
                                <w:highlight w:val="none"/>
                              </w:rPr>
                            </m:ctrlPr>
                          </m:sSubPr>
                          <m:e>
                            <m:r>
                              <m:rPr/>
                              <w:rPr>
                                <w:rFonts w:hint="default" w:ascii="Cambria Math" w:hAnsi="Cambria Math" w:cs="Times New Roman"/>
                                <w:color w:val="auto"/>
                                <w:sz w:val="24"/>
                                <w:highlight w:val="none"/>
                              </w:rPr>
                              <m:t>L</m:t>
                            </m:r>
                            <m:ctrlPr>
                              <w:rPr>
                                <w:rFonts w:hint="default" w:ascii="Cambria Math" w:hAnsi="Cambria Math" w:cs="Times New Roman"/>
                                <w:i/>
                                <w:color w:val="auto"/>
                                <w:sz w:val="24"/>
                                <w:highlight w:val="none"/>
                              </w:rPr>
                            </m:ctrlPr>
                          </m:e>
                          <m:sub>
                            <m:r>
                              <m:rPr/>
                              <w:rPr>
                                <w:rFonts w:hint="default" w:ascii="Cambria Math" w:hAnsi="Cambria Math" w:cs="Times New Roman"/>
                                <w:color w:val="auto"/>
                                <w:sz w:val="24"/>
                                <w:highlight w:val="none"/>
                              </w:rPr>
                              <m:t>P1j</m:t>
                            </m:r>
                            <m:ctrlPr>
                              <w:rPr>
                                <w:rFonts w:hint="default" w:ascii="Cambria Math" w:hAnsi="Cambria Math" w:cs="Times New Roman"/>
                                <w:i/>
                                <w:color w:val="auto"/>
                                <w:sz w:val="24"/>
                                <w:highlight w:val="none"/>
                              </w:rPr>
                            </m:ctrlPr>
                          </m:sub>
                        </m:sSub>
                        <m:ctrlPr>
                          <w:rPr>
                            <w:rFonts w:hint="default" w:ascii="Cambria Math" w:hAnsi="Cambria Math" w:cs="Times New Roman"/>
                            <w:i/>
                            <w:color w:val="auto"/>
                            <w:sz w:val="24"/>
                            <w:highlight w:val="none"/>
                          </w:rPr>
                        </m:ctrlPr>
                      </m:sup>
                    </m:sSup>
                    <m:ctrlPr>
                      <w:rPr>
                        <w:rFonts w:hint="default" w:ascii="Cambria Math" w:hAnsi="Cambria Math" w:cs="Times New Roman"/>
                        <w:color w:val="auto"/>
                        <w:sz w:val="24"/>
                        <w:highlight w:val="none"/>
                      </w:rPr>
                    </m:ctrlPr>
                  </m:e>
                </m:nary>
              </m:oMath>
            </m:oMathPara>
          </w:p>
          <w:p w14:paraId="51CAF35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731CFD3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Lp1(T)--靠近围护结构处室内 N个声源叠加A声压级，dB(A)；</w:t>
            </w:r>
          </w:p>
          <w:p w14:paraId="337420E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rPr>
              <w:t>Lp1j--室内 j声源的A声压级，dB(A)</w:t>
            </w:r>
            <w:r>
              <w:rPr>
                <w:rFonts w:hint="default" w:ascii="Times New Roman" w:hAnsi="Times New Roman" w:cs="Times New Roman"/>
                <w:color w:val="auto"/>
                <w:kern w:val="0"/>
                <w:sz w:val="24"/>
                <w:highlight w:val="none"/>
                <w:lang w:eastAsia="zh-CN"/>
              </w:rPr>
              <w:t>。</w:t>
            </w:r>
          </w:p>
          <w:p w14:paraId="69C04DE7">
            <w:pPr>
              <w:pStyle w:val="15"/>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表4-32</w:t>
            </w:r>
            <w:r>
              <w:rPr>
                <w:rFonts w:hint="default" w:ascii="Times New Roman" w:hAnsi="Times New Roman" w:cs="Times New Roman"/>
                <w:color w:val="auto"/>
                <w:highlight w:val="none"/>
                <w:lang w:val="en-US" w:eastAsia="zh-CN"/>
              </w:rPr>
              <w:t>项目各生产车间围护结构处噪声贡献值</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67"/>
              <w:gridCol w:w="1335"/>
              <w:gridCol w:w="1564"/>
              <w:gridCol w:w="1823"/>
              <w:gridCol w:w="1823"/>
            </w:tblGrid>
            <w:tr w14:paraId="7E403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5" w:hRule="atLeast"/>
                <w:jc w:val="center"/>
              </w:trPr>
              <w:tc>
                <w:tcPr>
                  <w:tcW w:w="1408" w:type="pct"/>
                  <w:shd w:val="clear" w:color="auto" w:fill="FFFFFF"/>
                  <w:vAlign w:val="center"/>
                </w:tcPr>
                <w:p w14:paraId="6FA095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车间名称</w:t>
                  </w:r>
                </w:p>
              </w:tc>
              <w:tc>
                <w:tcPr>
                  <w:tcW w:w="732" w:type="pct"/>
                  <w:shd w:val="clear" w:color="auto" w:fill="FFFFFF"/>
                  <w:vAlign w:val="center"/>
                </w:tcPr>
                <w:p w14:paraId="5C2AE3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车间东侧</w:t>
                  </w:r>
                </w:p>
              </w:tc>
              <w:tc>
                <w:tcPr>
                  <w:tcW w:w="858" w:type="pct"/>
                  <w:shd w:val="clear" w:color="auto" w:fill="FFFFFF"/>
                  <w:vAlign w:val="center"/>
                </w:tcPr>
                <w:p w14:paraId="37915A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车间南侧</w:t>
                  </w:r>
                </w:p>
              </w:tc>
              <w:tc>
                <w:tcPr>
                  <w:tcW w:w="1000" w:type="pct"/>
                  <w:shd w:val="clear" w:color="auto" w:fill="FFFFFF"/>
                  <w:vAlign w:val="center"/>
                </w:tcPr>
                <w:p w14:paraId="475B7A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车间西侧</w:t>
                  </w:r>
                </w:p>
              </w:tc>
              <w:tc>
                <w:tcPr>
                  <w:tcW w:w="1000" w:type="pct"/>
                  <w:shd w:val="clear" w:color="auto" w:fill="FFFFFF"/>
                  <w:vAlign w:val="center"/>
                </w:tcPr>
                <w:p w14:paraId="74C6BA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车间北侧</w:t>
                  </w:r>
                </w:p>
              </w:tc>
            </w:tr>
            <w:tr w14:paraId="2767E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408" w:type="pct"/>
                  <w:shd w:val="clear" w:color="auto" w:fill="auto"/>
                  <w:vAlign w:val="center"/>
                </w:tcPr>
                <w:p w14:paraId="4BCBA0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cs="Times New Roman"/>
                      <w:color w:val="auto"/>
                      <w:sz w:val="21"/>
                      <w:szCs w:val="21"/>
                      <w:highlight w:val="none"/>
                    </w:rPr>
                    <w:t>钣金</w:t>
                  </w:r>
                  <w:r>
                    <w:rPr>
                      <w:rFonts w:hint="default" w:ascii="Times New Roman" w:hAnsi="Times New Roman" w:cs="Times New Roman"/>
                      <w:color w:val="auto"/>
                      <w:sz w:val="21"/>
                      <w:szCs w:val="21"/>
                      <w:highlight w:val="none"/>
                      <w:lang w:eastAsia="zh-CN"/>
                    </w:rPr>
                    <w:t>机</w:t>
                  </w:r>
                  <w:r>
                    <w:rPr>
                      <w:rFonts w:hint="default" w:ascii="Times New Roman" w:hAnsi="Times New Roman" w:cs="Times New Roman"/>
                      <w:color w:val="auto"/>
                      <w:sz w:val="21"/>
                      <w:szCs w:val="21"/>
                      <w:highlight w:val="none"/>
                    </w:rPr>
                    <w:t>加工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rPr>
                    <w:t>铝卷表面预处理生产线</w:t>
                  </w:r>
                  <w:r>
                    <w:rPr>
                      <w:rFonts w:hint="default" w:ascii="Times New Roman" w:hAnsi="Times New Roman" w:cs="Times New Roman"/>
                      <w:color w:val="auto"/>
                      <w:sz w:val="21"/>
                      <w:szCs w:val="21"/>
                      <w:highlight w:val="none"/>
                    </w:rPr>
                    <w:t>车间</w:t>
                  </w:r>
                </w:p>
              </w:tc>
              <w:tc>
                <w:tcPr>
                  <w:tcW w:w="732" w:type="pct"/>
                  <w:shd w:val="clear" w:color="auto" w:fill="auto"/>
                  <w:vAlign w:val="center"/>
                </w:tcPr>
                <w:p w14:paraId="788A94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77.44</w:t>
                  </w:r>
                </w:p>
              </w:tc>
              <w:tc>
                <w:tcPr>
                  <w:tcW w:w="858" w:type="pct"/>
                  <w:shd w:val="clear" w:color="auto" w:fill="auto"/>
                  <w:vAlign w:val="center"/>
                </w:tcPr>
                <w:p w14:paraId="606C6E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77.55</w:t>
                  </w:r>
                </w:p>
              </w:tc>
              <w:tc>
                <w:tcPr>
                  <w:tcW w:w="1000" w:type="pct"/>
                  <w:shd w:val="clear" w:color="auto" w:fill="auto"/>
                  <w:vAlign w:val="center"/>
                </w:tcPr>
                <w:p w14:paraId="565D41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77.45</w:t>
                  </w:r>
                </w:p>
              </w:tc>
              <w:tc>
                <w:tcPr>
                  <w:tcW w:w="1000" w:type="pct"/>
                  <w:shd w:val="clear" w:color="auto" w:fill="auto"/>
                  <w:vAlign w:val="center"/>
                </w:tcPr>
                <w:p w14:paraId="13D592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79.65</w:t>
                  </w:r>
                </w:p>
              </w:tc>
            </w:tr>
          </w:tbl>
          <w:p w14:paraId="093B763E">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b/>
                <w:color w:val="auto"/>
                <w:kern w:val="0"/>
                <w:sz w:val="24"/>
                <w:highlight w:val="none"/>
              </w:rPr>
            </w:pPr>
            <w:r>
              <w:rPr>
                <w:rFonts w:hint="default" w:ascii="Times New Roman" w:hAnsi="Times New Roman" w:cs="Times New Roman"/>
                <w:bCs/>
                <w:color w:val="auto"/>
                <w:sz w:val="24"/>
                <w:highlight w:val="none"/>
              </w:rPr>
              <w:t>②厂房边界处的噪声值预测</w:t>
            </w:r>
          </w:p>
          <w:p w14:paraId="719EF8B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在室内近似为扩散声场地，按下式计算出靠近室外围护结构处的声压级：</w:t>
            </w:r>
          </w:p>
          <w:p w14:paraId="0C7F8E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m:oMathPara>
              <m:oMathParaPr>
                <m:jc m:val="center"/>
              </m:oMathParaPr>
              <m:oMath>
                <m:sSub>
                  <m:sSubPr>
                    <m:ctrlPr>
                      <w:rPr>
                        <w:rFonts w:hint="default" w:ascii="Cambria Math" w:hAnsi="Cambria Math" w:cs="Times New Roman"/>
                        <w:color w:val="auto"/>
                        <w:kern w:val="0"/>
                        <w:sz w:val="24"/>
                        <w:highlight w:val="none"/>
                      </w:rPr>
                    </m:ctrlPr>
                  </m:sSubPr>
                  <m:e>
                    <m:r>
                      <m:rPr/>
                      <w:rPr>
                        <w:rFonts w:hint="default" w:ascii="Cambria Math" w:hAnsi="Cambria Math" w:cs="Times New Roman"/>
                        <w:color w:val="auto"/>
                        <w:kern w:val="0"/>
                        <w:sz w:val="24"/>
                        <w:highlight w:val="none"/>
                      </w:rPr>
                      <m:t>L</m:t>
                    </m:r>
                    <m:ctrlPr>
                      <w:rPr>
                        <w:rFonts w:hint="default" w:ascii="Cambria Math" w:hAnsi="Cambria Math" w:cs="Times New Roman"/>
                        <w:color w:val="auto"/>
                        <w:kern w:val="0"/>
                        <w:sz w:val="24"/>
                        <w:highlight w:val="none"/>
                      </w:rPr>
                    </m:ctrlPr>
                  </m:e>
                  <m:sub>
                    <m:r>
                      <m:rPr/>
                      <w:rPr>
                        <w:rFonts w:hint="default" w:ascii="Cambria Math" w:hAnsi="Cambria Math" w:cs="Times New Roman"/>
                        <w:color w:val="auto"/>
                        <w:kern w:val="0"/>
                        <w:sz w:val="24"/>
                        <w:highlight w:val="none"/>
                      </w:rPr>
                      <m:t>P2</m:t>
                    </m:r>
                    <m:ctrlPr>
                      <w:rPr>
                        <w:rFonts w:hint="default" w:ascii="Cambria Math" w:hAnsi="Cambria Math" w:cs="Times New Roman"/>
                        <w:color w:val="auto"/>
                        <w:kern w:val="0"/>
                        <w:sz w:val="24"/>
                        <w:highlight w:val="none"/>
                      </w:rPr>
                    </m:ctrlPr>
                  </m:sub>
                </m:sSub>
                <m:r>
                  <m:rPr/>
                  <w:rPr>
                    <w:rFonts w:hint="default" w:ascii="Cambria Math" w:hAnsi="Cambria Math" w:cs="Times New Roman"/>
                    <w:color w:val="auto"/>
                    <w:kern w:val="0"/>
                    <w:sz w:val="24"/>
                    <w:highlight w:val="none"/>
                  </w:rPr>
                  <m:t>=</m:t>
                </m:r>
                <m:sSub>
                  <m:sSubPr>
                    <m:ctrlPr>
                      <w:rPr>
                        <w:rFonts w:hint="default" w:ascii="Cambria Math" w:hAnsi="Cambria Math" w:cs="Times New Roman"/>
                        <w:color w:val="auto"/>
                        <w:kern w:val="0"/>
                        <w:sz w:val="24"/>
                        <w:highlight w:val="none"/>
                      </w:rPr>
                    </m:ctrlPr>
                  </m:sSubPr>
                  <m:e>
                    <m:r>
                      <m:rPr/>
                      <w:rPr>
                        <w:rFonts w:hint="default" w:ascii="Cambria Math" w:hAnsi="Cambria Math" w:cs="Times New Roman"/>
                        <w:color w:val="auto"/>
                        <w:kern w:val="0"/>
                        <w:sz w:val="24"/>
                        <w:highlight w:val="none"/>
                      </w:rPr>
                      <m:t>L</m:t>
                    </m:r>
                    <m:ctrlPr>
                      <w:rPr>
                        <w:rFonts w:hint="default" w:ascii="Cambria Math" w:hAnsi="Cambria Math" w:cs="Times New Roman"/>
                        <w:color w:val="auto"/>
                        <w:kern w:val="0"/>
                        <w:sz w:val="24"/>
                        <w:highlight w:val="none"/>
                      </w:rPr>
                    </m:ctrlPr>
                  </m:e>
                  <m:sub>
                    <m:r>
                      <m:rPr/>
                      <w:rPr>
                        <w:rFonts w:hint="default" w:ascii="Cambria Math" w:hAnsi="Cambria Math" w:cs="Times New Roman"/>
                        <w:color w:val="auto"/>
                        <w:kern w:val="0"/>
                        <w:sz w:val="24"/>
                        <w:highlight w:val="none"/>
                      </w:rPr>
                      <m:t>P1</m:t>
                    </m:r>
                    <m:ctrlPr>
                      <w:rPr>
                        <w:rFonts w:hint="default" w:ascii="Cambria Math" w:hAnsi="Cambria Math" w:cs="Times New Roman"/>
                        <w:color w:val="auto"/>
                        <w:kern w:val="0"/>
                        <w:sz w:val="24"/>
                        <w:highlight w:val="none"/>
                      </w:rPr>
                    </m:ctrlPr>
                  </m:sub>
                </m:sSub>
                <m:r>
                  <m:rPr/>
                  <w:rPr>
                    <w:rFonts w:hint="default" w:ascii="Cambria Math" w:hAnsi="Cambria Math" w:cs="Times New Roman"/>
                    <w:color w:val="auto"/>
                    <w:kern w:val="0"/>
                    <w:sz w:val="24"/>
                    <w:highlight w:val="none"/>
                  </w:rPr>
                  <m:t>−(TL+6)</m:t>
                </m:r>
              </m:oMath>
            </m:oMathPara>
          </w:p>
          <w:p w14:paraId="6B3F829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p>
          <w:p w14:paraId="3EE933A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Lp1－声源室内声压级，dB(A)；</w:t>
            </w:r>
          </w:p>
          <w:p w14:paraId="499F4F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Lp2－等效室外声压级，dB(A)；</w:t>
            </w:r>
          </w:p>
          <w:p w14:paraId="3A33756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TL－隔墙（或窗户）倍频带的隔声量，dB(A)。</w:t>
            </w:r>
          </w:p>
          <w:p w14:paraId="301EF03B">
            <w:pPr>
              <w:keepNext w:val="0"/>
              <w:keepLines w:val="0"/>
              <w:suppressLineNumbers w:val="0"/>
              <w:spacing w:before="50" w:beforeAutospacing="0" w:after="0" w:afterAutospacing="0" w:line="360" w:lineRule="auto"/>
              <w:ind w:left="0" w:right="0" w:firstLine="480" w:firstLineChars="20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drawing>
                <wp:inline distT="0" distB="0" distL="114300" distR="114300">
                  <wp:extent cx="2820035" cy="1122045"/>
                  <wp:effectExtent l="0" t="0" r="18415" b="1905"/>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pic:cNvPicPr>
                        </pic:nvPicPr>
                        <pic:blipFill>
                          <a:blip r:embed="rId24"/>
                          <a:srcRect b="19148"/>
                          <a:stretch>
                            <a:fillRect/>
                          </a:stretch>
                        </pic:blipFill>
                        <pic:spPr>
                          <a:xfrm>
                            <a:off x="0" y="0"/>
                            <a:ext cx="2820035" cy="1122045"/>
                          </a:xfrm>
                          <a:prstGeom prst="rect">
                            <a:avLst/>
                          </a:prstGeom>
                          <a:noFill/>
                          <a:ln>
                            <a:noFill/>
                          </a:ln>
                        </pic:spPr>
                      </pic:pic>
                    </a:graphicData>
                  </a:graphic>
                </wp:inline>
              </w:drawing>
            </w:r>
          </w:p>
          <w:p w14:paraId="5C201AF2">
            <w:pPr>
              <w:keepNext w:val="0"/>
              <w:keepLines w:val="0"/>
              <w:widowControl/>
              <w:numPr>
                <w:ilvl w:val="0"/>
                <w:numId w:val="8"/>
              </w:numPr>
              <w:suppressLineNumbers w:val="0"/>
              <w:spacing w:before="0" w:beforeAutospacing="0" w:after="0" w:afterAutospacing="0"/>
              <w:ind w:left="0" w:leftChars="0" w:right="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b/>
                <w:bCs/>
                <w:color w:val="auto"/>
                <w:sz w:val="21"/>
                <w:szCs w:val="21"/>
                <w:highlight w:val="none"/>
              </w:rPr>
              <w:t>室内声源等效为室外声源图例</w:t>
            </w:r>
          </w:p>
          <w:p w14:paraId="7B27EA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根据《噪声污染控制工程》（高等教育出版社，洪宗辉）中资料，本项目砖墙为双面粉刷的墙体，实测的隔声量为49dB（A），考虑到门窗面积和开门开窗对隔声的负面影响，实际隔声量（TL+6）为22dB（A）左右。</w:t>
            </w:r>
          </w:p>
          <w:p w14:paraId="1E97CC37">
            <w:pPr>
              <w:pStyle w:val="15"/>
              <w:keepNext w:val="0"/>
              <w:keepLines w:val="0"/>
              <w:pageBreakBefore w:val="0"/>
              <w:widowControl w:val="0"/>
              <w:numPr>
                <w:ilvl w:val="0"/>
                <w:numId w:val="0"/>
              </w:numPr>
              <w:suppressLineNumbers w:val="0"/>
              <w:tabs>
                <w:tab w:val="left" w:pos="0"/>
              </w:tabs>
              <w:kinsoku/>
              <w:overflowPunct/>
              <w:topLinePunct w:val="0"/>
              <w:autoSpaceDE/>
              <w:autoSpaceDN/>
              <w:bidi w:val="0"/>
              <w:adjustRightInd/>
              <w:snapToGrid/>
              <w:spacing w:before="0" w:beforeAutospacing="0" w:after="0" w:afterLines="0" w:afterAutospacing="0"/>
              <w:ind w:left="0" w:leftChars="0" w:right="0" w:rightChars="0" w:firstLine="4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表4-33</w:t>
            </w:r>
            <w:r>
              <w:rPr>
                <w:rFonts w:hint="default" w:ascii="Times New Roman" w:hAnsi="Times New Roman" w:cs="Times New Roman"/>
                <w:color w:val="auto"/>
                <w:highlight w:val="none"/>
                <w:lang w:val="en-US" w:eastAsia="zh-CN"/>
              </w:rPr>
              <w:t>项目各生产车间厂房边界处噪声贡献值</w:t>
            </w:r>
          </w:p>
          <w:tbl>
            <w:tblPr>
              <w:tblStyle w:val="38"/>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65"/>
              <w:gridCol w:w="1332"/>
              <w:gridCol w:w="1560"/>
              <w:gridCol w:w="1820"/>
              <w:gridCol w:w="1820"/>
            </w:tblGrid>
            <w:tr w14:paraId="603C2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9" w:hRule="atLeast"/>
                <w:jc w:val="center"/>
              </w:trPr>
              <w:tc>
                <w:tcPr>
                  <w:tcW w:w="1409" w:type="pct"/>
                  <w:shd w:val="clear" w:color="auto" w:fill="FFFFFF"/>
                  <w:vAlign w:val="center"/>
                </w:tcPr>
                <w:p w14:paraId="128C5D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车间名称</w:t>
                  </w:r>
                </w:p>
              </w:tc>
              <w:tc>
                <w:tcPr>
                  <w:tcW w:w="732" w:type="pct"/>
                  <w:shd w:val="clear" w:color="auto" w:fill="FFFFFF"/>
                  <w:vAlign w:val="center"/>
                </w:tcPr>
                <w:p w14:paraId="4BD52C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车间东侧</w:t>
                  </w:r>
                </w:p>
              </w:tc>
              <w:tc>
                <w:tcPr>
                  <w:tcW w:w="857" w:type="pct"/>
                  <w:shd w:val="clear" w:color="auto" w:fill="FFFFFF"/>
                  <w:vAlign w:val="center"/>
                </w:tcPr>
                <w:p w14:paraId="3385EB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车间南侧</w:t>
                  </w:r>
                </w:p>
              </w:tc>
              <w:tc>
                <w:tcPr>
                  <w:tcW w:w="1000" w:type="pct"/>
                  <w:shd w:val="clear" w:color="auto" w:fill="FFFFFF"/>
                  <w:vAlign w:val="center"/>
                </w:tcPr>
                <w:p w14:paraId="3D8035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车间西侧</w:t>
                  </w:r>
                </w:p>
              </w:tc>
              <w:tc>
                <w:tcPr>
                  <w:tcW w:w="1000" w:type="pct"/>
                  <w:shd w:val="clear" w:color="auto" w:fill="FFFFFF"/>
                  <w:vAlign w:val="center"/>
                </w:tcPr>
                <w:p w14:paraId="59D565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车间北侧</w:t>
                  </w:r>
                </w:p>
              </w:tc>
            </w:tr>
            <w:tr w14:paraId="6A1CB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409" w:type="pct"/>
                  <w:shd w:val="clear" w:color="auto" w:fill="auto"/>
                  <w:vAlign w:val="center"/>
                </w:tcPr>
                <w:p w14:paraId="222C15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cs="Times New Roman"/>
                      <w:color w:val="auto"/>
                      <w:sz w:val="21"/>
                      <w:szCs w:val="21"/>
                      <w:highlight w:val="none"/>
                    </w:rPr>
                    <w:t>钣金</w:t>
                  </w:r>
                  <w:r>
                    <w:rPr>
                      <w:rFonts w:hint="default" w:ascii="Times New Roman" w:hAnsi="Times New Roman" w:cs="Times New Roman"/>
                      <w:color w:val="auto"/>
                      <w:sz w:val="21"/>
                      <w:szCs w:val="21"/>
                      <w:highlight w:val="none"/>
                      <w:lang w:eastAsia="zh-CN"/>
                    </w:rPr>
                    <w:t>机</w:t>
                  </w:r>
                  <w:r>
                    <w:rPr>
                      <w:rFonts w:hint="default" w:ascii="Times New Roman" w:hAnsi="Times New Roman" w:cs="Times New Roman"/>
                      <w:color w:val="auto"/>
                      <w:sz w:val="21"/>
                      <w:szCs w:val="21"/>
                      <w:highlight w:val="none"/>
                    </w:rPr>
                    <w:t>加工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rPr>
                    <w:t>铝卷表面预处理生产线</w:t>
                  </w:r>
                  <w:r>
                    <w:rPr>
                      <w:rFonts w:hint="default" w:ascii="Times New Roman" w:hAnsi="Times New Roman" w:cs="Times New Roman"/>
                      <w:color w:val="auto"/>
                      <w:sz w:val="21"/>
                      <w:szCs w:val="21"/>
                      <w:highlight w:val="none"/>
                    </w:rPr>
                    <w:t>车间</w:t>
                  </w:r>
                </w:p>
              </w:tc>
              <w:tc>
                <w:tcPr>
                  <w:tcW w:w="732" w:type="pct"/>
                  <w:shd w:val="clear" w:color="auto" w:fill="auto"/>
                  <w:vAlign w:val="center"/>
                </w:tcPr>
                <w:p w14:paraId="06B984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56</w:t>
                  </w:r>
                </w:p>
              </w:tc>
              <w:tc>
                <w:tcPr>
                  <w:tcW w:w="857" w:type="pct"/>
                  <w:shd w:val="clear" w:color="auto" w:fill="auto"/>
                  <w:vAlign w:val="center"/>
                </w:tcPr>
                <w:p w14:paraId="30E77E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56</w:t>
                  </w:r>
                </w:p>
              </w:tc>
              <w:tc>
                <w:tcPr>
                  <w:tcW w:w="1000" w:type="pct"/>
                  <w:shd w:val="clear" w:color="auto" w:fill="auto"/>
                  <w:vAlign w:val="center"/>
                </w:tcPr>
                <w:p w14:paraId="7F00B4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56</w:t>
                  </w:r>
                </w:p>
              </w:tc>
              <w:tc>
                <w:tcPr>
                  <w:tcW w:w="1000" w:type="pct"/>
                  <w:shd w:val="clear" w:color="auto" w:fill="auto"/>
                  <w:vAlign w:val="center"/>
                </w:tcPr>
                <w:p w14:paraId="676601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56</w:t>
                  </w:r>
                </w:p>
              </w:tc>
            </w:tr>
          </w:tbl>
          <w:p w14:paraId="4CEF4E45">
            <w:pPr>
              <w:keepNext w:val="0"/>
              <w:keepLines w:val="0"/>
              <w:pageBreakBefore w:val="0"/>
              <w:widowControl w:val="0"/>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textAlignment w:val="auto"/>
              <w:rPr>
                <w:rFonts w:hint="default" w:ascii="Times New Roman" w:hAnsi="Times New Roman" w:cs="Times New Roman"/>
                <w:b w:val="0"/>
                <w:bCs/>
                <w:color w:val="auto"/>
                <w:kern w:val="0"/>
                <w:sz w:val="24"/>
                <w:highlight w:val="none"/>
              </w:rPr>
            </w:pPr>
            <w:r>
              <w:rPr>
                <w:rFonts w:hint="default" w:ascii="Times New Roman" w:hAnsi="Times New Roman" w:cs="Times New Roman"/>
                <w:b w:val="0"/>
                <w:bCs/>
                <w:color w:val="auto"/>
                <w:kern w:val="0"/>
                <w:sz w:val="24"/>
                <w:highlight w:val="none"/>
              </w:rPr>
              <w:t>③</w:t>
            </w:r>
            <w:r>
              <w:rPr>
                <w:rFonts w:hint="default" w:ascii="Times New Roman" w:hAnsi="Times New Roman" w:cs="Times New Roman"/>
                <w:b w:val="0"/>
                <w:bCs/>
                <w:color w:val="auto"/>
                <w:sz w:val="24"/>
                <w:highlight w:val="none"/>
              </w:rPr>
              <w:t>项目厂界处的噪声值预测</w:t>
            </w:r>
          </w:p>
          <w:p w14:paraId="145EBAD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建筑物</w:t>
            </w:r>
            <w:r>
              <w:rPr>
                <w:rFonts w:hint="default" w:ascii="Times New Roman" w:hAnsi="Times New Roman" w:cs="Times New Roman"/>
                <w:color w:val="auto"/>
                <w:kern w:val="0"/>
                <w:sz w:val="24"/>
                <w:highlight w:val="none"/>
              </w:rPr>
              <w:t>每一面墙可以当成一个面源</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当预测点和面声源中心距离r处于以下条件时，可按下述方法近似计算：</w:t>
            </w:r>
          </w:p>
          <w:p w14:paraId="475788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r&lt;a/π时（a为车间这一侧墙面的高度），几乎不衰减（Adiv≈0），即是车间边界与厂界非常接近时，不考虑衰减，直接以该侧车间边界值作为项目厂界预测值。</w:t>
            </w:r>
          </w:p>
          <w:p w14:paraId="7081963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当a/π&lt;r&lt;b/π（a为车间这一侧墙面的高度，b为车间这一侧墙面的长度），距离加倍衰减3dB</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A</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左右，类似线声源衰减特性（Adiv≈10 lg（r/r0）），</w:t>
            </w:r>
            <w:r>
              <w:rPr>
                <w:rFonts w:hint="default" w:ascii="Times New Roman" w:hAnsi="Times New Roman" w:cs="Times New Roman"/>
                <w:color w:val="auto"/>
                <w:kern w:val="0"/>
                <w:sz w:val="24"/>
                <w:highlight w:val="none"/>
                <w:lang w:eastAsia="zh-CN"/>
              </w:rPr>
              <w:t>即</w:t>
            </w:r>
            <w:r>
              <w:rPr>
                <w:rFonts w:hint="default" w:ascii="Times New Roman" w:hAnsi="Times New Roman" w:cs="Times New Roman"/>
                <w:color w:val="auto"/>
                <w:kern w:val="0"/>
                <w:sz w:val="24"/>
                <w:highlight w:val="none"/>
              </w:rPr>
              <w:t>按照线声源计算公式，计算衰减值。</w:t>
            </w:r>
          </w:p>
          <w:p w14:paraId="42C14D6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当r&gt;b/π时（b为车间这一侧墙面的长度），距离加倍衰减趋近于6dB(A)，类似点声源衰减特性（Adiv≈20 lg（r/r0）），</w:t>
            </w:r>
            <w:r>
              <w:rPr>
                <w:rFonts w:hint="default" w:ascii="Times New Roman" w:hAnsi="Times New Roman" w:cs="Times New Roman"/>
                <w:color w:val="auto"/>
                <w:kern w:val="0"/>
                <w:sz w:val="24"/>
                <w:highlight w:val="none"/>
                <w:lang w:eastAsia="zh-CN"/>
              </w:rPr>
              <w:t>即</w:t>
            </w:r>
            <w:r>
              <w:rPr>
                <w:rFonts w:hint="default" w:ascii="Times New Roman" w:hAnsi="Times New Roman" w:cs="Times New Roman"/>
                <w:color w:val="auto"/>
                <w:kern w:val="0"/>
                <w:sz w:val="24"/>
                <w:highlight w:val="none"/>
              </w:rPr>
              <w:t>按照点声源计算公式，计算衰减值。</w:t>
            </w:r>
          </w:p>
          <w:p w14:paraId="091B8949">
            <w:pPr>
              <w:keepNext w:val="0"/>
              <w:keepLines w:val="0"/>
              <w:numPr>
                <w:ilvl w:val="0"/>
                <w:numId w:val="0"/>
              </w:numPr>
              <w:suppressLineNumbers w:val="0"/>
              <w:tabs>
                <w:tab w:val="left" w:pos="7227"/>
              </w:tabs>
              <w:autoSpaceDE w:val="0"/>
              <w:autoSpaceDN w:val="0"/>
              <w:spacing w:before="0" w:beforeAutospacing="0" w:after="0" w:afterAutospacing="0"/>
              <w:ind w:left="0" w:leftChars="0" w:right="0" w:rightChars="0" w:firstLine="40" w:firstLineChars="0"/>
              <w:jc w:val="center"/>
              <w:textAlignment w:val="baseline"/>
              <w:rPr>
                <w:rFonts w:hint="default" w:ascii="Times New Roman" w:hAnsi="Times New Roman"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lang w:val="en-US" w:eastAsia="zh-CN" w:bidi="ar-SA"/>
              </w:rPr>
              <w:t>表4-34</w:t>
            </w:r>
            <w:r>
              <w:rPr>
                <w:rFonts w:hint="default" w:ascii="Times New Roman" w:hAnsi="Times New Roman" w:cs="Times New Roman"/>
                <w:b/>
                <w:color w:val="auto"/>
                <w:kern w:val="0"/>
                <w:sz w:val="21"/>
                <w:szCs w:val="21"/>
                <w:highlight w:val="none"/>
              </w:rPr>
              <w:t>项目</w:t>
            </w:r>
            <w:r>
              <w:rPr>
                <w:rFonts w:hint="default" w:ascii="Times New Roman" w:hAnsi="Times New Roman" w:cs="Times New Roman"/>
                <w:b/>
                <w:color w:val="auto"/>
                <w:kern w:val="0"/>
                <w:sz w:val="21"/>
                <w:szCs w:val="21"/>
                <w:highlight w:val="none"/>
                <w:lang w:val="en-US" w:eastAsia="zh-CN"/>
              </w:rPr>
              <w:t>厂界</w:t>
            </w:r>
            <w:r>
              <w:rPr>
                <w:rFonts w:hint="default" w:ascii="Times New Roman" w:hAnsi="Times New Roman" w:cs="Times New Roman"/>
                <w:b/>
                <w:color w:val="auto"/>
                <w:kern w:val="0"/>
                <w:sz w:val="21"/>
                <w:szCs w:val="21"/>
                <w:highlight w:val="none"/>
              </w:rPr>
              <w:t>噪声贡献值预测结果</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570"/>
              <w:gridCol w:w="1335"/>
              <w:gridCol w:w="1564"/>
              <w:gridCol w:w="1825"/>
              <w:gridCol w:w="1825"/>
            </w:tblGrid>
            <w:tr w14:paraId="127D4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15" w:hRule="atLeast"/>
                <w:jc w:val="center"/>
              </w:trPr>
              <w:tc>
                <w:tcPr>
                  <w:tcW w:w="1409" w:type="pct"/>
                  <w:shd w:val="clear" w:color="auto" w:fill="FFFFFF"/>
                  <w:vAlign w:val="center"/>
                </w:tcPr>
                <w:p w14:paraId="3377CB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车间名称</w:t>
                  </w:r>
                </w:p>
              </w:tc>
              <w:tc>
                <w:tcPr>
                  <w:tcW w:w="732" w:type="pct"/>
                  <w:shd w:val="clear" w:color="auto" w:fill="FFFFFF"/>
                  <w:vAlign w:val="center"/>
                </w:tcPr>
                <w:p w14:paraId="34081B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厂界东侧</w:t>
                  </w:r>
                </w:p>
              </w:tc>
              <w:tc>
                <w:tcPr>
                  <w:tcW w:w="857" w:type="pct"/>
                  <w:shd w:val="clear" w:color="auto" w:fill="FFFFFF"/>
                  <w:vAlign w:val="center"/>
                </w:tcPr>
                <w:p w14:paraId="224E27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厂界南侧</w:t>
                  </w:r>
                </w:p>
              </w:tc>
              <w:tc>
                <w:tcPr>
                  <w:tcW w:w="1000" w:type="pct"/>
                  <w:shd w:val="clear" w:color="auto" w:fill="FFFFFF"/>
                  <w:vAlign w:val="center"/>
                </w:tcPr>
                <w:p w14:paraId="5B29B2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厂界西侧</w:t>
                  </w:r>
                </w:p>
              </w:tc>
              <w:tc>
                <w:tcPr>
                  <w:tcW w:w="1000" w:type="pct"/>
                  <w:shd w:val="clear" w:color="auto" w:fill="FFFFFF"/>
                  <w:vAlign w:val="center"/>
                </w:tcPr>
                <w:p w14:paraId="2EA023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厂界北侧</w:t>
                  </w:r>
                </w:p>
              </w:tc>
            </w:tr>
            <w:tr w14:paraId="248A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15" w:hRule="atLeast"/>
                <w:jc w:val="center"/>
              </w:trPr>
              <w:tc>
                <w:tcPr>
                  <w:tcW w:w="1409" w:type="pct"/>
                  <w:shd w:val="clear" w:color="auto" w:fill="auto"/>
                  <w:vAlign w:val="center"/>
                </w:tcPr>
                <w:p w14:paraId="7EADB2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等线" w:cs="Times New Roman"/>
                      <w:i w:val="0"/>
                      <w:iCs w:val="0"/>
                      <w:color w:val="auto"/>
                      <w:sz w:val="21"/>
                      <w:szCs w:val="21"/>
                      <w:highlight w:val="none"/>
                      <w:u w:val="none"/>
                    </w:rPr>
                  </w:pPr>
                  <w:r>
                    <w:rPr>
                      <w:rFonts w:hint="default" w:ascii="Times New Roman" w:hAnsi="Times New Roman" w:cs="Times New Roman"/>
                      <w:color w:val="auto"/>
                      <w:sz w:val="21"/>
                      <w:szCs w:val="21"/>
                      <w:highlight w:val="none"/>
                    </w:rPr>
                    <w:t>钣金</w:t>
                  </w:r>
                  <w:r>
                    <w:rPr>
                      <w:rFonts w:hint="default" w:ascii="Times New Roman" w:hAnsi="Times New Roman" w:cs="Times New Roman"/>
                      <w:color w:val="auto"/>
                      <w:sz w:val="21"/>
                      <w:szCs w:val="21"/>
                      <w:highlight w:val="none"/>
                      <w:lang w:eastAsia="zh-CN"/>
                    </w:rPr>
                    <w:t>机</w:t>
                  </w:r>
                  <w:r>
                    <w:rPr>
                      <w:rFonts w:hint="default" w:ascii="Times New Roman" w:hAnsi="Times New Roman" w:cs="Times New Roman"/>
                      <w:color w:val="auto"/>
                      <w:sz w:val="21"/>
                      <w:szCs w:val="21"/>
                      <w:highlight w:val="none"/>
                    </w:rPr>
                    <w:t>加工</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kern w:val="2"/>
                      <w:sz w:val="21"/>
                      <w:szCs w:val="21"/>
                      <w:highlight w:val="none"/>
                    </w:rPr>
                    <w:t>铝卷表面预处理生产线</w:t>
                  </w:r>
                  <w:r>
                    <w:rPr>
                      <w:rFonts w:hint="default" w:ascii="Times New Roman" w:hAnsi="Times New Roman" w:cs="Times New Roman"/>
                      <w:color w:val="auto"/>
                      <w:sz w:val="21"/>
                      <w:szCs w:val="21"/>
                      <w:highlight w:val="none"/>
                    </w:rPr>
                    <w:t>车间</w:t>
                  </w:r>
                </w:p>
              </w:tc>
              <w:tc>
                <w:tcPr>
                  <w:tcW w:w="732" w:type="pct"/>
                  <w:shd w:val="clear" w:color="auto" w:fill="auto"/>
                  <w:vAlign w:val="center"/>
                </w:tcPr>
                <w:p w14:paraId="6A83F3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22</w:t>
                  </w:r>
                </w:p>
              </w:tc>
              <w:tc>
                <w:tcPr>
                  <w:tcW w:w="857" w:type="pct"/>
                  <w:shd w:val="clear" w:color="auto" w:fill="auto"/>
                  <w:vAlign w:val="center"/>
                </w:tcPr>
                <w:p w14:paraId="616C23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12</w:t>
                  </w:r>
                </w:p>
              </w:tc>
              <w:tc>
                <w:tcPr>
                  <w:tcW w:w="1000" w:type="pct"/>
                  <w:shd w:val="clear" w:color="auto" w:fill="auto"/>
                  <w:vAlign w:val="center"/>
                </w:tcPr>
                <w:p w14:paraId="71C40B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22</w:t>
                  </w:r>
                </w:p>
              </w:tc>
              <w:tc>
                <w:tcPr>
                  <w:tcW w:w="1000" w:type="pct"/>
                  <w:shd w:val="clear" w:color="auto" w:fill="auto"/>
                  <w:vAlign w:val="center"/>
                </w:tcPr>
                <w:p w14:paraId="6CB1E8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等线"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26</w:t>
                  </w:r>
                </w:p>
              </w:tc>
            </w:tr>
            <w:tr w14:paraId="22597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409" w:type="pct"/>
                  <w:shd w:val="clear" w:color="auto" w:fill="auto"/>
                  <w:vAlign w:val="center"/>
                </w:tcPr>
                <w:p w14:paraId="1332B0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厂界</w:t>
                  </w:r>
                  <w:r>
                    <w:rPr>
                      <w:rFonts w:hint="default" w:ascii="Times New Roman" w:hAnsi="Times New Roman" w:cs="Times New Roman"/>
                      <w:i w:val="0"/>
                      <w:iCs w:val="0"/>
                      <w:color w:val="auto"/>
                      <w:kern w:val="0"/>
                      <w:sz w:val="21"/>
                      <w:szCs w:val="21"/>
                      <w:highlight w:val="none"/>
                      <w:u w:val="none"/>
                      <w:lang w:val="en-US" w:eastAsia="zh-CN" w:bidi="ar"/>
                    </w:rPr>
                    <w:t>叠加</w:t>
                  </w:r>
                  <w:r>
                    <w:rPr>
                      <w:rFonts w:hint="default" w:ascii="Times New Roman" w:hAnsi="Times New Roman" w:eastAsia="宋体" w:cs="Times New Roman"/>
                      <w:i w:val="0"/>
                      <w:iCs w:val="0"/>
                      <w:color w:val="auto"/>
                      <w:kern w:val="0"/>
                      <w:sz w:val="21"/>
                      <w:szCs w:val="21"/>
                      <w:highlight w:val="none"/>
                      <w:u w:val="none"/>
                      <w:lang w:val="en-US" w:eastAsia="zh-CN" w:bidi="ar"/>
                    </w:rPr>
                    <w:t>贡献值</w:t>
                  </w:r>
                </w:p>
              </w:tc>
              <w:tc>
                <w:tcPr>
                  <w:tcW w:w="1335" w:type="dxa"/>
                  <w:shd w:val="clear" w:color="auto" w:fill="auto"/>
                  <w:vAlign w:val="center"/>
                </w:tcPr>
                <w:p w14:paraId="79D3B2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w:t>
                  </w:r>
                </w:p>
              </w:tc>
              <w:tc>
                <w:tcPr>
                  <w:tcW w:w="1564" w:type="dxa"/>
                  <w:shd w:val="clear" w:color="auto" w:fill="auto"/>
                  <w:vAlign w:val="center"/>
                </w:tcPr>
                <w:p w14:paraId="32389C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w:t>
                  </w:r>
                </w:p>
              </w:tc>
              <w:tc>
                <w:tcPr>
                  <w:tcW w:w="1825" w:type="dxa"/>
                  <w:shd w:val="clear" w:color="auto" w:fill="auto"/>
                  <w:vAlign w:val="center"/>
                </w:tcPr>
                <w:p w14:paraId="41A406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w:t>
                  </w:r>
                </w:p>
              </w:tc>
              <w:tc>
                <w:tcPr>
                  <w:tcW w:w="1825" w:type="dxa"/>
                  <w:shd w:val="clear" w:color="auto" w:fill="auto"/>
                  <w:vAlign w:val="center"/>
                </w:tcPr>
                <w:p w14:paraId="01D3C8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26</w:t>
                  </w:r>
                </w:p>
              </w:tc>
            </w:tr>
          </w:tbl>
          <w:p w14:paraId="73B27379">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通过预测分析，生产噪声</w:t>
            </w:r>
            <w:r>
              <w:rPr>
                <w:rFonts w:hint="default" w:ascii="Times New Roman" w:hAnsi="Times New Roman" w:cs="Times New Roman"/>
                <w:color w:val="auto"/>
                <w:highlight w:val="none"/>
                <w:lang w:val="en-US" w:eastAsia="zh-CN"/>
              </w:rPr>
              <w:t>经过厂房内隔声以及</w:t>
            </w:r>
            <w:r>
              <w:rPr>
                <w:rFonts w:hint="default" w:ascii="Times New Roman" w:hAnsi="Times New Roman" w:cs="Times New Roman"/>
                <w:color w:val="auto"/>
                <w:highlight w:val="none"/>
              </w:rPr>
              <w:t>距离的衰减后，</w:t>
            </w:r>
            <w:r>
              <w:rPr>
                <w:rFonts w:hint="default" w:ascii="Times New Roman" w:hAnsi="Times New Roman" w:cs="Times New Roman"/>
                <w:color w:val="auto"/>
                <w:kern w:val="0"/>
                <w:highlight w:val="none"/>
              </w:rPr>
              <w:t>项目厂房厂界外1米处</w:t>
            </w:r>
            <w:r>
              <w:rPr>
                <w:rFonts w:hint="default" w:ascii="Times New Roman" w:hAnsi="Times New Roman" w:cs="Times New Roman"/>
                <w:color w:val="auto"/>
                <w:highlight w:val="none"/>
              </w:rPr>
              <w:t>可达到</w:t>
            </w:r>
            <w:r>
              <w:rPr>
                <w:rFonts w:hint="default" w:ascii="Times New Roman" w:hAnsi="Times New Roman" w:cs="Times New Roman"/>
                <w:color w:val="auto"/>
                <w:spacing w:val="-2"/>
                <w:highlight w:val="none"/>
              </w:rPr>
              <w:t>《工业企业场界环境噪声排放标准》（GB12348-2008）中的</w:t>
            </w:r>
            <w:r>
              <w:rPr>
                <w:rFonts w:hint="default" w:ascii="Times New Roman" w:hAnsi="Times New Roman" w:cs="Times New Roman"/>
                <w:color w:val="auto"/>
                <w:spacing w:val="-2"/>
                <w:highlight w:val="none"/>
                <w:lang w:val="en-US" w:eastAsia="zh-CN"/>
              </w:rPr>
              <w:t>3</w:t>
            </w:r>
            <w:r>
              <w:rPr>
                <w:rFonts w:hint="default" w:ascii="Times New Roman" w:hAnsi="Times New Roman" w:cs="Times New Roman"/>
                <w:color w:val="auto"/>
                <w:spacing w:val="-2"/>
                <w:highlight w:val="none"/>
              </w:rPr>
              <w:t>类标准</w:t>
            </w:r>
            <w:r>
              <w:rPr>
                <w:rFonts w:hint="default" w:ascii="Times New Roman" w:hAnsi="Times New Roman" w:cs="Times New Roman"/>
                <w:color w:val="auto"/>
                <w:highlight w:val="none"/>
              </w:rPr>
              <w:t>，即项目产生的噪声不会对周边环境造成太大影响。</w:t>
            </w:r>
          </w:p>
          <w:p w14:paraId="2411FEFE">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3、污染防治措施</w:t>
            </w:r>
          </w:p>
          <w:p w14:paraId="0EFCF2F3">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为确保厂界噪声满足《工业企业厂界环境噪声排放标准》（GB12348-2008）中的相应标准，项目拟采取以下</w:t>
            </w:r>
            <w:r>
              <w:rPr>
                <w:rFonts w:hint="default" w:ascii="Times New Roman" w:hAnsi="Times New Roman" w:cs="Times New Roman"/>
                <w:color w:val="auto"/>
                <w:highlight w:val="none"/>
                <w:lang w:val="en-US" w:eastAsia="zh-CN"/>
              </w:rPr>
              <w:t>噪声与振动</w:t>
            </w:r>
            <w:r>
              <w:rPr>
                <w:rFonts w:hint="default" w:ascii="Times New Roman" w:hAnsi="Times New Roman" w:cs="Times New Roman"/>
                <w:color w:val="auto"/>
                <w:highlight w:val="none"/>
              </w:rPr>
              <w:t>治理措施：</w:t>
            </w:r>
          </w:p>
          <w:p w14:paraId="1178A22E">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①合理布局：尽量将高噪声设备布置在厂房中间，尽可能地选择远离厂界的位置。</w:t>
            </w:r>
          </w:p>
          <w:p w14:paraId="220C08E0">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②落实设备基础减振以及厂房隔声：</w:t>
            </w:r>
          </w:p>
          <w:p w14:paraId="0169426F">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A、在设备选型方面，在满足工艺生产的前提下，选用精度高、装配质量好、噪声低的设备；对设备基础进行减振；</w:t>
            </w:r>
          </w:p>
          <w:p w14:paraId="3B8CA995">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B、重视厂房的使用状况，不设门窗或设隔声玻璃门窗。</w:t>
            </w:r>
          </w:p>
          <w:p w14:paraId="36E9355A">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③加强内部管理：建立设备定期维护、保养的管理制度，以防止设备故障形成的非生产噪声，同时确保环保措施发挥最有效的功能；加强职工环保意识教育，提倡文明生产，防止人为噪声。</w:t>
            </w:r>
          </w:p>
          <w:p w14:paraId="1CACCF53">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④合理安排生产时间：尽可能地安排在昼间进行生产，若夜间必须生产应控制夜间生产时间，特别夜间应停止高噪声设备，减少机械的噪声影响。</w:t>
            </w:r>
          </w:p>
          <w:p w14:paraId="5DE115EF">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⑤针对冲床、折弯机，安装减振垫（橡胶/NBR材质）或弹簧减振器，橡胶减振垫能有效吸收高频振动，降低噪音15~25dB，且安装简便，无需地脚螺栓固定；弹簧减振器则适用于低频振动隔离，通过调整预紧力可适配不同吨位设备，安装时需确保减振器与设备底座紧密连接，并定期检查螺栓紧固状态。</w:t>
            </w:r>
          </w:p>
          <w:p w14:paraId="4715F46B">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⑥通风管道采用橡胶软管或金属波纹管。橡胶软管适用于常温常压环境，但耐高温高压性较差,金属波纹管则能耐高温、高压和腐蚀，适合制冷剂管路等苛刻工况。</w:t>
            </w:r>
          </w:p>
          <w:p w14:paraId="61BF8AEE">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⑦生产设备定期进行润滑处理，定期维护轴承、齿轮，使用高粘度润滑油减少轴承、齿轮摩擦噪声，并优化轴承预紧力以减少振动源。</w:t>
            </w:r>
          </w:p>
          <w:p w14:paraId="61530906">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⑧对旋转部件（如砂轮、转子）定期进行校验，减少不平衡质量引发的振动。定期使用专业平衡机（如银箭数控设备）进行动/静平衡检测，通过添加配重块或去重调整质量分布，确保残余不平衡量符合标准。</w:t>
            </w:r>
          </w:p>
          <w:p w14:paraId="26DC40B8">
            <w:pPr>
              <w:pStyle w:val="7"/>
              <w:numPr>
                <w:ilvl w:val="0"/>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⑨针对设备外壳振动明显的设备，可在设备外壳粘贴丁基橡胶阻尼片，抑制薄板振动。</w:t>
            </w:r>
          </w:p>
          <w:p w14:paraId="609982EC">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本项目周边50米范围内不存在声环境保护目标，经采取上述的降噪措施后，预计项目厂界噪声排放可达到《工业企业厂界环境噪声排放标准》（GB12348-2008）</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类标准，噪声对声环境影响不大。</w:t>
            </w:r>
          </w:p>
          <w:p w14:paraId="4C1CFD14">
            <w:pPr>
              <w:keepNext/>
              <w:keepLines/>
              <w:suppressLineNumbers w:val="0"/>
              <w:tabs>
                <w:tab w:val="left" w:pos="0"/>
              </w:tabs>
              <w:spacing w:before="0" w:beforeAutospacing="0" w:after="0" w:afterAutospacing="0"/>
              <w:ind w:left="0" w:right="0" w:firstLine="480" w:firstLineChars="200"/>
              <w:outlineLvl w:val="3"/>
              <w:rPr>
                <w:rFonts w:hint="default" w:ascii="Times New Roman" w:hAnsi="Times New Roman" w:cs="Times New Roman"/>
                <w:color w:val="auto"/>
                <w:highlight w:val="none"/>
              </w:rPr>
            </w:pPr>
            <w:r>
              <w:rPr>
                <w:rFonts w:hint="default" w:ascii="Times New Roman" w:hAnsi="Times New Roman" w:cs="Times New Roman"/>
                <w:b/>
                <w:bCs/>
                <w:color w:val="auto"/>
                <w:highlight w:val="none"/>
              </w:rPr>
              <w:t>4、监测要求</w:t>
            </w:r>
          </w:p>
          <w:p w14:paraId="159AE78B">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根据《排污单位自行监测技术指南 总则》（HJ819-2017）</w:t>
            </w:r>
            <w:r>
              <w:rPr>
                <w:rFonts w:hint="default" w:ascii="Times New Roman" w:hAnsi="Times New Roman" w:cs="Times New Roman"/>
                <w:color w:val="auto"/>
                <w:highlight w:val="none"/>
                <w:lang w:val="en-US" w:eastAsia="zh-CN"/>
              </w:rPr>
              <w:t>和《排污许可证申请与核发技术规范 工业噪声》（HJ1301-2023）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本项目噪声</w:t>
            </w:r>
            <w:r>
              <w:rPr>
                <w:rFonts w:hint="default" w:ascii="Times New Roman" w:hAnsi="Times New Roman" w:cs="Times New Roman"/>
                <w:color w:val="auto"/>
                <w:highlight w:val="none"/>
              </w:rPr>
              <w:t>监测</w:t>
            </w:r>
            <w:r>
              <w:rPr>
                <w:rFonts w:hint="default" w:ascii="Times New Roman" w:hAnsi="Times New Roman" w:cs="Times New Roman"/>
                <w:color w:val="auto"/>
                <w:highlight w:val="none"/>
                <w:lang w:val="en-US" w:eastAsia="zh-CN"/>
              </w:rPr>
              <w:t>要求</w:t>
            </w:r>
            <w:r>
              <w:rPr>
                <w:rFonts w:hint="default" w:ascii="Times New Roman" w:hAnsi="Times New Roman" w:cs="Times New Roman"/>
                <w:color w:val="auto"/>
                <w:highlight w:val="none"/>
              </w:rPr>
              <w:t>见下表。</w:t>
            </w:r>
          </w:p>
          <w:p w14:paraId="3657C4D6">
            <w:pPr>
              <w:pStyle w:val="43"/>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表4-35</w:t>
            </w:r>
            <w:r>
              <w:rPr>
                <w:rFonts w:hint="default" w:ascii="Times New Roman" w:hAnsi="Times New Roman" w:cs="Times New Roman"/>
                <w:b/>
                <w:bCs/>
                <w:color w:val="auto"/>
                <w:sz w:val="21"/>
                <w:szCs w:val="21"/>
                <w:highlight w:val="none"/>
              </w:rPr>
              <w:t>厂界噪声监测要求</w:t>
            </w:r>
          </w:p>
          <w:tbl>
            <w:tblPr>
              <w:tblStyle w:val="39"/>
              <w:tblW w:w="49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584"/>
              <w:gridCol w:w="1593"/>
              <w:gridCol w:w="1236"/>
              <w:gridCol w:w="1347"/>
              <w:gridCol w:w="1677"/>
              <w:gridCol w:w="2660"/>
            </w:tblGrid>
            <w:tr w14:paraId="523D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669" w:hRule="atLeast"/>
                <w:jc w:val="center"/>
              </w:trPr>
              <w:tc>
                <w:tcPr>
                  <w:tcW w:w="321" w:type="pct"/>
                  <w:vAlign w:val="center"/>
                </w:tcPr>
                <w:p w14:paraId="72B353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75" w:type="pct"/>
                  <w:vAlign w:val="center"/>
                </w:tcPr>
                <w:p w14:paraId="141B69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监测点位</w:t>
                  </w:r>
                </w:p>
              </w:tc>
              <w:tc>
                <w:tcPr>
                  <w:tcW w:w="679" w:type="pct"/>
                  <w:vAlign w:val="center"/>
                </w:tcPr>
                <w:p w14:paraId="386D8E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监测指标</w:t>
                  </w:r>
                </w:p>
              </w:tc>
              <w:tc>
                <w:tcPr>
                  <w:tcW w:w="740" w:type="pct"/>
                  <w:vAlign w:val="center"/>
                </w:tcPr>
                <w:p w14:paraId="625F49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921" w:type="pct"/>
                  <w:vAlign w:val="center"/>
                </w:tcPr>
                <w:p w14:paraId="45080C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监测采样和分析方法</w:t>
                  </w:r>
                </w:p>
              </w:tc>
              <w:tc>
                <w:tcPr>
                  <w:tcW w:w="1461" w:type="pct"/>
                  <w:vAlign w:val="center"/>
                </w:tcPr>
                <w:p w14:paraId="633EB9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排放执行标准</w:t>
                  </w:r>
                </w:p>
              </w:tc>
            </w:tr>
            <w:tr w14:paraId="23A1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164" w:hRule="atLeast"/>
                <w:jc w:val="center"/>
              </w:trPr>
              <w:tc>
                <w:tcPr>
                  <w:tcW w:w="321" w:type="pct"/>
                  <w:vAlign w:val="center"/>
                </w:tcPr>
                <w:p w14:paraId="469EBA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875" w:type="pct"/>
                  <w:vAlign w:val="center"/>
                </w:tcPr>
                <w:p w14:paraId="04CC63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东、南、西、北面厂界外1米处</w:t>
                  </w:r>
                </w:p>
              </w:tc>
              <w:tc>
                <w:tcPr>
                  <w:tcW w:w="679" w:type="pct"/>
                  <w:vAlign w:val="center"/>
                </w:tcPr>
                <w:p w14:paraId="3408E0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740" w:type="pct"/>
                  <w:vAlign w:val="center"/>
                </w:tcPr>
                <w:p w14:paraId="783BFF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每季度1次，监测昼间</w:t>
                  </w:r>
                </w:p>
              </w:tc>
              <w:tc>
                <w:tcPr>
                  <w:tcW w:w="921" w:type="pct"/>
                  <w:vAlign w:val="center"/>
                </w:tcPr>
                <w:p w14:paraId="345C1B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《环境监测技术规范》</w:t>
                  </w:r>
                </w:p>
              </w:tc>
              <w:tc>
                <w:tcPr>
                  <w:tcW w:w="1461" w:type="pct"/>
                  <w:vAlign w:val="center"/>
                </w:tcPr>
                <w:p w14:paraId="11153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w:t>
                  </w:r>
                </w:p>
              </w:tc>
            </w:tr>
          </w:tbl>
          <w:p w14:paraId="1CB44527">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四、固体废物污染源</w:t>
            </w:r>
          </w:p>
          <w:p w14:paraId="0BB2568A">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1、固体废物源强</w:t>
            </w:r>
          </w:p>
          <w:p w14:paraId="0103630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本项目营运期产生的固体废物主要为生活垃圾</w:t>
            </w:r>
            <w:r>
              <w:rPr>
                <w:rFonts w:hint="eastAsia" w:cs="Times New Roman"/>
                <w:color w:val="auto"/>
                <w:highlight w:val="none"/>
                <w:lang w:eastAsia="zh-CN"/>
              </w:rPr>
              <w:t>、</w:t>
            </w:r>
            <w:r>
              <w:rPr>
                <w:rFonts w:hint="eastAsia" w:cs="Times New Roman"/>
                <w:color w:val="auto"/>
                <w:highlight w:val="none"/>
                <w:lang w:val="en-US" w:eastAsia="zh-CN"/>
              </w:rPr>
              <w:t>废油脂</w:t>
            </w:r>
            <w:r>
              <w:rPr>
                <w:rFonts w:hint="default" w:ascii="Times New Roman" w:hAnsi="Times New Roman" w:cs="Times New Roman"/>
                <w:color w:val="auto"/>
                <w:highlight w:val="none"/>
              </w:rPr>
              <w:t>、一般工业固废（包装废料、废滤芯、边角料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沉降金属粉尘</w:t>
            </w:r>
            <w:r>
              <w:rPr>
                <w:rFonts w:hint="default" w:ascii="Times New Roman" w:hAnsi="Times New Roman" w:cs="Times New Roman"/>
                <w:color w:val="auto"/>
                <w:highlight w:val="none"/>
              </w:rPr>
              <w:t>）、危险废物（废表面处理剂包装桶、预处理池泥渣、废水处理站污泥、废液压油、废机油、废机油、废液压油桶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含油废抹布、废pH调整剂包装桶、无铬钝化池废槽液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049B2C9F">
            <w:pPr>
              <w:keepNext/>
              <w:keepLines/>
              <w:suppressLineNumbers w:val="0"/>
              <w:tabs>
                <w:tab w:val="left" w:pos="0"/>
              </w:tabs>
              <w:spacing w:before="0" w:beforeAutospacing="0" w:after="0" w:afterAutospacing="0"/>
              <w:ind w:left="24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（1）生活垃圾</w:t>
            </w:r>
          </w:p>
          <w:p w14:paraId="654BE585">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150</w:t>
            </w:r>
            <w:r>
              <w:rPr>
                <w:rFonts w:hint="default" w:ascii="Times New Roman" w:hAnsi="Times New Roman" w:cs="Times New Roman"/>
                <w:color w:val="auto"/>
                <w:highlight w:val="none"/>
              </w:rPr>
              <w:t>人，在厂内</w:t>
            </w:r>
            <w:r>
              <w:rPr>
                <w:rFonts w:hint="default" w:ascii="Times New Roman" w:hAnsi="Times New Roman" w:cs="Times New Roman"/>
                <w:color w:val="auto"/>
                <w:highlight w:val="none"/>
                <w:lang w:eastAsia="zh-CN"/>
              </w:rPr>
              <w:t>食宿</w:t>
            </w:r>
            <w:r>
              <w:rPr>
                <w:rFonts w:hint="default" w:ascii="Times New Roman" w:hAnsi="Times New Roman" w:cs="Times New Roman"/>
                <w:color w:val="auto"/>
                <w:highlight w:val="none"/>
              </w:rPr>
              <w:t>，年工作300天，按每人每天生活垃圾产生量为</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kg，生活垃圾产生量为</w:t>
            </w:r>
            <w:r>
              <w:rPr>
                <w:rFonts w:hint="default" w:ascii="Times New Roman" w:hAnsi="Times New Roman" w:cs="Times New Roman"/>
                <w:color w:val="auto"/>
                <w:highlight w:val="none"/>
                <w:lang w:val="en-US" w:eastAsia="zh-CN"/>
              </w:rPr>
              <w:t>45</w:t>
            </w:r>
            <w:r>
              <w:rPr>
                <w:rFonts w:hint="default" w:ascii="Times New Roman" w:hAnsi="Times New Roman" w:cs="Times New Roman"/>
                <w:color w:val="auto"/>
                <w:highlight w:val="none"/>
              </w:rPr>
              <w:t>t/a。</w:t>
            </w:r>
          </w:p>
          <w:p w14:paraId="558D30AC">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根据《固体废物分类与代码目录》（生态环境部公告2024年第4号），其属于SW64其他垃圾（900-099-S64生活垃圾）及SW61厨余垃圾（900-002-S61餐厨垃圾）。</w:t>
            </w:r>
          </w:p>
          <w:p w14:paraId="603A65A0">
            <w:pPr>
              <w:pStyle w:val="43"/>
              <w:keepNext w:val="0"/>
              <w:keepLines w:val="0"/>
              <w:suppressLineNumbers w:val="0"/>
              <w:spacing w:before="0" w:beforeAutospacing="0" w:after="0" w:afterAutospacing="0"/>
              <w:ind w:left="0" w:right="0" w:firstLine="480" w:firstLineChars="200"/>
              <w:rPr>
                <w:rFonts w:hint="default"/>
                <w:color w:val="auto"/>
                <w:highlight w:val="none"/>
                <w:lang w:val="en-US" w:eastAsia="zh-CN"/>
              </w:rPr>
            </w:pPr>
            <w:r>
              <w:rPr>
                <w:rFonts w:hint="eastAsia" w:ascii="Times New Roman" w:cs="Times New Roman"/>
                <w:color w:val="auto"/>
                <w:highlight w:val="none"/>
                <w:lang w:val="en-US" w:eastAsia="zh-CN"/>
              </w:rPr>
              <w:t>（2）废油脂</w:t>
            </w:r>
          </w:p>
          <w:p w14:paraId="057ACF0D">
            <w:pPr>
              <w:pStyle w:val="43"/>
              <w:keepNext w:val="0"/>
              <w:keepLines w:val="0"/>
              <w:suppressLineNumbers w:val="0"/>
              <w:spacing w:before="0" w:beforeAutospacing="0" w:after="0" w:afterAutospacing="0"/>
              <w:ind w:left="0" w:right="0" w:firstLine="480" w:firstLineChars="200"/>
              <w:rPr>
                <w:rFonts w:hint="eastAsia" w:eastAsia="宋体"/>
                <w:color w:val="auto"/>
                <w:highlight w:val="none"/>
                <w:lang w:val="en-US" w:eastAsia="zh-CN"/>
              </w:rPr>
            </w:pPr>
            <w:r>
              <w:rPr>
                <w:rFonts w:hint="eastAsia"/>
                <w:bCs/>
                <w:color w:val="auto"/>
                <w:kern w:val="24"/>
                <w:highlight w:val="none"/>
              </w:rPr>
              <w:t>废油脂来源于隔油隔渣池和静电除油烟净化器，根据前文工程分析，隔油隔渣池废油脂产生量按动植物油削减量核算（</w:t>
            </w:r>
            <w:r>
              <w:rPr>
                <w:rFonts w:hint="eastAsia"/>
                <w:bCs/>
                <w:color w:val="auto"/>
                <w:kern w:val="24"/>
                <w:highlight w:val="none"/>
                <w:lang w:val="en-US" w:eastAsia="zh-CN"/>
              </w:rPr>
              <w:t>0.1624</w:t>
            </w:r>
            <w:r>
              <w:rPr>
                <w:rFonts w:hint="eastAsia"/>
                <w:bCs/>
                <w:color w:val="auto"/>
                <w:kern w:val="24"/>
                <w:highlight w:val="none"/>
              </w:rPr>
              <w:t>t/a），即本项目废油脂产生量约为</w:t>
            </w:r>
            <w:r>
              <w:rPr>
                <w:rFonts w:hint="eastAsia"/>
                <w:bCs/>
                <w:color w:val="auto"/>
                <w:kern w:val="24"/>
                <w:highlight w:val="none"/>
                <w:lang w:val="en-US" w:eastAsia="zh-CN"/>
              </w:rPr>
              <w:t>0.1624</w:t>
            </w:r>
            <w:r>
              <w:rPr>
                <w:rFonts w:hint="eastAsia"/>
                <w:bCs/>
                <w:color w:val="auto"/>
                <w:kern w:val="24"/>
                <w:highlight w:val="none"/>
              </w:rPr>
              <w:t>t/a。食堂餐厨垃圾及废油脂经收集后，交专业单位进行回收处置</w:t>
            </w:r>
            <w:r>
              <w:rPr>
                <w:rFonts w:hint="eastAsia"/>
                <w:bCs/>
                <w:color w:val="auto"/>
                <w:kern w:val="24"/>
                <w:highlight w:val="none"/>
                <w:lang w:eastAsia="zh-CN"/>
              </w:rPr>
              <w:t>。</w:t>
            </w:r>
            <w:r>
              <w:rPr>
                <w:rFonts w:hint="default" w:ascii="Times New Roman" w:hAnsi="Times New Roman" w:cs="Times New Roman"/>
                <w:color w:val="auto"/>
                <w:highlight w:val="none"/>
                <w:lang w:val="en-US" w:eastAsia="zh-CN"/>
              </w:rPr>
              <w:t>根据《固体废物分类与代码目录》（生态环境部公告2024年第4号），其属于SW61厨余垃圾（900-002-S61餐厨垃圾）</w:t>
            </w:r>
            <w:r>
              <w:rPr>
                <w:rFonts w:hint="eastAsia" w:ascii="Times New Roman" w:hAnsi="Times New Roman" w:cs="Times New Roman"/>
                <w:color w:val="auto"/>
                <w:highlight w:val="none"/>
                <w:lang w:val="en-US" w:eastAsia="zh-CN"/>
              </w:rPr>
              <w:t>。</w:t>
            </w:r>
          </w:p>
          <w:p w14:paraId="5B5A969F">
            <w:pPr>
              <w:keepNext/>
              <w:keepLines/>
              <w:numPr>
                <w:ilvl w:val="4"/>
                <w:numId w:val="0"/>
              </w:numPr>
              <w:suppressLineNumbers w:val="0"/>
              <w:tabs>
                <w:tab w:val="left" w:pos="0"/>
              </w:tabs>
              <w:spacing w:before="0" w:beforeAutospacing="0" w:after="0" w:afterAutospacing="0"/>
              <w:ind w:left="-960" w:right="0" w:firstLine="1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）一般工业固体废物</w:t>
            </w:r>
          </w:p>
          <w:p w14:paraId="7DE705B1">
            <w:pPr>
              <w:pStyle w:val="7"/>
              <w:numPr>
                <w:ilvl w:val="5"/>
                <w:numId w:val="0"/>
              </w:numPr>
              <w:suppressLineNumbers w:val="0"/>
              <w:spacing w:before="0" w:beforeAutospacing="0" w:after="0" w:afterAutospacing="0"/>
              <w:ind w:left="480" w:leftChars="20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①包装废料</w:t>
            </w:r>
          </w:p>
          <w:p w14:paraId="27F6C7D5">
            <w:pPr>
              <w:pStyle w:val="7"/>
              <w:numPr>
                <w:ilvl w:val="0"/>
                <w:numId w:val="0"/>
              </w:numPr>
              <w:suppressLineNumbers w:val="0"/>
              <w:spacing w:before="0" w:beforeAutospacing="0" w:after="0" w:afterAutospacing="0"/>
              <w:ind w:left="0" w:right="0" w:firstLine="480" w:firstLineChars="200"/>
              <w:rPr>
                <w:rFonts w:hint="default" w:ascii="Times New Roman" w:hAnsi="Times New Roman" w:cs="Times New Roman"/>
                <w:bCs/>
                <w:color w:val="auto"/>
                <w:kern w:val="24"/>
                <w:szCs w:val="24"/>
                <w:highlight w:val="none"/>
              </w:rPr>
            </w:pPr>
            <w:r>
              <w:rPr>
                <w:rFonts w:hint="default" w:ascii="Times New Roman" w:hAnsi="Times New Roman" w:cs="Times New Roman"/>
                <w:color w:val="auto"/>
                <w:highlight w:val="none"/>
              </w:rPr>
              <w:t>主要为项目原辅材料的包装材料，主要为纸箱、包装绳、塑料袋等，产生量约为</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t/a，属于一般工业固废，</w:t>
            </w:r>
            <w:r>
              <w:rPr>
                <w:rFonts w:hint="default" w:ascii="Times New Roman" w:hAnsi="Times New Roman" w:cs="Times New Roman"/>
                <w:color w:val="auto"/>
                <w:szCs w:val="24"/>
                <w:highlight w:val="none"/>
              </w:rPr>
              <w:t>属于</w:t>
            </w:r>
            <w:r>
              <w:rPr>
                <w:rFonts w:hint="default" w:ascii="Times New Roman" w:hAnsi="Times New Roman" w:cs="Times New Roman"/>
                <w:color w:val="auto"/>
                <w:highlight w:val="none"/>
                <w:lang w:val="en-US" w:eastAsia="zh-CN"/>
              </w:rPr>
              <w:t>《固体废物分类与代码目录》（生态环境部公告 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szCs w:val="24"/>
                <w:highlight w:val="none"/>
              </w:rPr>
              <w:t>，代码</w:t>
            </w:r>
            <w:r>
              <w:rPr>
                <w:rFonts w:hint="default" w:ascii="Times New Roman" w:hAnsi="Times New Roman" w:cs="Times New Roman"/>
                <w:color w:val="auto"/>
                <w:szCs w:val="24"/>
                <w:highlight w:val="none"/>
                <w:lang w:val="en-US" w:eastAsia="zh-CN"/>
              </w:rPr>
              <w:t>分别</w:t>
            </w:r>
            <w:r>
              <w:rPr>
                <w:rFonts w:hint="default" w:ascii="Times New Roman" w:hAnsi="Times New Roman" w:cs="Times New Roman"/>
                <w:color w:val="auto"/>
                <w:szCs w:val="24"/>
                <w:highlight w:val="none"/>
              </w:rPr>
              <w:t>为</w:t>
            </w:r>
            <w:r>
              <w:rPr>
                <w:rFonts w:hint="default" w:ascii="Times New Roman" w:hAnsi="Times New Roman" w:cs="Times New Roman"/>
                <w:color w:val="auto"/>
                <w:szCs w:val="24"/>
                <w:highlight w:val="none"/>
                <w:lang w:val="en-US" w:eastAsia="zh-CN"/>
              </w:rPr>
              <w:t>900-003-S17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废塑料</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900-005-S17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废纸</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900-007-S17</w:t>
            </w:r>
            <w:r>
              <w:rPr>
                <w:rFonts w:hint="default" w:ascii="Times New Roman" w:hAnsi="Times New Roman" w:cs="Times New Roman"/>
                <w:color w:val="auto"/>
                <w:szCs w:val="24"/>
                <w:highlight w:val="none"/>
              </w:rPr>
              <w:t>（</w:t>
            </w:r>
            <w:r>
              <w:rPr>
                <w:rFonts w:hint="default" w:ascii="Times New Roman" w:hAnsi="Times New Roman" w:cs="Times New Roman"/>
                <w:color w:val="auto"/>
                <w:szCs w:val="24"/>
                <w:highlight w:val="none"/>
                <w:lang w:val="en-US" w:eastAsia="zh-CN"/>
              </w:rPr>
              <w:t>废纺织品</w:t>
            </w:r>
            <w:r>
              <w:rPr>
                <w:rFonts w:hint="default" w:ascii="Times New Roman" w:hAnsi="Times New Roman" w:cs="Times New Roman"/>
                <w:color w:val="auto"/>
                <w:szCs w:val="24"/>
                <w:highlight w:val="none"/>
              </w:rPr>
              <w:t>），统一收集后</w:t>
            </w:r>
            <w:r>
              <w:rPr>
                <w:rFonts w:hint="default" w:ascii="Times New Roman" w:hAnsi="Times New Roman" w:cs="Times New Roman"/>
                <w:color w:val="auto"/>
                <w:highlight w:val="none"/>
              </w:rPr>
              <w:t>外售至资源回收利用单位。</w:t>
            </w:r>
          </w:p>
          <w:p w14:paraId="42A1DCE0">
            <w:pPr>
              <w:keepNext w:val="0"/>
              <w:keepLines w:val="0"/>
              <w:suppressLineNumbers w:val="0"/>
              <w:spacing w:before="0" w:beforeAutospacing="0" w:after="0" w:afterAutospacing="0"/>
              <w:ind w:left="0" w:right="0" w:firstLine="480" w:firstLineChars="200"/>
              <w:rPr>
                <w:rFonts w:hint="default" w:ascii="Times New Roman" w:hAnsi="Times New Roman" w:cs="Times New Roman"/>
                <w:b/>
                <w:color w:val="auto"/>
                <w:kern w:val="24"/>
                <w:highlight w:val="none"/>
              </w:rPr>
            </w:pPr>
            <w:r>
              <w:rPr>
                <w:rFonts w:hint="default" w:ascii="Times New Roman" w:hAnsi="Times New Roman" w:cs="Times New Roman"/>
                <w:b/>
                <w:color w:val="auto"/>
                <w:kern w:val="24"/>
                <w:highlight w:val="none"/>
              </w:rPr>
              <w:t>②废滤芯</w:t>
            </w:r>
          </w:p>
          <w:p w14:paraId="66520D82">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本项目焊接烟尘采用“移动式焊烟净化器”过滤回</w:t>
            </w:r>
            <w:r>
              <w:rPr>
                <w:rFonts w:hint="default" w:ascii="Times New Roman" w:hAnsi="Times New Roman" w:cs="Times New Roman"/>
                <w:color w:val="auto"/>
                <w:highlight w:val="none"/>
                <w:lang w:eastAsia="zh-CN"/>
              </w:rPr>
              <w:t>收和打磨、抛光粉尘采用“密闭工作台集尘+大旋风+滤芯式二级回收系统”处理，该</w:t>
            </w:r>
            <w:r>
              <w:rPr>
                <w:rFonts w:hint="default" w:ascii="Times New Roman" w:hAnsi="Times New Roman" w:cs="Times New Roman"/>
                <w:color w:val="auto"/>
                <w:highlight w:val="none"/>
              </w:rPr>
              <w:t>装置每年更换一次滤芯，会产生废滤芯，年产生量0.0</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t/a，属于一般固废，</w:t>
            </w:r>
            <w:r>
              <w:rPr>
                <w:rFonts w:hint="default" w:ascii="Times New Roman" w:hAnsi="Times New Roman" w:cs="Times New Roman"/>
                <w:color w:val="auto"/>
                <w:highlight w:val="none"/>
                <w:lang w:val="en-US" w:eastAsia="zh-CN"/>
              </w:rPr>
              <w:t>为《固体废物分类与代码目录》（生态环境部公告2024年第4号）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highlight w:val="none"/>
              </w:rPr>
              <w:t>，代码为900-099-S17，统一收集后外售至资源回收利用单位。</w:t>
            </w:r>
          </w:p>
          <w:p w14:paraId="3EBA203C">
            <w:pPr>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③边角料</w:t>
            </w:r>
          </w:p>
          <w:p w14:paraId="75BC355F">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szCs w:val="24"/>
                <w:highlight w:val="none"/>
              </w:rPr>
            </w:pPr>
            <w:r>
              <w:rPr>
                <w:rFonts w:hint="default" w:ascii="Times New Roman" w:hAnsi="Times New Roman" w:cs="Times New Roman"/>
                <w:color w:val="auto"/>
                <w:highlight w:val="none"/>
              </w:rPr>
              <w:t>本项目机加工过程会产生少量边角料，产生量约为</w:t>
            </w:r>
            <w:r>
              <w:rPr>
                <w:rFonts w:hint="default" w:ascii="Times New Roman" w:hAnsi="Times New Roman" w:cs="Times New Roman"/>
                <w:color w:val="auto"/>
                <w:highlight w:val="none"/>
                <w:lang w:val="en-US" w:eastAsia="zh-CN"/>
              </w:rPr>
              <w:t>215</w:t>
            </w:r>
            <w:r>
              <w:rPr>
                <w:rFonts w:hint="default" w:ascii="Times New Roman" w:hAnsi="Times New Roman" w:cs="Times New Roman"/>
                <w:color w:val="auto"/>
                <w:highlight w:val="none"/>
              </w:rPr>
              <w:t>t/a，属于一般工业固体废物，属于一般固废，</w:t>
            </w:r>
            <w:r>
              <w:rPr>
                <w:rFonts w:hint="default" w:ascii="Times New Roman" w:hAnsi="Times New Roman" w:cs="Times New Roman"/>
                <w:color w:val="auto"/>
                <w:highlight w:val="none"/>
                <w:lang w:val="en-US" w:eastAsia="zh-CN"/>
              </w:rPr>
              <w:t>为《固体废物分类与代码目录》（生态环境部公告2024年第4号）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highlight w:val="none"/>
              </w:rPr>
              <w:t>，代码为900-0</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-S17</w:t>
            </w:r>
            <w:r>
              <w:rPr>
                <w:rFonts w:hint="default" w:ascii="Times New Roman" w:hAnsi="Times New Roman" w:cs="Times New Roman"/>
                <w:color w:val="auto"/>
                <w:highlight w:val="none"/>
                <w:lang w:eastAsia="zh-CN"/>
              </w:rPr>
              <w:t>（废</w:t>
            </w:r>
            <w:r>
              <w:rPr>
                <w:rFonts w:hint="default" w:ascii="Times New Roman" w:hAnsi="Times New Roman" w:cs="Times New Roman"/>
                <w:color w:val="auto"/>
                <w:highlight w:val="none"/>
                <w:lang w:val="en-US" w:eastAsia="zh-CN"/>
              </w:rPr>
              <w:t>有色金属</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，除去焊接工序使用的</w:t>
            </w:r>
            <w:r>
              <w:rPr>
                <w:rFonts w:hint="default" w:ascii="Times New Roman" w:hAnsi="Times New Roman" w:cs="Times New Roman"/>
                <w:color w:val="auto"/>
                <w:highlight w:val="none"/>
                <w:lang w:val="en-US" w:eastAsia="zh-CN"/>
              </w:rPr>
              <w:t>6.08</w:t>
            </w:r>
            <w:r>
              <w:rPr>
                <w:rFonts w:hint="default" w:ascii="Times New Roman" w:hAnsi="Times New Roman" w:cs="Times New Roman"/>
                <w:color w:val="auto"/>
                <w:highlight w:val="none"/>
              </w:rPr>
              <w:t>t边角料，剩余</w:t>
            </w:r>
            <w:r>
              <w:rPr>
                <w:rFonts w:hint="default" w:ascii="Times New Roman" w:hAnsi="Times New Roman" w:cs="Times New Roman"/>
                <w:color w:val="auto"/>
                <w:highlight w:val="none"/>
                <w:lang w:val="en-US" w:eastAsia="zh-CN"/>
              </w:rPr>
              <w:t>208.92</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val="en-US" w:eastAsia="zh-CN"/>
              </w:rPr>
              <w:t>同时考虑到焊接边角料会产生焊渣，</w:t>
            </w:r>
            <w:r>
              <w:rPr>
                <w:rFonts w:hint="default" w:ascii="Times New Roman" w:hAnsi="Times New Roman" w:cs="Times New Roman"/>
                <w:color w:val="auto"/>
                <w:highlight w:val="none"/>
              </w:rPr>
              <w:t>焊渣约占焊材用量5%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计算焊渣产生量为0.3t/a，本项目将焊渣按作</w:t>
            </w:r>
            <w:r>
              <w:rPr>
                <w:rFonts w:hint="default" w:ascii="Times New Roman" w:hAnsi="Times New Roman" w:cs="Times New Roman"/>
                <w:color w:val="auto"/>
                <w:highlight w:val="none"/>
              </w:rPr>
              <w:t>边角料</w:t>
            </w:r>
            <w:r>
              <w:rPr>
                <w:rFonts w:hint="default" w:ascii="Times New Roman" w:hAnsi="Times New Roman" w:cs="Times New Roman"/>
                <w:color w:val="auto"/>
                <w:highlight w:val="none"/>
                <w:lang w:val="en-US" w:eastAsia="zh-CN"/>
              </w:rPr>
              <w:t>处理，计算得本项目边角料产生量为209.22t/a，边角料</w:t>
            </w:r>
            <w:r>
              <w:rPr>
                <w:rFonts w:hint="default" w:ascii="Times New Roman" w:hAnsi="Times New Roman" w:cs="Times New Roman"/>
                <w:color w:val="auto"/>
                <w:highlight w:val="none"/>
              </w:rPr>
              <w:t>统一收集后外售至资源回收利用单位。</w:t>
            </w:r>
          </w:p>
          <w:p w14:paraId="632D1509">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rPr>
              <w:t>④</w:t>
            </w:r>
            <w:r>
              <w:rPr>
                <w:rFonts w:hint="default" w:ascii="Times New Roman" w:hAnsi="Times New Roman" w:cs="Times New Roman"/>
                <w:b/>
                <w:bCs/>
                <w:color w:val="auto"/>
                <w:highlight w:val="none"/>
                <w:lang w:val="en-US" w:eastAsia="zh-CN"/>
              </w:rPr>
              <w:t>沉降金属粉尘和除尘器收集粉尘</w:t>
            </w:r>
          </w:p>
          <w:p w14:paraId="187D923F">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本项目打磨、抛光粉尘比重和粒径较大，一般会沉降到工作台周边，根据上文计算，沉降金属粉尘产生量为15.08t/a，除尘器收集粉尘</w:t>
            </w:r>
            <w:r>
              <w:rPr>
                <w:rFonts w:hint="eastAsia" w:ascii="Times New Roman" w:cs="Times New Roman"/>
                <w:b w:val="0"/>
                <w:bCs w:val="0"/>
                <w:color w:val="auto"/>
                <w:highlight w:val="none"/>
                <w:lang w:val="en-US" w:eastAsia="zh-CN"/>
              </w:rPr>
              <w:t>处理</w:t>
            </w:r>
            <w:r>
              <w:rPr>
                <w:rFonts w:hint="default" w:ascii="Times New Roman" w:hAnsi="Times New Roman" w:cs="Times New Roman"/>
                <w:b w:val="0"/>
                <w:bCs w:val="0"/>
                <w:color w:val="auto"/>
                <w:highlight w:val="none"/>
                <w:lang w:val="en-US" w:eastAsia="zh-CN"/>
              </w:rPr>
              <w:t>量约为</w:t>
            </w:r>
            <w:r>
              <w:rPr>
                <w:rFonts w:hint="eastAsia" w:ascii="Times New Roman" w:cs="Times New Roman"/>
                <w:b w:val="0"/>
                <w:bCs w:val="0"/>
                <w:color w:val="auto"/>
                <w:highlight w:val="none"/>
                <w:lang w:val="en-US" w:eastAsia="zh-CN"/>
              </w:rPr>
              <w:t>3.215</w:t>
            </w:r>
            <w:r>
              <w:rPr>
                <w:rFonts w:hint="default" w:ascii="Times New Roman" w:hAnsi="Times New Roman" w:cs="Times New Roman"/>
                <w:b w:val="0"/>
                <w:bCs w:val="0"/>
                <w:color w:val="auto"/>
                <w:highlight w:val="none"/>
                <w:lang w:val="en-US" w:eastAsia="zh-CN"/>
              </w:rPr>
              <w:t>t/a、焊烟净化器收集粉尘量为0.037t/a，合计为</w:t>
            </w:r>
            <w:r>
              <w:rPr>
                <w:rFonts w:hint="eastAsia" w:ascii="Times New Roman" w:cs="Times New Roman"/>
                <w:b w:val="0"/>
                <w:bCs w:val="0"/>
                <w:color w:val="auto"/>
                <w:highlight w:val="none"/>
                <w:lang w:val="en-US" w:eastAsia="zh-CN"/>
              </w:rPr>
              <w:t>18.332</w:t>
            </w:r>
            <w:r>
              <w:rPr>
                <w:rFonts w:hint="default" w:ascii="Times New Roman" w:hAnsi="Times New Roman" w:cs="Times New Roman"/>
                <w:b w:val="0"/>
                <w:bCs w:val="0"/>
                <w:color w:val="auto"/>
                <w:highlight w:val="none"/>
                <w:lang w:val="en-US" w:eastAsia="zh-CN"/>
              </w:rPr>
              <w:t>t/a，</w:t>
            </w:r>
            <w:r>
              <w:rPr>
                <w:rFonts w:hint="default" w:ascii="Times New Roman" w:hAnsi="Times New Roman" w:cs="Times New Roman"/>
                <w:b w:val="0"/>
                <w:bCs w:val="0"/>
                <w:color w:val="auto"/>
                <w:highlight w:val="none"/>
              </w:rPr>
              <w:t>属</w:t>
            </w:r>
            <w:r>
              <w:rPr>
                <w:rFonts w:hint="default" w:ascii="Times New Roman" w:hAnsi="Times New Roman" w:cs="Times New Roman"/>
                <w:color w:val="auto"/>
                <w:highlight w:val="none"/>
              </w:rPr>
              <w:t>于一般固废，</w:t>
            </w:r>
            <w:r>
              <w:rPr>
                <w:rFonts w:hint="default" w:ascii="Times New Roman" w:hAnsi="Times New Roman" w:cs="Times New Roman"/>
                <w:color w:val="auto"/>
                <w:highlight w:val="none"/>
                <w:lang w:val="en-US" w:eastAsia="zh-CN"/>
              </w:rPr>
              <w:t>为《固体废物分类与代码目录》（生态环境部公告2024年第4号）</w:t>
            </w:r>
            <w:r>
              <w:rPr>
                <w:rFonts w:hint="default" w:ascii="Times New Roman" w:hAnsi="Times New Roman" w:cs="Times New Roman"/>
                <w:color w:val="auto"/>
                <w:szCs w:val="24"/>
                <w:highlight w:val="none"/>
                <w:lang w:val="en-US" w:eastAsia="zh-CN"/>
              </w:rPr>
              <w:t>中的“SW17可再生类废物”</w:t>
            </w:r>
            <w:r>
              <w:rPr>
                <w:rFonts w:hint="default" w:ascii="Times New Roman" w:hAnsi="Times New Roman" w:cs="Times New Roman"/>
                <w:color w:val="auto"/>
                <w:highlight w:val="none"/>
              </w:rPr>
              <w:t>，代码为900-0</w:t>
            </w:r>
            <w:r>
              <w:rPr>
                <w:rFonts w:hint="default" w:ascii="Times New Roman" w:hAnsi="Times New Roman" w:cs="Times New Roman"/>
                <w:color w:val="auto"/>
                <w:highlight w:val="none"/>
                <w:lang w:val="en-US" w:eastAsia="zh-CN"/>
              </w:rPr>
              <w:t>02</w:t>
            </w:r>
            <w:r>
              <w:rPr>
                <w:rFonts w:hint="default" w:ascii="Times New Roman" w:hAnsi="Times New Roman" w:cs="Times New Roman"/>
                <w:color w:val="auto"/>
                <w:highlight w:val="none"/>
              </w:rPr>
              <w:t>-S17</w:t>
            </w:r>
            <w:r>
              <w:rPr>
                <w:rFonts w:hint="default" w:ascii="Times New Roman" w:hAnsi="Times New Roman" w:cs="Times New Roman"/>
                <w:color w:val="auto"/>
                <w:highlight w:val="none"/>
                <w:lang w:eastAsia="zh-CN"/>
              </w:rPr>
              <w:t>（废</w:t>
            </w:r>
            <w:r>
              <w:rPr>
                <w:rFonts w:hint="default" w:ascii="Times New Roman" w:hAnsi="Times New Roman" w:cs="Times New Roman"/>
                <w:color w:val="auto"/>
                <w:highlight w:val="none"/>
                <w:lang w:val="en-US" w:eastAsia="zh-CN"/>
              </w:rPr>
              <w:t>有色金属</w:t>
            </w:r>
            <w:r>
              <w:rPr>
                <w:rFonts w:hint="default" w:ascii="Times New Roman" w:hAnsi="Times New Roman" w:cs="Times New Roman"/>
                <w:color w:val="auto"/>
                <w:highlight w:val="none"/>
                <w:lang w:eastAsia="zh-CN"/>
              </w:rPr>
              <w:t>），沉降金属粉尘和除尘器收集粉尘</w:t>
            </w:r>
            <w:r>
              <w:rPr>
                <w:rFonts w:hint="default" w:ascii="Times New Roman" w:hAnsi="Times New Roman" w:cs="Times New Roman"/>
                <w:color w:val="auto"/>
                <w:highlight w:val="none"/>
              </w:rPr>
              <w:t>统一收集后外售至资源回收利用单位。</w:t>
            </w:r>
          </w:p>
          <w:p w14:paraId="68A4245C">
            <w:pPr>
              <w:keepNext/>
              <w:keepLines/>
              <w:numPr>
                <w:ilvl w:val="4"/>
                <w:numId w:val="0"/>
              </w:numPr>
              <w:suppressLineNumbers w:val="0"/>
              <w:tabs>
                <w:tab w:val="left" w:pos="0"/>
              </w:tabs>
              <w:spacing w:before="0" w:beforeAutospacing="0" w:after="0" w:afterAutospacing="0"/>
              <w:ind w:left="0" w:right="0" w:firstLine="480" w:firstLineChars="20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）危险废物</w:t>
            </w:r>
          </w:p>
          <w:p w14:paraId="52FDE33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危险废物类别根据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进行辨识，分类收集后委托危险废物资质单位处理。</w:t>
            </w:r>
          </w:p>
          <w:p w14:paraId="651D627F">
            <w:pPr>
              <w:pStyle w:val="7"/>
              <w:numPr>
                <w:ilvl w:val="5"/>
                <w:numId w:val="0"/>
              </w:numPr>
              <w:suppressLineNumbers w:val="0"/>
              <w:spacing w:before="0" w:beforeAutospacing="0" w:after="0" w:afterAutospacing="0"/>
              <w:ind w:left="480" w:leftChars="200" w:right="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①废表面处理剂包装桶</w:t>
            </w:r>
          </w:p>
          <w:p w14:paraId="4C1A2EF9">
            <w:pPr>
              <w:pStyle w:val="7"/>
              <w:numPr>
                <w:ilvl w:val="5"/>
                <w:numId w:val="0"/>
              </w:numPr>
              <w:suppressLineNumbers w:val="0"/>
              <w:spacing w:before="0" w:beforeAutospacing="0" w:after="0" w:afterAutospacing="0"/>
              <w:ind w:left="0" w:right="0"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项目预处理表面处理剂包括碱性除油剂、无铬钝化剂，表面处理剂使用完后会产生废表面处理剂包装桶，合计</w:t>
            </w:r>
            <w:r>
              <w:rPr>
                <w:rFonts w:hint="default" w:ascii="Times New Roman" w:hAnsi="Times New Roman" w:cs="Times New Roman"/>
                <w:color w:val="auto"/>
                <w:kern w:val="0"/>
                <w:sz w:val="24"/>
                <w:szCs w:val="24"/>
                <w:highlight w:val="none"/>
                <w:lang w:val="en-US" w:eastAsia="zh-CN" w:bidi="ar-SA"/>
              </w:rPr>
              <w:t>0.46</w:t>
            </w:r>
            <w:r>
              <w:rPr>
                <w:rFonts w:hint="default" w:ascii="Times New Roman" w:hAnsi="Times New Roman" w:eastAsia="宋体" w:cs="Times New Roman"/>
                <w:color w:val="auto"/>
                <w:kern w:val="0"/>
                <w:sz w:val="24"/>
                <w:szCs w:val="24"/>
                <w:highlight w:val="none"/>
                <w:lang w:val="en-US" w:eastAsia="zh-CN" w:bidi="ar-SA"/>
              </w:rPr>
              <w:t>t/a（约</w:t>
            </w:r>
            <w:r>
              <w:rPr>
                <w:rFonts w:hint="default" w:ascii="Times New Roman" w:hAnsi="Times New Roman" w:cs="Times New Roman"/>
                <w:color w:val="auto"/>
                <w:kern w:val="0"/>
                <w:sz w:val="24"/>
                <w:szCs w:val="24"/>
                <w:highlight w:val="none"/>
                <w:lang w:val="en-US" w:eastAsia="zh-CN" w:bidi="ar-SA"/>
              </w:rPr>
              <w:t>920</w:t>
            </w:r>
            <w:r>
              <w:rPr>
                <w:rFonts w:hint="default" w:ascii="Times New Roman" w:hAnsi="Times New Roman" w:eastAsia="宋体" w:cs="Times New Roman"/>
                <w:color w:val="auto"/>
                <w:kern w:val="0"/>
                <w:sz w:val="24"/>
                <w:szCs w:val="24"/>
                <w:highlight w:val="none"/>
                <w:lang w:val="en-US" w:eastAsia="zh-CN" w:bidi="ar-SA"/>
              </w:rPr>
              <w:t>个，废空桶平均重0.5kg/个）。属于</w:t>
            </w:r>
            <w:r>
              <w:rPr>
                <w:rFonts w:hint="default" w:ascii="Times New Roman" w:hAnsi="Times New Roman" w:cs="Times New Roman"/>
                <w:color w:val="auto"/>
                <w:kern w:val="0"/>
                <w:sz w:val="24"/>
                <w:szCs w:val="24"/>
                <w:highlight w:val="none"/>
                <w:lang w:val="en-US" w:eastAsia="zh-CN" w:bidi="ar-SA"/>
              </w:rPr>
              <w:t>《国家危险废物名录》（2025年版）</w:t>
            </w:r>
            <w:r>
              <w:rPr>
                <w:rFonts w:hint="default" w:ascii="Times New Roman" w:hAnsi="Times New Roman" w:eastAsia="宋体" w:cs="Times New Roman"/>
                <w:color w:val="auto"/>
                <w:kern w:val="0"/>
                <w:sz w:val="24"/>
                <w:szCs w:val="24"/>
                <w:highlight w:val="none"/>
                <w:lang w:val="en-US" w:eastAsia="zh-CN" w:bidi="ar-SA"/>
              </w:rPr>
              <w:t>中编号为HW49危险废物，废物代码900-041-49。收集后交由有相应危险废物处理资质的单位处理。</w:t>
            </w:r>
          </w:p>
          <w:p w14:paraId="1480B662">
            <w:pPr>
              <w:pStyle w:val="45"/>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②预处理池泥渣</w:t>
            </w:r>
          </w:p>
          <w:p w14:paraId="27E81FC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项目设有表面前处理线，设有除油池、</w:t>
            </w:r>
            <w:r>
              <w:rPr>
                <w:rFonts w:hint="default" w:ascii="Times New Roman" w:hAnsi="Times New Roman" w:cs="Times New Roman"/>
                <w:color w:val="auto"/>
                <w:highlight w:val="none"/>
                <w:lang w:val="en-US" w:eastAsia="zh-CN"/>
              </w:rPr>
              <w:t>水洗池</w:t>
            </w:r>
            <w:r>
              <w:rPr>
                <w:rFonts w:hint="default" w:ascii="Times New Roman" w:hAnsi="Times New Roman" w:cs="Times New Roman"/>
                <w:color w:val="auto"/>
                <w:highlight w:val="none"/>
              </w:rPr>
              <w:t>等对工件进行表面</w:t>
            </w:r>
            <w:r>
              <w:rPr>
                <w:rFonts w:hint="default" w:ascii="Times New Roman" w:hAnsi="Times New Roman" w:cs="Times New Roman"/>
                <w:color w:val="auto"/>
                <w:highlight w:val="none"/>
                <w:lang w:val="en-US" w:eastAsia="zh-CN"/>
              </w:rPr>
              <w:t>处理</w:t>
            </w:r>
            <w:r>
              <w:rPr>
                <w:rFonts w:hint="default" w:ascii="Times New Roman" w:hAnsi="Times New Roman" w:cs="Times New Roman"/>
                <w:color w:val="auto"/>
                <w:highlight w:val="none"/>
              </w:rPr>
              <w:t>，根据水质情况整体更换并清渣</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根据企业提供的生产经验和行业相关类比分析，本项目预处理池泥渣预计产生量为</w:t>
            </w:r>
            <w:r>
              <w:rPr>
                <w:rFonts w:hint="default" w:ascii="Times New Roman" w:hAnsi="Times New Roman" w:cs="Times New Roman"/>
                <w:color w:val="auto"/>
                <w:highlight w:val="none"/>
                <w:lang w:val="en-US" w:eastAsia="zh-CN"/>
              </w:rPr>
              <w:t>0.5t</w:t>
            </w:r>
            <w:r>
              <w:rPr>
                <w:rFonts w:hint="default" w:ascii="Times New Roman" w:hAnsi="Times New Roman" w:cs="Times New Roman"/>
                <w:color w:val="auto"/>
                <w:highlight w:val="none"/>
              </w:rPr>
              <w:t>/a。属于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中编号为HW17危险废物，危废代码336-064-17，收集后交由有危废处理资质单位处理。</w:t>
            </w:r>
          </w:p>
          <w:p w14:paraId="4F246E61">
            <w:pPr>
              <w:pStyle w:val="7"/>
              <w:numPr>
                <w:ilvl w:val="5"/>
                <w:numId w:val="0"/>
              </w:numPr>
              <w:suppressLineNumbers w:val="0"/>
              <w:spacing w:before="0" w:beforeAutospacing="0" w:after="0" w:afterAutospacing="0"/>
              <w:ind w:left="480" w:leftChars="200" w:right="0"/>
              <w:rPr>
                <w:rFonts w:hint="default" w:ascii="Times New Roman" w:hAnsi="Times New Roman" w:cs="Times New Roman"/>
                <w:b/>
                <w:bCs/>
                <w:color w:val="auto"/>
                <w:highlight w:val="none"/>
              </w:rPr>
            </w:pPr>
            <w:r>
              <w:rPr>
                <w:rFonts w:hint="default" w:ascii="Times New Roman" w:hAnsi="Times New Roman" w:cs="Times New Roman"/>
                <w:b/>
                <w:bCs/>
                <w:color w:val="auto"/>
                <w:szCs w:val="24"/>
                <w:highlight w:val="none"/>
              </w:rPr>
              <w:t>③废水处理站</w:t>
            </w:r>
            <w:r>
              <w:rPr>
                <w:rFonts w:hint="default" w:ascii="Times New Roman" w:hAnsi="Times New Roman" w:cs="Times New Roman"/>
                <w:b/>
                <w:bCs/>
                <w:color w:val="auto"/>
                <w:highlight w:val="none"/>
              </w:rPr>
              <w:t>污泥</w:t>
            </w:r>
          </w:p>
          <w:p w14:paraId="6D5418E2">
            <w:pPr>
              <w:pStyle w:val="1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kern w:val="24"/>
                <w:sz w:val="24"/>
                <w:szCs w:val="24"/>
                <w:highlight w:val="none"/>
              </w:rPr>
            </w:pPr>
            <w:r>
              <w:rPr>
                <w:rFonts w:hint="default" w:ascii="Times New Roman" w:hAnsi="Times New Roman" w:cs="Times New Roman"/>
                <w:b w:val="0"/>
                <w:bCs w:val="0"/>
                <w:color w:val="auto"/>
                <w:kern w:val="24"/>
                <w:sz w:val="24"/>
                <w:szCs w:val="24"/>
                <w:highlight w:val="none"/>
                <w:lang w:val="en-US" w:eastAsia="zh-CN"/>
              </w:rPr>
              <w:t>根据公式：</w:t>
            </w:r>
            <w:r>
              <w:rPr>
                <w:rFonts w:hint="default" w:ascii="Times New Roman" w:hAnsi="Times New Roman" w:eastAsia="宋体" w:cs="Times New Roman"/>
                <w:i w:val="0"/>
                <w:iCs w:val="0"/>
                <w:caps w:val="0"/>
                <w:color w:val="auto"/>
                <w:spacing w:val="0"/>
                <w:sz w:val="24"/>
                <w:szCs w:val="24"/>
                <w:highlight w:val="none"/>
                <w:shd w:val="clear" w:fill="FFFFFF"/>
              </w:rPr>
              <w:t>干污泥量（t/a）=</w:t>
            </w:r>
            <w:r>
              <w:rPr>
                <w:rFonts w:hint="default" w:ascii="Times New Roman" w:hAnsi="Times New Roman" w:eastAsia="宋体" w:cs="Times New Roman"/>
                <w:i/>
                <w:iCs/>
                <w:caps w:val="0"/>
                <w:color w:val="auto"/>
                <w:spacing w:val="0"/>
                <w:sz w:val="24"/>
                <w:szCs w:val="24"/>
                <w:highlight w:val="none"/>
                <w:shd w:val="clear" w:fill="FFFFFF"/>
              </w:rPr>
              <w:t>Q</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i/>
                <w:iCs/>
                <w:caps w:val="0"/>
                <w:color w:val="auto"/>
                <w:spacing w:val="0"/>
                <w:sz w:val="24"/>
                <w:szCs w:val="24"/>
                <w:highlight w:val="none"/>
                <w:shd w:val="clear" w:fill="FFFFFF"/>
              </w:rPr>
              <w:t>C</w:t>
            </w:r>
            <w:r>
              <w:rPr>
                <w:rFonts w:hint="default" w:ascii="Times New Roman" w:hAnsi="Times New Roman" w:eastAsia="宋体" w:cs="Times New Roman"/>
                <w:i w:val="0"/>
                <w:iCs w:val="0"/>
                <w:caps w:val="0"/>
                <w:color w:val="auto"/>
                <w:spacing w:val="0"/>
                <w:sz w:val="24"/>
                <w:szCs w:val="24"/>
                <w:highlight w:val="none"/>
                <w:shd w:val="clear" w:fill="FFFFFF"/>
                <w:vertAlign w:val="subscript"/>
              </w:rPr>
              <w:t>进水</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i/>
                <w:iCs/>
                <w:caps w:val="0"/>
                <w:color w:val="auto"/>
                <w:spacing w:val="0"/>
                <w:sz w:val="24"/>
                <w:szCs w:val="24"/>
                <w:highlight w:val="none"/>
                <w:shd w:val="clear" w:fill="FFFFFF"/>
              </w:rPr>
              <w:t>C</w:t>
            </w:r>
            <w:r>
              <w:rPr>
                <w:rFonts w:hint="default" w:ascii="Times New Roman" w:hAnsi="Times New Roman" w:eastAsia="宋体" w:cs="Times New Roman"/>
                <w:i w:val="0"/>
                <w:iCs w:val="0"/>
                <w:caps w:val="0"/>
                <w:color w:val="auto"/>
                <w:spacing w:val="0"/>
                <w:sz w:val="24"/>
                <w:szCs w:val="24"/>
                <w:highlight w:val="none"/>
                <w:shd w:val="clear" w:fill="FFFFFF"/>
                <w:vertAlign w:val="subscript"/>
              </w:rPr>
              <w:t>出水</w:t>
            </w:r>
            <w:r>
              <w:rPr>
                <w:rFonts w:hint="default" w:ascii="Times New Roman" w:hAnsi="Times New Roman" w:eastAsia="宋体" w:cs="Times New Roman"/>
                <w:i w:val="0"/>
                <w:iCs w:val="0"/>
                <w:caps w:val="0"/>
                <w:color w:val="auto"/>
                <w:spacing w:val="0"/>
                <w:sz w:val="24"/>
                <w:szCs w:val="24"/>
                <w:highlight w:val="none"/>
                <w:shd w:val="clear" w:fill="FFFFFF"/>
              </w:rPr>
              <w:t>)×10</w:t>
            </w:r>
            <w:r>
              <w:rPr>
                <w:rFonts w:hint="default" w:ascii="Times New Roman" w:hAnsi="Times New Roman" w:eastAsia="宋体" w:cs="Times New Roman"/>
                <w:i w:val="0"/>
                <w:iCs w:val="0"/>
                <w:caps w:val="0"/>
                <w:color w:val="auto"/>
                <w:spacing w:val="0"/>
                <w:sz w:val="24"/>
                <w:szCs w:val="24"/>
                <w:highlight w:val="none"/>
                <w:shd w:val="clear" w:fill="FFFFFF"/>
                <w:vertAlign w:val="superscript"/>
              </w:rPr>
              <w:t>−</w:t>
            </w:r>
            <w:r>
              <w:rPr>
                <w:rFonts w:hint="eastAsia" w:ascii="Times New Roman" w:hAnsi="Times New Roman" w:cs="Times New Roman"/>
                <w:i w:val="0"/>
                <w:iCs w:val="0"/>
                <w:caps w:val="0"/>
                <w:color w:val="auto"/>
                <w:spacing w:val="0"/>
                <w:sz w:val="24"/>
                <w:szCs w:val="24"/>
                <w:highlight w:val="none"/>
                <w:shd w:val="clear" w:fill="FFFFFF"/>
                <w:vertAlign w:val="superscript"/>
                <w:lang w:val="en-US" w:eastAsia="zh-CN"/>
              </w:rPr>
              <w:t>6</w:t>
            </w:r>
            <w:r>
              <w:rPr>
                <w:rFonts w:hint="default" w:ascii="Times New Roman" w:hAnsi="Times New Roman" w:eastAsia="宋体" w:cs="Times New Roman"/>
                <w:i w:val="0"/>
                <w:iCs w:val="0"/>
                <w:caps w:val="0"/>
                <w:color w:val="auto"/>
                <w:spacing w:val="0"/>
                <w:sz w:val="24"/>
                <w:szCs w:val="24"/>
                <w:highlight w:val="none"/>
                <w:shd w:val="clear" w:fill="FFFFFF"/>
              </w:rPr>
              <w:t>×污泥转化系数</w:t>
            </w:r>
          </w:p>
          <w:p w14:paraId="2C6AA457">
            <w:pPr>
              <w:pStyle w:val="45"/>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Q：处理水量（m³/a），本项目为</w:t>
            </w:r>
            <w:r>
              <w:rPr>
                <w:rFonts w:hint="default" w:ascii="Times New Roman" w:hAnsi="Times New Roman" w:cs="Times New Roman"/>
                <w:b w:val="0"/>
                <w:bCs w:val="0"/>
                <w:color w:val="auto"/>
                <w:sz w:val="24"/>
                <w:szCs w:val="24"/>
                <w:highlight w:val="none"/>
                <w:lang w:val="en-US" w:eastAsia="zh-CN"/>
              </w:rPr>
              <w:t>8073.6</w:t>
            </w:r>
            <w:r>
              <w:rPr>
                <w:rFonts w:hint="default" w:ascii="Times New Roman" w:hAnsi="Times New Roman" w:cs="Times New Roman"/>
                <w:b w:val="0"/>
                <w:bCs w:val="0"/>
                <w:color w:val="auto"/>
                <w:sz w:val="24"/>
                <w:szCs w:val="24"/>
                <w:highlight w:val="none"/>
              </w:rPr>
              <w:t>m³/a</w:t>
            </w:r>
          </w:p>
          <w:p w14:paraId="24C032BE">
            <w:pPr>
              <w:pStyle w:val="45"/>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C</w:t>
            </w:r>
            <w:r>
              <w:rPr>
                <w:rFonts w:hint="default" w:ascii="Times New Roman" w:hAnsi="Times New Roman" w:cs="Times New Roman"/>
                <w:b w:val="0"/>
                <w:bCs w:val="0"/>
                <w:color w:val="auto"/>
                <w:sz w:val="24"/>
                <w:szCs w:val="24"/>
                <w:highlight w:val="none"/>
                <w:vertAlign w:val="subscript"/>
              </w:rPr>
              <w:t>进水</w:t>
            </w:r>
            <w:r>
              <w:rPr>
                <w:rFonts w:hint="default" w:ascii="Times New Roman" w:hAnsi="Times New Roman" w:cs="Times New Roman"/>
                <w:b w:val="0"/>
                <w:bCs w:val="0"/>
                <w:color w:val="auto"/>
                <w:sz w:val="24"/>
                <w:szCs w:val="24"/>
                <w:highlight w:val="none"/>
              </w:rPr>
              <w:t>：进水污染物浓度（mg/L），如SS=</w:t>
            </w:r>
            <w:r>
              <w:rPr>
                <w:rFonts w:hint="default" w:ascii="Times New Roman" w:hAnsi="Times New Roman" w:cs="Times New Roman"/>
                <w:b w:val="0"/>
                <w:bCs w:val="0"/>
                <w:color w:val="auto"/>
                <w:sz w:val="24"/>
                <w:szCs w:val="24"/>
                <w:highlight w:val="none"/>
                <w:lang w:val="en-US" w:eastAsia="zh-CN"/>
              </w:rPr>
              <w:t>74</w:t>
            </w:r>
            <w:r>
              <w:rPr>
                <w:rFonts w:hint="default" w:ascii="Times New Roman" w:hAnsi="Times New Roman" w:cs="Times New Roman"/>
                <w:b w:val="0"/>
                <w:bCs w:val="0"/>
                <w:color w:val="auto"/>
                <w:sz w:val="24"/>
                <w:szCs w:val="24"/>
                <w:highlight w:val="none"/>
              </w:rPr>
              <w:t>mg/L</w:t>
            </w:r>
          </w:p>
          <w:p w14:paraId="1B404FE5">
            <w:pPr>
              <w:pStyle w:val="45"/>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C</w:t>
            </w:r>
            <w:r>
              <w:rPr>
                <w:rFonts w:hint="default" w:ascii="Times New Roman" w:hAnsi="Times New Roman" w:cs="Times New Roman"/>
                <w:b w:val="0"/>
                <w:bCs w:val="0"/>
                <w:color w:val="auto"/>
                <w:sz w:val="24"/>
                <w:szCs w:val="24"/>
                <w:highlight w:val="none"/>
                <w:vertAlign w:val="subscript"/>
              </w:rPr>
              <w:t>出水</w:t>
            </w:r>
            <w:r>
              <w:rPr>
                <w:rFonts w:hint="default" w:ascii="Times New Roman" w:hAnsi="Times New Roman" w:cs="Times New Roman"/>
                <w:b w:val="0"/>
                <w:bCs w:val="0"/>
                <w:color w:val="auto"/>
                <w:sz w:val="24"/>
                <w:szCs w:val="24"/>
                <w:highlight w:val="none"/>
              </w:rPr>
              <w:t>：出水污染物浓度（mg/L），如SS=</w:t>
            </w:r>
            <w:r>
              <w:rPr>
                <w:rFonts w:hint="default" w:ascii="Times New Roman" w:hAnsi="Times New Roman" w:cs="Times New Roman"/>
                <w:b w:val="0"/>
                <w:bCs w:val="0"/>
                <w:color w:val="auto"/>
                <w:sz w:val="24"/>
                <w:szCs w:val="24"/>
                <w:highlight w:val="none"/>
                <w:lang w:val="en-US" w:eastAsia="zh-CN"/>
              </w:rPr>
              <w:t>8.88</w:t>
            </w:r>
            <w:r>
              <w:rPr>
                <w:rFonts w:hint="default" w:ascii="Times New Roman" w:hAnsi="Times New Roman" w:cs="Times New Roman"/>
                <w:b w:val="0"/>
                <w:bCs w:val="0"/>
                <w:color w:val="auto"/>
                <w:sz w:val="24"/>
                <w:szCs w:val="24"/>
                <w:highlight w:val="none"/>
              </w:rPr>
              <w:t>mg/L</w:t>
            </w:r>
          </w:p>
          <w:p w14:paraId="7FB01815">
            <w:pPr>
              <w:pStyle w:val="45"/>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污泥转化系数：SS按1.2（经验值，考虑药剂添加及絮体含水率）</w:t>
            </w:r>
          </w:p>
          <w:p w14:paraId="690A85F0">
            <w:pPr>
              <w:pStyle w:val="45"/>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根据公式计算可得，本项目</w:t>
            </w:r>
            <w:r>
              <w:rPr>
                <w:rFonts w:hint="default" w:ascii="Times New Roman" w:hAnsi="Times New Roman" w:cs="Times New Roman"/>
                <w:b w:val="0"/>
                <w:bCs w:val="0"/>
                <w:color w:val="auto"/>
                <w:sz w:val="24"/>
                <w:szCs w:val="24"/>
                <w:highlight w:val="none"/>
                <w:lang w:val="en-US" w:eastAsia="zh-CN"/>
              </w:rPr>
              <w:t>干</w:t>
            </w:r>
            <w:r>
              <w:rPr>
                <w:rFonts w:hint="default" w:ascii="Times New Roman" w:hAnsi="Times New Roman" w:cs="Times New Roman"/>
                <w:b w:val="0"/>
                <w:bCs w:val="0"/>
                <w:color w:val="auto"/>
                <w:sz w:val="24"/>
                <w:szCs w:val="24"/>
                <w:highlight w:val="none"/>
              </w:rPr>
              <w:t>污泥产生量约为</w:t>
            </w:r>
            <w:r>
              <w:rPr>
                <w:rFonts w:hint="default" w:ascii="Times New Roman" w:hAnsi="Times New Roman" w:cs="Times New Roman"/>
                <w:b w:val="0"/>
                <w:bCs w:val="0"/>
                <w:color w:val="auto"/>
                <w:sz w:val="24"/>
                <w:szCs w:val="24"/>
                <w:highlight w:val="none"/>
                <w:lang w:val="en-US" w:eastAsia="zh-CN"/>
              </w:rPr>
              <w:t>0.6</w:t>
            </w:r>
            <w:r>
              <w:rPr>
                <w:rFonts w:hint="eastAsia" w:ascii="Times New Roman" w:hAnsi="Times New Roman"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rPr>
              <w:t>t</w:t>
            </w:r>
            <w:r>
              <w:rPr>
                <w:rFonts w:hint="default" w:ascii="Times New Roman" w:hAnsi="Times New Roman" w:cs="Times New Roman"/>
                <w:b w:val="0"/>
                <w:bCs w:val="0"/>
                <w:color w:val="auto"/>
                <w:kern w:val="24"/>
                <w:sz w:val="24"/>
                <w:szCs w:val="24"/>
                <w:highlight w:val="none"/>
              </w:rPr>
              <w:t>/a，</w:t>
            </w:r>
            <w:r>
              <w:rPr>
                <w:rFonts w:hint="default" w:ascii="Times New Roman" w:hAnsi="Times New Roman" w:cs="Times New Roman"/>
                <w:b w:val="0"/>
                <w:bCs w:val="0"/>
                <w:color w:val="auto"/>
                <w:sz w:val="24"/>
                <w:szCs w:val="24"/>
                <w:highlight w:val="none"/>
              </w:rPr>
              <w:t>经板框压滤机处理后的污泥含水率控制在</w:t>
            </w:r>
            <w:r>
              <w:rPr>
                <w:rFonts w:hint="default" w:ascii="Times New Roman" w:hAnsi="Times New Roman" w:cs="Times New Roman"/>
                <w:b w:val="0"/>
                <w:bCs w:val="0"/>
                <w:color w:val="auto"/>
                <w:sz w:val="24"/>
                <w:szCs w:val="24"/>
                <w:highlight w:val="none"/>
                <w:lang w:val="en-US" w:eastAsia="zh-CN"/>
              </w:rPr>
              <w:t>60</w:t>
            </w:r>
            <w:r>
              <w:rPr>
                <w:rFonts w:hint="default" w:ascii="Times New Roman" w:hAnsi="Times New Roman" w:cs="Times New Roman"/>
                <w:b w:val="0"/>
                <w:bCs w:val="0"/>
                <w:color w:val="auto"/>
                <w:sz w:val="24"/>
                <w:szCs w:val="24"/>
                <w:highlight w:val="none"/>
              </w:rPr>
              <w:t>%，则最终污泥的产生量</w:t>
            </w:r>
            <w:r>
              <w:rPr>
                <w:rFonts w:hint="eastAsia" w:ascii="Times New Roman" w:hAnsi="Times New Roman" w:cs="Times New Roman"/>
                <w:b w:val="0"/>
                <w:bCs w:val="0"/>
                <w:color w:val="auto"/>
                <w:sz w:val="24"/>
                <w:szCs w:val="24"/>
                <w:highlight w:val="none"/>
                <w:lang w:val="en-US" w:eastAsia="zh-CN"/>
              </w:rPr>
              <w:t>约</w:t>
            </w:r>
            <w:r>
              <w:rPr>
                <w:rFonts w:hint="default" w:ascii="Times New Roman" w:hAnsi="Times New Roman" w:cs="Times New Roman"/>
                <w:b w:val="0"/>
                <w:bCs w:val="0"/>
                <w:color w:val="auto"/>
                <w:sz w:val="24"/>
                <w:szCs w:val="24"/>
                <w:highlight w:val="none"/>
              </w:rPr>
              <w:t>为</w:t>
            </w:r>
            <w:r>
              <w:rPr>
                <w:rFonts w:hint="default" w:ascii="Times New Roman" w:hAnsi="Times New Roman" w:cs="Times New Roman"/>
                <w:b w:val="0"/>
                <w:bCs w:val="0"/>
                <w:color w:val="auto"/>
                <w:sz w:val="24"/>
                <w:szCs w:val="24"/>
                <w:highlight w:val="none"/>
                <w:lang w:val="en-US" w:eastAsia="zh-CN"/>
              </w:rPr>
              <w:t>1.6</w:t>
            </w:r>
            <w:r>
              <w:rPr>
                <w:rFonts w:hint="default" w:ascii="Times New Roman" w:hAnsi="Times New Roman" w:cs="Times New Roman"/>
                <w:b w:val="0"/>
                <w:bCs w:val="0"/>
                <w:color w:val="auto"/>
                <w:sz w:val="24"/>
                <w:szCs w:val="24"/>
                <w:highlight w:val="none"/>
              </w:rPr>
              <w:t>t/a，属于《国家危险废物名录》（202</w:t>
            </w:r>
            <w:r>
              <w:rPr>
                <w:rFonts w:hint="default"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rPr>
              <w:t>年版）中编号为HW17危险废物，危废代码336-064-17。收集后交由有危废处理资质单位处理。</w:t>
            </w:r>
          </w:p>
          <w:p w14:paraId="5C12704B">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④废机油桶</w:t>
            </w:r>
          </w:p>
          <w:p w14:paraId="60CFC09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保养设备设施会用到机油，用量很少，润滑油规格有：200L/桶（</w:t>
            </w:r>
            <w:r>
              <w:rPr>
                <w:rFonts w:hint="default" w:ascii="Times New Roman" w:hAnsi="Times New Roman" w:cs="Times New Roman"/>
                <w:color w:val="auto"/>
                <w:highlight w:val="none"/>
                <w:lang w:val="en-US" w:eastAsia="zh-CN"/>
              </w:rPr>
              <w:t>本项目使用5</w:t>
            </w:r>
            <w:r>
              <w:rPr>
                <w:rFonts w:hint="default" w:ascii="Times New Roman" w:hAnsi="Times New Roman" w:cs="Times New Roman"/>
                <w:color w:val="auto"/>
                <w:highlight w:val="none"/>
              </w:rPr>
              <w:t>桶），润滑油空桶按</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kg/桶计算。则本项目产生废机油空桶约0.0</w:t>
            </w:r>
            <w:r>
              <w:rPr>
                <w:rFonts w:hint="default" w:ascii="Times New Roman" w:hAnsi="Times New Roman" w:cs="Times New Roman"/>
                <w:color w:val="auto"/>
                <w:highlight w:val="none"/>
                <w:lang w:val="en-US" w:eastAsia="zh-CN"/>
              </w:rPr>
              <w:t>25t</w:t>
            </w:r>
            <w:r>
              <w:rPr>
                <w:rFonts w:hint="default" w:ascii="Times New Roman" w:hAnsi="Times New Roman" w:cs="Times New Roman"/>
                <w:color w:val="auto"/>
                <w:highlight w:val="none"/>
              </w:rPr>
              <w:t>/a。根据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，废机油空桶属于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其他生产、销售、使用过程中产生的废矿物油及沾染矿物油的废弃包装物”危险废物，经统一收集后交由有危险废物处理资质的单位处理。</w:t>
            </w:r>
          </w:p>
          <w:p w14:paraId="52C5ACED">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highlight w:val="none"/>
              </w:rPr>
              <w:t>⑤</w:t>
            </w:r>
            <w:r>
              <w:rPr>
                <w:rFonts w:hint="default" w:ascii="Times New Roman" w:hAnsi="Times New Roman" w:cs="Times New Roman"/>
                <w:b/>
                <w:bCs/>
                <w:color w:val="auto"/>
                <w:szCs w:val="24"/>
                <w:highlight w:val="none"/>
              </w:rPr>
              <w:t>废机油</w:t>
            </w:r>
          </w:p>
          <w:p w14:paraId="24E6F19C">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本项目在进行设备保养的过程中会产生废机油，废机油</w:t>
            </w:r>
            <w:r>
              <w:rPr>
                <w:rFonts w:hint="default" w:ascii="Times New Roman" w:hAnsi="Times New Roman" w:cs="Times New Roman"/>
                <w:color w:val="auto"/>
                <w:highlight w:val="none"/>
                <w:lang w:val="en-US" w:eastAsia="zh-CN"/>
              </w:rPr>
              <w:t>年产量约为</w:t>
            </w:r>
            <w:r>
              <w:rPr>
                <w:rFonts w:hint="default" w:ascii="Times New Roman" w:hAnsi="Times New Roman" w:cs="Times New Roman"/>
                <w:color w:val="auto"/>
                <w:kern w:val="0"/>
                <w:sz w:val="24"/>
                <w:szCs w:val="24"/>
                <w:highlight w:val="none"/>
                <w:lang w:val="en-US" w:eastAsia="zh-CN"/>
              </w:rPr>
              <w:t>0.90t/a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，废机油属于“HW08废矿物油与含矿物油废物”类别中代码为900-249-08“其他生产、销售、使用过程中产生的废矿物油及沾染矿物油的废弃包装物”危险废物，经统一收集后交由有危险废物处理资质的单位处理。</w:t>
            </w:r>
          </w:p>
          <w:p w14:paraId="38B5E047">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highlight w:val="none"/>
              </w:rPr>
              <w:t>⑥</w:t>
            </w:r>
            <w:r>
              <w:rPr>
                <w:rFonts w:hint="default" w:ascii="Times New Roman" w:hAnsi="Times New Roman" w:cs="Times New Roman"/>
                <w:b/>
                <w:bCs/>
                <w:color w:val="auto"/>
                <w:szCs w:val="24"/>
                <w:highlight w:val="none"/>
              </w:rPr>
              <w:t>废液压油桶</w:t>
            </w:r>
          </w:p>
          <w:p w14:paraId="2414F580">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本项目自动化冲床设备需用到液压油，用量很少，液压油规格有：200L/桶（</w:t>
            </w:r>
            <w:r>
              <w:rPr>
                <w:rFonts w:hint="default" w:ascii="Times New Roman" w:hAnsi="Times New Roman" w:cs="Times New Roman"/>
                <w:color w:val="auto"/>
                <w:highlight w:val="none"/>
                <w:lang w:val="en-US" w:eastAsia="zh-CN"/>
              </w:rPr>
              <w:t>本项目使用5</w:t>
            </w:r>
            <w:r>
              <w:rPr>
                <w:rFonts w:hint="default" w:ascii="Times New Roman" w:hAnsi="Times New Roman" w:cs="Times New Roman"/>
                <w:color w:val="auto"/>
                <w:highlight w:val="none"/>
              </w:rPr>
              <w:t>桶），液压油空桶按</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kg/桶计算。则本项目产生废液压油空桶约0.0</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t/a。根据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，废液压油空桶属于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08</w:t>
            </w:r>
            <w:r>
              <w:rPr>
                <w:rFonts w:hint="default" w:ascii="Times New Roman" w:hAnsi="Times New Roman" w:cs="Times New Roman"/>
                <w:color w:val="auto"/>
                <w:highlight w:val="none"/>
              </w:rPr>
              <w:t>危险废物，废物代码900-249-08</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其他生产、销售、使用过程中产生的废矿物油及沾染矿物油的废弃包装物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危险废物，经统一收集后交由有危险废物处理资质的单位处理。</w:t>
            </w:r>
          </w:p>
          <w:p w14:paraId="48161C23">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highlight w:val="none"/>
              </w:rPr>
              <w:t>⑦</w:t>
            </w:r>
            <w:r>
              <w:rPr>
                <w:rFonts w:hint="default" w:ascii="Times New Roman" w:hAnsi="Times New Roman" w:cs="Times New Roman"/>
                <w:b/>
                <w:bCs/>
                <w:color w:val="auto"/>
                <w:szCs w:val="24"/>
                <w:highlight w:val="none"/>
              </w:rPr>
              <w:t>废液压油</w:t>
            </w:r>
          </w:p>
          <w:p w14:paraId="3E98638D">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本项目自动化冲床设备需用到液压油，则会产生少量废液压油，废液压油</w:t>
            </w:r>
            <w:r>
              <w:rPr>
                <w:rFonts w:hint="default" w:ascii="Times New Roman" w:hAnsi="Times New Roman" w:cs="Times New Roman"/>
                <w:color w:val="auto"/>
                <w:highlight w:val="none"/>
                <w:lang w:val="en-US" w:eastAsia="zh-CN"/>
              </w:rPr>
              <w:t>年产生量</w:t>
            </w:r>
            <w:r>
              <w:rPr>
                <w:rFonts w:hint="default" w:ascii="Times New Roman" w:hAnsi="Times New Roman" w:cs="Times New Roman"/>
                <w:color w:val="auto"/>
                <w:kern w:val="0"/>
                <w:sz w:val="24"/>
                <w:szCs w:val="24"/>
                <w:highlight w:val="none"/>
                <w:lang w:val="en-US" w:eastAsia="zh-CN"/>
              </w:rPr>
              <w:t>约为0.85t/a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，废液压油属于“HW08废矿物油与含矿物油废物”类别中代码为900-249-08“其他生产、销售、使用过程中产生的废矿物油及沾染矿物油的废弃包装物”危险废物，经统一收集后交由有危险废物处理资质的单位处理。</w:t>
            </w:r>
          </w:p>
          <w:p w14:paraId="53C2B11B">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⑧</w:t>
            </w:r>
            <w:r>
              <w:rPr>
                <w:rFonts w:hint="default" w:ascii="Times New Roman" w:hAnsi="Times New Roman" w:cs="Times New Roman"/>
                <w:b/>
                <w:bCs/>
                <w:color w:val="auto"/>
                <w:sz w:val="24"/>
                <w:szCs w:val="24"/>
                <w:highlight w:val="none"/>
                <w:lang w:eastAsia="zh-CN"/>
              </w:rPr>
              <w:t>废</w:t>
            </w:r>
            <w:r>
              <w:rPr>
                <w:rFonts w:hint="default" w:ascii="Times New Roman" w:hAnsi="Times New Roman" w:cs="Times New Roman"/>
                <w:b/>
                <w:bCs/>
                <w:color w:val="auto"/>
                <w:sz w:val="24"/>
                <w:szCs w:val="24"/>
                <w:highlight w:val="none"/>
              </w:rPr>
              <w:t>pH调整剂</w:t>
            </w:r>
            <w:r>
              <w:rPr>
                <w:rFonts w:hint="default" w:ascii="Times New Roman" w:hAnsi="Times New Roman" w:cs="Times New Roman"/>
                <w:b/>
                <w:bCs/>
                <w:color w:val="auto"/>
                <w:sz w:val="24"/>
                <w:szCs w:val="24"/>
                <w:highlight w:val="none"/>
                <w:lang w:eastAsia="zh-CN"/>
              </w:rPr>
              <w:t>包装桶</w:t>
            </w:r>
          </w:p>
          <w:p w14:paraId="656026B5">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eastAsia="zh-CN"/>
              </w:rPr>
              <w:t>项目自建污水处理站使用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调节废水</w:t>
            </w:r>
            <w:r>
              <w:rPr>
                <w:rFonts w:hint="default" w:ascii="Times New Roman" w:hAnsi="Times New Roman" w:cs="Times New Roman"/>
                <w:b w:val="0"/>
                <w:bCs w:val="0"/>
                <w:color w:val="auto"/>
                <w:sz w:val="24"/>
                <w:szCs w:val="24"/>
                <w:highlight w:val="none"/>
                <w:lang w:val="en-US" w:eastAsia="zh-CN"/>
              </w:rPr>
              <w:t>pH（70%硫酸），故会产生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包装桶，项目年使用</w:t>
            </w:r>
            <w:r>
              <w:rPr>
                <w:rFonts w:hint="default" w:ascii="Times New Roman" w:hAnsi="Times New Roman" w:cs="Times New Roman"/>
                <w:b w:val="0"/>
                <w:bCs w:val="0"/>
                <w:color w:val="auto"/>
                <w:sz w:val="24"/>
                <w:szCs w:val="24"/>
                <w:highlight w:val="none"/>
                <w:lang w:val="en-US" w:eastAsia="zh-CN"/>
              </w:rPr>
              <w:t>0.1吨</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包装规格为25kg/桶，年使用4桶，单个废桶重1kg，故会产生</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包装桶</w:t>
            </w:r>
            <w:r>
              <w:rPr>
                <w:rFonts w:hint="default" w:ascii="Times New Roman" w:hAnsi="Times New Roman" w:cs="Times New Roman"/>
                <w:b w:val="0"/>
                <w:bCs w:val="0"/>
                <w:color w:val="auto"/>
                <w:sz w:val="24"/>
                <w:szCs w:val="24"/>
                <w:highlight w:val="none"/>
                <w:lang w:val="en-US" w:eastAsia="zh-CN"/>
              </w:rPr>
              <w:t>0.004t/a。</w:t>
            </w: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w:t>
            </w:r>
            <w:r>
              <w:rPr>
                <w:rFonts w:hint="default" w:ascii="Times New Roman" w:hAnsi="Times New Roman" w:cs="Times New Roman"/>
                <w:b w:val="0"/>
                <w:bCs w:val="0"/>
                <w:color w:val="auto"/>
                <w:sz w:val="24"/>
                <w:szCs w:val="24"/>
                <w:highlight w:val="none"/>
                <w:lang w:eastAsia="zh-CN"/>
              </w:rPr>
              <w:t>废</w:t>
            </w:r>
            <w:r>
              <w:rPr>
                <w:rFonts w:hint="default" w:ascii="Times New Roman" w:hAnsi="Times New Roman" w:cs="Times New Roman"/>
                <w:b w:val="0"/>
                <w:bCs w:val="0"/>
                <w:color w:val="auto"/>
                <w:sz w:val="24"/>
                <w:szCs w:val="24"/>
                <w:highlight w:val="none"/>
              </w:rPr>
              <w:t>pH调整剂</w:t>
            </w:r>
            <w:r>
              <w:rPr>
                <w:rFonts w:hint="default" w:ascii="Times New Roman" w:hAnsi="Times New Roman" w:cs="Times New Roman"/>
                <w:b w:val="0"/>
                <w:bCs w:val="0"/>
                <w:color w:val="auto"/>
                <w:sz w:val="24"/>
                <w:szCs w:val="24"/>
                <w:highlight w:val="none"/>
                <w:lang w:eastAsia="zh-CN"/>
              </w:rPr>
              <w:t>包装</w:t>
            </w:r>
            <w:r>
              <w:rPr>
                <w:rFonts w:hint="default" w:ascii="Times New Roman" w:hAnsi="Times New Roman" w:cs="Times New Roman"/>
                <w:color w:val="auto"/>
                <w:highlight w:val="none"/>
              </w:rPr>
              <w:t>桶属于</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中编号为HW</w:t>
            </w:r>
            <w:r>
              <w:rPr>
                <w:rFonts w:hint="default" w:ascii="Times New Roman" w:hAnsi="Times New Roman" w:cs="Times New Roman"/>
                <w:color w:val="auto"/>
                <w:highlight w:val="none"/>
                <w:lang w:val="en-US" w:eastAsia="zh-CN"/>
              </w:rPr>
              <w:t>49</w:t>
            </w:r>
            <w:r>
              <w:rPr>
                <w:rFonts w:hint="default" w:ascii="Times New Roman" w:hAnsi="Times New Roman" w:cs="Times New Roman"/>
                <w:color w:val="auto"/>
                <w:highlight w:val="none"/>
              </w:rPr>
              <w:t>危险废物，废物代码</w:t>
            </w:r>
            <w:r>
              <w:rPr>
                <w:rFonts w:hint="default" w:ascii="Times New Roman" w:hAnsi="Times New Roman" w:cs="Times New Roman"/>
                <w:b w:val="0"/>
                <w:bCs w:val="0"/>
                <w:color w:val="auto"/>
                <w:sz w:val="24"/>
                <w:szCs w:val="24"/>
                <w:highlight w:val="none"/>
                <w:lang w:val="en-US" w:eastAsia="zh-CN"/>
              </w:rPr>
              <w:t>900-041-49</w:t>
            </w:r>
            <w:r>
              <w:rPr>
                <w:rFonts w:hint="default" w:ascii="Times New Roman" w:hAnsi="Times New Roman" w:cs="Times New Roman"/>
                <w:color w:val="auto"/>
                <w:highlight w:val="none"/>
              </w:rPr>
              <w:t>，经统一收集后交由有危险废物处理资质的单位处理</w:t>
            </w:r>
            <w:r>
              <w:rPr>
                <w:rFonts w:hint="default" w:ascii="Times New Roman" w:hAnsi="Times New Roman" w:cs="Times New Roman"/>
                <w:color w:val="auto"/>
                <w:highlight w:val="none"/>
                <w:lang w:eastAsia="zh-CN"/>
              </w:rPr>
              <w:t>。</w:t>
            </w:r>
          </w:p>
          <w:p w14:paraId="13830A84">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⑨无铬钝化池废槽液</w:t>
            </w:r>
          </w:p>
          <w:p w14:paraId="7B9DC7D0">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val="en-US" w:eastAsia="zh-CN"/>
              </w:rPr>
              <w:t>项目无铬钝化池的槽液日常循环使用，使用一定时间需要更换，更换频次为第季度更换一次。根据前文分析，前处理生产线更换出的无铬钝化池废槽液量合计为28.8t/a</w:t>
            </w:r>
            <w:r>
              <w:rPr>
                <w:rFonts w:hint="default" w:ascii="Times New Roman" w:hAnsi="Times New Roman" w:cs="Times New Roman"/>
                <w:b w:val="0"/>
                <w:bCs w:val="0"/>
                <w:color w:val="auto"/>
                <w:sz w:val="24"/>
                <w:szCs w:val="24"/>
                <w:highlight w:val="none"/>
                <w:lang w:eastAsia="zh-CN"/>
              </w:rPr>
              <w:t>。根据《国家危险废物名录》（202</w:t>
            </w:r>
            <w:r>
              <w:rPr>
                <w:rFonts w:hint="default"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lang w:eastAsia="zh-CN"/>
              </w:rPr>
              <w:t>年版），</w:t>
            </w:r>
            <w:r>
              <w:rPr>
                <w:rFonts w:hint="default" w:ascii="Times New Roman" w:hAnsi="Times New Roman" w:cs="Times New Roman"/>
                <w:b w:val="0"/>
                <w:bCs w:val="0"/>
                <w:color w:val="auto"/>
                <w:sz w:val="24"/>
                <w:szCs w:val="24"/>
                <w:highlight w:val="none"/>
                <w:lang w:val="en-US" w:eastAsia="zh-CN"/>
              </w:rPr>
              <w:t>无铬钝化池废槽液</w:t>
            </w:r>
            <w:r>
              <w:rPr>
                <w:rFonts w:hint="default" w:ascii="Times New Roman" w:hAnsi="Times New Roman" w:cs="Times New Roman"/>
                <w:b w:val="0"/>
                <w:bCs w:val="0"/>
                <w:color w:val="auto"/>
                <w:sz w:val="24"/>
                <w:szCs w:val="24"/>
                <w:highlight w:val="none"/>
                <w:lang w:eastAsia="zh-CN"/>
              </w:rPr>
              <w:t>属于HW</w:t>
            </w:r>
            <w:r>
              <w:rPr>
                <w:rFonts w:hint="default" w:ascii="Times New Roman" w:hAnsi="Times New Roman" w:cs="Times New Roman"/>
                <w:b w:val="0"/>
                <w:bCs w:val="0"/>
                <w:color w:val="auto"/>
                <w:sz w:val="24"/>
                <w:szCs w:val="24"/>
                <w:highlight w:val="none"/>
                <w:lang w:val="en-US" w:eastAsia="zh-CN"/>
              </w:rPr>
              <w:t>17</w:t>
            </w:r>
            <w:r>
              <w:rPr>
                <w:rFonts w:hint="default" w:ascii="Times New Roman" w:hAnsi="Times New Roman" w:cs="Times New Roman"/>
                <w:b w:val="0"/>
                <w:bCs w:val="0"/>
                <w:color w:val="auto"/>
                <w:sz w:val="24"/>
                <w:szCs w:val="24"/>
                <w:highlight w:val="none"/>
                <w:lang w:eastAsia="zh-CN"/>
              </w:rPr>
              <w:t xml:space="preserve"> 表面处理废物，废物代码为336-064-17，经收集后暂存于危废暂存间，定期交由有危险废物处理资质单位处理。</w:t>
            </w:r>
          </w:p>
          <w:p w14:paraId="7BAFF2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⑩含油废抹布</w:t>
            </w:r>
          </w:p>
          <w:p w14:paraId="5126C4E5">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highlight w:val="none"/>
                <w:lang w:val="en-US" w:eastAsia="zh-CN"/>
              </w:rPr>
              <w:t>项目生产过程中会产生一定量的</w:t>
            </w:r>
            <w:r>
              <w:rPr>
                <w:rFonts w:hint="default" w:ascii="Times New Roman" w:hAnsi="Times New Roman" w:cs="Times New Roman"/>
                <w:color w:val="auto"/>
                <w:highlight w:val="none"/>
                <w:lang w:val="en-US" w:eastAsia="zh-CN"/>
              </w:rPr>
              <w:t>含矿物油及含油墨废抹布及手套，根据建设单位提供的资料，其产生量约0.05t/a，</w:t>
            </w:r>
            <w:r>
              <w:rPr>
                <w:rFonts w:hint="default" w:ascii="Times New Roman" w:hAnsi="Times New Roman" w:cs="Times New Roman"/>
                <w:color w:val="auto"/>
                <w:sz w:val="24"/>
                <w:highlight w:val="none"/>
                <w:lang w:val="en-US" w:eastAsia="zh-CN"/>
              </w:rPr>
              <w:t>根据《国家危险废物名录》（2025年版），其废物类别属于：</w:t>
            </w:r>
            <w:r>
              <w:rPr>
                <w:rFonts w:hint="default" w:ascii="Times New Roman" w:hAnsi="Times New Roman" w:cs="Times New Roman"/>
                <w:color w:val="auto"/>
                <w:highlight w:val="none"/>
                <w:lang w:val="en-US" w:eastAsia="zh-CN"/>
              </w:rPr>
              <w:t>HW49其他废物，废物代码：900-041-49，</w:t>
            </w:r>
            <w:r>
              <w:rPr>
                <w:rFonts w:hint="default" w:ascii="Times New Roman" w:hAnsi="Times New Roman" w:cs="Times New Roman"/>
                <w:color w:val="auto"/>
                <w:sz w:val="24"/>
                <w:highlight w:val="none"/>
                <w:lang w:val="en-US" w:eastAsia="zh-CN"/>
              </w:rPr>
              <w:t>拟</w:t>
            </w:r>
            <w:r>
              <w:rPr>
                <w:rFonts w:hint="default" w:ascii="Times New Roman" w:hAnsi="Times New Roman" w:cs="Times New Roman"/>
                <w:color w:val="auto"/>
                <w:highlight w:val="none"/>
                <w:lang w:val="en-US" w:eastAsia="zh-CN"/>
              </w:rPr>
              <w:t>收集于危废暂存间定期交由有危险废物处置资质的单位进行处置。</w:t>
            </w:r>
          </w:p>
          <w:p w14:paraId="52ECCB81">
            <w:pPr>
              <w:pStyle w:val="15"/>
              <w:keepNext w:val="0"/>
              <w:keepLines w:val="0"/>
              <w:pageBreakBefore w:val="0"/>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表4-36</w:t>
            </w:r>
            <w:r>
              <w:rPr>
                <w:rFonts w:hint="default" w:ascii="Times New Roman" w:hAnsi="Times New Roman" w:cs="Times New Roman"/>
                <w:color w:val="auto"/>
                <w:highlight w:val="none"/>
              </w:rPr>
              <w:t>固体废物污染源源强核算结果及相关参数一览表</w:t>
            </w:r>
          </w:p>
          <w:tbl>
            <w:tblPr>
              <w:tblStyle w:val="38"/>
              <w:tblW w:w="91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33"/>
              <w:gridCol w:w="1149"/>
              <w:gridCol w:w="1407"/>
              <w:gridCol w:w="1524"/>
              <w:gridCol w:w="720"/>
              <w:gridCol w:w="678"/>
              <w:gridCol w:w="892"/>
              <w:gridCol w:w="1080"/>
              <w:gridCol w:w="846"/>
            </w:tblGrid>
            <w:tr w14:paraId="796C8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2304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工序/生产线</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F0B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装置</w:t>
                  </w:r>
                </w:p>
              </w:tc>
              <w:tc>
                <w:tcPr>
                  <w:tcW w:w="77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43A2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固体废物名称</w:t>
                  </w:r>
                </w:p>
              </w:tc>
              <w:tc>
                <w:tcPr>
                  <w:tcW w:w="8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D090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代码</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257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固废属性</w:t>
                  </w:r>
                </w:p>
              </w:tc>
              <w:tc>
                <w:tcPr>
                  <w:tcW w:w="85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82033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产生情况</w:t>
                  </w:r>
                </w:p>
              </w:tc>
              <w:tc>
                <w:tcPr>
                  <w:tcW w:w="105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874E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处置措施</w:t>
                  </w:r>
                </w:p>
              </w:tc>
            </w:tr>
            <w:tr w14:paraId="714574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ECB9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CAD4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7DC0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6EE6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821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D95C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核算方法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1B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产生量</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8C7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工艺</w:t>
                  </w:r>
                </w:p>
              </w:tc>
              <w:tc>
                <w:tcPr>
                  <w:tcW w:w="4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5DCC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处置量t/a</w:t>
                  </w:r>
                </w:p>
              </w:tc>
            </w:tr>
            <w:tr w14:paraId="567CE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A99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8B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77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20CA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195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4A5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130A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3B8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33E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c>
                <w:tcPr>
                  <w:tcW w:w="46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E2F7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b/>
                      <w:bCs/>
                      <w:i w:val="0"/>
                      <w:iCs w:val="0"/>
                      <w:color w:val="auto"/>
                      <w:sz w:val="21"/>
                      <w:szCs w:val="21"/>
                      <w:highlight w:val="none"/>
                      <w:u w:val="none"/>
                    </w:rPr>
                  </w:pPr>
                </w:p>
              </w:tc>
            </w:tr>
            <w:tr w14:paraId="06575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540911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办公生活</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60A1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垃圾桶</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E1B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B470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eastAsia="zh-CN"/>
                    </w:rPr>
                    <w:t>900-099-S64</w:t>
                  </w:r>
                </w:p>
              </w:tc>
              <w:tc>
                <w:tcPr>
                  <w:tcW w:w="394" w:type="pct"/>
                  <w:vMerge w:val="restart"/>
                  <w:tcBorders>
                    <w:top w:val="single" w:color="000000" w:sz="4" w:space="0"/>
                    <w:left w:val="single" w:color="000000" w:sz="4" w:space="0"/>
                    <w:right w:val="single" w:color="000000" w:sz="4" w:space="0"/>
                  </w:tcBorders>
                  <w:shd w:val="clear" w:color="auto" w:fill="auto"/>
                  <w:vAlign w:val="center"/>
                </w:tcPr>
                <w:p w14:paraId="00745C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一般固体废物</w:t>
                  </w: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2043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产污系数法</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7915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45</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4D2C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交由环卫部门清运</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9E6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45</w:t>
                  </w:r>
                </w:p>
              </w:tc>
            </w:tr>
            <w:tr w14:paraId="29BAB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352928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E2F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隔油隔渣池</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160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废油脂</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970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cs="Times New Roman"/>
                      <w:color w:val="auto"/>
                      <w:sz w:val="21"/>
                      <w:szCs w:val="21"/>
                      <w:highlight w:val="none"/>
                      <w:lang w:val="en-US" w:eastAsia="zh-CN"/>
                    </w:rPr>
                    <w:t>900-002-S61</w:t>
                  </w:r>
                </w:p>
              </w:tc>
              <w:tc>
                <w:tcPr>
                  <w:tcW w:w="394" w:type="pct"/>
                  <w:vMerge w:val="continue"/>
                  <w:tcBorders>
                    <w:left w:val="single" w:color="000000" w:sz="4" w:space="0"/>
                    <w:right w:val="single" w:color="000000" w:sz="4" w:space="0"/>
                  </w:tcBorders>
                  <w:shd w:val="clear" w:color="auto" w:fill="auto"/>
                  <w:vAlign w:val="center"/>
                </w:tcPr>
                <w:p w14:paraId="048885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71" w:type="pct"/>
                  <w:vMerge w:val="continue"/>
                  <w:tcBorders>
                    <w:left w:val="single" w:color="000000" w:sz="4" w:space="0"/>
                    <w:right w:val="single" w:color="000000" w:sz="4" w:space="0"/>
                  </w:tcBorders>
                  <w:shd w:val="clear" w:color="auto" w:fill="auto"/>
                  <w:vAlign w:val="center"/>
                </w:tcPr>
                <w:p w14:paraId="5769B8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6CE0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0.1624</w:t>
                  </w:r>
                </w:p>
              </w:tc>
              <w:tc>
                <w:tcPr>
                  <w:tcW w:w="5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60E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专业单位进行回收处置</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6BAD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0.1624</w:t>
                  </w:r>
                </w:p>
              </w:tc>
            </w:tr>
            <w:tr w14:paraId="439DF4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7194CC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C6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267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包装废料</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8DC7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eastAsia="zh-CN"/>
                    </w:rPr>
                  </w:pPr>
                  <w:r>
                    <w:rPr>
                      <w:rFonts w:hint="default" w:ascii="Times New Roman" w:hAnsi="Times New Roman" w:eastAsia="宋体" w:cs="Times New Roman"/>
                      <w:i w:val="0"/>
                      <w:iCs w:val="0"/>
                      <w:color w:val="auto"/>
                      <w:sz w:val="21"/>
                      <w:szCs w:val="21"/>
                      <w:highlight w:val="none"/>
                      <w:u w:val="none"/>
                      <w:lang w:eastAsia="zh-CN"/>
                    </w:rPr>
                    <w:t>900-003-S17、</w:t>
                  </w:r>
                  <w:r>
                    <w:rPr>
                      <w:rFonts w:hint="default" w:ascii="Times New Roman" w:hAnsi="Times New Roman" w:eastAsia="宋体" w:cs="Times New Roman"/>
                      <w:i w:val="0"/>
                      <w:iCs w:val="0"/>
                      <w:color w:val="auto"/>
                      <w:sz w:val="21"/>
                      <w:szCs w:val="21"/>
                      <w:highlight w:val="none"/>
                      <w:u w:val="none"/>
                      <w:lang w:val="en-US" w:eastAsia="zh-CN"/>
                    </w:rPr>
                    <w:t>900-005-S17、900-007-S17</w:t>
                  </w:r>
                </w:p>
              </w:tc>
              <w:tc>
                <w:tcPr>
                  <w:tcW w:w="394" w:type="pct"/>
                  <w:vMerge w:val="continue"/>
                  <w:tcBorders>
                    <w:left w:val="single" w:color="000000" w:sz="4" w:space="0"/>
                    <w:right w:val="single" w:color="000000" w:sz="4" w:space="0"/>
                  </w:tcBorders>
                  <w:shd w:val="clear" w:color="auto" w:fill="auto"/>
                  <w:vAlign w:val="center"/>
                </w:tcPr>
                <w:p w14:paraId="483F1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4C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76F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91" w:type="pct"/>
                  <w:vMerge w:val="restart"/>
                  <w:tcBorders>
                    <w:top w:val="single" w:color="000000" w:sz="4" w:space="0"/>
                    <w:left w:val="single" w:color="000000" w:sz="4" w:space="0"/>
                    <w:right w:val="single" w:color="000000" w:sz="4" w:space="0"/>
                  </w:tcBorders>
                  <w:shd w:val="clear" w:color="auto" w:fill="auto"/>
                  <w:vAlign w:val="center"/>
                </w:tcPr>
                <w:p w14:paraId="793AD5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统一收集后外售至资源回收利用单位</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34A4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r>
            <w:tr w14:paraId="6EBA9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56BDE0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71C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1EA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边角料</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234E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w:t>
                  </w:r>
                  <w:r>
                    <w:rPr>
                      <w:rFonts w:hint="default" w:ascii="Times New Roman" w:hAnsi="Times New Roman" w:eastAsia="宋体" w:cs="Times New Roman"/>
                      <w:i w:val="0"/>
                      <w:iCs w:val="0"/>
                      <w:color w:val="auto"/>
                      <w:sz w:val="21"/>
                      <w:szCs w:val="21"/>
                      <w:highlight w:val="none"/>
                      <w:u w:val="none"/>
                      <w:lang w:val="en-US" w:eastAsia="zh-CN"/>
                    </w:rPr>
                    <w:t>02</w:t>
                  </w:r>
                  <w:r>
                    <w:rPr>
                      <w:rFonts w:hint="default" w:ascii="Times New Roman" w:hAnsi="Times New Roman" w:eastAsia="宋体" w:cs="Times New Roman"/>
                      <w:i w:val="0"/>
                      <w:iCs w:val="0"/>
                      <w:color w:val="auto"/>
                      <w:sz w:val="21"/>
                      <w:szCs w:val="21"/>
                      <w:highlight w:val="none"/>
                      <w:u w:val="none"/>
                    </w:rPr>
                    <w:t>-S17</w:t>
                  </w:r>
                </w:p>
              </w:tc>
              <w:tc>
                <w:tcPr>
                  <w:tcW w:w="394" w:type="pct"/>
                  <w:vMerge w:val="continue"/>
                  <w:tcBorders>
                    <w:left w:val="single" w:color="000000" w:sz="4" w:space="0"/>
                    <w:right w:val="single" w:color="000000" w:sz="4" w:space="0"/>
                  </w:tcBorders>
                  <w:shd w:val="clear" w:color="auto" w:fill="auto"/>
                  <w:vAlign w:val="center"/>
                </w:tcPr>
                <w:p w14:paraId="3AFDC6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88EF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815D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209.22</w:t>
                  </w:r>
                </w:p>
              </w:tc>
              <w:tc>
                <w:tcPr>
                  <w:tcW w:w="591" w:type="pct"/>
                  <w:vMerge w:val="continue"/>
                  <w:tcBorders>
                    <w:left w:val="single" w:color="000000" w:sz="4" w:space="0"/>
                    <w:right w:val="single" w:color="000000" w:sz="4" w:space="0"/>
                  </w:tcBorders>
                  <w:shd w:val="clear" w:color="auto" w:fill="auto"/>
                  <w:vAlign w:val="center"/>
                </w:tcPr>
                <w:p w14:paraId="6520F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60E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209.22</w:t>
                  </w:r>
                </w:p>
              </w:tc>
            </w:tr>
            <w:tr w14:paraId="0BF00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6"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CF17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废气处理</w:t>
                  </w:r>
                </w:p>
              </w:tc>
              <w:tc>
                <w:tcPr>
                  <w:tcW w:w="629" w:type="pct"/>
                  <w:tcBorders>
                    <w:top w:val="single" w:color="000000" w:sz="4" w:space="0"/>
                    <w:left w:val="single" w:color="000000" w:sz="4" w:space="0"/>
                    <w:right w:val="single" w:color="000000" w:sz="4" w:space="0"/>
                  </w:tcBorders>
                  <w:shd w:val="clear" w:color="auto" w:fill="auto"/>
                  <w:vAlign w:val="center"/>
                </w:tcPr>
                <w:p w14:paraId="3CD955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颗粒物废气除尘</w:t>
                  </w:r>
                  <w:r>
                    <w:rPr>
                      <w:rFonts w:hint="default" w:ascii="Times New Roman" w:hAnsi="Times New Roman" w:eastAsia="宋体" w:cs="Times New Roman"/>
                      <w:i w:val="0"/>
                      <w:iCs w:val="0"/>
                      <w:color w:val="auto"/>
                      <w:kern w:val="0"/>
                      <w:sz w:val="21"/>
                      <w:szCs w:val="21"/>
                      <w:highlight w:val="none"/>
                      <w:u w:val="none"/>
                      <w:lang w:val="en-US" w:eastAsia="zh-CN" w:bidi="ar"/>
                    </w:rPr>
                    <w:t>器</w:t>
                  </w:r>
                </w:p>
              </w:tc>
              <w:tc>
                <w:tcPr>
                  <w:tcW w:w="770" w:type="pct"/>
                  <w:tcBorders>
                    <w:top w:val="single" w:color="000000" w:sz="4" w:space="0"/>
                    <w:left w:val="single" w:color="000000" w:sz="4" w:space="0"/>
                    <w:right w:val="single" w:color="000000" w:sz="4" w:space="0"/>
                  </w:tcBorders>
                  <w:shd w:val="clear" w:color="auto" w:fill="auto"/>
                  <w:vAlign w:val="center"/>
                </w:tcPr>
                <w:p w14:paraId="6B714E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废滤芯</w:t>
                  </w:r>
                </w:p>
              </w:tc>
              <w:tc>
                <w:tcPr>
                  <w:tcW w:w="834" w:type="pct"/>
                  <w:tcBorders>
                    <w:top w:val="single" w:color="000000" w:sz="4" w:space="0"/>
                    <w:left w:val="single" w:color="000000" w:sz="4" w:space="0"/>
                    <w:right w:val="single" w:color="000000" w:sz="4" w:space="0"/>
                  </w:tcBorders>
                  <w:shd w:val="clear" w:color="auto" w:fill="auto"/>
                  <w:vAlign w:val="center"/>
                </w:tcPr>
                <w:p w14:paraId="761D3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900-099-S17</w:t>
                  </w:r>
                </w:p>
              </w:tc>
              <w:tc>
                <w:tcPr>
                  <w:tcW w:w="394" w:type="pct"/>
                  <w:vMerge w:val="continue"/>
                  <w:tcBorders>
                    <w:left w:val="single" w:color="000000" w:sz="4" w:space="0"/>
                    <w:right w:val="single" w:color="000000" w:sz="4" w:space="0"/>
                  </w:tcBorders>
                  <w:shd w:val="clear" w:color="auto" w:fill="auto"/>
                  <w:vAlign w:val="center"/>
                </w:tcPr>
                <w:p w14:paraId="46A5F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320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right w:val="single" w:color="000000" w:sz="4" w:space="0"/>
                  </w:tcBorders>
                  <w:shd w:val="clear" w:color="auto" w:fill="auto"/>
                  <w:vAlign w:val="center"/>
                </w:tcPr>
                <w:p w14:paraId="3713E8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5</w:t>
                  </w:r>
                </w:p>
              </w:tc>
              <w:tc>
                <w:tcPr>
                  <w:tcW w:w="591" w:type="pct"/>
                  <w:vMerge w:val="continue"/>
                  <w:tcBorders>
                    <w:left w:val="single" w:color="000000" w:sz="4" w:space="0"/>
                    <w:right w:val="single" w:color="000000" w:sz="4" w:space="0"/>
                  </w:tcBorders>
                  <w:shd w:val="clear" w:color="auto" w:fill="auto"/>
                  <w:vAlign w:val="center"/>
                </w:tcPr>
                <w:p w14:paraId="49AAE9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C68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5</w:t>
                  </w:r>
                </w:p>
              </w:tc>
            </w:tr>
            <w:tr w14:paraId="61DA1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140422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F8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抛光、打磨</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B7C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sz w:val="21"/>
                      <w:szCs w:val="21"/>
                      <w:highlight w:val="none"/>
                      <w:u w:val="none"/>
                      <w:lang w:val="en-US" w:eastAsia="zh-CN"/>
                    </w:rPr>
                    <w:t>沉降金属粉尘和除尘器收集粉尘</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3E1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900-002-S17</w:t>
                  </w:r>
                </w:p>
              </w:tc>
              <w:tc>
                <w:tcPr>
                  <w:tcW w:w="394" w:type="pct"/>
                  <w:vMerge w:val="continue"/>
                  <w:tcBorders>
                    <w:left w:val="single" w:color="000000" w:sz="4" w:space="0"/>
                    <w:bottom w:val="single" w:color="000000" w:sz="4" w:space="0"/>
                    <w:right w:val="single" w:color="000000" w:sz="4" w:space="0"/>
                  </w:tcBorders>
                  <w:shd w:val="clear" w:color="auto" w:fill="auto"/>
                  <w:vAlign w:val="center"/>
                </w:tcPr>
                <w:p w14:paraId="357874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703E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C90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18.332</w:t>
                  </w:r>
                </w:p>
              </w:tc>
              <w:tc>
                <w:tcPr>
                  <w:tcW w:w="591" w:type="pct"/>
                  <w:vMerge w:val="continue"/>
                  <w:tcBorders>
                    <w:left w:val="single" w:color="000000" w:sz="4" w:space="0"/>
                    <w:bottom w:val="single" w:color="000000" w:sz="4" w:space="0"/>
                    <w:right w:val="single" w:color="000000" w:sz="4" w:space="0"/>
                  </w:tcBorders>
                  <w:shd w:val="clear" w:color="auto" w:fill="auto"/>
                  <w:vAlign w:val="center"/>
                </w:tcPr>
                <w:p w14:paraId="29766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BCF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18.332</w:t>
                  </w:r>
                </w:p>
              </w:tc>
            </w:tr>
            <w:tr w14:paraId="5710E8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861F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CF6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前</w:t>
                  </w:r>
                  <w:r>
                    <w:rPr>
                      <w:rFonts w:hint="default" w:ascii="Times New Roman" w:hAnsi="Times New Roman" w:eastAsia="宋体" w:cs="Times New Roman"/>
                      <w:i w:val="0"/>
                      <w:iCs w:val="0"/>
                      <w:color w:val="auto"/>
                      <w:kern w:val="0"/>
                      <w:sz w:val="21"/>
                      <w:szCs w:val="21"/>
                      <w:highlight w:val="none"/>
                      <w:u w:val="none"/>
                      <w:lang w:val="en-US" w:eastAsia="zh-CN" w:bidi="ar"/>
                    </w:rPr>
                    <w:t>处理区</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4ED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废表面处理剂包装桶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7DF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87F7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危险废物</w:t>
                  </w: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4C5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4593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0.46</w:t>
                  </w:r>
                </w:p>
              </w:tc>
              <w:tc>
                <w:tcPr>
                  <w:tcW w:w="5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B5B6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交由有资质单位处理</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A20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0.46</w:t>
                  </w:r>
                </w:p>
              </w:tc>
            </w:tr>
            <w:tr w14:paraId="54620D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078FBB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生产过程</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23576E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前</w:t>
                  </w:r>
                  <w:r>
                    <w:rPr>
                      <w:rFonts w:hint="default" w:ascii="Times New Roman" w:hAnsi="Times New Roman" w:eastAsia="宋体" w:cs="Times New Roman"/>
                      <w:i w:val="0"/>
                      <w:iCs w:val="0"/>
                      <w:color w:val="auto"/>
                      <w:kern w:val="0"/>
                      <w:sz w:val="21"/>
                      <w:szCs w:val="21"/>
                      <w:highlight w:val="none"/>
                      <w:u w:val="none"/>
                      <w:lang w:val="en-US" w:eastAsia="zh-CN" w:bidi="ar"/>
                    </w:rPr>
                    <w:t>处理区</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71CF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预处理池泥渣</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1E8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435F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551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3EF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cs="Times New Roman"/>
                      <w:i w:val="0"/>
                      <w:iCs w:val="0"/>
                      <w:color w:val="auto"/>
                      <w:kern w:val="0"/>
                      <w:sz w:val="21"/>
                      <w:szCs w:val="21"/>
                      <w:highlight w:val="none"/>
                      <w:u w:val="none"/>
                      <w:lang w:val="en-US" w:eastAsia="zh-CN" w:bidi="ar"/>
                    </w:rPr>
                    <w:t>0.5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4319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49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cs="Times New Roman"/>
                      <w:i w:val="0"/>
                      <w:iCs w:val="0"/>
                      <w:color w:val="auto"/>
                      <w:kern w:val="0"/>
                      <w:sz w:val="21"/>
                      <w:szCs w:val="21"/>
                      <w:highlight w:val="none"/>
                      <w:u w:val="none"/>
                      <w:lang w:val="en-US" w:eastAsia="zh-CN" w:bidi="ar"/>
                    </w:rPr>
                    <w:t>0.5</w:t>
                  </w:r>
                </w:p>
              </w:tc>
            </w:tr>
            <w:tr w14:paraId="5F581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1"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1B91F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24A3B3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C816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无铬钝化池废槽液</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7B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1E79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D082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74F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28.8</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941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0F99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28.8</w:t>
                  </w:r>
                </w:p>
              </w:tc>
            </w:tr>
            <w:tr w14:paraId="38010D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A68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废水处理设施</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47EAE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026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废水处理站污泥</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E8F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2EA6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0D47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82A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cs="Times New Roman"/>
                      <w:i w:val="0"/>
                      <w:iCs w:val="0"/>
                      <w:color w:val="auto"/>
                      <w:kern w:val="0"/>
                      <w:sz w:val="21"/>
                      <w:szCs w:val="21"/>
                      <w:highlight w:val="none"/>
                      <w:u w:val="none"/>
                      <w:lang w:val="en-US" w:eastAsia="zh-CN" w:bidi="ar"/>
                    </w:rPr>
                    <w:t>1.6</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C9F0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7B7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cs="Times New Roman"/>
                      <w:i w:val="0"/>
                      <w:iCs w:val="0"/>
                      <w:color w:val="auto"/>
                      <w:kern w:val="0"/>
                      <w:sz w:val="21"/>
                      <w:szCs w:val="21"/>
                      <w:highlight w:val="none"/>
                      <w:u w:val="none"/>
                      <w:lang w:val="en-US" w:eastAsia="zh-CN" w:bidi="ar"/>
                    </w:rPr>
                    <w:t>1.6</w:t>
                  </w:r>
                </w:p>
              </w:tc>
            </w:tr>
            <w:tr w14:paraId="70791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570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80D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262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废pH调整剂包装桶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17F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8E5E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49F8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E08B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4</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05FA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993E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4</w:t>
                  </w:r>
                </w:p>
              </w:tc>
            </w:tr>
            <w:tr w14:paraId="73F68C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restart"/>
                  <w:tcBorders>
                    <w:top w:val="single" w:color="000000" w:sz="4" w:space="0"/>
                    <w:left w:val="single" w:color="000000" w:sz="4" w:space="0"/>
                    <w:right w:val="single" w:color="000000" w:sz="4" w:space="0"/>
                  </w:tcBorders>
                  <w:shd w:val="clear" w:color="auto" w:fill="auto"/>
                  <w:vAlign w:val="center"/>
                </w:tcPr>
                <w:p w14:paraId="6DF3A0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629" w:type="pct"/>
                  <w:vMerge w:val="restart"/>
                  <w:tcBorders>
                    <w:top w:val="single" w:color="000000" w:sz="4" w:space="0"/>
                    <w:left w:val="single" w:color="000000" w:sz="4" w:space="0"/>
                    <w:right w:val="single" w:color="000000" w:sz="4" w:space="0"/>
                  </w:tcBorders>
                  <w:shd w:val="clear" w:color="auto" w:fill="auto"/>
                  <w:vAlign w:val="center"/>
                </w:tcPr>
                <w:p w14:paraId="0E444E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设备保养</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A5E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废机油桶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877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22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DE0B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81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0.02</w:t>
                  </w:r>
                  <w:r>
                    <w:rPr>
                      <w:rFonts w:hint="default" w:ascii="Times New Roman" w:hAnsi="Times New Roman" w:cs="Times New Roman"/>
                      <w:i w:val="0"/>
                      <w:iCs w:val="0"/>
                      <w:color w:val="auto"/>
                      <w:kern w:val="0"/>
                      <w:sz w:val="21"/>
                      <w:szCs w:val="21"/>
                      <w:highlight w:val="none"/>
                      <w:u w:val="none"/>
                      <w:lang w:val="en-US" w:eastAsia="zh-CN" w:bidi="ar"/>
                    </w:rPr>
                    <w:t>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7741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07F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r>
                    <w:rPr>
                      <w:rFonts w:hint="default" w:ascii="Times New Roman" w:hAnsi="Times New Roman" w:cs="Times New Roman"/>
                      <w:i w:val="0"/>
                      <w:iCs w:val="0"/>
                      <w:color w:val="auto"/>
                      <w:kern w:val="0"/>
                      <w:sz w:val="21"/>
                      <w:szCs w:val="21"/>
                      <w:highlight w:val="none"/>
                      <w:u w:val="none"/>
                      <w:lang w:val="en-US" w:eastAsia="zh-CN" w:bidi="ar"/>
                    </w:rPr>
                    <w:t>5</w:t>
                  </w:r>
                </w:p>
              </w:tc>
            </w:tr>
            <w:tr w14:paraId="044E4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right w:val="single" w:color="000000" w:sz="4" w:space="0"/>
                  </w:tcBorders>
                  <w:shd w:val="clear" w:color="auto" w:fill="auto"/>
                  <w:vAlign w:val="center"/>
                </w:tcPr>
                <w:p w14:paraId="0B4CAD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right w:val="single" w:color="000000" w:sz="4" w:space="0"/>
                  </w:tcBorders>
                  <w:shd w:val="clear" w:color="auto" w:fill="auto"/>
                  <w:vAlign w:val="center"/>
                </w:tcPr>
                <w:p w14:paraId="674B9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A5C2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废机油</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A2FF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F22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DB36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EA1B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9</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E9D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042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9</w:t>
                  </w: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78F05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7" w:hRule="atLeast"/>
                <w:jc w:val="center"/>
              </w:trPr>
              <w:tc>
                <w:tcPr>
                  <w:tcW w:w="456" w:type="pct"/>
                  <w:vMerge w:val="continue"/>
                  <w:tcBorders>
                    <w:left w:val="single" w:color="000000" w:sz="4" w:space="0"/>
                    <w:bottom w:val="single" w:color="000000" w:sz="4" w:space="0"/>
                    <w:right w:val="single" w:color="000000" w:sz="4" w:space="0"/>
                  </w:tcBorders>
                  <w:shd w:val="clear" w:color="auto" w:fill="auto"/>
                  <w:vAlign w:val="center"/>
                </w:tcPr>
                <w:p w14:paraId="6C12B9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left w:val="single" w:color="000000" w:sz="4" w:space="0"/>
                    <w:bottom w:val="single" w:color="000000" w:sz="4" w:space="0"/>
                    <w:right w:val="single" w:color="000000" w:sz="4" w:space="0"/>
                  </w:tcBorders>
                  <w:shd w:val="clear" w:color="auto" w:fill="auto"/>
                  <w:vAlign w:val="center"/>
                </w:tcPr>
                <w:p w14:paraId="542BD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3D3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含油废抹布</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0C7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53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53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8C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551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4AD7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0.05</w:t>
                  </w:r>
                </w:p>
              </w:tc>
            </w:tr>
            <w:tr w14:paraId="16A04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1" w:hRule="atLeast"/>
                <w:jc w:val="center"/>
              </w:trPr>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E9AD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自动化冲床设备</w:t>
                  </w:r>
                </w:p>
              </w:tc>
              <w:tc>
                <w:tcPr>
                  <w:tcW w:w="6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A569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自动化冲床设备</w:t>
                  </w: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BB6D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废液压油桶</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69E2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7A2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34C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93E3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25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9BE6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5D7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25</w:t>
                  </w:r>
                </w:p>
              </w:tc>
            </w:tr>
            <w:tr w14:paraId="64DD4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 w:hRule="atLeast"/>
                <w:jc w:val="center"/>
              </w:trPr>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52E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6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C24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77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5F6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废液压油</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E37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208A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8757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DB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85</w:t>
                  </w:r>
                </w:p>
              </w:tc>
              <w:tc>
                <w:tcPr>
                  <w:tcW w:w="5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14E6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rPr>
                      <w:rFonts w:hint="default" w:ascii="Times New Roman" w:hAnsi="Times New Roman" w:eastAsia="宋体" w:cs="Times New Roman"/>
                      <w:i w:val="0"/>
                      <w:iCs w:val="0"/>
                      <w:color w:val="auto"/>
                      <w:sz w:val="21"/>
                      <w:szCs w:val="21"/>
                      <w:highlight w:val="none"/>
                      <w:u w:val="none"/>
                    </w:rPr>
                  </w:pP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2998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85</w:t>
                  </w:r>
                </w:p>
              </w:tc>
            </w:tr>
          </w:tbl>
          <w:p w14:paraId="7444C1B1">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2、固体废物贮存和处置情况</w:t>
            </w:r>
          </w:p>
          <w:p w14:paraId="5FEBEDCD">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bookmarkStart w:id="176" w:name="_Ref10526"/>
            <w:r>
              <w:rPr>
                <w:rFonts w:hint="default" w:ascii="Times New Roman" w:hAnsi="Times New Roman" w:cs="Times New Roman"/>
                <w:color w:val="auto"/>
                <w:highlight w:val="none"/>
              </w:rPr>
              <w:t>生活垃圾交由环卫部门清运，包装废料、废滤芯、边角料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沉降金属粉尘和除尘器收集粉尘</w:t>
            </w:r>
            <w:r>
              <w:rPr>
                <w:rFonts w:hint="default" w:ascii="Times New Roman" w:hAnsi="Times New Roman" w:cs="Times New Roman"/>
                <w:color w:val="auto"/>
                <w:highlight w:val="none"/>
              </w:rPr>
              <w:t>交由资源回收利用单位，废表面处理剂包装桶、预处理池泥渣、废水处理站污泥、废机油空桶、废机油、废液压油空桶、废液压油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含油废抹布</w:t>
            </w:r>
            <w:r>
              <w:rPr>
                <w:rFonts w:hint="default" w:ascii="Times New Roman" w:hAnsi="Times New Roman" w:cs="Times New Roman"/>
                <w:color w:val="auto"/>
                <w:highlight w:val="none"/>
              </w:rPr>
              <w:t>委托有危险废物资质单位处理。</w:t>
            </w:r>
          </w:p>
          <w:p w14:paraId="09B56AF7">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《国家危险废物名录》（2025年版）</w:t>
            </w:r>
            <w:r>
              <w:rPr>
                <w:rFonts w:hint="default" w:ascii="Times New Roman" w:hAnsi="Times New Roman" w:cs="Times New Roman"/>
                <w:color w:val="auto"/>
                <w:highlight w:val="none"/>
              </w:rPr>
              <w:t>，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61F981F0">
            <w:pPr>
              <w:pStyle w:val="15"/>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表4-37</w:t>
            </w:r>
            <w:r>
              <w:rPr>
                <w:rFonts w:hint="default" w:ascii="Times New Roman" w:hAnsi="Times New Roman" w:cs="Times New Roman"/>
                <w:color w:val="auto"/>
                <w:highlight w:val="none"/>
              </w:rPr>
              <w:t>危险废物汇总表</w:t>
            </w:r>
          </w:p>
          <w:tbl>
            <w:tblPr>
              <w:tblStyle w:val="3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776"/>
              <w:gridCol w:w="1196"/>
              <w:gridCol w:w="689"/>
              <w:gridCol w:w="884"/>
              <w:gridCol w:w="595"/>
              <w:gridCol w:w="606"/>
              <w:gridCol w:w="679"/>
              <w:gridCol w:w="600"/>
              <w:gridCol w:w="658"/>
              <w:gridCol w:w="658"/>
              <w:gridCol w:w="695"/>
            </w:tblGrid>
            <w:tr w14:paraId="04D93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67278A9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危险废物名称</w:t>
                  </w:r>
                </w:p>
              </w:tc>
              <w:tc>
                <w:tcPr>
                  <w:tcW w:w="423" w:type="pct"/>
                  <w:vAlign w:val="center"/>
                </w:tcPr>
                <w:p w14:paraId="15BCA67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危险废物类别</w:t>
                  </w:r>
                </w:p>
              </w:tc>
              <w:tc>
                <w:tcPr>
                  <w:tcW w:w="608" w:type="pct"/>
                  <w:vAlign w:val="center"/>
                </w:tcPr>
                <w:p w14:paraId="096B07E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危险废物代码</w:t>
                  </w:r>
                </w:p>
              </w:tc>
              <w:tc>
                <w:tcPr>
                  <w:tcW w:w="350" w:type="pct"/>
                  <w:vAlign w:val="center"/>
                </w:tcPr>
                <w:p w14:paraId="7D36C8B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产生量t/a</w:t>
                  </w:r>
                </w:p>
              </w:tc>
              <w:tc>
                <w:tcPr>
                  <w:tcW w:w="493" w:type="pct"/>
                  <w:vAlign w:val="center"/>
                </w:tcPr>
                <w:p w14:paraId="558E441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产生工序及装置</w:t>
                  </w:r>
                </w:p>
              </w:tc>
              <w:tc>
                <w:tcPr>
                  <w:tcW w:w="335" w:type="pct"/>
                  <w:vAlign w:val="center"/>
                </w:tcPr>
                <w:p w14:paraId="11B0E61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形态</w:t>
                  </w:r>
                </w:p>
              </w:tc>
              <w:tc>
                <w:tcPr>
                  <w:tcW w:w="341" w:type="pct"/>
                  <w:vAlign w:val="center"/>
                </w:tcPr>
                <w:p w14:paraId="3A720AA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主要成分</w:t>
                  </w:r>
                </w:p>
              </w:tc>
              <w:tc>
                <w:tcPr>
                  <w:tcW w:w="381" w:type="pct"/>
                  <w:vAlign w:val="center"/>
                </w:tcPr>
                <w:p w14:paraId="30B5081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有害成分</w:t>
                  </w:r>
                </w:p>
              </w:tc>
              <w:tc>
                <w:tcPr>
                  <w:tcW w:w="337" w:type="pct"/>
                  <w:vAlign w:val="center"/>
                </w:tcPr>
                <w:p w14:paraId="2AC74FE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产废周期</w:t>
                  </w:r>
                </w:p>
              </w:tc>
              <w:tc>
                <w:tcPr>
                  <w:tcW w:w="369" w:type="pct"/>
                  <w:vAlign w:val="center"/>
                </w:tcPr>
                <w:p w14:paraId="7701C8C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b/>
                      <w:bCs/>
                      <w:color w:val="auto"/>
                      <w:kern w:val="2"/>
                      <w:sz w:val="21"/>
                      <w:szCs w:val="21"/>
                      <w:highlight w:val="none"/>
                      <w:lang w:val="en-US" w:eastAsia="zh-CN"/>
                    </w:rPr>
                  </w:pPr>
                  <w:r>
                    <w:rPr>
                      <w:rFonts w:hint="eastAsia" w:ascii="Times New Roman" w:hAnsi="Times New Roman" w:cs="Times New Roman"/>
                      <w:b/>
                      <w:bCs/>
                      <w:color w:val="auto"/>
                      <w:kern w:val="2"/>
                      <w:sz w:val="21"/>
                      <w:szCs w:val="21"/>
                      <w:highlight w:val="none"/>
                      <w:lang w:val="en-US" w:eastAsia="zh-CN"/>
                    </w:rPr>
                    <w:t>贮存周期</w:t>
                  </w:r>
                </w:p>
              </w:tc>
              <w:tc>
                <w:tcPr>
                  <w:tcW w:w="369" w:type="pct"/>
                  <w:vAlign w:val="center"/>
                </w:tcPr>
                <w:p w14:paraId="4086EBA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危险特性</w:t>
                  </w:r>
                </w:p>
              </w:tc>
              <w:tc>
                <w:tcPr>
                  <w:tcW w:w="389" w:type="pct"/>
                  <w:vAlign w:val="center"/>
                </w:tcPr>
                <w:p w14:paraId="7E747F5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污染防治措施</w:t>
                  </w:r>
                </w:p>
              </w:tc>
            </w:tr>
            <w:tr w14:paraId="73AE1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429983F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废表面处理剂包装桶</w:t>
                  </w:r>
                </w:p>
              </w:tc>
              <w:tc>
                <w:tcPr>
                  <w:tcW w:w="423" w:type="pct"/>
                  <w:vAlign w:val="center"/>
                </w:tcPr>
                <w:p w14:paraId="1AB461FF">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08" w:type="pct"/>
                  <w:vAlign w:val="center"/>
                </w:tcPr>
                <w:p w14:paraId="20321FC4">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bCs/>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50" w:type="pct"/>
                  <w:vAlign w:val="center"/>
                </w:tcPr>
                <w:p w14:paraId="36C23954">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46</w:t>
                  </w:r>
                </w:p>
              </w:tc>
              <w:tc>
                <w:tcPr>
                  <w:tcW w:w="493" w:type="pct"/>
                  <w:vAlign w:val="center"/>
                </w:tcPr>
                <w:p w14:paraId="422C0F0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表面预处理</w:t>
                  </w:r>
                </w:p>
              </w:tc>
              <w:tc>
                <w:tcPr>
                  <w:tcW w:w="335" w:type="pct"/>
                  <w:vAlign w:val="center"/>
                </w:tcPr>
                <w:p w14:paraId="271C5C76">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固态</w:t>
                  </w:r>
                </w:p>
              </w:tc>
              <w:tc>
                <w:tcPr>
                  <w:tcW w:w="341" w:type="pct"/>
                  <w:vAlign w:val="center"/>
                </w:tcPr>
                <w:p w14:paraId="3331AD9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无机酸</w:t>
                  </w:r>
                </w:p>
              </w:tc>
              <w:tc>
                <w:tcPr>
                  <w:tcW w:w="381" w:type="pct"/>
                  <w:vAlign w:val="center"/>
                </w:tcPr>
                <w:p w14:paraId="77BF31F7">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无机酸</w:t>
                  </w:r>
                </w:p>
              </w:tc>
              <w:tc>
                <w:tcPr>
                  <w:tcW w:w="337" w:type="pct"/>
                  <w:vAlign w:val="center"/>
                </w:tcPr>
                <w:p w14:paraId="07BCE35C">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每周</w:t>
                  </w:r>
                </w:p>
              </w:tc>
              <w:tc>
                <w:tcPr>
                  <w:tcW w:w="369" w:type="pct"/>
                  <w:vAlign w:val="center"/>
                </w:tcPr>
                <w:p w14:paraId="278F9181">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4DEF718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T</w:t>
                  </w:r>
                </w:p>
              </w:tc>
              <w:tc>
                <w:tcPr>
                  <w:tcW w:w="389" w:type="pct"/>
                  <w:vMerge w:val="restart"/>
                  <w:vAlign w:val="center"/>
                </w:tcPr>
                <w:p w14:paraId="07E248C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暂存在危险废物暂存间，定期由危废资质单位处理。</w:t>
                  </w:r>
                </w:p>
              </w:tc>
            </w:tr>
            <w:tr w14:paraId="1384B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0C01BA6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sz w:val="21"/>
                      <w:szCs w:val="21"/>
                      <w:highlight w:val="none"/>
                    </w:rPr>
                    <w:t>预处理池泥渣</w:t>
                  </w:r>
                </w:p>
              </w:tc>
              <w:tc>
                <w:tcPr>
                  <w:tcW w:w="423" w:type="pct"/>
                  <w:vAlign w:val="center"/>
                </w:tcPr>
                <w:p w14:paraId="5DEAC4F6">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HW17</w:t>
                  </w:r>
                </w:p>
              </w:tc>
              <w:tc>
                <w:tcPr>
                  <w:tcW w:w="608" w:type="pct"/>
                  <w:vAlign w:val="center"/>
                </w:tcPr>
                <w:p w14:paraId="57D5150E">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50" w:type="pct"/>
                  <w:vAlign w:val="center"/>
                </w:tcPr>
                <w:p w14:paraId="4295F5FC">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lang w:val="en-US"/>
                    </w:rPr>
                  </w:pPr>
                  <w:r>
                    <w:rPr>
                      <w:rFonts w:hint="eastAsia" w:ascii="Times New Roman" w:hAnsi="Times New Roman" w:cs="Times New Roman"/>
                      <w:i w:val="0"/>
                      <w:iCs w:val="0"/>
                      <w:color w:val="auto"/>
                      <w:kern w:val="0"/>
                      <w:sz w:val="21"/>
                      <w:szCs w:val="21"/>
                      <w:highlight w:val="none"/>
                      <w:u w:val="none"/>
                      <w:lang w:val="en-US" w:eastAsia="zh-CN" w:bidi="ar"/>
                    </w:rPr>
                    <w:t>0.5</w:t>
                  </w:r>
                </w:p>
              </w:tc>
              <w:tc>
                <w:tcPr>
                  <w:tcW w:w="493" w:type="pct"/>
                  <w:vAlign w:val="center"/>
                </w:tcPr>
                <w:p w14:paraId="3DBBBCC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前处理</w:t>
                  </w:r>
                </w:p>
              </w:tc>
              <w:tc>
                <w:tcPr>
                  <w:tcW w:w="335" w:type="pct"/>
                  <w:vAlign w:val="center"/>
                </w:tcPr>
                <w:p w14:paraId="606A674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41" w:type="pct"/>
                  <w:vAlign w:val="center"/>
                </w:tcPr>
                <w:p w14:paraId="5DF22AD6">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firstLine="0" w:firstLineChars="0"/>
                    <w:jc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sz w:val="21"/>
                      <w:szCs w:val="21"/>
                      <w:highlight w:val="none"/>
                    </w:rPr>
                    <w:t>泥渣</w:t>
                  </w:r>
                </w:p>
              </w:tc>
              <w:tc>
                <w:tcPr>
                  <w:tcW w:w="381" w:type="pct"/>
                  <w:vAlign w:val="center"/>
                </w:tcPr>
                <w:p w14:paraId="4927A1AB">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firstLine="0" w:firstLineChars="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sz w:val="21"/>
                      <w:szCs w:val="21"/>
                      <w:highlight w:val="none"/>
                    </w:rPr>
                    <w:t>泥渣</w:t>
                  </w:r>
                </w:p>
              </w:tc>
              <w:tc>
                <w:tcPr>
                  <w:tcW w:w="337" w:type="pct"/>
                  <w:vAlign w:val="center"/>
                </w:tcPr>
                <w:p w14:paraId="3F055D0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1个月</w:t>
                  </w:r>
                </w:p>
              </w:tc>
              <w:tc>
                <w:tcPr>
                  <w:tcW w:w="369" w:type="pct"/>
                  <w:vAlign w:val="center"/>
                </w:tcPr>
                <w:p w14:paraId="2D8E1F05">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3个月</w:t>
                  </w:r>
                </w:p>
              </w:tc>
              <w:tc>
                <w:tcPr>
                  <w:tcW w:w="369" w:type="pct"/>
                  <w:vAlign w:val="center"/>
                </w:tcPr>
                <w:p w14:paraId="369E84B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T</w:t>
                  </w:r>
                </w:p>
              </w:tc>
              <w:tc>
                <w:tcPr>
                  <w:tcW w:w="389" w:type="pct"/>
                  <w:vMerge w:val="continue"/>
                  <w:vAlign w:val="center"/>
                </w:tcPr>
                <w:p w14:paraId="5CE8B03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046B9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6D6486E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无铬钝化池废槽液</w:t>
                  </w:r>
                </w:p>
              </w:tc>
              <w:tc>
                <w:tcPr>
                  <w:tcW w:w="423" w:type="pct"/>
                  <w:shd w:val="clear" w:color="auto" w:fill="auto"/>
                  <w:vAlign w:val="center"/>
                </w:tcPr>
                <w:p w14:paraId="7DDB072D">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HW17</w:t>
                  </w:r>
                </w:p>
              </w:tc>
              <w:tc>
                <w:tcPr>
                  <w:tcW w:w="608" w:type="pct"/>
                  <w:shd w:val="clear" w:color="auto" w:fill="auto"/>
                  <w:vAlign w:val="center"/>
                </w:tcPr>
                <w:p w14:paraId="60C85FA9">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50" w:type="pct"/>
                  <w:vAlign w:val="center"/>
                </w:tcPr>
                <w:p w14:paraId="5BC6446D">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28.8</w:t>
                  </w:r>
                </w:p>
              </w:tc>
              <w:tc>
                <w:tcPr>
                  <w:tcW w:w="493" w:type="pct"/>
                  <w:shd w:val="clear" w:color="auto" w:fill="auto"/>
                  <w:vAlign w:val="center"/>
                </w:tcPr>
                <w:p w14:paraId="1E62761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rPr>
                    <w:t>前处理</w:t>
                  </w:r>
                </w:p>
              </w:tc>
              <w:tc>
                <w:tcPr>
                  <w:tcW w:w="335" w:type="pct"/>
                  <w:shd w:val="clear" w:color="auto" w:fill="auto"/>
                  <w:vAlign w:val="center"/>
                </w:tcPr>
                <w:p w14:paraId="0DF59E0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液态</w:t>
                  </w:r>
                </w:p>
              </w:tc>
              <w:tc>
                <w:tcPr>
                  <w:tcW w:w="341" w:type="pct"/>
                  <w:vAlign w:val="center"/>
                </w:tcPr>
                <w:p w14:paraId="507F7DE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废槽液</w:t>
                  </w:r>
                </w:p>
              </w:tc>
              <w:tc>
                <w:tcPr>
                  <w:tcW w:w="381" w:type="pct"/>
                  <w:vAlign w:val="center"/>
                </w:tcPr>
                <w:p w14:paraId="03BAFDB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废槽液</w:t>
                  </w:r>
                </w:p>
              </w:tc>
              <w:tc>
                <w:tcPr>
                  <w:tcW w:w="337" w:type="pct"/>
                  <w:vAlign w:val="center"/>
                </w:tcPr>
                <w:p w14:paraId="11FDDB03">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3个月</w:t>
                  </w:r>
                </w:p>
              </w:tc>
              <w:tc>
                <w:tcPr>
                  <w:tcW w:w="369" w:type="pct"/>
                  <w:vAlign w:val="center"/>
                </w:tcPr>
                <w:p w14:paraId="60E7031C">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3个月</w:t>
                  </w:r>
                </w:p>
              </w:tc>
              <w:tc>
                <w:tcPr>
                  <w:tcW w:w="369" w:type="pct"/>
                  <w:vAlign w:val="center"/>
                </w:tcPr>
                <w:p w14:paraId="09901F5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9" w:type="pct"/>
                  <w:vMerge w:val="continue"/>
                  <w:vAlign w:val="center"/>
                </w:tcPr>
                <w:p w14:paraId="312B196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4F03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97" w:type="pct"/>
                  <w:vAlign w:val="center"/>
                </w:tcPr>
                <w:p w14:paraId="02E8D5D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废水处理站污泥</w:t>
                  </w:r>
                </w:p>
              </w:tc>
              <w:tc>
                <w:tcPr>
                  <w:tcW w:w="423" w:type="pct"/>
                  <w:vAlign w:val="center"/>
                </w:tcPr>
                <w:p w14:paraId="7BFA75EA">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HW17</w:t>
                  </w:r>
                </w:p>
              </w:tc>
              <w:tc>
                <w:tcPr>
                  <w:tcW w:w="608" w:type="pct"/>
                  <w:vAlign w:val="center"/>
                </w:tcPr>
                <w:p w14:paraId="5D225D65">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336-064-17</w:t>
                  </w:r>
                </w:p>
              </w:tc>
              <w:tc>
                <w:tcPr>
                  <w:tcW w:w="350" w:type="pct"/>
                  <w:vAlign w:val="center"/>
                </w:tcPr>
                <w:p w14:paraId="4023154D">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1.6</w:t>
                  </w:r>
                </w:p>
              </w:tc>
              <w:tc>
                <w:tcPr>
                  <w:tcW w:w="493" w:type="pct"/>
                  <w:vAlign w:val="center"/>
                </w:tcPr>
                <w:p w14:paraId="0157522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35" w:type="pct"/>
                  <w:vAlign w:val="center"/>
                </w:tcPr>
                <w:p w14:paraId="2E959AD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41" w:type="pct"/>
                  <w:vAlign w:val="center"/>
                </w:tcPr>
                <w:p w14:paraId="5BD93C0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油渣</w:t>
                  </w:r>
                </w:p>
              </w:tc>
              <w:tc>
                <w:tcPr>
                  <w:tcW w:w="381" w:type="pct"/>
                  <w:vAlign w:val="center"/>
                </w:tcPr>
                <w:p w14:paraId="79A4D7C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油渣</w:t>
                  </w:r>
                </w:p>
              </w:tc>
              <w:tc>
                <w:tcPr>
                  <w:tcW w:w="337" w:type="pct"/>
                  <w:vAlign w:val="center"/>
                </w:tcPr>
                <w:p w14:paraId="41BE017A">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1个月</w:t>
                  </w:r>
                </w:p>
              </w:tc>
              <w:tc>
                <w:tcPr>
                  <w:tcW w:w="369" w:type="pct"/>
                  <w:vAlign w:val="center"/>
                </w:tcPr>
                <w:p w14:paraId="619E6E25">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3个月</w:t>
                  </w:r>
                </w:p>
              </w:tc>
              <w:tc>
                <w:tcPr>
                  <w:tcW w:w="369" w:type="pct"/>
                  <w:vAlign w:val="center"/>
                </w:tcPr>
                <w:p w14:paraId="671F4A9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9" w:type="pct"/>
                  <w:vMerge w:val="continue"/>
                  <w:vAlign w:val="center"/>
                </w:tcPr>
                <w:p w14:paraId="7587AA0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7E0F1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97" w:type="pct"/>
                  <w:vAlign w:val="center"/>
                </w:tcPr>
                <w:p w14:paraId="2672AC1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23" w:type="pct"/>
                  <w:vAlign w:val="center"/>
                </w:tcPr>
                <w:p w14:paraId="587DB1B8">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08" w:type="pct"/>
                  <w:vAlign w:val="center"/>
                </w:tcPr>
                <w:p w14:paraId="36F608D0">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50" w:type="pct"/>
                  <w:vAlign w:val="center"/>
                </w:tcPr>
                <w:p w14:paraId="60ADA413">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default" w:ascii="Times New Roman" w:hAnsi="Times New Roman" w:cs="Times New Roman"/>
                      <w:i w:val="0"/>
                      <w:iCs w:val="0"/>
                      <w:color w:val="auto"/>
                      <w:kern w:val="0"/>
                      <w:sz w:val="21"/>
                      <w:szCs w:val="21"/>
                      <w:highlight w:val="none"/>
                      <w:u w:val="none"/>
                      <w:lang w:val="en-US" w:eastAsia="zh-CN" w:bidi="ar"/>
                    </w:rPr>
                    <w:t>4</w:t>
                  </w:r>
                </w:p>
              </w:tc>
              <w:tc>
                <w:tcPr>
                  <w:tcW w:w="493" w:type="pct"/>
                  <w:vAlign w:val="center"/>
                </w:tcPr>
                <w:p w14:paraId="1B6E180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35" w:type="pct"/>
                  <w:vAlign w:val="center"/>
                </w:tcPr>
                <w:p w14:paraId="2E78F39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41" w:type="pct"/>
                  <w:vAlign w:val="center"/>
                </w:tcPr>
                <w:p w14:paraId="5FE9979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eastAsia="zh-CN"/>
                    </w:rPr>
                    <w:t>硫酸</w:t>
                  </w:r>
                </w:p>
              </w:tc>
              <w:tc>
                <w:tcPr>
                  <w:tcW w:w="381" w:type="pct"/>
                  <w:vAlign w:val="center"/>
                </w:tcPr>
                <w:p w14:paraId="3454F52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eastAsia="zh-CN"/>
                    </w:rPr>
                    <w:t>硫酸</w:t>
                  </w:r>
                </w:p>
              </w:tc>
              <w:tc>
                <w:tcPr>
                  <w:tcW w:w="337" w:type="pct"/>
                  <w:vAlign w:val="center"/>
                </w:tcPr>
                <w:p w14:paraId="01B3B17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sz w:val="21"/>
                      <w:szCs w:val="21"/>
                      <w:highlight w:val="none"/>
                    </w:rPr>
                    <w:t>1个月</w:t>
                  </w:r>
                </w:p>
              </w:tc>
              <w:tc>
                <w:tcPr>
                  <w:tcW w:w="369" w:type="pct"/>
                  <w:vAlign w:val="center"/>
                </w:tcPr>
                <w:p w14:paraId="6BEF4B32">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3个月</w:t>
                  </w:r>
                </w:p>
              </w:tc>
              <w:tc>
                <w:tcPr>
                  <w:tcW w:w="369" w:type="pct"/>
                  <w:vAlign w:val="center"/>
                </w:tcPr>
                <w:p w14:paraId="5C87D7A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p>
              </w:tc>
              <w:tc>
                <w:tcPr>
                  <w:tcW w:w="389" w:type="pct"/>
                  <w:vMerge w:val="continue"/>
                  <w:vAlign w:val="center"/>
                </w:tcPr>
                <w:p w14:paraId="5B3EBC4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p>
              </w:tc>
            </w:tr>
            <w:tr w14:paraId="00B98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04E0AA7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rPr>
                    <w:t>废机油桶</w:t>
                  </w:r>
                </w:p>
              </w:tc>
              <w:tc>
                <w:tcPr>
                  <w:tcW w:w="423" w:type="pct"/>
                  <w:vAlign w:val="center"/>
                </w:tcPr>
                <w:p w14:paraId="036B9398">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08" w:type="pct"/>
                  <w:vAlign w:val="center"/>
                </w:tcPr>
                <w:p w14:paraId="2187D587">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50" w:type="pct"/>
                  <w:vAlign w:val="center"/>
                </w:tcPr>
                <w:p w14:paraId="10DE62F6">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0.02</w:t>
                  </w:r>
                  <w:r>
                    <w:rPr>
                      <w:rFonts w:hint="default" w:ascii="Times New Roman" w:hAnsi="Times New Roman" w:cs="Times New Roman"/>
                      <w:i w:val="0"/>
                      <w:iCs w:val="0"/>
                      <w:color w:val="auto"/>
                      <w:kern w:val="0"/>
                      <w:sz w:val="21"/>
                      <w:szCs w:val="21"/>
                      <w:highlight w:val="none"/>
                      <w:u w:val="none"/>
                      <w:lang w:val="en-US" w:eastAsia="zh-CN" w:bidi="ar"/>
                    </w:rPr>
                    <w:t>5</w:t>
                  </w:r>
                </w:p>
              </w:tc>
              <w:tc>
                <w:tcPr>
                  <w:tcW w:w="493" w:type="pct"/>
                  <w:vAlign w:val="center"/>
                </w:tcPr>
                <w:p w14:paraId="1DB5826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w:t>
                  </w:r>
                  <w:r>
                    <w:rPr>
                      <w:rFonts w:hint="default" w:ascii="Times New Roman" w:hAnsi="Times New Roman" w:cs="Times New Roman"/>
                      <w:color w:val="auto"/>
                      <w:kern w:val="2"/>
                      <w:position w:val="0"/>
                      <w:sz w:val="21"/>
                      <w:szCs w:val="21"/>
                      <w:highlight w:val="none"/>
                      <w:lang w:eastAsia="zh-CN"/>
                    </w:rPr>
                    <w:t>水</w:t>
                  </w:r>
                  <w:r>
                    <w:rPr>
                      <w:rFonts w:hint="default" w:ascii="Times New Roman" w:hAnsi="Times New Roman" w:cs="Times New Roman"/>
                      <w:color w:val="auto"/>
                      <w:kern w:val="2"/>
                      <w:position w:val="0"/>
                      <w:sz w:val="21"/>
                      <w:szCs w:val="21"/>
                      <w:highlight w:val="none"/>
                    </w:rPr>
                    <w:t>处理</w:t>
                  </w:r>
                </w:p>
              </w:tc>
              <w:tc>
                <w:tcPr>
                  <w:tcW w:w="335" w:type="pct"/>
                  <w:vAlign w:val="center"/>
                </w:tcPr>
                <w:p w14:paraId="1E16E4A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41" w:type="pct"/>
                  <w:vAlign w:val="center"/>
                </w:tcPr>
                <w:p w14:paraId="25D73CE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381" w:type="pct"/>
                  <w:vAlign w:val="center"/>
                </w:tcPr>
                <w:p w14:paraId="089F05C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eastAsia="zh-CN"/>
                    </w:rPr>
                  </w:pPr>
                  <w:r>
                    <w:rPr>
                      <w:rFonts w:hint="default" w:ascii="Times New Roman" w:hAnsi="Times New Roman" w:cs="Times New Roman"/>
                      <w:color w:val="auto"/>
                      <w:kern w:val="2"/>
                      <w:position w:val="0"/>
                      <w:sz w:val="21"/>
                      <w:szCs w:val="21"/>
                      <w:highlight w:val="none"/>
                      <w:lang w:val="en-US" w:eastAsia="zh-CN"/>
                    </w:rPr>
                    <w:t>矿物油</w:t>
                  </w:r>
                </w:p>
              </w:tc>
              <w:tc>
                <w:tcPr>
                  <w:tcW w:w="337" w:type="pct"/>
                  <w:vAlign w:val="center"/>
                </w:tcPr>
                <w:p w14:paraId="2D8ADD87">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369" w:type="pct"/>
                  <w:vAlign w:val="center"/>
                </w:tcPr>
                <w:p w14:paraId="615F1BE3">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1D479F0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9" w:type="pct"/>
                  <w:vMerge w:val="continue"/>
                  <w:vAlign w:val="center"/>
                </w:tcPr>
                <w:p w14:paraId="33EF5D6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22410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217DF4F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废机油</w:t>
                  </w:r>
                </w:p>
              </w:tc>
              <w:tc>
                <w:tcPr>
                  <w:tcW w:w="423" w:type="pct"/>
                  <w:vAlign w:val="center"/>
                </w:tcPr>
                <w:p w14:paraId="0BA936A1">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08" w:type="pct"/>
                  <w:vAlign w:val="center"/>
                </w:tcPr>
                <w:p w14:paraId="11B8C8CE">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50" w:type="pct"/>
                  <w:vAlign w:val="center"/>
                </w:tcPr>
                <w:p w14:paraId="67DD95EA">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9</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493" w:type="pct"/>
                  <w:vAlign w:val="center"/>
                </w:tcPr>
                <w:p w14:paraId="6274144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设备保养</w:t>
                  </w:r>
                </w:p>
              </w:tc>
              <w:tc>
                <w:tcPr>
                  <w:tcW w:w="335" w:type="pct"/>
                  <w:vAlign w:val="center"/>
                </w:tcPr>
                <w:p w14:paraId="2104DB7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41" w:type="pct"/>
                  <w:vAlign w:val="center"/>
                </w:tcPr>
                <w:p w14:paraId="4F6CDBF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81" w:type="pct"/>
                  <w:vAlign w:val="center"/>
                </w:tcPr>
                <w:p w14:paraId="689E976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37" w:type="pct"/>
                  <w:vAlign w:val="center"/>
                </w:tcPr>
                <w:p w14:paraId="6C37E048">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369" w:type="pct"/>
                  <w:vAlign w:val="center"/>
                </w:tcPr>
                <w:p w14:paraId="536492B4">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292F0E5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9" w:type="pct"/>
                  <w:vMerge w:val="continue"/>
                  <w:vAlign w:val="center"/>
                </w:tcPr>
                <w:p w14:paraId="3674873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33848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24305DA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废液压油桶</w:t>
                  </w:r>
                </w:p>
              </w:tc>
              <w:tc>
                <w:tcPr>
                  <w:tcW w:w="423" w:type="pct"/>
                  <w:vAlign w:val="center"/>
                </w:tcPr>
                <w:p w14:paraId="04BF46B6">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08" w:type="pct"/>
                  <w:vAlign w:val="center"/>
                </w:tcPr>
                <w:p w14:paraId="12C8B7C4">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50" w:type="pct"/>
                  <w:vAlign w:val="center"/>
                </w:tcPr>
                <w:p w14:paraId="66A04CCC">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default" w:ascii="Times New Roman" w:hAnsi="Times New Roman" w:cs="Times New Roman"/>
                      <w:i w:val="0"/>
                      <w:iCs w:val="0"/>
                      <w:color w:val="auto"/>
                      <w:kern w:val="0"/>
                      <w:sz w:val="21"/>
                      <w:szCs w:val="21"/>
                      <w:highlight w:val="none"/>
                      <w:u w:val="none"/>
                      <w:lang w:val="en-US" w:eastAsia="zh-CN" w:bidi="ar"/>
                    </w:rPr>
                    <w:t>2</w:t>
                  </w:r>
                </w:p>
              </w:tc>
              <w:tc>
                <w:tcPr>
                  <w:tcW w:w="493" w:type="pct"/>
                  <w:vAlign w:val="center"/>
                </w:tcPr>
                <w:p w14:paraId="00F6068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旋压机、油压机</w:t>
                  </w:r>
                </w:p>
              </w:tc>
              <w:tc>
                <w:tcPr>
                  <w:tcW w:w="335" w:type="pct"/>
                  <w:vAlign w:val="center"/>
                </w:tcPr>
                <w:p w14:paraId="4F5642C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41" w:type="pct"/>
                  <w:vAlign w:val="center"/>
                </w:tcPr>
                <w:p w14:paraId="1BC6304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有机物</w:t>
                  </w:r>
                </w:p>
              </w:tc>
              <w:tc>
                <w:tcPr>
                  <w:tcW w:w="381" w:type="pct"/>
                  <w:vAlign w:val="center"/>
                </w:tcPr>
                <w:p w14:paraId="603FB71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有机物</w:t>
                  </w:r>
                </w:p>
              </w:tc>
              <w:tc>
                <w:tcPr>
                  <w:tcW w:w="337" w:type="pct"/>
                  <w:vAlign w:val="center"/>
                </w:tcPr>
                <w:p w14:paraId="03BBDCF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369" w:type="pct"/>
                  <w:vAlign w:val="center"/>
                </w:tcPr>
                <w:p w14:paraId="5FB9C14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42BB883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9" w:type="pct"/>
                  <w:vMerge w:val="continue"/>
                  <w:vAlign w:val="center"/>
                </w:tcPr>
                <w:p w14:paraId="5418655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23F08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39EECE2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废液压油</w:t>
                  </w:r>
                </w:p>
              </w:tc>
              <w:tc>
                <w:tcPr>
                  <w:tcW w:w="423" w:type="pct"/>
                  <w:vAlign w:val="center"/>
                </w:tcPr>
                <w:p w14:paraId="4C089373">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608" w:type="pct"/>
                  <w:vAlign w:val="center"/>
                </w:tcPr>
                <w:p w14:paraId="03442B52">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cs="Times New Roman"/>
                      <w:color w:val="auto"/>
                      <w:kern w:val="2"/>
                      <w:positio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350" w:type="pct"/>
                  <w:vAlign w:val="center"/>
                </w:tcPr>
                <w:p w14:paraId="0FF52574">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493" w:type="pct"/>
                  <w:vAlign w:val="center"/>
                </w:tcPr>
                <w:p w14:paraId="5CF2C12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旋压机、油压机</w:t>
                  </w:r>
                </w:p>
              </w:tc>
              <w:tc>
                <w:tcPr>
                  <w:tcW w:w="335" w:type="pct"/>
                  <w:vAlign w:val="center"/>
                </w:tcPr>
                <w:p w14:paraId="03018C9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液态</w:t>
                  </w:r>
                </w:p>
              </w:tc>
              <w:tc>
                <w:tcPr>
                  <w:tcW w:w="341" w:type="pct"/>
                  <w:vAlign w:val="center"/>
                </w:tcPr>
                <w:p w14:paraId="3D4E4C6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液压油</w:t>
                  </w:r>
                </w:p>
              </w:tc>
              <w:tc>
                <w:tcPr>
                  <w:tcW w:w="381" w:type="pct"/>
                  <w:vAlign w:val="center"/>
                </w:tcPr>
                <w:p w14:paraId="6E9F29E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液压油</w:t>
                  </w:r>
                </w:p>
              </w:tc>
              <w:tc>
                <w:tcPr>
                  <w:tcW w:w="337" w:type="pct"/>
                  <w:vAlign w:val="center"/>
                </w:tcPr>
                <w:p w14:paraId="6B363B40">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半</w:t>
                  </w:r>
                  <w:r>
                    <w:rPr>
                      <w:rFonts w:hint="default" w:ascii="Times New Roman" w:hAnsi="Times New Roman" w:cs="Times New Roman"/>
                      <w:color w:val="auto"/>
                      <w:sz w:val="21"/>
                      <w:szCs w:val="21"/>
                      <w:highlight w:val="none"/>
                    </w:rPr>
                    <w:t>年</w:t>
                  </w:r>
                </w:p>
              </w:tc>
              <w:tc>
                <w:tcPr>
                  <w:tcW w:w="369" w:type="pct"/>
                  <w:vAlign w:val="center"/>
                </w:tcPr>
                <w:p w14:paraId="381E767B">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25368D2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9" w:type="pct"/>
                  <w:vMerge w:val="continue"/>
                  <w:vAlign w:val="center"/>
                </w:tcPr>
                <w:p w14:paraId="218BFA0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r w14:paraId="2807D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7" w:type="pct"/>
                  <w:vAlign w:val="center"/>
                </w:tcPr>
                <w:p w14:paraId="0483750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rPr>
                    <w:t>含油废抹布</w:t>
                  </w:r>
                </w:p>
              </w:tc>
              <w:tc>
                <w:tcPr>
                  <w:tcW w:w="423" w:type="pct"/>
                  <w:vAlign w:val="center"/>
                </w:tcPr>
                <w:p w14:paraId="748099A5">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608" w:type="pct"/>
                  <w:vAlign w:val="center"/>
                </w:tcPr>
                <w:p w14:paraId="6DDB6911">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350" w:type="pct"/>
                  <w:vAlign w:val="center"/>
                </w:tcPr>
                <w:p w14:paraId="27DB30C8">
                  <w:pPr>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0.05</w:t>
                  </w:r>
                </w:p>
              </w:tc>
              <w:tc>
                <w:tcPr>
                  <w:tcW w:w="493" w:type="pct"/>
                  <w:vAlign w:val="center"/>
                </w:tcPr>
                <w:p w14:paraId="5108A2B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eastAsia="宋体" w:cs="Times New Roman"/>
                      <w:color w:val="auto"/>
                      <w:kern w:val="2"/>
                      <w:position w:val="0"/>
                      <w:sz w:val="21"/>
                      <w:szCs w:val="21"/>
                      <w:highlight w:val="none"/>
                      <w:lang w:val="en-US" w:eastAsia="zh-CN"/>
                    </w:rPr>
                  </w:pPr>
                  <w:r>
                    <w:rPr>
                      <w:rFonts w:hint="default" w:ascii="Times New Roman" w:hAnsi="Times New Roman" w:cs="Times New Roman"/>
                      <w:color w:val="auto"/>
                      <w:kern w:val="2"/>
                      <w:position w:val="0"/>
                      <w:sz w:val="21"/>
                      <w:szCs w:val="21"/>
                      <w:highlight w:val="none"/>
                    </w:rPr>
                    <w:t>设备保养</w:t>
                  </w:r>
                </w:p>
              </w:tc>
              <w:tc>
                <w:tcPr>
                  <w:tcW w:w="335" w:type="pct"/>
                  <w:vAlign w:val="center"/>
                </w:tcPr>
                <w:p w14:paraId="7E16E8D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固态</w:t>
                  </w:r>
                </w:p>
              </w:tc>
              <w:tc>
                <w:tcPr>
                  <w:tcW w:w="341" w:type="pct"/>
                  <w:vAlign w:val="center"/>
                </w:tcPr>
                <w:p w14:paraId="4F2A363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81" w:type="pct"/>
                  <w:vAlign w:val="center"/>
                </w:tcPr>
                <w:p w14:paraId="07499DD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lang w:val="en-US" w:eastAsia="zh-CN"/>
                    </w:rPr>
                    <w:t>矿物油</w:t>
                  </w:r>
                </w:p>
              </w:tc>
              <w:tc>
                <w:tcPr>
                  <w:tcW w:w="337" w:type="pct"/>
                  <w:vAlign w:val="center"/>
                </w:tcPr>
                <w:p w14:paraId="320E0C1E">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每</w:t>
                  </w:r>
                  <w:r>
                    <w:rPr>
                      <w:rFonts w:hint="eastAsia" w:ascii="Times New Roman" w:hAnsi="Times New Roman" w:cs="Times New Roman"/>
                      <w:color w:val="auto"/>
                      <w:sz w:val="21"/>
                      <w:szCs w:val="21"/>
                      <w:highlight w:val="none"/>
                      <w:lang w:val="en-US" w:eastAsia="zh-CN"/>
                    </w:rPr>
                    <w:t>月</w:t>
                  </w:r>
                </w:p>
              </w:tc>
              <w:tc>
                <w:tcPr>
                  <w:tcW w:w="369" w:type="pct"/>
                  <w:vAlign w:val="center"/>
                </w:tcPr>
                <w:p w14:paraId="62CDCB4B">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半年</w:t>
                  </w:r>
                </w:p>
              </w:tc>
              <w:tc>
                <w:tcPr>
                  <w:tcW w:w="369" w:type="pct"/>
                  <w:vAlign w:val="center"/>
                </w:tcPr>
                <w:p w14:paraId="6C3FE65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kern w:val="2"/>
                      <w:position w:val="0"/>
                      <w:sz w:val="21"/>
                      <w:szCs w:val="21"/>
                      <w:highlight w:val="none"/>
                    </w:rPr>
                    <w:t>T</w:t>
                  </w:r>
                  <w:r>
                    <w:rPr>
                      <w:rFonts w:hint="default" w:ascii="Times New Roman" w:hAnsi="Times New Roman" w:cs="Times New Roman"/>
                      <w:color w:val="auto"/>
                      <w:kern w:val="2"/>
                      <w:position w:val="0"/>
                      <w:sz w:val="21"/>
                      <w:szCs w:val="21"/>
                      <w:highlight w:val="none"/>
                      <w:lang w:val="en-US" w:eastAsia="zh-CN"/>
                    </w:rPr>
                    <w:t>,I</w:t>
                  </w:r>
                </w:p>
              </w:tc>
              <w:tc>
                <w:tcPr>
                  <w:tcW w:w="389" w:type="pct"/>
                  <w:vMerge w:val="continue"/>
                  <w:vAlign w:val="center"/>
                </w:tcPr>
                <w:p w14:paraId="224B4F3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rPr>
                      <w:rFonts w:hint="default" w:ascii="Times New Roman" w:hAnsi="Times New Roman" w:cs="Times New Roman"/>
                      <w:b/>
                      <w:bCs/>
                      <w:color w:val="auto"/>
                      <w:kern w:val="2"/>
                      <w:sz w:val="21"/>
                      <w:szCs w:val="21"/>
                      <w:highlight w:val="none"/>
                    </w:rPr>
                  </w:pPr>
                </w:p>
              </w:tc>
            </w:tr>
          </w:tbl>
          <w:p w14:paraId="1BAB631D">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（1）产生和收集</w:t>
            </w:r>
          </w:p>
          <w:p w14:paraId="491479C8">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本项目危险废物单次产生量很少，部分危险废物有</w:t>
            </w:r>
            <w:r>
              <w:rPr>
                <w:rFonts w:hint="default" w:ascii="Times New Roman" w:hAnsi="Times New Roman" w:cs="Times New Roman"/>
                <w:color w:val="auto"/>
                <w:highlight w:val="none"/>
                <w:lang w:val="en-US" w:eastAsia="zh-CN"/>
              </w:rPr>
              <w:t>易燃性</w:t>
            </w:r>
            <w:r>
              <w:rPr>
                <w:rFonts w:hint="default" w:ascii="Times New Roman" w:hAnsi="Times New Roman" w:cs="Times New Roman"/>
                <w:color w:val="auto"/>
                <w:highlight w:val="none"/>
              </w:rPr>
              <w:t>和毒性，其性质相对比较稳定，如果露天堆放，沾染、吸附的有机废气可能会因为日晒雨淋而逐步释放出来，进入大气、地表水体、土壤等环境要素，造成污染影响。</w:t>
            </w:r>
          </w:p>
          <w:p w14:paraId="532EFFB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7010BBA6">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（2）贮存库</w:t>
            </w:r>
          </w:p>
          <w:p w14:paraId="697321BD">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设置一个固定的危险废物贮存库，危险废物贮存过程满足《危险废物贮存污染控制标准》（GB18597-2023）的要求，建设单位应根据废物特性设置符合《危险废物贮存污染控制标准》(GB18597-2023)要求的危险废物暂存场所，且在暂存场所上空设有防雨淋设施，地面采取防渗措施，危险废物收集后分别临时贮存于废物储罐内；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w:t>
            </w:r>
          </w:p>
          <w:p w14:paraId="5012CD96">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w:t>
            </w:r>
          </w:p>
          <w:p w14:paraId="50FCB233">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cm/s），或至少2mm厚高密度聚乙烯膜等人工防渗材料（渗透系数不大于10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cm/s），或其他防渗性能等效的材料。</w:t>
            </w:r>
          </w:p>
          <w:p w14:paraId="182C6A16">
            <w:pPr>
              <w:pStyle w:val="14"/>
              <w:keepNext w:val="0"/>
              <w:keepLines w:val="0"/>
              <w:suppressLineNumbers w:val="0"/>
              <w:spacing w:before="0" w:beforeAutospacing="0" w:after="0" w:afterAutospacing="0"/>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项目危险废物贮存场所基本情况见下表。</w:t>
            </w:r>
          </w:p>
          <w:p w14:paraId="0C489BC2">
            <w:pPr>
              <w:pStyle w:val="15"/>
              <w:keepNext w:val="0"/>
              <w:keepLines w:val="0"/>
              <w:numPr>
                <w:ilvl w:val="0"/>
                <w:numId w:val="0"/>
              </w:numPr>
              <w:suppressLineNumbers w:val="0"/>
              <w:tabs>
                <w:tab w:val="left" w:pos="0"/>
              </w:tabs>
              <w:spacing w:before="0" w:beforeAutospacing="0" w:after="0" w:afterAutospacing="0" w:line="240" w:lineRule="auto"/>
              <w:ind w:left="40" w:leftChars="0" w:right="0" w:rightChars="0"/>
              <w:jc w:val="both"/>
              <w:rPr>
                <w:rFonts w:hint="default" w:ascii="Times New Roman" w:hAnsi="Times New Roman" w:cs="Times New Roman"/>
                <w:color w:val="auto"/>
                <w:highlight w:val="none"/>
              </w:rPr>
            </w:pPr>
          </w:p>
          <w:p w14:paraId="38354C67">
            <w:pPr>
              <w:pStyle w:val="15"/>
              <w:keepNext w:val="0"/>
              <w:keepLines w:val="0"/>
              <w:numPr>
                <w:ilvl w:val="0"/>
                <w:numId w:val="0"/>
              </w:numPr>
              <w:suppressLineNumbers w:val="0"/>
              <w:tabs>
                <w:tab w:val="left" w:pos="0"/>
              </w:tabs>
              <w:spacing w:before="0" w:beforeAutospacing="0" w:after="0" w:afterAutospacing="0" w:line="240" w:lineRule="auto"/>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表4-38</w:t>
            </w:r>
            <w:r>
              <w:rPr>
                <w:rFonts w:hint="default" w:ascii="Times New Roman" w:hAnsi="Times New Roman" w:cs="Times New Roman"/>
                <w:color w:val="auto"/>
                <w:highlight w:val="none"/>
              </w:rPr>
              <w:t>危险废物贮存场所（设施）基本情况表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827"/>
              <w:gridCol w:w="811"/>
              <w:gridCol w:w="1313"/>
              <w:gridCol w:w="773"/>
              <w:gridCol w:w="707"/>
              <w:gridCol w:w="1116"/>
              <w:gridCol w:w="715"/>
              <w:gridCol w:w="769"/>
            </w:tblGrid>
            <w:tr w14:paraId="5DF99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3" w:type="pct"/>
                  <w:vMerge w:val="restart"/>
                  <w:vAlign w:val="center"/>
                </w:tcPr>
                <w:p w14:paraId="1BD5F01D">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贮存场所（设施）名称</w:t>
                  </w:r>
                </w:p>
              </w:tc>
              <w:tc>
                <w:tcPr>
                  <w:tcW w:w="2167" w:type="pct"/>
                  <w:gridSpan w:val="3"/>
                  <w:vAlign w:val="center"/>
                </w:tcPr>
                <w:p w14:paraId="56FA8EE4">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危险废物</w:t>
                  </w:r>
                </w:p>
              </w:tc>
              <w:tc>
                <w:tcPr>
                  <w:tcW w:w="424" w:type="pct"/>
                  <w:vMerge w:val="restart"/>
                  <w:vAlign w:val="center"/>
                </w:tcPr>
                <w:p w14:paraId="6F29B140">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位置</w:t>
                  </w:r>
                </w:p>
              </w:tc>
              <w:tc>
                <w:tcPr>
                  <w:tcW w:w="388" w:type="pct"/>
                  <w:vMerge w:val="restart"/>
                  <w:vAlign w:val="center"/>
                </w:tcPr>
                <w:p w14:paraId="544A29CB">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占地面积</w:t>
                  </w:r>
                </w:p>
              </w:tc>
              <w:tc>
                <w:tcPr>
                  <w:tcW w:w="612" w:type="pct"/>
                  <w:vMerge w:val="restart"/>
                  <w:vAlign w:val="center"/>
                </w:tcPr>
                <w:p w14:paraId="6F47B685">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贮存方式</w:t>
                  </w:r>
                </w:p>
              </w:tc>
              <w:tc>
                <w:tcPr>
                  <w:tcW w:w="392" w:type="pct"/>
                  <w:vMerge w:val="restart"/>
                  <w:vAlign w:val="center"/>
                </w:tcPr>
                <w:p w14:paraId="4B118556">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贮存能力</w:t>
                  </w:r>
                </w:p>
              </w:tc>
              <w:tc>
                <w:tcPr>
                  <w:tcW w:w="421" w:type="pct"/>
                  <w:vMerge w:val="restart"/>
                  <w:vAlign w:val="center"/>
                </w:tcPr>
                <w:p w14:paraId="169383B8">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贮存周期</w:t>
                  </w:r>
                </w:p>
              </w:tc>
            </w:tr>
            <w:tr w14:paraId="36A0F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3" w:type="pct"/>
                  <w:vMerge w:val="continue"/>
                  <w:vAlign w:val="center"/>
                </w:tcPr>
                <w:p w14:paraId="4E97854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4BAE9789">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名称</w:t>
                  </w:r>
                </w:p>
              </w:tc>
              <w:tc>
                <w:tcPr>
                  <w:tcW w:w="445" w:type="pct"/>
                  <w:vAlign w:val="center"/>
                </w:tcPr>
                <w:p w14:paraId="521F29B8">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类别</w:t>
                  </w:r>
                </w:p>
              </w:tc>
              <w:tc>
                <w:tcPr>
                  <w:tcW w:w="719" w:type="pct"/>
                  <w:vAlign w:val="center"/>
                </w:tcPr>
                <w:p w14:paraId="7C1D28CA">
                  <w:pPr>
                    <w:pStyle w:val="56"/>
                    <w:keepNext w:val="0"/>
                    <w:keepLines w:val="0"/>
                    <w:widowControl/>
                    <w:suppressLineNumbers w:val="0"/>
                    <w:spacing w:before="0" w:beforeAutospacing="0" w:after="0" w:afterAutospacing="0"/>
                    <w:ind w:left="0" w:right="0"/>
                    <w:rPr>
                      <w:rFonts w:hint="default" w:ascii="Times New Roman" w:hAnsi="Times New Roman" w:cs="Times New Roman"/>
                      <w:b/>
                      <w:bCs/>
                      <w:color w:val="auto"/>
                      <w:kern w:val="2"/>
                      <w:highlight w:val="none"/>
                    </w:rPr>
                  </w:pPr>
                  <w:r>
                    <w:rPr>
                      <w:rFonts w:hint="default" w:ascii="Times New Roman" w:hAnsi="Times New Roman" w:cs="Times New Roman"/>
                      <w:b/>
                      <w:bCs/>
                      <w:color w:val="auto"/>
                      <w:kern w:val="2"/>
                      <w:highlight w:val="none"/>
                    </w:rPr>
                    <w:t>代码</w:t>
                  </w:r>
                </w:p>
              </w:tc>
              <w:tc>
                <w:tcPr>
                  <w:tcW w:w="424" w:type="pct"/>
                  <w:vMerge w:val="continue"/>
                  <w:vAlign w:val="center"/>
                </w:tcPr>
                <w:p w14:paraId="01BF5B9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71846F9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25F72A17">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46C7A021">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6B5B2FA4">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2C05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593" w:type="pct"/>
                  <w:vMerge w:val="restart"/>
                  <w:vAlign w:val="center"/>
                </w:tcPr>
                <w:p w14:paraId="7803F7E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危险废物贮存库</w:t>
                  </w:r>
                </w:p>
              </w:tc>
              <w:tc>
                <w:tcPr>
                  <w:tcW w:w="1002" w:type="pct"/>
                  <w:vAlign w:val="center"/>
                </w:tcPr>
                <w:p w14:paraId="4F407D05">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废表面处理剂包装桶</w:t>
                  </w:r>
                </w:p>
              </w:tc>
              <w:tc>
                <w:tcPr>
                  <w:tcW w:w="445" w:type="pct"/>
                  <w:vAlign w:val="center"/>
                </w:tcPr>
                <w:p w14:paraId="09178560">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position w:val="0"/>
                      <w:highlight w:val="none"/>
                    </w:rPr>
                    <w:t>HW49</w:t>
                  </w:r>
                </w:p>
              </w:tc>
              <w:tc>
                <w:tcPr>
                  <w:tcW w:w="719" w:type="pct"/>
                  <w:vAlign w:val="center"/>
                </w:tcPr>
                <w:p w14:paraId="377EA4F8">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Cs/>
                      <w:color w:val="auto"/>
                      <w:kern w:val="2"/>
                      <w:highlight w:val="none"/>
                    </w:rPr>
                  </w:pPr>
                  <w:r>
                    <w:rPr>
                      <w:rFonts w:hint="default" w:ascii="Times New Roman" w:hAnsi="Times New Roman" w:cs="Times New Roman"/>
                      <w:color w:val="auto"/>
                      <w:kern w:val="2"/>
                      <w:position w:val="0"/>
                      <w:highlight w:val="none"/>
                    </w:rPr>
                    <w:t>900-041-49</w:t>
                  </w:r>
                </w:p>
              </w:tc>
              <w:tc>
                <w:tcPr>
                  <w:tcW w:w="424" w:type="pct"/>
                  <w:vMerge w:val="restart"/>
                  <w:vAlign w:val="center"/>
                </w:tcPr>
                <w:p w14:paraId="264C46F6">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3#仓库外</w:t>
                  </w:r>
                  <w:r>
                    <w:rPr>
                      <w:rFonts w:hint="default" w:ascii="Times New Roman" w:hAnsi="Times New Roman" w:cs="Times New Roman"/>
                      <w:color w:val="auto"/>
                      <w:kern w:val="2"/>
                      <w:highlight w:val="none"/>
                    </w:rPr>
                    <w:t>部</w:t>
                  </w:r>
                  <w:r>
                    <w:rPr>
                      <w:rFonts w:hint="default" w:ascii="Times New Roman" w:hAnsi="Times New Roman" w:cs="Times New Roman"/>
                      <w:color w:val="auto"/>
                      <w:kern w:val="2"/>
                      <w:highlight w:val="none"/>
                      <w:lang w:val="en-US" w:eastAsia="zh-CN"/>
                    </w:rPr>
                    <w:t>西</w:t>
                  </w:r>
                  <w:r>
                    <w:rPr>
                      <w:rFonts w:hint="default" w:ascii="Times New Roman" w:hAnsi="Times New Roman" w:cs="Times New Roman"/>
                      <w:color w:val="auto"/>
                      <w:kern w:val="2"/>
                      <w:highlight w:val="none"/>
                    </w:rPr>
                    <w:t>南侧</w:t>
                  </w:r>
                </w:p>
              </w:tc>
              <w:tc>
                <w:tcPr>
                  <w:tcW w:w="388" w:type="pct"/>
                  <w:vMerge w:val="restart"/>
                  <w:vAlign w:val="center"/>
                </w:tcPr>
                <w:p w14:paraId="79F96E85">
                  <w:pPr>
                    <w:pStyle w:val="56"/>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w:t>
                  </w:r>
                  <w:r>
                    <w:rPr>
                      <w:rFonts w:hint="default" w:ascii="Times New Roman" w:hAnsi="Times New Roman" w:cs="Times New Roman"/>
                      <w:color w:val="auto"/>
                      <w:kern w:val="2"/>
                      <w:highlight w:val="none"/>
                      <w:lang w:val="en-US" w:eastAsia="zh-CN"/>
                    </w:rPr>
                    <w:t>5</w:t>
                  </w:r>
                  <w:r>
                    <w:rPr>
                      <w:rFonts w:hint="default" w:ascii="Times New Roman" w:hAnsi="Times New Roman" w:cs="Times New Roman"/>
                      <w:color w:val="auto"/>
                      <w:kern w:val="2"/>
                      <w:highlight w:val="none"/>
                    </w:rPr>
                    <w:t>m</w:t>
                  </w:r>
                  <w:r>
                    <w:rPr>
                      <w:rFonts w:hint="default" w:ascii="Times New Roman" w:hAnsi="Times New Roman" w:cs="Times New Roman"/>
                      <w:color w:val="auto"/>
                      <w:kern w:val="2"/>
                      <w:highlight w:val="none"/>
                      <w:vertAlign w:val="superscript"/>
                    </w:rPr>
                    <w:t>2</w:t>
                  </w:r>
                </w:p>
              </w:tc>
              <w:tc>
                <w:tcPr>
                  <w:tcW w:w="612" w:type="pct"/>
                  <w:vMerge w:val="restart"/>
                  <w:vAlign w:val="center"/>
                </w:tcPr>
                <w:p w14:paraId="72F8BC6A">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采用密闭性好、耐腐蚀的塑料容器封存</w:t>
                  </w:r>
                </w:p>
              </w:tc>
              <w:tc>
                <w:tcPr>
                  <w:tcW w:w="392" w:type="pct"/>
                  <w:vMerge w:val="restart"/>
                  <w:vAlign w:val="center"/>
                </w:tcPr>
                <w:p w14:paraId="20F2B009">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15</w:t>
                  </w:r>
                  <w:r>
                    <w:rPr>
                      <w:rFonts w:hint="default" w:ascii="Times New Roman" w:hAnsi="Times New Roman" w:cs="Times New Roman"/>
                      <w:color w:val="auto"/>
                      <w:kern w:val="2"/>
                      <w:highlight w:val="none"/>
                    </w:rPr>
                    <w:t>t</w:t>
                  </w:r>
                </w:p>
              </w:tc>
              <w:tc>
                <w:tcPr>
                  <w:tcW w:w="421" w:type="pct"/>
                  <w:vMerge w:val="restart"/>
                  <w:vAlign w:val="center"/>
                </w:tcPr>
                <w:p w14:paraId="28A3D391">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半</w:t>
                  </w:r>
                  <w:r>
                    <w:rPr>
                      <w:rFonts w:hint="default" w:ascii="Times New Roman" w:hAnsi="Times New Roman" w:cs="Times New Roman"/>
                      <w:color w:val="auto"/>
                      <w:kern w:val="2"/>
                      <w:highlight w:val="none"/>
                    </w:rPr>
                    <w:t>年</w:t>
                  </w:r>
                </w:p>
              </w:tc>
            </w:tr>
            <w:tr w14:paraId="6C11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32EE650C">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14206BBF">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highlight w:val="none"/>
                    </w:rPr>
                    <w:t>预处理池泥渣</w:t>
                  </w:r>
                </w:p>
              </w:tc>
              <w:tc>
                <w:tcPr>
                  <w:tcW w:w="445" w:type="pct"/>
                  <w:vAlign w:val="center"/>
                </w:tcPr>
                <w:p w14:paraId="5956CE8C">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HW17</w:t>
                  </w:r>
                </w:p>
              </w:tc>
              <w:tc>
                <w:tcPr>
                  <w:tcW w:w="719" w:type="pct"/>
                  <w:vAlign w:val="center"/>
                </w:tcPr>
                <w:p w14:paraId="44B2DC61">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336-064-17</w:t>
                  </w:r>
                </w:p>
              </w:tc>
              <w:tc>
                <w:tcPr>
                  <w:tcW w:w="424" w:type="pct"/>
                  <w:vMerge w:val="continue"/>
                  <w:vAlign w:val="center"/>
                </w:tcPr>
                <w:p w14:paraId="09075D0C">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20EA74A9">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5E0A8595">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432C14D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7133380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3BC1E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36373E00">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5E852A38">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无铬钝化池废槽液</w:t>
                  </w:r>
                </w:p>
              </w:tc>
              <w:tc>
                <w:tcPr>
                  <w:tcW w:w="445" w:type="pct"/>
                  <w:shd w:val="clear" w:color="auto" w:fill="auto"/>
                  <w:vAlign w:val="center"/>
                </w:tcPr>
                <w:p w14:paraId="0EFCF74D">
                  <w:pPr>
                    <w:pStyle w:val="56"/>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highlight w:val="none"/>
                    </w:rPr>
                    <w:t>HW17</w:t>
                  </w:r>
                </w:p>
              </w:tc>
              <w:tc>
                <w:tcPr>
                  <w:tcW w:w="719" w:type="pct"/>
                  <w:shd w:val="clear" w:color="auto" w:fill="auto"/>
                  <w:vAlign w:val="center"/>
                </w:tcPr>
                <w:p w14:paraId="5CC132A2">
                  <w:pPr>
                    <w:pStyle w:val="56"/>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highlight w:val="none"/>
                    </w:rPr>
                    <w:t>336-064-17</w:t>
                  </w:r>
                </w:p>
              </w:tc>
              <w:tc>
                <w:tcPr>
                  <w:tcW w:w="424" w:type="pct"/>
                  <w:vMerge w:val="continue"/>
                  <w:vAlign w:val="center"/>
                </w:tcPr>
                <w:p w14:paraId="3BA7AF4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59B18121">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4F6116E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3D7F9A08">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2AB7C721">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222F0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20EAA40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176CF34B">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废水处理站污泥</w:t>
                  </w:r>
                </w:p>
              </w:tc>
              <w:tc>
                <w:tcPr>
                  <w:tcW w:w="445" w:type="pct"/>
                  <w:vAlign w:val="center"/>
                </w:tcPr>
                <w:p w14:paraId="1D8BBCFE">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HW17</w:t>
                  </w:r>
                </w:p>
              </w:tc>
              <w:tc>
                <w:tcPr>
                  <w:tcW w:w="719" w:type="pct"/>
                  <w:vAlign w:val="center"/>
                </w:tcPr>
                <w:p w14:paraId="66B1525C">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336-064-17</w:t>
                  </w:r>
                </w:p>
              </w:tc>
              <w:tc>
                <w:tcPr>
                  <w:tcW w:w="424" w:type="pct"/>
                  <w:vMerge w:val="continue"/>
                  <w:vAlign w:val="center"/>
                </w:tcPr>
                <w:p w14:paraId="744AAE87">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6356B9C6">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01D4F1B4">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1B52F2AC">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382DB84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13CE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3F660A46">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653CE384">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b w:val="0"/>
                      <w:bCs w:val="0"/>
                      <w:color w:val="auto"/>
                      <w:kern w:val="2"/>
                      <w:sz w:val="21"/>
                      <w:szCs w:val="21"/>
                      <w:highlight w:val="none"/>
                      <w:lang w:eastAsia="zh-CN"/>
                    </w:rPr>
                    <w:t>废</w:t>
                  </w:r>
                  <w:r>
                    <w:rPr>
                      <w:rFonts w:hint="default" w:ascii="Times New Roman" w:hAnsi="Times New Roman" w:cs="Times New Roman"/>
                      <w:b w:val="0"/>
                      <w:bCs w:val="0"/>
                      <w:color w:val="auto"/>
                      <w:kern w:val="2"/>
                      <w:sz w:val="21"/>
                      <w:szCs w:val="21"/>
                      <w:highlight w:val="none"/>
                    </w:rPr>
                    <w:t>pH调整剂</w:t>
                  </w:r>
                  <w:r>
                    <w:rPr>
                      <w:rFonts w:hint="default" w:ascii="Times New Roman" w:hAnsi="Times New Roman" w:cs="Times New Roman"/>
                      <w:b w:val="0"/>
                      <w:bCs w:val="0"/>
                      <w:color w:val="auto"/>
                      <w:kern w:val="2"/>
                      <w:sz w:val="21"/>
                      <w:szCs w:val="21"/>
                      <w:highlight w:val="none"/>
                      <w:lang w:eastAsia="zh-CN"/>
                    </w:rPr>
                    <w:t>包装桶</w:t>
                  </w:r>
                </w:p>
              </w:tc>
              <w:tc>
                <w:tcPr>
                  <w:tcW w:w="445" w:type="pct"/>
                  <w:vAlign w:val="center"/>
                </w:tcPr>
                <w:p w14:paraId="5FD97940">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HW49</w:t>
                  </w:r>
                </w:p>
              </w:tc>
              <w:tc>
                <w:tcPr>
                  <w:tcW w:w="719" w:type="pct"/>
                  <w:vAlign w:val="center"/>
                </w:tcPr>
                <w:p w14:paraId="7ACEB4C0">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900-041-49</w:t>
                  </w:r>
                </w:p>
              </w:tc>
              <w:tc>
                <w:tcPr>
                  <w:tcW w:w="424" w:type="pct"/>
                  <w:vMerge w:val="continue"/>
                  <w:vAlign w:val="center"/>
                </w:tcPr>
                <w:p w14:paraId="6337A7DD">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416E8213">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0C015E29">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63D2C523">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787B6B3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3C04B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2DAD2AD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00C0FF0D">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废机油空桶</w:t>
                  </w:r>
                </w:p>
              </w:tc>
              <w:tc>
                <w:tcPr>
                  <w:tcW w:w="445" w:type="pct"/>
                  <w:vAlign w:val="center"/>
                </w:tcPr>
                <w:p w14:paraId="173A8A2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9" w:type="pct"/>
                  <w:vAlign w:val="center"/>
                </w:tcPr>
                <w:p w14:paraId="3AB2C2E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24" w:type="pct"/>
                  <w:vMerge w:val="continue"/>
                  <w:vAlign w:val="center"/>
                </w:tcPr>
                <w:p w14:paraId="6DF70489">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07F03C67">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769BA406">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73CBCD3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78626BF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175CD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3BC5F649">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74448A58">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废机油</w:t>
                  </w:r>
                </w:p>
              </w:tc>
              <w:tc>
                <w:tcPr>
                  <w:tcW w:w="445" w:type="pct"/>
                  <w:vAlign w:val="center"/>
                </w:tcPr>
                <w:p w14:paraId="4D90BAA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9" w:type="pct"/>
                  <w:vAlign w:val="center"/>
                </w:tcPr>
                <w:p w14:paraId="16F4ABD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24" w:type="pct"/>
                  <w:vMerge w:val="continue"/>
                  <w:vAlign w:val="center"/>
                </w:tcPr>
                <w:p w14:paraId="76D39761">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30D55D2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57494256">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23665F63">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6FCCF67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6172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3FA449F5">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6E122E69">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废液压油空桶</w:t>
                  </w:r>
                </w:p>
              </w:tc>
              <w:tc>
                <w:tcPr>
                  <w:tcW w:w="445" w:type="pct"/>
                  <w:vAlign w:val="center"/>
                </w:tcPr>
                <w:p w14:paraId="3F1B454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9" w:type="pct"/>
                  <w:vAlign w:val="center"/>
                </w:tcPr>
                <w:p w14:paraId="2C4D03D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24" w:type="pct"/>
                  <w:vMerge w:val="continue"/>
                  <w:vAlign w:val="center"/>
                </w:tcPr>
                <w:p w14:paraId="6C0649E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11D2FB43">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65134527">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3223EA7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495B2A55">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1F591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1E03706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7002BE57">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auto"/>
                      <w:kern w:val="2"/>
                      <w:position w:val="0"/>
                      <w:highlight w:val="none"/>
                    </w:rPr>
                  </w:pPr>
                  <w:r>
                    <w:rPr>
                      <w:rFonts w:hint="default" w:ascii="Times New Roman" w:hAnsi="Times New Roman" w:cs="Times New Roman"/>
                      <w:color w:val="auto"/>
                      <w:kern w:val="2"/>
                      <w:position w:val="0"/>
                      <w:highlight w:val="none"/>
                    </w:rPr>
                    <w:t>废液压油</w:t>
                  </w:r>
                </w:p>
              </w:tc>
              <w:tc>
                <w:tcPr>
                  <w:tcW w:w="445" w:type="pct"/>
                  <w:vAlign w:val="center"/>
                </w:tcPr>
                <w:p w14:paraId="1E5F642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HW08</w:t>
                  </w:r>
                </w:p>
              </w:tc>
              <w:tc>
                <w:tcPr>
                  <w:tcW w:w="719" w:type="pct"/>
                  <w:vAlign w:val="center"/>
                </w:tcPr>
                <w:p w14:paraId="09F82C9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auto"/>
                      <w:kern w:val="2"/>
                      <w:position w:val="0"/>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900-249-08</w:t>
                  </w:r>
                </w:p>
              </w:tc>
              <w:tc>
                <w:tcPr>
                  <w:tcW w:w="424" w:type="pct"/>
                  <w:vMerge w:val="continue"/>
                  <w:vAlign w:val="center"/>
                </w:tcPr>
                <w:p w14:paraId="284756AB">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527213B0">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4F059098">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167D8F8F">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2DC10EA5">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r w14:paraId="654B9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593" w:type="pct"/>
                  <w:vMerge w:val="continue"/>
                  <w:vAlign w:val="center"/>
                </w:tcPr>
                <w:p w14:paraId="6981B89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1002" w:type="pct"/>
                  <w:vAlign w:val="center"/>
                </w:tcPr>
                <w:p w14:paraId="049CF2CE">
                  <w:pPr>
                    <w:pStyle w:val="56"/>
                    <w:keepNext w:val="0"/>
                    <w:keepLines w:val="0"/>
                    <w:widowControl/>
                    <w:suppressLineNumbers w:val="0"/>
                    <w:snapToGrid w:val="0"/>
                    <w:spacing w:before="0" w:beforeAutospacing="0" w:after="0" w:afterAutospacing="0"/>
                    <w:ind w:left="0" w:right="0"/>
                    <w:rPr>
                      <w:rFonts w:hint="default" w:ascii="Times New Roman" w:hAnsi="Times New Roman" w:eastAsia="宋体" w:cs="Times New Roman"/>
                      <w:color w:val="auto"/>
                      <w:kern w:val="2"/>
                      <w:position w:val="0"/>
                      <w:highlight w:val="none"/>
                      <w:lang w:val="en-US" w:eastAsia="zh-CN"/>
                    </w:rPr>
                  </w:pPr>
                  <w:r>
                    <w:rPr>
                      <w:rFonts w:hint="default" w:ascii="Times New Roman" w:hAnsi="Times New Roman" w:cs="Times New Roman"/>
                      <w:color w:val="auto"/>
                      <w:kern w:val="2"/>
                      <w:position w:val="0"/>
                      <w:highlight w:val="none"/>
                      <w:lang w:val="en-US" w:eastAsia="zh-CN"/>
                    </w:rPr>
                    <w:t>含油废抹布</w:t>
                  </w:r>
                </w:p>
              </w:tc>
              <w:tc>
                <w:tcPr>
                  <w:tcW w:w="445" w:type="pct"/>
                  <w:vAlign w:val="center"/>
                </w:tcPr>
                <w:p w14:paraId="57CF4612">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HW49</w:t>
                  </w:r>
                </w:p>
              </w:tc>
              <w:tc>
                <w:tcPr>
                  <w:tcW w:w="719" w:type="pct"/>
                  <w:vAlign w:val="center"/>
                </w:tcPr>
                <w:p w14:paraId="5EBB34AE">
                  <w:pPr>
                    <w:keepNext w:val="0"/>
                    <w:keepLines w:val="0"/>
                    <w:pageBreakBefore w:val="0"/>
                    <w:widowControl/>
                    <w:suppressLineNumbers w:val="0"/>
                    <w:kinsoku/>
                    <w:overflowPunct/>
                    <w:topLinePunct w:val="0"/>
                    <w:bidi w:val="0"/>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900-041-49</w:t>
                  </w:r>
                </w:p>
              </w:tc>
              <w:tc>
                <w:tcPr>
                  <w:tcW w:w="424" w:type="pct"/>
                  <w:vMerge w:val="continue"/>
                  <w:vAlign w:val="center"/>
                </w:tcPr>
                <w:p w14:paraId="10649B5D">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88" w:type="pct"/>
                  <w:vMerge w:val="continue"/>
                  <w:vAlign w:val="center"/>
                </w:tcPr>
                <w:p w14:paraId="60AA431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612" w:type="pct"/>
                  <w:vMerge w:val="continue"/>
                  <w:vAlign w:val="center"/>
                </w:tcPr>
                <w:p w14:paraId="6F3F26C9">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392" w:type="pct"/>
                  <w:vMerge w:val="continue"/>
                  <w:vAlign w:val="center"/>
                </w:tcPr>
                <w:p w14:paraId="525BB58E">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c>
                <w:tcPr>
                  <w:tcW w:w="421" w:type="pct"/>
                  <w:vMerge w:val="continue"/>
                  <w:vAlign w:val="center"/>
                </w:tcPr>
                <w:p w14:paraId="34952A12">
                  <w:pPr>
                    <w:pStyle w:val="56"/>
                    <w:keepNext w:val="0"/>
                    <w:keepLines w:val="0"/>
                    <w:widowControl/>
                    <w:suppressLineNumbers w:val="0"/>
                    <w:spacing w:before="0" w:beforeAutospacing="0" w:after="0" w:afterAutospacing="0"/>
                    <w:ind w:left="0" w:right="0"/>
                    <w:rPr>
                      <w:rFonts w:hint="default" w:ascii="Times New Roman" w:hAnsi="Times New Roman" w:cs="Times New Roman"/>
                      <w:color w:val="auto"/>
                      <w:kern w:val="2"/>
                      <w:highlight w:val="none"/>
                    </w:rPr>
                  </w:pPr>
                </w:p>
              </w:tc>
            </w:tr>
          </w:tbl>
          <w:p w14:paraId="21335FD9">
            <w:pPr>
              <w:keepNext/>
              <w:keepLines/>
              <w:suppressLineNumbers w:val="0"/>
              <w:tabs>
                <w:tab w:val="left" w:pos="0"/>
              </w:tabs>
              <w:spacing w:before="0" w:beforeAutospacing="0" w:after="0" w:afterAutospacing="0"/>
              <w:ind w:left="480" w:right="0"/>
              <w:outlineLvl w:val="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（3）转运、处置</w:t>
            </w:r>
          </w:p>
          <w:bookmarkEnd w:id="176"/>
          <w:p w14:paraId="6C45A49B">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内部无利用或处置危险废物的能力和设施，需要委托具有危险废物处理资质的单位处置。根据广东省生态环境厅危险废物经营许可证颁发情况，广东省有可以处置本项目危险废物的企业，处理能力充足。建设单位可直接委托其转移处理。</w:t>
            </w:r>
          </w:p>
          <w:p w14:paraId="397D20CB">
            <w:pPr>
              <w:pStyle w:val="15"/>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表4-39</w:t>
            </w:r>
            <w:r>
              <w:rPr>
                <w:rFonts w:hint="default" w:ascii="Times New Roman" w:hAnsi="Times New Roman" w:cs="Times New Roman"/>
                <w:color w:val="auto"/>
                <w:highlight w:val="none"/>
              </w:rPr>
              <w:t>广东省内可接收本项目危险废物的处理单位一览表（摘录）</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106"/>
              <w:gridCol w:w="1145"/>
              <w:gridCol w:w="981"/>
              <w:gridCol w:w="1444"/>
              <w:gridCol w:w="4012"/>
            </w:tblGrid>
            <w:tr w14:paraId="1A4BA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7C93D551">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608" w:type="pct"/>
                  <w:vAlign w:val="center"/>
                </w:tcPr>
                <w:p w14:paraId="47ABEB0F">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企业名称</w:t>
                  </w:r>
                </w:p>
              </w:tc>
              <w:tc>
                <w:tcPr>
                  <w:tcW w:w="629" w:type="pct"/>
                  <w:vAlign w:val="center"/>
                </w:tcPr>
                <w:p w14:paraId="04D7A491">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设施地址</w:t>
                  </w:r>
                </w:p>
              </w:tc>
              <w:tc>
                <w:tcPr>
                  <w:tcW w:w="539" w:type="pct"/>
                  <w:vAlign w:val="center"/>
                </w:tcPr>
                <w:p w14:paraId="19AE89CD">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许可证编号</w:t>
                  </w:r>
                </w:p>
              </w:tc>
              <w:tc>
                <w:tcPr>
                  <w:tcW w:w="793" w:type="pct"/>
                  <w:vAlign w:val="center"/>
                </w:tcPr>
                <w:p w14:paraId="5F0B2E9D">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经营时间有效期</w:t>
                  </w:r>
                </w:p>
              </w:tc>
              <w:tc>
                <w:tcPr>
                  <w:tcW w:w="2201" w:type="pct"/>
                  <w:vAlign w:val="center"/>
                </w:tcPr>
                <w:p w14:paraId="01310A66">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核准经营范围、类别</w:t>
                  </w:r>
                </w:p>
              </w:tc>
            </w:tr>
            <w:tr w14:paraId="03974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67127F08">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08" w:type="pct"/>
                  <w:vAlign w:val="center"/>
                </w:tcPr>
                <w:p w14:paraId="629ABD98">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韶关鹏瑞环保科技有限公司</w:t>
                  </w:r>
                </w:p>
              </w:tc>
              <w:tc>
                <w:tcPr>
                  <w:tcW w:w="629" w:type="pct"/>
                  <w:vAlign w:val="center"/>
                </w:tcPr>
                <w:p w14:paraId="578793E6">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韶关市翁源县官渡镇官渡经济开发区</w:t>
                  </w:r>
                </w:p>
              </w:tc>
              <w:tc>
                <w:tcPr>
                  <w:tcW w:w="539" w:type="pct"/>
                  <w:vAlign w:val="center"/>
                </w:tcPr>
                <w:p w14:paraId="3374CB7E">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440229190731</w:t>
                  </w:r>
                </w:p>
              </w:tc>
              <w:tc>
                <w:tcPr>
                  <w:tcW w:w="793" w:type="pct"/>
                  <w:vAlign w:val="center"/>
                </w:tcPr>
                <w:p w14:paraId="3D799A9E">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rPr>
                    <w:t>至2025年7月30日</w:t>
                  </w:r>
                </w:p>
              </w:tc>
              <w:tc>
                <w:tcPr>
                  <w:tcW w:w="2201" w:type="pct"/>
                  <w:vAlign w:val="center"/>
                </w:tcPr>
                <w:p w14:paraId="21983B23">
                  <w:pPr>
                    <w:pStyle w:val="65"/>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【收集、贮存、利用】感光材料废物（HW16类中266-009~010-16、231-001~002-16、398-001-16、873-001-16、806-001-16、900-019-16，限感光废菲林2000吨/年</w:t>
                  </w:r>
                </w:p>
                <w:p w14:paraId="5179D902">
                  <w:pPr>
                    <w:pStyle w:val="65"/>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废定影液和显影液1000吨/年）3000吨/年，表面处理废物（HW17类中336-050-17、336-052-17、336-054~059-17、336-062~064-17、336-066-17，仅限污泥）50000吨/年，含铜废物（HW22类中304-001-22、398-004-22、398-005-22、398-051-22，仅限污泥）、有色金属采选和冶炼废物（HW48类中321-002-48，仅限污泥）50000吨/年，无机氰化物废物（HW33类中336-104-33、900-027~029-33）1000吨/年；</w:t>
                  </w:r>
                </w:p>
                <w:p w14:paraId="0ADA10C9">
                  <w:pPr>
                    <w:pStyle w:val="65"/>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【收集、贮存、处置】废酸（HW34类中398-005~007-34、900-300~308-34、900-349-34）10000吨/年，废碱（HW35类中900-350~356-35、900-399-35）10000吨/年；共计124000吨/年。</w:t>
                  </w:r>
                </w:p>
              </w:tc>
            </w:tr>
            <w:tr w14:paraId="47926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06B32486">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08" w:type="pct"/>
                  <w:vAlign w:val="center"/>
                </w:tcPr>
                <w:p w14:paraId="15A24804">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韶关东江环保再生</w:t>
                  </w:r>
                </w:p>
                <w:p w14:paraId="121529F4">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资源发展有限公司</w:t>
                  </w:r>
                </w:p>
              </w:tc>
              <w:tc>
                <w:tcPr>
                  <w:tcW w:w="629" w:type="pct"/>
                  <w:vAlign w:val="center"/>
                </w:tcPr>
                <w:p w14:paraId="2D9ABC33">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韶关市翁源县铁龙林场将军屯</w:t>
                  </w:r>
                </w:p>
              </w:tc>
              <w:tc>
                <w:tcPr>
                  <w:tcW w:w="539" w:type="pct"/>
                  <w:vAlign w:val="center"/>
                </w:tcPr>
                <w:p w14:paraId="5F64E238">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440229210121</w:t>
                  </w:r>
                </w:p>
              </w:tc>
              <w:tc>
                <w:tcPr>
                  <w:tcW w:w="793" w:type="pct"/>
                  <w:vAlign w:val="center"/>
                </w:tcPr>
                <w:p w14:paraId="2FB496B3">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至2027年3月5日</w:t>
                  </w:r>
                </w:p>
              </w:tc>
              <w:tc>
                <w:tcPr>
                  <w:tcW w:w="2201" w:type="pct"/>
                  <w:vAlign w:val="center"/>
                </w:tcPr>
                <w:p w14:paraId="18D0ECBF">
                  <w:pPr>
                    <w:pStyle w:val="65"/>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53A48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 w:type="pct"/>
                  <w:vAlign w:val="center"/>
                </w:tcPr>
                <w:p w14:paraId="040F0D4B">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08" w:type="pct"/>
                  <w:vAlign w:val="center"/>
                </w:tcPr>
                <w:p w14:paraId="46364475">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广东华欣环保科技有限公司</w:t>
                  </w:r>
                </w:p>
              </w:tc>
              <w:tc>
                <w:tcPr>
                  <w:tcW w:w="629" w:type="pct"/>
                  <w:vAlign w:val="center"/>
                </w:tcPr>
                <w:p w14:paraId="6D2FD9A0">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韶关市曲江区广东韶钢松山股份有限公司厂区内</w:t>
                  </w:r>
                </w:p>
              </w:tc>
              <w:tc>
                <w:tcPr>
                  <w:tcW w:w="539" w:type="pct"/>
                  <w:vAlign w:val="center"/>
                </w:tcPr>
                <w:p w14:paraId="5052D23B">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440205220412</w:t>
                  </w:r>
                </w:p>
              </w:tc>
              <w:tc>
                <w:tcPr>
                  <w:tcW w:w="793" w:type="pct"/>
                  <w:vAlign w:val="center"/>
                </w:tcPr>
                <w:p w14:paraId="0AC06430">
                  <w:pPr>
                    <w:pStyle w:val="65"/>
                    <w:keepNext w:val="0"/>
                    <w:keepLines w:val="0"/>
                    <w:suppressLineNumbers w:val="0"/>
                    <w:wordWrap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至2028年4月9日</w:t>
                  </w:r>
                </w:p>
              </w:tc>
              <w:tc>
                <w:tcPr>
                  <w:tcW w:w="2201" w:type="pct"/>
                  <w:vAlign w:val="center"/>
                </w:tcPr>
                <w:p w14:paraId="7D9F09A0">
                  <w:pPr>
                    <w:pStyle w:val="65"/>
                    <w:keepNext w:val="0"/>
                    <w:keepLines w:val="0"/>
                    <w:suppressLineNumbers w:val="0"/>
                    <w:wordWrap w:val="0"/>
                    <w:adjustRightInd w:val="0"/>
                    <w:snapToGrid w:val="0"/>
                    <w:spacing w:before="0" w:beforeAutospacing="0" w:after="0" w:afterAutospacing="0"/>
                    <w:ind w:left="0" w:right="0"/>
                    <w:jc w:val="left"/>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【收集、贮存、利用】废矿物油与含矿物油废物（HW08类中的900-249-08，仅限沾染矿物油的废铁质包装桶 ）1.8万吨/年、其他废物（HW49类中的900-041-49，仅限废铁质包装桶）3.2万吨/年、含铬废物（HW21类中的314-001~002-21）10万吨/年、含锌废物（HW23类中的312-001-23、336-103-23（仅限集尘、除尘装置收集的粉尘））1万吨/年，共计16万吨/年。</w:t>
                  </w:r>
                </w:p>
              </w:tc>
            </w:tr>
          </w:tbl>
          <w:p w14:paraId="17E80F7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本项目的危险废物种类不多，单次产生量不大，性质较稳定，落实好上述措施后，从产生到转移处置的全过程环境风险均可得到有效控制，不存在重大隐患，不会对外部环境造成重大影响。</w:t>
            </w:r>
          </w:p>
          <w:p w14:paraId="0EC9B2A2">
            <w:pPr>
              <w:pStyle w:val="4"/>
              <w:numPr>
                <w:ilvl w:val="2"/>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五、土壤、地下水环境影响分析</w:t>
            </w:r>
          </w:p>
          <w:p w14:paraId="044284D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本项目属于“三十、金属制品业 33—67、金属表面处理及热处理加工336”，厂区地面已全部硬化，危废间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化学品仓</w:t>
            </w:r>
            <w:r>
              <w:rPr>
                <w:rFonts w:hint="default" w:ascii="Times New Roman" w:hAnsi="Times New Roman" w:cs="Times New Roman"/>
                <w:color w:val="auto"/>
                <w:highlight w:val="none"/>
              </w:rPr>
              <w:t>地面硬化，并刷环氧树脂漆防渗层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设置围堰</w:t>
            </w:r>
            <w:r>
              <w:rPr>
                <w:rFonts w:hint="default" w:ascii="Times New Roman" w:hAnsi="Times New Roman" w:cs="Times New Roman"/>
                <w:color w:val="auto"/>
                <w:highlight w:val="none"/>
              </w:rPr>
              <w:t>，正常情况下</w:t>
            </w:r>
            <w:r>
              <w:rPr>
                <w:rFonts w:hint="default" w:ascii="Times New Roman" w:hAnsi="Times New Roman" w:cs="Times New Roman"/>
                <w:color w:val="auto"/>
                <w:highlight w:val="none"/>
                <w:lang w:val="en-US" w:eastAsia="zh-CN"/>
              </w:rPr>
              <w:t>可有效阻止</w:t>
            </w:r>
            <w:r>
              <w:rPr>
                <w:rFonts w:hint="default" w:ascii="Times New Roman" w:hAnsi="Times New Roman" w:cs="Times New Roman"/>
                <w:color w:val="auto"/>
                <w:highlight w:val="none"/>
              </w:rPr>
              <w:t>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6C67DA5">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629031FA">
            <w:pPr>
              <w:pStyle w:val="43"/>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分区管控：</w:t>
            </w:r>
          </w:p>
          <w:p w14:paraId="6A00F78D">
            <w:pPr>
              <w:pStyle w:val="45"/>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①简单防渗区：办公室及无液态原料的区域仅进行一般地面硬化，无需进行防渗处理。</w:t>
            </w:r>
          </w:p>
          <w:p w14:paraId="6AE1DB9F">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②一般防渗区：本项目不涉及重金属、持久性有机污染物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本项目对打磨、抛光区域、钣金折弯加工车间</w:t>
            </w:r>
            <w:r>
              <w:rPr>
                <w:rFonts w:hint="default" w:ascii="Times New Roman" w:hAnsi="Times New Roman" w:cs="Times New Roman"/>
                <w:color w:val="auto"/>
                <w:highlight w:val="none"/>
              </w:rPr>
              <w:t>进行一般防渗处理，防渗要求按照等效黏土防渗层Mb≥1.5m，K≤1×10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cm/s或参照GB16889执行；</w:t>
            </w:r>
          </w:p>
          <w:p w14:paraId="1D889DD5">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③重点防渗区：</w:t>
            </w:r>
            <w:r>
              <w:rPr>
                <w:rFonts w:hint="default" w:ascii="Times New Roman" w:hAnsi="Times New Roman" w:cs="Times New Roman"/>
                <w:color w:val="auto"/>
                <w:highlight w:val="none"/>
                <w:lang w:val="en-US" w:eastAsia="zh-CN"/>
              </w:rPr>
              <w:t>本项目危险化学品贮存在1#厂房中的化学品仓，</w:t>
            </w:r>
            <w:r>
              <w:rPr>
                <w:rFonts w:hint="default" w:ascii="Times New Roman" w:hAnsi="Times New Roman" w:cs="Times New Roman"/>
                <w:color w:val="auto"/>
                <w:highlight w:val="none"/>
              </w:rPr>
              <w:t>危险废物贮存在危废间，对</w:t>
            </w:r>
            <w:r>
              <w:rPr>
                <w:rFonts w:hint="default" w:ascii="Times New Roman" w:hAnsi="Times New Roman" w:cs="Times New Roman"/>
                <w:color w:val="auto"/>
                <w:highlight w:val="none"/>
                <w:lang w:val="en-US" w:eastAsia="zh-CN"/>
              </w:rPr>
              <w:t>化学品仓、</w:t>
            </w:r>
            <w:r>
              <w:rPr>
                <w:rFonts w:hint="default" w:ascii="Times New Roman" w:hAnsi="Times New Roman" w:cs="Times New Roman"/>
                <w:color w:val="auto"/>
                <w:highlight w:val="none"/>
              </w:rPr>
              <w:t>危废间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预处理生产车间和废水处理站进行重点防渗处理，要求按照等效黏土防渗层Mb≥6.0m，K≤1×10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cm/s或参照GB18598执行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并设置围堰</w:t>
            </w:r>
            <w:r>
              <w:rPr>
                <w:rFonts w:hint="default" w:ascii="Times New Roman" w:hAnsi="Times New Roman" w:cs="Times New Roman"/>
                <w:color w:val="auto"/>
                <w:highlight w:val="none"/>
              </w:rPr>
              <w:t>。</w:t>
            </w:r>
          </w:p>
          <w:p w14:paraId="62FAFCD1">
            <w:pPr>
              <w:keepNext/>
              <w:keepLines/>
              <w:suppressLineNumbers w:val="0"/>
              <w:tabs>
                <w:tab w:val="left" w:pos="0"/>
              </w:tabs>
              <w:spacing w:before="0" w:beforeAutospacing="0" w:after="0" w:afterAutospacing="0"/>
              <w:ind w:left="0" w:right="0"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六、生态环境影响分析</w:t>
            </w:r>
          </w:p>
          <w:p w14:paraId="44044D7E">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3033C14F">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七、环境风险影响分析</w:t>
            </w:r>
          </w:p>
          <w:p w14:paraId="74DC3CF1">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1、环境风险识别</w:t>
            </w:r>
          </w:p>
          <w:p w14:paraId="74A43229">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018D9B55">
            <w:pPr>
              <w:keepNext/>
              <w:keepLines/>
              <w:suppressLineNumbers w:val="0"/>
              <w:tabs>
                <w:tab w:val="left" w:pos="0"/>
              </w:tabs>
              <w:spacing w:before="0" w:beforeAutospacing="0" w:after="0" w:afterAutospacing="0"/>
              <w:ind w:left="480" w:leftChars="200" w:right="0"/>
              <w:outlineLvl w:val="3"/>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2、评价依据</w:t>
            </w:r>
          </w:p>
          <w:p w14:paraId="0AFFE152">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①风险调查</w:t>
            </w:r>
          </w:p>
          <w:p w14:paraId="5B2A513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区内不设天然气储存装置，故本项目按管道中的天然气量计算最大储存量，厂区内天然气管道长度约</w:t>
            </w:r>
            <w:r>
              <w:rPr>
                <w:rFonts w:hint="default" w:ascii="Times New Roman" w:hAnsi="Times New Roman" w:cs="Times New Roman"/>
                <w:color w:val="auto"/>
                <w:kern w:val="0"/>
                <w:highlight w:val="none"/>
                <w:lang w:val="en-US" w:eastAsia="zh-CN"/>
              </w:rPr>
              <w:t>530</w:t>
            </w:r>
            <w:r>
              <w:rPr>
                <w:rFonts w:hint="default" w:ascii="Times New Roman" w:hAnsi="Times New Roman" w:cs="Times New Roman"/>
                <w:color w:val="auto"/>
                <w:kern w:val="0"/>
                <w:highlight w:val="none"/>
              </w:rPr>
              <w:t>m，管径</w:t>
            </w:r>
            <w:r>
              <w:rPr>
                <w:rFonts w:hint="default" w:ascii="Times New Roman" w:hAnsi="Times New Roman" w:cs="Times New Roman"/>
                <w:color w:val="auto"/>
                <w:kern w:val="0"/>
                <w:highlight w:val="none"/>
                <w:lang w:val="en-US" w:eastAsia="zh-CN"/>
              </w:rPr>
              <w:t>4</w:t>
            </w:r>
            <w:r>
              <w:rPr>
                <w:rFonts w:hint="default" w:ascii="Times New Roman" w:hAnsi="Times New Roman" w:cs="Times New Roman"/>
                <w:color w:val="auto"/>
                <w:kern w:val="0"/>
                <w:highlight w:val="none"/>
              </w:rPr>
              <w:t>0mm，密度0.7174kg/m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每台烘水炉配备一根燃气管道。</w:t>
            </w:r>
            <w:r>
              <w:rPr>
                <w:rFonts w:hint="default" w:ascii="Times New Roman" w:hAnsi="Times New Roman" w:cs="Times New Roman"/>
                <w:color w:val="auto"/>
                <w:kern w:val="0"/>
                <w:highlight w:val="none"/>
              </w:rPr>
              <w:t>则本项目厂区内最大储存量=天然气管道截面积×厂区内长度×密度</w:t>
            </w:r>
            <w:r>
              <w:rPr>
                <w:rFonts w:hint="default" w:ascii="Times New Roman" w:hAnsi="Times New Roman" w:cs="Times New Roman"/>
                <w:color w:val="auto"/>
                <w:kern w:val="0"/>
                <w:highlight w:val="none"/>
                <w:lang w:val="en-US" w:eastAsia="zh-CN"/>
              </w:rPr>
              <w:t>×管数</w:t>
            </w:r>
            <w:r>
              <w:rPr>
                <w:rFonts w:hint="default" w:ascii="Times New Roman" w:hAnsi="Times New Roman" w:cs="Times New Roman"/>
                <w:color w:val="auto"/>
                <w:kern w:val="0"/>
                <w:highlight w:val="none"/>
              </w:rPr>
              <w:t>，约为0</w:t>
            </w:r>
            <w:r>
              <w:rPr>
                <w:rFonts w:hint="default" w:ascii="Times New Roman" w:hAnsi="Times New Roman" w:cs="Times New Roman"/>
                <w:color w:val="auto"/>
                <w:kern w:val="0"/>
                <w:highlight w:val="none"/>
                <w:lang w:val="en-US" w:eastAsia="zh-CN"/>
              </w:rPr>
              <w:t>.00</w:t>
            </w:r>
            <w:r>
              <w:rPr>
                <w:rFonts w:hint="eastAsia" w:ascii="Times New Roman" w:hAnsi="Times New Roman" w:cs="Times New Roman"/>
                <w:color w:val="auto"/>
                <w:kern w:val="0"/>
                <w:highlight w:val="none"/>
                <w:lang w:val="en-US" w:eastAsia="zh-CN"/>
              </w:rPr>
              <w:t>0</w:t>
            </w:r>
            <w:r>
              <w:rPr>
                <w:rFonts w:hint="default" w:ascii="Times New Roman" w:hAnsi="Times New Roman" w:cs="Times New Roman"/>
                <w:color w:val="auto"/>
                <w:kern w:val="0"/>
                <w:highlight w:val="none"/>
                <w:lang w:val="en-US" w:eastAsia="zh-CN"/>
              </w:rPr>
              <w:t>48</w:t>
            </w:r>
            <w:r>
              <w:rPr>
                <w:rFonts w:hint="default" w:ascii="Times New Roman" w:hAnsi="Times New Roman" w:cs="Times New Roman"/>
                <w:color w:val="auto"/>
                <w:kern w:val="0"/>
                <w:highlight w:val="none"/>
              </w:rPr>
              <w:t>t</w:t>
            </w:r>
            <w:r>
              <w:rPr>
                <w:rFonts w:hint="default" w:ascii="Times New Roman" w:hAnsi="Times New Roman" w:cs="Times New Roman"/>
                <w:color w:val="auto"/>
                <w:kern w:val="0"/>
                <w:highlight w:val="none"/>
                <w:lang w:val="en-US" w:eastAsia="zh-CN"/>
              </w:rPr>
              <w:t>/a</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机油（</w:t>
            </w:r>
            <w:r>
              <w:rPr>
                <w:rFonts w:hint="default" w:ascii="Times New Roman" w:hAnsi="Times New Roman" w:cs="Times New Roman"/>
                <w:color w:val="auto"/>
                <w:highlight w:val="none"/>
              </w:rPr>
              <w:t>润滑油</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highlight w:val="none"/>
              </w:rPr>
              <w:t>、液压油最大储存量</w:t>
            </w:r>
            <w:r>
              <w:rPr>
                <w:rFonts w:hint="default" w:ascii="Times New Roman" w:hAnsi="Times New Roman" w:cs="Times New Roman"/>
                <w:color w:val="auto"/>
                <w:highlight w:val="none"/>
                <w:lang w:val="en-US" w:eastAsia="zh-CN"/>
              </w:rPr>
              <w:t>分别</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0.90</w:t>
            </w:r>
            <w:r>
              <w:rPr>
                <w:rFonts w:hint="default" w:ascii="Times New Roman" w:hAnsi="Times New Roman" w:cs="Times New Roman"/>
                <w:color w:val="auto"/>
                <w:highlight w:val="none"/>
              </w:rPr>
              <w:t>吨</w:t>
            </w:r>
            <w:r>
              <w:rPr>
                <w:rFonts w:hint="default" w:ascii="Times New Roman" w:hAnsi="Times New Roman" w:cs="Times New Roman"/>
                <w:color w:val="auto"/>
                <w:highlight w:val="none"/>
                <w:lang w:val="en-US" w:eastAsia="zh-CN"/>
              </w:rPr>
              <w:t>、0.85</w:t>
            </w:r>
            <w:r>
              <w:rPr>
                <w:rFonts w:hint="default" w:ascii="Times New Roman" w:hAnsi="Times New Roman" w:cs="Times New Roman"/>
                <w:color w:val="auto"/>
                <w:highlight w:val="none"/>
              </w:rPr>
              <w:t>吨，</w:t>
            </w:r>
            <w:r>
              <w:rPr>
                <w:rFonts w:hint="eastAsia" w:ascii="Times New Roman" w:hAnsi="Times New Roman" w:cs="Times New Roman"/>
                <w:color w:val="auto"/>
                <w:highlight w:val="none"/>
                <w:lang w:val="en-US" w:eastAsia="zh-CN"/>
              </w:rPr>
              <w:t>危险废物中，预处理池泥渣、无铬钝化池废槽液、废水处理站污泥、废pH调整剂包装桶贮存周期按3个月计，其余危险废物按半年计。</w:t>
            </w:r>
          </w:p>
          <w:p w14:paraId="46AFE233">
            <w:pPr>
              <w:keepNext w:val="0"/>
              <w:keepLines w:val="0"/>
              <w:suppressLineNumbers w:val="0"/>
              <w:spacing w:before="0" w:beforeAutospacing="0" w:after="0" w:afterAutospacing="0"/>
              <w:ind w:left="0" w:right="0" w:firstLine="470" w:firstLineChars="196"/>
              <w:rPr>
                <w:rFonts w:hint="default" w:ascii="Times New Roman" w:hAnsi="Times New Roman" w:cs="Times New Roman"/>
                <w:color w:val="auto"/>
                <w:highlight w:val="none"/>
              </w:rPr>
            </w:pPr>
            <w:r>
              <w:rPr>
                <w:rFonts w:hint="default" w:ascii="Times New Roman" w:hAnsi="Times New Roman" w:cs="Times New Roman"/>
                <w:color w:val="auto"/>
                <w:highlight w:val="none"/>
              </w:rPr>
              <w:t>②风险潜势初判</w:t>
            </w:r>
          </w:p>
          <w:p w14:paraId="3ABA4272">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根据《建设项目环境风险评价技术导则》（HJ169-2018）附录B，本项目涉及的风险物质为</w:t>
            </w:r>
            <w:r>
              <w:rPr>
                <w:rFonts w:hint="default" w:ascii="Times New Roman" w:hAnsi="Times New Roman" w:cs="Times New Roman"/>
                <w:color w:val="auto"/>
                <w:highlight w:val="none"/>
                <w:lang w:val="en-US" w:eastAsia="zh-CN"/>
              </w:rPr>
              <w:t>甲烷、</w:t>
            </w:r>
            <w:r>
              <w:rPr>
                <w:rFonts w:hint="default" w:ascii="Times New Roman" w:hAnsi="Times New Roman" w:cs="Times New Roman"/>
                <w:color w:val="auto"/>
                <w:highlight w:val="none"/>
              </w:rPr>
              <w:t>润滑油、液压油、废机油、废液压油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pH调整剂（按70%硫酸计）</w:t>
            </w:r>
            <w:r>
              <w:rPr>
                <w:rFonts w:hint="default" w:ascii="Times New Roman" w:hAnsi="Times New Roman" w:cs="Times New Roman"/>
                <w:color w:val="auto"/>
                <w:highlight w:val="none"/>
              </w:rPr>
              <w:t>，属于表B.1“油类物质（矿物油类，如石油、汽油、柴油等；生物柴油等）的临界值2500吨”。其余危险废物Q值参照《建设项目环境风险评价技术导则》（HJ169-2018）中“表B.2其他危险物质临界量推荐值--健康危险急性毒性物质（类别2、类别3）的临界值50吨”。</w:t>
            </w:r>
          </w:p>
          <w:p w14:paraId="5C50DFF9">
            <w:pPr>
              <w:pStyle w:val="73"/>
              <w:keepNext w:val="0"/>
              <w:keepLines w:val="0"/>
              <w:numPr>
                <w:ilvl w:val="0"/>
                <w:numId w:val="0"/>
              </w:numPr>
              <w:suppressLineNumbers w:val="0"/>
              <w:tabs>
                <w:tab w:val="left" w:pos="0"/>
              </w:tabs>
              <w:spacing w:before="0" w:beforeAutospacing="0" w:after="0" w:afterAutospacing="0" w:line="360" w:lineRule="auto"/>
              <w:ind w:left="0" w:leftChars="0" w:right="0" w:rightChars="0" w:firstLine="40" w:firstLineChars="0"/>
              <w:rPr>
                <w:rFonts w:hint="default" w:ascii="Times New Roman" w:hAnsi="Times New Roman" w:cs="Times New Roman"/>
                <w:bCs/>
                <w:color w:val="auto"/>
                <w:highlight w:val="none"/>
              </w:rPr>
            </w:pPr>
            <w:r>
              <w:rPr>
                <w:rFonts w:hint="default" w:ascii="Times New Roman" w:hAnsi="Times New Roman" w:eastAsia="宋体" w:cs="Times New Roman"/>
                <w:b/>
                <w:bCs/>
                <w:color w:val="auto"/>
                <w:kern w:val="2"/>
                <w:sz w:val="21"/>
                <w:szCs w:val="21"/>
                <w:highlight w:val="none"/>
                <w:lang w:val="en-US" w:eastAsia="zh-CN" w:bidi="ar-SA"/>
              </w:rPr>
              <w:t>表4-40</w:t>
            </w:r>
            <w:r>
              <w:rPr>
                <w:rFonts w:hint="default" w:ascii="Times New Roman" w:hAnsi="Times New Roman" w:cs="Times New Roman"/>
                <w:bCs/>
                <w:color w:val="auto"/>
                <w:highlight w:val="none"/>
              </w:rPr>
              <w:t>危险物质识别一览表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7"/>
              <w:gridCol w:w="1012"/>
              <w:gridCol w:w="1222"/>
              <w:gridCol w:w="4560"/>
              <w:gridCol w:w="1824"/>
            </w:tblGrid>
            <w:tr w14:paraId="188EA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0C56A7F">
                  <w:pPr>
                    <w:pStyle w:val="73"/>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序号</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0D49DF0">
                  <w:pPr>
                    <w:pStyle w:val="73"/>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物质名称</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8A07AF2">
                  <w:pPr>
                    <w:pStyle w:val="73"/>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风险特性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4298AA07">
                  <w:pPr>
                    <w:pStyle w:val="73"/>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B35D94C">
                  <w:pPr>
                    <w:pStyle w:val="73"/>
                    <w:keepNext w:val="0"/>
                    <w:keepLines w:val="0"/>
                    <w:suppressLineNumbers w:val="0"/>
                    <w:spacing w:before="0" w:beforeAutospacing="0" w:after="0" w:afterAutospacing="0"/>
                    <w:ind w:left="0" w:right="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判断依据</w:t>
                  </w:r>
                </w:p>
              </w:tc>
            </w:tr>
            <w:tr w14:paraId="462FF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4B3FAB2">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1</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7AE9405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天然气</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B68778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0ACB4310">
                  <w:pPr>
                    <w:pStyle w:val="73"/>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甲烷</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BD71FB3">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45C30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2C3B4B1">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2</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4E96453A">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废机油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6CA50E6F">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592DF0D4">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废机油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5D6E44B">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7754F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9348AD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3</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518A6A7">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废液压油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1A7A8AE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162C3690">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废液压油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CD1107F">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214E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4884EBA">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4</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234A78EB">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5036725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1E404AAF">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润滑油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24E6DE">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18438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85B5D8F">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5</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0B43DD5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液压油</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1B87F7A5">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易燃性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523A1EED">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液压油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DC51705">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63701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F21FAF5">
                  <w:pPr>
                    <w:pStyle w:val="73"/>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val="en-US" w:eastAsia="zh-CN"/>
                    </w:rPr>
                  </w:pPr>
                  <w:r>
                    <w:rPr>
                      <w:rFonts w:hint="default" w:ascii="Times New Roman" w:hAnsi="Times New Roman" w:cs="Times New Roman"/>
                      <w:b w:val="0"/>
                      <w:color w:val="auto"/>
                      <w:highlight w:val="none"/>
                      <w:lang w:val="en-US" w:eastAsia="zh-CN"/>
                    </w:rPr>
                    <w:t>6</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52740E62">
                  <w:pPr>
                    <w:pStyle w:val="73"/>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硫酸</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3A7D2680">
                  <w:pPr>
                    <w:pStyle w:val="73"/>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eastAsia="zh-CN"/>
                    </w:rPr>
                    <w:t>腐蚀性</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2C708751">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lang w:eastAsia="zh-CN"/>
                    </w:rPr>
                    <w:t>硫酸</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6F54D7E5">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r w14:paraId="1D7B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E84FE82">
                  <w:pPr>
                    <w:pStyle w:val="73"/>
                    <w:keepNext w:val="0"/>
                    <w:keepLines w:val="0"/>
                    <w:suppressLineNumbers w:val="0"/>
                    <w:spacing w:before="0" w:beforeAutospacing="0" w:after="0" w:afterAutospacing="0"/>
                    <w:ind w:left="0" w:right="0"/>
                    <w:rPr>
                      <w:rFonts w:hint="default" w:ascii="Times New Roman" w:hAnsi="Times New Roman" w:eastAsia="宋体" w:cs="Times New Roman"/>
                      <w:b w:val="0"/>
                      <w:color w:val="auto"/>
                      <w:highlight w:val="none"/>
                      <w:lang w:eastAsia="zh-CN"/>
                    </w:rPr>
                  </w:pPr>
                  <w:r>
                    <w:rPr>
                      <w:rFonts w:hint="default" w:ascii="Times New Roman" w:hAnsi="Times New Roman" w:cs="Times New Roman"/>
                      <w:b w:val="0"/>
                      <w:color w:val="auto"/>
                      <w:highlight w:val="none"/>
                      <w:lang w:val="en-US" w:eastAsia="zh-CN"/>
                    </w:rPr>
                    <w:t>7</w:t>
                  </w:r>
                </w:p>
              </w:tc>
              <w:tc>
                <w:tcPr>
                  <w:tcW w:w="555" w:type="pct"/>
                  <w:tcBorders>
                    <w:top w:val="single" w:color="auto" w:sz="4" w:space="0"/>
                    <w:left w:val="single" w:color="auto" w:sz="4" w:space="0"/>
                    <w:bottom w:val="single" w:color="auto" w:sz="4" w:space="0"/>
                    <w:right w:val="single" w:color="auto" w:sz="4" w:space="0"/>
                    <w:tl2br w:val="nil"/>
                    <w:tr2bl w:val="nil"/>
                  </w:tcBorders>
                  <w:vAlign w:val="center"/>
                </w:tcPr>
                <w:p w14:paraId="11FA87B1">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670" w:type="pct"/>
                  <w:tcBorders>
                    <w:top w:val="single" w:color="auto" w:sz="4" w:space="0"/>
                    <w:left w:val="single" w:color="auto" w:sz="4" w:space="0"/>
                    <w:bottom w:val="single" w:color="auto" w:sz="4" w:space="0"/>
                    <w:right w:val="single" w:color="auto" w:sz="4" w:space="0"/>
                    <w:tl2br w:val="nil"/>
                    <w:tr2bl w:val="nil"/>
                  </w:tcBorders>
                  <w:vAlign w:val="center"/>
                </w:tcPr>
                <w:p w14:paraId="22234841">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w:t>
                  </w:r>
                </w:p>
              </w:tc>
              <w:tc>
                <w:tcPr>
                  <w:tcW w:w="2500" w:type="pct"/>
                  <w:tcBorders>
                    <w:top w:val="single" w:color="auto" w:sz="4" w:space="0"/>
                    <w:left w:val="single" w:color="auto" w:sz="4" w:space="0"/>
                    <w:bottom w:val="single" w:color="auto" w:sz="4" w:space="0"/>
                    <w:right w:val="single" w:color="auto" w:sz="4" w:space="0"/>
                    <w:tl2br w:val="nil"/>
                    <w:tr2bl w:val="nil"/>
                  </w:tcBorders>
                  <w:vAlign w:val="center"/>
                </w:tcPr>
                <w:p w14:paraId="1577570E">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0D394E0">
                  <w:pPr>
                    <w:pStyle w:val="73"/>
                    <w:keepNext w:val="0"/>
                    <w:keepLines w:val="0"/>
                    <w:suppressLineNumbers w:val="0"/>
                    <w:spacing w:before="0" w:beforeAutospacing="0" w:after="0" w:afterAutospacing="0"/>
                    <w:ind w:left="0" w:right="0"/>
                    <w:rPr>
                      <w:rFonts w:hint="default" w:ascii="Times New Roman" w:hAnsi="Times New Roman" w:cs="Times New Roman"/>
                      <w:b w:val="0"/>
                      <w:color w:val="auto"/>
                      <w:highlight w:val="none"/>
                    </w:rPr>
                  </w:pPr>
                  <w:r>
                    <w:rPr>
                      <w:rFonts w:hint="default" w:ascii="Times New Roman" w:hAnsi="Times New Roman" w:cs="Times New Roman"/>
                      <w:b w:val="0"/>
                      <w:color w:val="auto"/>
                      <w:highlight w:val="none"/>
                    </w:rPr>
                    <w:t>HJ 169-2018</w:t>
                  </w:r>
                </w:p>
              </w:tc>
            </w:tr>
          </w:tbl>
          <w:p w14:paraId="7176769C">
            <w:pPr>
              <w:keepNext w:val="0"/>
              <w:keepLines w:val="0"/>
              <w:suppressLineNumbers w:val="0"/>
              <w:adjustRightInd w:val="0"/>
              <w:spacing w:before="0" w:beforeAutospacing="0" w:after="0" w:afterAutospacing="0"/>
              <w:ind w:left="0" w:right="0" w:firstLine="472" w:firstLineChars="200"/>
              <w:rPr>
                <w:rFonts w:hint="default" w:ascii="Times New Roman" w:hAnsi="Times New Roman" w:cs="Times New Roman"/>
                <w:color w:val="auto"/>
                <w:kern w:val="0"/>
                <w:highlight w:val="none"/>
              </w:rPr>
            </w:pPr>
            <w:r>
              <w:rPr>
                <w:rFonts w:hint="default" w:ascii="Times New Roman" w:hAnsi="Times New Roman" w:cs="Times New Roman"/>
                <w:color w:val="auto"/>
                <w:spacing w:val="-2"/>
                <w:highlight w:val="none"/>
              </w:rPr>
              <w:t>则本项目Q值确定见下表</w:t>
            </w:r>
            <w:r>
              <w:rPr>
                <w:rFonts w:hint="default" w:ascii="Times New Roman" w:hAnsi="Times New Roman" w:cs="Times New Roman"/>
                <w:color w:val="auto"/>
                <w:kern w:val="0"/>
                <w:highlight w:val="none"/>
              </w:rPr>
              <w:t>。</w:t>
            </w:r>
          </w:p>
          <w:p w14:paraId="19F944EA">
            <w:pPr>
              <w:keepNext w:val="0"/>
              <w:keepLines w:val="0"/>
              <w:numPr>
                <w:ilvl w:val="0"/>
                <w:numId w:val="0"/>
              </w:numPr>
              <w:suppressLineNumbers w:val="0"/>
              <w:tabs>
                <w:tab w:val="left" w:pos="0"/>
              </w:tabs>
              <w:adjustRightInd w:val="0"/>
              <w:spacing w:before="0" w:beforeAutospacing="0" w:after="0" w:afterAutospacing="0"/>
              <w:ind w:left="0" w:leftChars="0" w:right="0" w:rightChars="0" w:firstLine="40" w:firstLineChars="0"/>
              <w:jc w:val="center"/>
              <w:rPr>
                <w:rFonts w:hint="default" w:ascii="Times New Roman" w:hAnsi="Times New Roman" w:cs="Times New Roman"/>
                <w:color w:val="auto"/>
                <w:highlight w:val="none"/>
              </w:rPr>
            </w:pPr>
            <w:r>
              <w:rPr>
                <w:rFonts w:hint="default" w:ascii="Times New Roman" w:hAnsi="Times New Roman" w:eastAsia="宋体" w:cs="Times New Roman"/>
                <w:b/>
                <w:color w:val="auto"/>
                <w:kern w:val="2"/>
                <w:sz w:val="21"/>
                <w:szCs w:val="21"/>
                <w:highlight w:val="none"/>
                <w:lang w:val="en-US" w:eastAsia="zh-CN" w:bidi="ar-SA"/>
              </w:rPr>
              <w:t>表4-41</w:t>
            </w:r>
            <w:r>
              <w:rPr>
                <w:rFonts w:hint="default" w:ascii="Times New Roman" w:hAnsi="Times New Roman" w:cs="Times New Roman"/>
                <w:b/>
                <w:bCs/>
                <w:color w:val="auto"/>
                <w:kern w:val="0"/>
                <w:sz w:val="21"/>
                <w:szCs w:val="21"/>
                <w:highlight w:val="none"/>
              </w:rPr>
              <w:t>建设项目Q值确定表</w:t>
            </w:r>
          </w:p>
          <w:tbl>
            <w:tblPr>
              <w:tblStyle w:val="39"/>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136"/>
              <w:gridCol w:w="1524"/>
              <w:gridCol w:w="1517"/>
              <w:gridCol w:w="1516"/>
              <w:gridCol w:w="1521"/>
            </w:tblGrid>
            <w:tr w14:paraId="04F5D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87" w:type="dxa"/>
                  <w:vAlign w:val="center"/>
                </w:tcPr>
                <w:p w14:paraId="4BDC226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序号</w:t>
                  </w:r>
                </w:p>
              </w:tc>
              <w:tc>
                <w:tcPr>
                  <w:tcW w:w="2136" w:type="dxa"/>
                  <w:vAlign w:val="center"/>
                </w:tcPr>
                <w:p w14:paraId="138C7E48">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危险物质名称</w:t>
                  </w:r>
                </w:p>
              </w:tc>
              <w:tc>
                <w:tcPr>
                  <w:tcW w:w="1524" w:type="dxa"/>
                  <w:vAlign w:val="center"/>
                </w:tcPr>
                <w:p w14:paraId="257BF58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CAS号</w:t>
                  </w:r>
                </w:p>
              </w:tc>
              <w:tc>
                <w:tcPr>
                  <w:tcW w:w="1517" w:type="dxa"/>
                  <w:vAlign w:val="center"/>
                </w:tcPr>
                <w:p w14:paraId="77B9AED3">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最大存储总量（t）</w:t>
                  </w:r>
                </w:p>
              </w:tc>
              <w:tc>
                <w:tcPr>
                  <w:tcW w:w="1516" w:type="dxa"/>
                  <w:vAlign w:val="center"/>
                </w:tcPr>
                <w:p w14:paraId="2B99A6D0">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临界量Qn/t</w:t>
                  </w:r>
                </w:p>
              </w:tc>
              <w:tc>
                <w:tcPr>
                  <w:tcW w:w="1521" w:type="dxa"/>
                  <w:vAlign w:val="center"/>
                </w:tcPr>
                <w:p w14:paraId="08AE1E4D">
                  <w:pPr>
                    <w:keepNext w:val="0"/>
                    <w:keepLines w:val="0"/>
                    <w:suppressLineNumbers w:val="0"/>
                    <w:adjustRightInd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该种危险物质Q值</w:t>
                  </w:r>
                </w:p>
              </w:tc>
            </w:tr>
            <w:tr w14:paraId="73A16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3DC55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w:t>
                  </w:r>
                </w:p>
              </w:tc>
              <w:tc>
                <w:tcPr>
                  <w:tcW w:w="2136" w:type="dxa"/>
                  <w:vAlign w:val="center"/>
                </w:tcPr>
                <w:p w14:paraId="6B2F43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cs="Times New Roman"/>
                      <w:b w:val="0"/>
                      <w:bCs w:val="0"/>
                      <w:i w:val="0"/>
                      <w:iCs w:val="0"/>
                      <w:color w:val="auto"/>
                      <w:kern w:val="0"/>
                      <w:sz w:val="21"/>
                      <w:szCs w:val="21"/>
                      <w:highlight w:val="none"/>
                      <w:u w:val="none"/>
                      <w:lang w:val="en-US" w:eastAsia="zh-CN" w:bidi="ar"/>
                    </w:rPr>
                    <w:t>甲烷</w:t>
                  </w:r>
                </w:p>
              </w:tc>
              <w:tc>
                <w:tcPr>
                  <w:tcW w:w="1524" w:type="dxa"/>
                  <w:vAlign w:val="center"/>
                </w:tcPr>
                <w:p w14:paraId="22A2E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8006-14-2</w:t>
                  </w:r>
                </w:p>
              </w:tc>
              <w:tc>
                <w:tcPr>
                  <w:tcW w:w="1517" w:type="dxa"/>
                  <w:vAlign w:val="center"/>
                </w:tcPr>
                <w:p w14:paraId="601684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0.00</w:t>
                  </w:r>
                  <w:r>
                    <w:rPr>
                      <w:rFonts w:hint="eastAsia" w:ascii="Times New Roman" w:hAnsi="Times New Roman" w:cs="Times New Roman"/>
                      <w:b w:val="0"/>
                      <w:bCs w:val="0"/>
                      <w:i w:val="0"/>
                      <w:iCs w:val="0"/>
                      <w:color w:val="auto"/>
                      <w:kern w:val="0"/>
                      <w:sz w:val="21"/>
                      <w:szCs w:val="21"/>
                      <w:highlight w:val="none"/>
                      <w:u w:val="none"/>
                      <w:lang w:val="en-US" w:eastAsia="zh-CN" w:bidi="ar"/>
                    </w:rPr>
                    <w:t>0</w:t>
                  </w:r>
                  <w:r>
                    <w:rPr>
                      <w:rFonts w:hint="default" w:ascii="Times New Roman" w:hAnsi="Times New Roman" w:cs="Times New Roman"/>
                      <w:b w:val="0"/>
                      <w:bCs w:val="0"/>
                      <w:i w:val="0"/>
                      <w:iCs w:val="0"/>
                      <w:color w:val="auto"/>
                      <w:kern w:val="0"/>
                      <w:sz w:val="21"/>
                      <w:szCs w:val="21"/>
                      <w:highlight w:val="none"/>
                      <w:u w:val="none"/>
                      <w:lang w:val="en-US" w:eastAsia="zh-CN" w:bidi="ar"/>
                    </w:rPr>
                    <w:t>48</w:t>
                  </w:r>
                </w:p>
              </w:tc>
              <w:tc>
                <w:tcPr>
                  <w:tcW w:w="1516" w:type="dxa"/>
                  <w:vAlign w:val="center"/>
                </w:tcPr>
                <w:p w14:paraId="2D9324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b w:val="0"/>
                      <w:bCs w:val="0"/>
                      <w:i w:val="0"/>
                      <w:iCs w:val="0"/>
                      <w:color w:val="auto"/>
                      <w:kern w:val="0"/>
                      <w:sz w:val="21"/>
                      <w:szCs w:val="21"/>
                      <w:highlight w:val="none"/>
                      <w:u w:val="none"/>
                      <w:lang w:val="en-US" w:eastAsia="zh-CN" w:bidi="ar"/>
                    </w:rPr>
                    <w:t>10</w:t>
                  </w:r>
                </w:p>
              </w:tc>
              <w:tc>
                <w:tcPr>
                  <w:tcW w:w="1521" w:type="dxa"/>
                  <w:vAlign w:val="center"/>
                </w:tcPr>
                <w:p w14:paraId="736A29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0</w:t>
                  </w: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default" w:ascii="Times New Roman" w:hAnsi="Times New Roman" w:cs="Times New Roman"/>
                      <w:i w:val="0"/>
                      <w:iCs w:val="0"/>
                      <w:color w:val="auto"/>
                      <w:kern w:val="0"/>
                      <w:sz w:val="21"/>
                      <w:szCs w:val="21"/>
                      <w:highlight w:val="none"/>
                      <w:u w:val="none"/>
                      <w:lang w:val="en-US" w:eastAsia="zh-CN" w:bidi="ar"/>
                    </w:rPr>
                    <w:t>048</w:t>
                  </w:r>
                </w:p>
              </w:tc>
            </w:tr>
            <w:tr w14:paraId="272CA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584B6F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w:t>
                  </w:r>
                </w:p>
              </w:tc>
              <w:tc>
                <w:tcPr>
                  <w:tcW w:w="2136" w:type="dxa"/>
                  <w:vAlign w:val="center"/>
                </w:tcPr>
                <w:p w14:paraId="36BD9A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废机油</w:t>
                  </w:r>
                </w:p>
              </w:tc>
              <w:tc>
                <w:tcPr>
                  <w:tcW w:w="1524" w:type="dxa"/>
                  <w:vAlign w:val="center"/>
                </w:tcPr>
                <w:p w14:paraId="49B6B4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59B4E3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bidi="ar"/>
                    </w:rPr>
                    <w:t>0.45</w:t>
                  </w:r>
                </w:p>
              </w:tc>
              <w:tc>
                <w:tcPr>
                  <w:tcW w:w="1516" w:type="dxa"/>
                  <w:vAlign w:val="center"/>
                </w:tcPr>
                <w:p w14:paraId="3785E8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65EEB8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0.00018</w:t>
                  </w:r>
                </w:p>
              </w:tc>
            </w:tr>
            <w:tr w14:paraId="1F823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13D3A0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3</w:t>
                  </w:r>
                </w:p>
              </w:tc>
              <w:tc>
                <w:tcPr>
                  <w:tcW w:w="2136" w:type="dxa"/>
                  <w:vAlign w:val="center"/>
                </w:tcPr>
                <w:p w14:paraId="13D95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废液压油</w:t>
                  </w:r>
                </w:p>
              </w:tc>
              <w:tc>
                <w:tcPr>
                  <w:tcW w:w="1524" w:type="dxa"/>
                  <w:vAlign w:val="center"/>
                </w:tcPr>
                <w:p w14:paraId="52F375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0BE88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bidi="ar"/>
                    </w:rPr>
                    <w:t>0.4</w:t>
                  </w:r>
                </w:p>
              </w:tc>
              <w:tc>
                <w:tcPr>
                  <w:tcW w:w="1516" w:type="dxa"/>
                  <w:vAlign w:val="center"/>
                </w:tcPr>
                <w:p w14:paraId="3F164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4064FE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0.00016</w:t>
                  </w:r>
                </w:p>
              </w:tc>
            </w:tr>
            <w:tr w14:paraId="7718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0AB79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4</w:t>
                  </w:r>
                </w:p>
              </w:tc>
              <w:tc>
                <w:tcPr>
                  <w:tcW w:w="2136" w:type="dxa"/>
                  <w:vAlign w:val="center"/>
                </w:tcPr>
                <w:p w14:paraId="64039E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机油</w:t>
                  </w:r>
                </w:p>
              </w:tc>
              <w:tc>
                <w:tcPr>
                  <w:tcW w:w="1524" w:type="dxa"/>
                  <w:vAlign w:val="center"/>
                </w:tcPr>
                <w:p w14:paraId="7A25A3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6C108C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default" w:ascii="Times New Roman" w:hAnsi="Times New Roman" w:cs="Times New Roman"/>
                      <w:b w:val="0"/>
                      <w:bCs w:val="0"/>
                      <w:i w:val="0"/>
                      <w:iCs w:val="0"/>
                      <w:color w:val="auto"/>
                      <w:kern w:val="0"/>
                      <w:sz w:val="21"/>
                      <w:szCs w:val="21"/>
                      <w:highlight w:val="none"/>
                      <w:u w:val="none"/>
                      <w:lang w:val="en-US" w:eastAsia="zh-CN" w:bidi="ar"/>
                    </w:rPr>
                    <w:t>9</w:t>
                  </w: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p>
              </w:tc>
              <w:tc>
                <w:tcPr>
                  <w:tcW w:w="1516" w:type="dxa"/>
                  <w:vAlign w:val="center"/>
                </w:tcPr>
                <w:p w14:paraId="183258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67008C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0.0003</w:t>
                  </w:r>
                  <w:r>
                    <w:rPr>
                      <w:rFonts w:hint="default" w:ascii="Times New Roman" w:hAnsi="Times New Roman" w:cs="Times New Roman"/>
                      <w:i w:val="0"/>
                      <w:iCs w:val="0"/>
                      <w:color w:val="auto"/>
                      <w:kern w:val="0"/>
                      <w:sz w:val="21"/>
                      <w:szCs w:val="21"/>
                      <w:highlight w:val="none"/>
                      <w:u w:val="none"/>
                      <w:lang w:val="en-US" w:eastAsia="zh-CN" w:bidi="ar"/>
                    </w:rPr>
                    <w:t>6</w:t>
                  </w:r>
                </w:p>
              </w:tc>
            </w:tr>
            <w:tr w14:paraId="46B15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6776CD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w:t>
                  </w:r>
                </w:p>
              </w:tc>
              <w:tc>
                <w:tcPr>
                  <w:tcW w:w="2136" w:type="dxa"/>
                  <w:vAlign w:val="center"/>
                </w:tcPr>
                <w:p w14:paraId="7376D2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液压油</w:t>
                  </w:r>
                </w:p>
              </w:tc>
              <w:tc>
                <w:tcPr>
                  <w:tcW w:w="1524" w:type="dxa"/>
                  <w:vAlign w:val="center"/>
                </w:tcPr>
                <w:p w14:paraId="484956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1EB9B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w:t>
                  </w:r>
                  <w:r>
                    <w:rPr>
                      <w:rFonts w:hint="default" w:ascii="Times New Roman" w:hAnsi="Times New Roman" w:cs="Times New Roman"/>
                      <w:b w:val="0"/>
                      <w:bCs w:val="0"/>
                      <w:i w:val="0"/>
                      <w:iCs w:val="0"/>
                      <w:color w:val="auto"/>
                      <w:kern w:val="0"/>
                      <w:sz w:val="21"/>
                      <w:szCs w:val="21"/>
                      <w:highlight w:val="none"/>
                      <w:u w:val="none"/>
                      <w:lang w:val="en-US" w:eastAsia="zh-CN" w:bidi="ar"/>
                    </w:rPr>
                    <w:t>85</w:t>
                  </w:r>
                </w:p>
              </w:tc>
              <w:tc>
                <w:tcPr>
                  <w:tcW w:w="1516" w:type="dxa"/>
                  <w:vAlign w:val="center"/>
                </w:tcPr>
                <w:p w14:paraId="5E706D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2500</w:t>
                  </w:r>
                </w:p>
              </w:tc>
              <w:tc>
                <w:tcPr>
                  <w:tcW w:w="1521" w:type="dxa"/>
                  <w:vAlign w:val="center"/>
                </w:tcPr>
                <w:p w14:paraId="5420B6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default" w:ascii="Times New Roman" w:hAnsi="Times New Roman" w:cs="Times New Roman"/>
                      <w:i w:val="0"/>
                      <w:iCs w:val="0"/>
                      <w:color w:val="auto"/>
                      <w:kern w:val="0"/>
                      <w:sz w:val="21"/>
                      <w:szCs w:val="21"/>
                      <w:highlight w:val="none"/>
                      <w:u w:val="none"/>
                      <w:lang w:val="en-US" w:eastAsia="zh-CN" w:bidi="ar"/>
                    </w:rPr>
                    <w:t>32</w:t>
                  </w:r>
                </w:p>
              </w:tc>
            </w:tr>
            <w:tr w14:paraId="125E0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3327BA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6</w:t>
                  </w:r>
                </w:p>
              </w:tc>
              <w:tc>
                <w:tcPr>
                  <w:tcW w:w="2136" w:type="dxa"/>
                  <w:vAlign w:val="center"/>
                </w:tcPr>
                <w:p w14:paraId="78F354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70%硫酸</w:t>
                  </w:r>
                </w:p>
              </w:tc>
              <w:tc>
                <w:tcPr>
                  <w:tcW w:w="1524" w:type="dxa"/>
                  <w:vAlign w:val="center"/>
                </w:tcPr>
                <w:p w14:paraId="7E0401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7664-93-9</w:t>
                  </w:r>
                </w:p>
              </w:tc>
              <w:tc>
                <w:tcPr>
                  <w:tcW w:w="1517" w:type="dxa"/>
                  <w:vAlign w:val="center"/>
                </w:tcPr>
                <w:p w14:paraId="49331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0.1</w:t>
                  </w:r>
                </w:p>
              </w:tc>
              <w:tc>
                <w:tcPr>
                  <w:tcW w:w="1516" w:type="dxa"/>
                  <w:vAlign w:val="center"/>
                </w:tcPr>
                <w:p w14:paraId="48066E8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10</w:t>
                  </w:r>
                </w:p>
              </w:tc>
              <w:tc>
                <w:tcPr>
                  <w:tcW w:w="1521" w:type="dxa"/>
                  <w:vAlign w:val="center"/>
                </w:tcPr>
                <w:p w14:paraId="40ED8E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r>
            <w:tr w14:paraId="481FE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887" w:type="dxa"/>
                  <w:vAlign w:val="center"/>
                </w:tcPr>
                <w:p w14:paraId="245CB5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bidi="ar"/>
                    </w:rPr>
                    <w:t>7</w:t>
                  </w:r>
                </w:p>
              </w:tc>
              <w:tc>
                <w:tcPr>
                  <w:tcW w:w="2136" w:type="dxa"/>
                  <w:vAlign w:val="center"/>
                </w:tcPr>
                <w:p w14:paraId="2C07A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危险废物（除废机油、废液压油）</w:t>
                  </w:r>
                </w:p>
              </w:tc>
              <w:tc>
                <w:tcPr>
                  <w:tcW w:w="1524" w:type="dxa"/>
                  <w:vAlign w:val="center"/>
                </w:tcPr>
                <w:p w14:paraId="711764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w:t>
                  </w:r>
                </w:p>
              </w:tc>
              <w:tc>
                <w:tcPr>
                  <w:tcW w:w="1517" w:type="dxa"/>
                  <w:vAlign w:val="center"/>
                </w:tcPr>
                <w:p w14:paraId="3494B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bidi="ar"/>
                    </w:rPr>
                    <w:t>8.0035</w:t>
                  </w:r>
                </w:p>
              </w:tc>
              <w:tc>
                <w:tcPr>
                  <w:tcW w:w="1516" w:type="dxa"/>
                  <w:vAlign w:val="center"/>
                </w:tcPr>
                <w:p w14:paraId="0971A2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50</w:t>
                  </w:r>
                </w:p>
              </w:tc>
              <w:tc>
                <w:tcPr>
                  <w:tcW w:w="1521" w:type="dxa"/>
                  <w:vAlign w:val="center"/>
                </w:tcPr>
                <w:p w14:paraId="3AF90A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i w:val="0"/>
                      <w:iCs w:val="0"/>
                      <w:color w:val="auto"/>
                      <w:kern w:val="0"/>
                      <w:sz w:val="21"/>
                      <w:szCs w:val="21"/>
                      <w:highlight w:val="none"/>
                      <w:u w:val="none"/>
                      <w:lang w:val="en-US" w:eastAsia="zh-CN" w:bidi="ar"/>
                    </w:rPr>
                    <w:t>0.16007</w:t>
                  </w:r>
                </w:p>
              </w:tc>
            </w:tr>
            <w:tr w14:paraId="0446E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7580" w:type="dxa"/>
                  <w:gridSpan w:val="5"/>
                  <w:vAlign w:val="center"/>
                </w:tcPr>
                <w:p w14:paraId="44B4A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项目Q值</w:t>
                  </w:r>
                </w:p>
              </w:tc>
              <w:tc>
                <w:tcPr>
                  <w:tcW w:w="1521" w:type="dxa"/>
                  <w:shd w:val="clear" w:color="auto" w:fill="auto"/>
                  <w:vAlign w:val="center"/>
                </w:tcPr>
                <w:p w14:paraId="2E08881D">
                  <w:pPr>
                    <w:keepNext w:val="0"/>
                    <w:keepLines w:val="0"/>
                    <w:widowControl/>
                    <w:suppressLineNumbers w:val="0"/>
                    <w:spacing w:before="0" w:beforeAutospacing="0" w:after="0" w:afterAutospacing="0"/>
                    <w:ind w:left="0" w:right="0"/>
                    <w:jc w:val="center"/>
                    <w:textAlignment w:val="center"/>
                    <w:rPr>
                      <w:rFonts w:hint="default"/>
                      <w:color w:val="auto"/>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0.171138</w:t>
                  </w:r>
                </w:p>
              </w:tc>
            </w:tr>
          </w:tbl>
          <w:p w14:paraId="7AA6E721">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spacing w:val="-2"/>
                <w:highlight w:val="none"/>
              </w:rPr>
              <w:t>《建设项目环境风险评价技术导则》（HJ169-2018），当Q＜1时，环境风险潜势为I，仅需进行简单分析。</w:t>
            </w:r>
          </w:p>
          <w:p w14:paraId="161B6B4E">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3、环境敏感目标调查</w:t>
            </w:r>
          </w:p>
          <w:p w14:paraId="16F4EB7D">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w:t>
            </w:r>
            <w:r>
              <w:rPr>
                <w:rFonts w:hint="default" w:ascii="Times New Roman" w:hAnsi="Times New Roman" w:cs="Times New Roman"/>
                <w:color w:val="auto"/>
                <w:highlight w:val="none"/>
                <w:lang w:eastAsia="zh-CN"/>
              </w:rPr>
              <w:t>韶关市乐昌市乐昌产业转移工业园GL-01-15-02地块</w:t>
            </w:r>
            <w:r>
              <w:rPr>
                <w:rFonts w:hint="default" w:ascii="Times New Roman" w:hAnsi="Times New Roman" w:cs="Times New Roman"/>
                <w:color w:val="auto"/>
                <w:highlight w:val="none"/>
              </w:rPr>
              <w:t>，厂区四周为其他企业、园区公园、空地、山地，本项目厂界外500m范围内无自然保护区、风景名胜区、文化区，主要大气环境保护目标为居民区。本项目最近的环境保护目标为</w:t>
            </w:r>
            <w:r>
              <w:rPr>
                <w:rFonts w:hint="default" w:ascii="Times New Roman" w:hAnsi="Times New Roman" w:cs="Times New Roman"/>
                <w:bCs/>
                <w:color w:val="auto"/>
                <w:highlight w:val="none"/>
                <w:lang w:eastAsia="zh-CN"/>
              </w:rPr>
              <w:t>西</w:t>
            </w:r>
            <w:r>
              <w:rPr>
                <w:rFonts w:hint="default" w:ascii="Times New Roman" w:hAnsi="Times New Roman" w:cs="Times New Roman"/>
                <w:bCs/>
                <w:color w:val="auto"/>
                <w:highlight w:val="none"/>
              </w:rPr>
              <w:t>南侧</w:t>
            </w:r>
            <w:r>
              <w:rPr>
                <w:rFonts w:hint="default" w:ascii="Times New Roman" w:hAnsi="Times New Roman" w:cs="Times New Roman"/>
                <w:bCs/>
                <w:color w:val="auto"/>
                <w:highlight w:val="none"/>
                <w:lang w:val="en-US" w:eastAsia="zh-CN"/>
              </w:rPr>
              <w:t>425</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lang w:val="en-US" w:eastAsia="zh-CN"/>
              </w:rPr>
              <w:t>的大岭背居民区</w:t>
            </w:r>
            <w:r>
              <w:rPr>
                <w:rFonts w:hint="default" w:ascii="Times New Roman" w:hAnsi="Times New Roman" w:cs="Times New Roman"/>
                <w:color w:val="auto"/>
                <w:highlight w:val="none"/>
              </w:rPr>
              <w:t>。</w:t>
            </w:r>
          </w:p>
          <w:p w14:paraId="7CC3789A">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4、环境风险分析</w:t>
            </w:r>
          </w:p>
          <w:p w14:paraId="029A8CA5">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（1）大气环境风险分析</w:t>
            </w:r>
          </w:p>
          <w:p w14:paraId="4AEA0744">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物料在运输、装卸、储存和使用过程中发生泄漏、火灾，有毒有害物质在高温情况下散发到空气中，泄漏的物料、物料燃烧产生的次生污染物如烟尘、CO等将对周边的环境空气带来较为严重的污染甚至对人群健康造成危害。</w:t>
            </w:r>
          </w:p>
          <w:p w14:paraId="33BF35EA">
            <w:pPr>
              <w:pStyle w:val="6"/>
              <w:widowControl/>
              <w:numPr>
                <w:ilvl w:val="4"/>
                <w:numId w:val="0"/>
              </w:numPr>
              <w:suppressLineNumbers w:val="0"/>
              <w:spacing w:before="0" w:beforeAutospacing="0" w:after="0" w:afterAutospacing="0"/>
              <w:ind w:left="480" w:right="0"/>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（2）地表水、地下水环境风险分析</w:t>
            </w:r>
          </w:p>
          <w:p w14:paraId="320B28E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化学品仓内，且出入口处设置围堰围挡，物料随用随取，不使用时密闭封存，本项目厂区内均已进行地面硬化，厂界四周设置围墙围挡。因此</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地表水、地下水环境污染途径</w:t>
            </w:r>
            <w:r>
              <w:rPr>
                <w:rFonts w:hint="default" w:ascii="Times New Roman" w:hAnsi="Times New Roman" w:cs="Times New Roman"/>
                <w:color w:val="auto"/>
                <w:highlight w:val="none"/>
                <w:lang w:val="en-US" w:eastAsia="zh-CN"/>
              </w:rPr>
              <w:t>较少，且有对应防范措施</w:t>
            </w:r>
            <w:r>
              <w:rPr>
                <w:rFonts w:hint="default" w:ascii="Times New Roman" w:hAnsi="Times New Roman" w:cs="Times New Roman"/>
                <w:color w:val="auto"/>
                <w:highlight w:val="none"/>
              </w:rPr>
              <w:t>。</w:t>
            </w:r>
          </w:p>
          <w:p w14:paraId="537EBAAF">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5、环境风险防范措施及应急要求</w:t>
            </w:r>
          </w:p>
          <w:p w14:paraId="60E353AB">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①严格执行应急管理、消防等相关规范，从总图布置和建筑安全方面进行风险防范，预留疏散通道或安置场所。</w:t>
            </w:r>
          </w:p>
          <w:p w14:paraId="3D15CFD5">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②从优化改进生产工艺、减少储存量、改善储存条件等方面降低风险程度。</w:t>
            </w:r>
          </w:p>
          <w:p w14:paraId="0941EC02">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③加强日常管理，降低管理失误而出现的风险事故，提高员工规范性操作水平，减少误操作引发的风险事故。</w:t>
            </w:r>
          </w:p>
          <w:p w14:paraId="6D644402">
            <w:pPr>
              <w:pStyle w:val="7"/>
              <w:numPr>
                <w:ilvl w:val="5"/>
                <w:numId w:val="0"/>
              </w:numPr>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09E8AEE">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项目风险防范措施详见下表：</w:t>
            </w:r>
          </w:p>
          <w:p w14:paraId="654B2391">
            <w:pPr>
              <w:pStyle w:val="43"/>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表4-42</w:t>
            </w:r>
            <w:r>
              <w:rPr>
                <w:rFonts w:hint="default" w:ascii="Times New Roman" w:hAnsi="Times New Roman" w:cs="Times New Roman"/>
                <w:b/>
                <w:bCs/>
                <w:color w:val="auto"/>
                <w:sz w:val="21"/>
                <w:szCs w:val="21"/>
                <w:highlight w:val="none"/>
              </w:rPr>
              <w:t>项目风险防范措施一览表</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1082"/>
              <w:gridCol w:w="4043"/>
              <w:gridCol w:w="3352"/>
            </w:tblGrid>
            <w:tr w14:paraId="21EC6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0A192FB3">
                  <w:pPr>
                    <w:pStyle w:val="4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环境风险因素</w:t>
                  </w:r>
                </w:p>
              </w:tc>
              <w:tc>
                <w:tcPr>
                  <w:tcW w:w="2216" w:type="pct"/>
                  <w:vAlign w:val="center"/>
                </w:tcPr>
                <w:p w14:paraId="69A4971F">
                  <w:pPr>
                    <w:pStyle w:val="4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环境风险影响</w:t>
                  </w:r>
                </w:p>
              </w:tc>
              <w:tc>
                <w:tcPr>
                  <w:tcW w:w="1837" w:type="pct"/>
                  <w:vAlign w:val="center"/>
                </w:tcPr>
                <w:p w14:paraId="288350EA">
                  <w:pPr>
                    <w:pStyle w:val="45"/>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风险防范措施</w:t>
                  </w:r>
                </w:p>
              </w:tc>
            </w:tr>
            <w:tr w14:paraId="43CEA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21BF45EC">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天然气管道</w:t>
                  </w:r>
                </w:p>
              </w:tc>
              <w:tc>
                <w:tcPr>
                  <w:tcW w:w="2216" w:type="pct"/>
                  <w:vAlign w:val="center"/>
                </w:tcPr>
                <w:p w14:paraId="05A70FDC">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火灾爆炸事故次生环境事件</w:t>
                  </w:r>
                </w:p>
              </w:tc>
              <w:tc>
                <w:tcPr>
                  <w:tcW w:w="1837" w:type="pct"/>
                  <w:vAlign w:val="center"/>
                </w:tcPr>
                <w:p w14:paraId="7FE2853F">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定期维护检修，安排专人巡检，配备一定的消防、环境应急物资</w:t>
                  </w:r>
                </w:p>
              </w:tc>
            </w:tr>
            <w:tr w14:paraId="0E45B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5" w:type="pct"/>
                  <w:gridSpan w:val="2"/>
                  <w:vAlign w:val="center"/>
                </w:tcPr>
                <w:p w14:paraId="35273A6F">
                  <w:pPr>
                    <w:pStyle w:val="45"/>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表面处理区域</w:t>
                  </w:r>
                </w:p>
              </w:tc>
              <w:tc>
                <w:tcPr>
                  <w:tcW w:w="2216" w:type="pct"/>
                  <w:vAlign w:val="center"/>
                </w:tcPr>
                <w:p w14:paraId="2EB3CA3B">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预处理槽槽液存储、使用过程发生泄漏</w:t>
                  </w:r>
                </w:p>
              </w:tc>
              <w:tc>
                <w:tcPr>
                  <w:tcW w:w="1837" w:type="pct"/>
                  <w:vAlign w:val="center"/>
                </w:tcPr>
                <w:p w14:paraId="5544052F">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表面处理区域</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化学品仓</w:t>
                  </w:r>
                  <w:r>
                    <w:rPr>
                      <w:rFonts w:hint="default" w:ascii="Times New Roman" w:hAnsi="Times New Roman" w:cs="Times New Roman"/>
                      <w:b w:val="0"/>
                      <w:bCs w:val="0"/>
                      <w:color w:val="auto"/>
                      <w:sz w:val="21"/>
                      <w:szCs w:val="21"/>
                      <w:highlight w:val="none"/>
                    </w:rPr>
                    <w:t>设置围堰并对其地面设置防渗层，防止</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液体渗透至土壤。</w:t>
                  </w:r>
                </w:p>
              </w:tc>
            </w:tr>
            <w:tr w14:paraId="35693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3EA07D8D">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储运工程</w:t>
                  </w:r>
                </w:p>
              </w:tc>
              <w:tc>
                <w:tcPr>
                  <w:tcW w:w="592" w:type="pct"/>
                  <w:vAlign w:val="center"/>
                </w:tcPr>
                <w:p w14:paraId="39768750">
                  <w:pPr>
                    <w:pStyle w:val="45"/>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原辅材料</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1DDA0627">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表面处理添加剂等物质在存储、使用、转运过程中</w:t>
                  </w:r>
                </w:p>
              </w:tc>
              <w:tc>
                <w:tcPr>
                  <w:tcW w:w="1837" w:type="pct"/>
                  <w:vAlign w:val="center"/>
                </w:tcPr>
                <w:p w14:paraId="2D7423FF">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原料区</w:t>
                  </w:r>
                  <w:r>
                    <w:rPr>
                      <w:rFonts w:hint="default" w:ascii="Times New Roman" w:hAnsi="Times New Roman" w:cs="Times New Roman"/>
                      <w:b w:val="0"/>
                      <w:bCs w:val="0"/>
                      <w:color w:val="auto"/>
                      <w:sz w:val="21"/>
                      <w:szCs w:val="21"/>
                      <w:highlight w:val="none"/>
                      <w:lang w:val="en-US" w:eastAsia="zh-CN"/>
                    </w:rPr>
                    <w:t>中用于储存危险化学品的化学品仓</w:t>
                  </w:r>
                  <w:r>
                    <w:rPr>
                      <w:rFonts w:hint="default" w:ascii="Times New Roman" w:hAnsi="Times New Roman" w:cs="Times New Roman"/>
                      <w:b w:val="0"/>
                      <w:bCs w:val="0"/>
                      <w:color w:val="auto"/>
                      <w:sz w:val="21"/>
                      <w:szCs w:val="21"/>
                      <w:highlight w:val="none"/>
                    </w:rPr>
                    <w:t>进行</w:t>
                  </w:r>
                  <w:r>
                    <w:rPr>
                      <w:rFonts w:hint="default" w:ascii="Times New Roman" w:hAnsi="Times New Roman" w:cs="Times New Roman"/>
                      <w:b w:val="0"/>
                      <w:bCs w:val="0"/>
                      <w:color w:val="auto"/>
                      <w:sz w:val="21"/>
                      <w:szCs w:val="21"/>
                      <w:highlight w:val="none"/>
                      <w:lang w:val="en-US" w:eastAsia="zh-CN"/>
                    </w:rPr>
                    <w:t>重点防渗，并设置围堰，其余区域作</w:t>
                  </w:r>
                  <w:r>
                    <w:rPr>
                      <w:rFonts w:hint="default" w:ascii="Times New Roman" w:hAnsi="Times New Roman" w:cs="Times New Roman"/>
                      <w:b w:val="0"/>
                      <w:bCs w:val="0"/>
                      <w:color w:val="auto"/>
                      <w:sz w:val="21"/>
                      <w:szCs w:val="21"/>
                      <w:highlight w:val="none"/>
                    </w:rPr>
                    <w:t>一般防渗，安全操作；配备一定的环境应急物资</w:t>
                  </w:r>
                </w:p>
              </w:tc>
            </w:tr>
            <w:tr w14:paraId="4AA8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40BCD108">
                  <w:pPr>
                    <w:pStyle w:val="45"/>
                    <w:keepNext w:val="0"/>
                    <w:keepLines w:val="0"/>
                    <w:suppressLineNumbers w:val="0"/>
                    <w:spacing w:before="0" w:beforeAutospacing="0" w:after="0" w:afterAutospacing="0"/>
                    <w:ind w:right="0"/>
                    <w:jc w:val="center"/>
                    <w:rPr>
                      <w:rFonts w:hint="default" w:ascii="Times New Roman" w:hAnsi="Times New Roman" w:cs="Times New Roman"/>
                      <w:b w:val="0"/>
                      <w:bCs w:val="0"/>
                      <w:color w:val="auto"/>
                      <w:sz w:val="21"/>
                      <w:szCs w:val="21"/>
                      <w:highlight w:val="none"/>
                    </w:rPr>
                  </w:pPr>
                </w:p>
              </w:tc>
              <w:tc>
                <w:tcPr>
                  <w:tcW w:w="592" w:type="pct"/>
                  <w:vAlign w:val="center"/>
                </w:tcPr>
                <w:p w14:paraId="454F2FEF">
                  <w:pPr>
                    <w:pStyle w:val="45"/>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rPr>
                    <w:t>危险废物</w:t>
                  </w:r>
                  <w:r>
                    <w:rPr>
                      <w:rFonts w:hint="default" w:ascii="Times New Roman" w:hAnsi="Times New Roman" w:cs="Times New Roman"/>
                      <w:b w:val="0"/>
                      <w:bCs w:val="0"/>
                      <w:color w:val="auto"/>
                      <w:sz w:val="21"/>
                      <w:szCs w:val="21"/>
                      <w:highlight w:val="none"/>
                      <w:lang w:eastAsia="zh-CN"/>
                    </w:rPr>
                    <w:t>泄漏</w:t>
                  </w:r>
                </w:p>
              </w:tc>
              <w:tc>
                <w:tcPr>
                  <w:tcW w:w="2216" w:type="pct"/>
                  <w:vAlign w:val="center"/>
                </w:tcPr>
                <w:p w14:paraId="21418F99">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脱脂池泥渣、废活性炭等危险废物在存储、转运过程中发生</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事件，导致项目有毒有害物质经地表径流或雨水管道进入周边水体或通过地表下渗污染地下水水质</w:t>
                  </w:r>
                </w:p>
              </w:tc>
              <w:tc>
                <w:tcPr>
                  <w:tcW w:w="1837" w:type="pct"/>
                  <w:vAlign w:val="center"/>
                </w:tcPr>
                <w:p w14:paraId="2AF6EA63">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危废间进行重点防渗，安全操作配备一定的环境应急物资</w:t>
                  </w:r>
                </w:p>
              </w:tc>
            </w:tr>
            <w:tr w14:paraId="20DE3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vAlign w:val="center"/>
                </w:tcPr>
                <w:p w14:paraId="42E3144F">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环保工程</w:t>
                  </w:r>
                </w:p>
              </w:tc>
              <w:tc>
                <w:tcPr>
                  <w:tcW w:w="592" w:type="pct"/>
                  <w:vAlign w:val="center"/>
                </w:tcPr>
                <w:p w14:paraId="0988C6CA">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废气处理措施故障</w:t>
                  </w:r>
                </w:p>
              </w:tc>
              <w:tc>
                <w:tcPr>
                  <w:tcW w:w="2216" w:type="pct"/>
                  <w:vAlign w:val="center"/>
                </w:tcPr>
                <w:p w14:paraId="092D4514">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废气超标排放，影响区域大气环境</w:t>
                  </w:r>
                </w:p>
              </w:tc>
              <w:tc>
                <w:tcPr>
                  <w:tcW w:w="1837" w:type="pct"/>
                  <w:vAlign w:val="center"/>
                </w:tcPr>
                <w:p w14:paraId="1F8E5DAF">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定期进行检修，及时排除故障，废气处理设施故障时及时停产检修</w:t>
                  </w:r>
                </w:p>
              </w:tc>
            </w:tr>
            <w:tr w14:paraId="250AC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continue"/>
                  <w:vAlign w:val="center"/>
                </w:tcPr>
                <w:p w14:paraId="23721E6A">
                  <w:pPr>
                    <w:pStyle w:val="45"/>
                    <w:keepNext w:val="0"/>
                    <w:keepLines w:val="0"/>
                    <w:suppressLineNumbers w:val="0"/>
                    <w:spacing w:before="0" w:beforeAutospacing="0" w:after="0" w:afterAutospacing="0"/>
                    <w:ind w:right="0"/>
                    <w:jc w:val="center"/>
                    <w:rPr>
                      <w:rFonts w:hint="default" w:ascii="Times New Roman" w:hAnsi="Times New Roman" w:cs="Times New Roman"/>
                      <w:b w:val="0"/>
                      <w:bCs w:val="0"/>
                      <w:color w:val="auto"/>
                      <w:sz w:val="21"/>
                      <w:szCs w:val="21"/>
                      <w:highlight w:val="none"/>
                    </w:rPr>
                  </w:pPr>
                </w:p>
              </w:tc>
              <w:tc>
                <w:tcPr>
                  <w:tcW w:w="592" w:type="pct"/>
                  <w:vAlign w:val="center"/>
                </w:tcPr>
                <w:p w14:paraId="0B32F9F2">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废水处理措施故障</w:t>
                  </w:r>
                </w:p>
              </w:tc>
              <w:tc>
                <w:tcPr>
                  <w:tcW w:w="2216" w:type="pct"/>
                  <w:vAlign w:val="center"/>
                </w:tcPr>
                <w:p w14:paraId="1C966A81">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废水超标排放，影响地表水环境；发生</w:t>
                  </w:r>
                  <w:r>
                    <w:rPr>
                      <w:rFonts w:hint="default" w:ascii="Times New Roman" w:hAnsi="Times New Roman" w:cs="Times New Roman"/>
                      <w:b w:val="0"/>
                      <w:bCs w:val="0"/>
                      <w:color w:val="auto"/>
                      <w:sz w:val="21"/>
                      <w:szCs w:val="21"/>
                      <w:highlight w:val="none"/>
                      <w:lang w:eastAsia="zh-CN"/>
                    </w:rPr>
                    <w:t>泄漏</w:t>
                  </w:r>
                  <w:r>
                    <w:rPr>
                      <w:rFonts w:hint="default" w:ascii="Times New Roman" w:hAnsi="Times New Roman" w:cs="Times New Roman"/>
                      <w:b w:val="0"/>
                      <w:bCs w:val="0"/>
                      <w:color w:val="auto"/>
                      <w:sz w:val="21"/>
                      <w:szCs w:val="21"/>
                      <w:highlight w:val="none"/>
                    </w:rPr>
                    <w:t>事故，导致废水经地表径流或雨水管道进入周边水体或通过地表下渗污染地下水水质</w:t>
                  </w:r>
                </w:p>
              </w:tc>
              <w:tc>
                <w:tcPr>
                  <w:tcW w:w="1837" w:type="pct"/>
                  <w:vAlign w:val="center"/>
                </w:tcPr>
                <w:p w14:paraId="37673747">
                  <w:pPr>
                    <w:pStyle w:val="45"/>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定期进行检修，及时排除故障，废水处理设施故障时及时停产检修。</w:t>
                  </w:r>
                </w:p>
              </w:tc>
            </w:tr>
          </w:tbl>
          <w:p w14:paraId="79184112">
            <w:pPr>
              <w:pStyle w:val="45"/>
              <w:keepNext w:val="0"/>
              <w:keepLines w:val="0"/>
              <w:suppressLineNumbers w:val="0"/>
              <w:spacing w:before="0" w:beforeLines="0" w:beforeAutospacing="0" w:after="0" w:afterAutospacing="0" w:line="360" w:lineRule="auto"/>
              <w:ind w:left="0" w:right="0" w:firstLine="480" w:firstLineChars="200"/>
              <w:rPr>
                <w:rFonts w:hint="default" w:ascii="Times New Roman" w:hAnsi="Times New Roman" w:cs="Times New Roman"/>
                <w:b w:val="0"/>
                <w:bCs w:val="0"/>
                <w:color w:val="auto"/>
                <w:sz w:val="24"/>
                <w:szCs w:val="21"/>
                <w:highlight w:val="none"/>
              </w:rPr>
            </w:pPr>
            <w:r>
              <w:rPr>
                <w:rFonts w:hint="default" w:ascii="Times New Roman" w:hAnsi="Times New Roman" w:cs="Times New Roman"/>
                <w:b w:val="0"/>
                <w:bCs w:val="0"/>
                <w:color w:val="auto"/>
                <w:sz w:val="24"/>
                <w:szCs w:val="21"/>
                <w:highlight w:val="none"/>
              </w:rPr>
              <w:t>⑤事故应急池：</w:t>
            </w:r>
          </w:p>
          <w:p w14:paraId="5E868E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firstLineChars="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事故应急池容积计算参考《事故状态下水体污染的预防与控制技术要求》（Q/SY 1190-2013）的规定进行核算。</w:t>
            </w:r>
          </w:p>
          <w:p w14:paraId="4FAF10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总</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1</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2</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3</w:t>
            </w:r>
            <w:r>
              <w:rPr>
                <w:rFonts w:hint="default" w:ascii="Times New Roman" w:hAnsi="Times New Roman" w:eastAsia="宋体" w:cs="Times New Roman"/>
                <w:color w:val="auto"/>
                <w:sz w:val="24"/>
                <w:szCs w:val="22"/>
                <w:highlight w:val="none"/>
              </w:rPr>
              <w:t>）</w:t>
            </w:r>
            <w:r>
              <w:rPr>
                <w:rFonts w:hint="default" w:ascii="Times New Roman" w:hAnsi="Times New Roman" w:eastAsia="宋体" w:cs="Times New Roman"/>
                <w:color w:val="auto"/>
                <w:sz w:val="24"/>
                <w:szCs w:val="22"/>
                <w:highlight w:val="none"/>
                <w:vertAlign w:val="subscript"/>
              </w:rPr>
              <w:t>max</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4</w:t>
            </w:r>
            <w:r>
              <w:rPr>
                <w:rFonts w:hint="default" w:ascii="Times New Roman" w:hAnsi="Times New Roman" w:eastAsia="宋体" w:cs="Times New Roman"/>
                <w:color w:val="auto"/>
                <w:sz w:val="24"/>
                <w:szCs w:val="22"/>
                <w:highlight w:val="none"/>
              </w:rPr>
              <w:t>+V</w:t>
            </w:r>
            <w:r>
              <w:rPr>
                <w:rFonts w:hint="default" w:ascii="Times New Roman" w:hAnsi="Times New Roman" w:eastAsia="宋体" w:cs="Times New Roman"/>
                <w:color w:val="auto"/>
                <w:sz w:val="24"/>
                <w:szCs w:val="22"/>
                <w:highlight w:val="none"/>
                <w:vertAlign w:val="subscript"/>
              </w:rPr>
              <w:t>5</w:t>
            </w:r>
          </w:p>
          <w:p w14:paraId="02077064">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式中：V</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—收集系统范围内发生事故的一个罐组或一套装置的物料量。</w:t>
            </w:r>
          </w:p>
          <w:p w14:paraId="355CF4B7">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项目所用化学品、原辅材料等不使用时封闭储存于化学品仓或原料仓中，化学品仓和危废间已做好防渗措施，</w:t>
            </w:r>
            <w:r>
              <w:rPr>
                <w:rFonts w:hint="default" w:ascii="Times New Roman" w:hAnsi="Times New Roman" w:cs="Times New Roman"/>
                <w:color w:val="auto"/>
                <w:highlight w:val="none"/>
                <w:lang w:val="en-US" w:eastAsia="zh-CN"/>
              </w:rPr>
              <w:t>取各构筑物内最大一个液态物料储存容器的容积，本项目取9.6m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（预/主除油池），即</w:t>
            </w:r>
            <w:r>
              <w:rPr>
                <w:rFonts w:hint="default" w:ascii="Times New Roman" w:hAnsi="Times New Roman" w:cs="Times New Roman"/>
                <w:color w:val="auto"/>
                <w:highlight w:val="none"/>
                <w:lang w:eastAsia="zh-CN"/>
              </w:rPr>
              <w:t>V</w:t>
            </w:r>
            <w:r>
              <w:rPr>
                <w:rFonts w:hint="default" w:ascii="Times New Roman" w:hAnsi="Times New Roman" w:cs="Times New Roman"/>
                <w:color w:val="auto"/>
                <w:highlight w:val="none"/>
                <w:vertAlign w:val="subscript"/>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9.6</w:t>
            </w:r>
            <w:r>
              <w:rPr>
                <w:rFonts w:hint="default" w:ascii="Times New Roman" w:hAnsi="Times New Roman" w:eastAsia="宋体" w:cs="Times New Roman"/>
                <w:color w:val="auto"/>
                <w:sz w:val="24"/>
                <w:szCs w:val="22"/>
                <w:highlight w:val="none"/>
              </w:rPr>
              <w:t>m</w:t>
            </w:r>
            <w:r>
              <w:rPr>
                <w:rFonts w:hint="default" w:ascii="Times New Roman" w:hAnsi="Times New Roman" w:eastAsia="宋体" w:cs="Times New Roman"/>
                <w:color w:val="auto"/>
                <w:sz w:val="24"/>
                <w:szCs w:val="22"/>
                <w:highlight w:val="none"/>
                <w:vertAlign w:val="superscript"/>
              </w:rPr>
              <w:t>3</w:t>
            </w:r>
            <w:r>
              <w:rPr>
                <w:rFonts w:hint="default" w:ascii="Times New Roman" w:hAnsi="Times New Roman" w:cs="Times New Roman"/>
                <w:color w:val="auto"/>
                <w:highlight w:val="none"/>
                <w:lang w:eastAsia="zh-CN"/>
              </w:rPr>
              <w:t>；</w:t>
            </w:r>
          </w:p>
          <w:p w14:paraId="159EE350">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—发生事故的储罐或装置的消防水量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参考《消防给水及消火栓系统技术规范》（GB 50974-2014）</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本项目三座厂房均属于耐火等级一级的丙类厂房，3#厂房占地面积为</w:t>
            </w:r>
            <w:r>
              <w:rPr>
                <w:rFonts w:hint="default" w:ascii="Times New Roman" w:hAnsi="Times New Roman" w:cs="Times New Roman"/>
                <w:color w:val="auto"/>
                <w:kern w:val="2"/>
                <w:sz w:val="24"/>
                <w:szCs w:val="24"/>
                <w:highlight w:val="none"/>
                <w:lang w:val="en-US" w:eastAsia="zh-CN" w:bidi="ar-SA"/>
              </w:rPr>
              <w:t>8960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，高度为13.65m，4#厂房占地面积为</w:t>
            </w:r>
            <w:r>
              <w:rPr>
                <w:rFonts w:hint="default" w:ascii="Times New Roman" w:hAnsi="Times New Roman" w:cs="Times New Roman"/>
                <w:color w:val="auto"/>
                <w:szCs w:val="20"/>
                <w:highlight w:val="none"/>
                <w:lang w:val="en-US" w:eastAsia="zh-CN"/>
              </w:rPr>
              <w:t>5376</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，高度为12.9m，5#厂房占地面积为</w:t>
            </w:r>
            <w:r>
              <w:rPr>
                <w:rFonts w:hint="default" w:ascii="Times New Roman" w:hAnsi="Times New Roman" w:cs="Times New Roman"/>
                <w:color w:val="auto"/>
                <w:szCs w:val="20"/>
                <w:highlight w:val="none"/>
                <w:lang w:val="en-US" w:eastAsia="zh-CN"/>
              </w:rPr>
              <w:t>5888</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，高度均为12.9m，按单个最大体积计算建筑体积为122304m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vertAlign w:val="baseline"/>
                <w:lang w:val="en-US" w:eastAsia="zh-CN"/>
              </w:rPr>
              <w:t>，建筑物室外消火栓设计流量为40L/s；建筑物室内消火栓设计流量为20L/s。火灾延续时间按3h计算。</w:t>
            </w:r>
            <w:r>
              <w:rPr>
                <w:rFonts w:hint="default" w:ascii="Times New Roman" w:hAnsi="Times New Roman" w:eastAsia="宋体" w:cs="Times New Roman"/>
                <w:color w:val="auto"/>
                <w:sz w:val="24"/>
                <w:szCs w:val="24"/>
                <w:highlight w:val="none"/>
              </w:rPr>
              <w:t>经计算，生产车间消防用水量为</w:t>
            </w:r>
            <w:r>
              <w:rPr>
                <w:rFonts w:hint="default" w:ascii="Times New Roman" w:hAnsi="Times New Roman" w:cs="Times New Roman"/>
                <w:color w:val="auto"/>
                <w:sz w:val="24"/>
                <w:szCs w:val="24"/>
                <w:highlight w:val="none"/>
                <w:lang w:val="en-US" w:eastAsia="zh-CN"/>
              </w:rPr>
              <w:t>648</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cs="Times New Roman"/>
                <w:color w:val="auto"/>
                <w:highlight w:val="none"/>
                <w:vertAlign w:val="baseline"/>
                <w:lang w:val="en-US" w:eastAsia="zh-CN"/>
              </w:rPr>
              <w:t>，</w:t>
            </w:r>
            <w:r>
              <w:rPr>
                <w:rFonts w:hint="default" w:ascii="Times New Roman" w:hAnsi="Times New Roman" w:cs="Times New Roman"/>
                <w:color w:val="auto"/>
                <w:sz w:val="24"/>
                <w:szCs w:val="24"/>
                <w:highlight w:val="none"/>
                <w:lang w:val="en-US" w:eastAsia="zh-CN"/>
              </w:rPr>
              <w:t>消防废水产污系数取0.9计算，计算得消防废水为583.2m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即</w:t>
            </w:r>
            <w:r>
              <w:rPr>
                <w:rFonts w:hint="default" w:ascii="Times New Roman" w:hAnsi="Times New Roman" w:cs="Times New Roman"/>
                <w:color w:val="auto"/>
                <w:highlight w:val="none"/>
                <w:lang w:eastAsia="zh-CN"/>
              </w:rPr>
              <w:t>V</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583.2</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3</w:t>
            </w:r>
            <w:r>
              <w:rPr>
                <w:rFonts w:hint="default" w:ascii="Times New Roman" w:hAnsi="Times New Roman" w:cs="Times New Roman"/>
                <w:color w:val="auto"/>
                <w:highlight w:val="none"/>
                <w:lang w:val="en-US" w:eastAsia="zh-CN"/>
              </w:rPr>
              <w:t>；</w:t>
            </w:r>
          </w:p>
          <w:p w14:paraId="7196CDEB">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—发生事故时可以转输到其他储存或处理设施的物料量，m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项目在各个厂房均设置</w:t>
            </w:r>
            <w:r>
              <w:rPr>
                <w:rFonts w:hint="default" w:ascii="Times New Roman" w:hAnsi="Times New Roman" w:cs="Times New Roman"/>
                <w:color w:val="auto"/>
                <w:kern w:val="0"/>
                <w:sz w:val="24"/>
                <w:szCs w:val="24"/>
                <w:highlight w:val="none"/>
                <w:lang w:val="en-US" w:eastAsia="zh-CN"/>
              </w:rPr>
              <w:t>了3cm高度、20cm宽度的门槛，用于在不影响物料运输工具车出入情况下预防外部雨水流入生产厂房中；而生产厂房墙壁及门槛在厂房内形成了一定容量“围堰区”。</w:t>
            </w:r>
          </w:p>
          <w:p w14:paraId="0E29A414">
            <w:pPr>
              <w:pStyle w:val="4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sz w:val="24"/>
                <w:szCs w:val="24"/>
                <w:highlight w:val="none"/>
                <w:lang w:val="en-US" w:eastAsia="zh-CN"/>
              </w:rPr>
              <w:t>本项目</w:t>
            </w:r>
            <w:r>
              <w:rPr>
                <w:rFonts w:hint="default" w:ascii="Times New Roman" w:hAnsi="Times New Roman" w:cs="Times New Roman"/>
                <w:color w:val="auto"/>
                <w:sz w:val="24"/>
                <w:szCs w:val="24"/>
                <w:highlight w:val="none"/>
                <w:lang w:val="en-US" w:eastAsia="zh-CN"/>
              </w:rPr>
              <w:t>3#厂房占地面积为</w:t>
            </w:r>
            <w:r>
              <w:rPr>
                <w:rFonts w:hint="default" w:ascii="Times New Roman" w:hAnsi="Times New Roman" w:cs="Times New Roman"/>
                <w:color w:val="auto"/>
                <w:kern w:val="2"/>
                <w:sz w:val="24"/>
                <w:szCs w:val="24"/>
                <w:highlight w:val="none"/>
                <w:lang w:val="en-US" w:eastAsia="zh-CN" w:bidi="ar-SA"/>
              </w:rPr>
              <w:t>8960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，5#厂房占地面积为</w:t>
            </w:r>
            <w:r>
              <w:rPr>
                <w:rFonts w:hint="default" w:ascii="Times New Roman" w:hAnsi="Times New Roman" w:cs="Times New Roman"/>
                <w:color w:val="auto"/>
                <w:szCs w:val="20"/>
                <w:highlight w:val="none"/>
                <w:lang w:val="en-US" w:eastAsia="zh-CN"/>
              </w:rPr>
              <w:t>5888</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围堰高度按3cm计算，计算得本项目V</w:t>
            </w:r>
            <w:r>
              <w:rPr>
                <w:rFonts w:hint="default" w:ascii="Times New Roman" w:hAnsi="Times New Roman" w:cs="Times New Roman"/>
                <w:color w:val="auto"/>
                <w:kern w:val="0"/>
                <w:sz w:val="24"/>
                <w:szCs w:val="24"/>
                <w:highlight w:val="none"/>
                <w:vertAlign w:val="subscript"/>
                <w:lang w:val="en-US" w:eastAsia="zh-CN"/>
              </w:rPr>
              <w:t>3</w:t>
            </w:r>
            <w:r>
              <w:rPr>
                <w:rFonts w:hint="default" w:ascii="Times New Roman" w:hAnsi="Times New Roman" w:cs="Times New Roman"/>
                <w:color w:val="auto"/>
                <w:kern w:val="0"/>
                <w:sz w:val="24"/>
                <w:szCs w:val="24"/>
                <w:highlight w:val="none"/>
                <w:lang w:val="en-US" w:eastAsia="zh-CN"/>
              </w:rPr>
              <w:t>=445.44m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vertAlign w:val="baseline"/>
                <w:lang w:val="en-US" w:eastAsia="zh-CN"/>
              </w:rPr>
              <w:t>。</w:t>
            </w:r>
          </w:p>
          <w:p w14:paraId="1FDA5398">
            <w:pPr>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—发生事故时仍必须进入该收集系统的生产废水量，m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highlight w:val="none"/>
                <w:lang w:eastAsia="zh-CN"/>
              </w:rPr>
              <w:t>事故发生时即停止生产，不会持续产生生产废水，</w:t>
            </w:r>
            <w:r>
              <w:rPr>
                <w:rFonts w:hint="default" w:ascii="Times New Roman" w:hAnsi="Times New Roman" w:cs="Times New Roman"/>
                <w:color w:val="auto"/>
                <w:highlight w:val="none"/>
                <w:lang w:val="en-US" w:eastAsia="zh-CN"/>
              </w:rPr>
              <w:t>且本项目铝卷表面预处理生产线中各水池均设置有截流阀门，可在发生事故时关闭生产废水排放管道，</w:t>
            </w:r>
            <w:r>
              <w:rPr>
                <w:rFonts w:hint="default" w:ascii="Times New Roman" w:hAnsi="Times New Roman" w:cs="Times New Roman"/>
                <w:color w:val="auto"/>
                <w:highlight w:val="none"/>
                <w:lang w:eastAsia="zh-CN"/>
              </w:rPr>
              <w:t>故</w:t>
            </w:r>
            <w:r>
              <w:rPr>
                <w:rFonts w:hint="default" w:ascii="Times New Roman" w:hAnsi="Times New Roman" w:cs="Times New Roman"/>
                <w:color w:val="auto"/>
                <w:highlight w:val="none"/>
                <w:lang w:val="en-US" w:eastAsia="zh-CN"/>
              </w:rPr>
              <w:t>V4=0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w:t>
            </w:r>
          </w:p>
          <w:p w14:paraId="300B0D6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—发生事故时可能进入该收集系统的降雨量，m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cs="Times New Roman"/>
                <w:color w:val="auto"/>
                <w:sz w:val="24"/>
                <w:szCs w:val="24"/>
                <w:highlight w:val="none"/>
                <w:lang w:eastAsia="zh-CN"/>
              </w:rPr>
              <w:t>。</w:t>
            </w:r>
          </w:p>
          <w:p w14:paraId="34BD877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V</w:t>
            </w:r>
            <w:r>
              <w:rPr>
                <w:rFonts w:hint="default" w:ascii="Times New Roman" w:hAnsi="Times New Roman" w:eastAsia="宋体" w:cs="Times New Roman"/>
                <w:color w:val="auto"/>
                <w:kern w:val="0"/>
                <w:sz w:val="24"/>
                <w:szCs w:val="24"/>
                <w:highlight w:val="none"/>
                <w:vertAlign w:val="subscript"/>
              </w:rPr>
              <w:t>5</w:t>
            </w:r>
            <w:r>
              <w:rPr>
                <w:rFonts w:hint="default" w:ascii="Times New Roman" w:hAnsi="Times New Roman" w:eastAsia="宋体" w:cs="Times New Roman"/>
                <w:color w:val="auto"/>
                <w:kern w:val="0"/>
                <w:sz w:val="24"/>
                <w:szCs w:val="24"/>
                <w:highlight w:val="none"/>
              </w:rPr>
              <w:t>=10qF</w:t>
            </w:r>
            <w:r>
              <w:rPr>
                <w:rFonts w:hint="default" w:ascii="Times New Roman" w:hAnsi="Times New Roman"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rPr>
              <w:t>；</w:t>
            </w:r>
          </w:p>
          <w:p w14:paraId="7BE8307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rPr>
              <w:t>q——降雨强度，按平均日降雨量</w:t>
            </w:r>
            <w:r>
              <w:rPr>
                <w:rFonts w:hint="default" w:ascii="Times New Roman" w:hAnsi="Times New Roman" w:eastAsia="宋体" w:cs="Times New Roman"/>
                <w:color w:val="auto"/>
                <w:kern w:val="0"/>
                <w:sz w:val="24"/>
                <w:szCs w:val="24"/>
                <w:highlight w:val="none"/>
                <w:lang w:eastAsia="zh-CN"/>
              </w:rPr>
              <w:t>，mm；</w:t>
            </w:r>
            <w:r>
              <w:rPr>
                <w:rFonts w:hint="default" w:ascii="Times New Roman" w:hAnsi="Times New Roman" w:eastAsia="宋体" w:cs="Times New Roman"/>
                <w:color w:val="auto"/>
                <w:kern w:val="0"/>
                <w:sz w:val="24"/>
                <w:szCs w:val="24"/>
                <w:highlight w:val="none"/>
                <w:lang w:val="en-US" w:eastAsia="zh-CN"/>
              </w:rPr>
              <w:t>根据</w:t>
            </w:r>
            <w:r>
              <w:rPr>
                <w:rFonts w:hint="default" w:ascii="Times New Roman" w:hAnsi="Times New Roman" w:eastAsia="宋体" w:cs="Times New Roman"/>
                <w:color w:val="auto"/>
                <w:kern w:val="0"/>
                <w:sz w:val="24"/>
                <w:szCs w:val="24"/>
                <w:highlight w:val="none"/>
              </w:rPr>
              <w:t>《水体污染防控紧急措施设计导则》，降雨强度按一年内降雨天数内的平均日降雨强度计</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q=q</w:t>
            </w:r>
            <w:r>
              <w:rPr>
                <w:rFonts w:hint="default" w:ascii="Times New Roman" w:hAnsi="Times New Roman" w:eastAsia="宋体" w:cs="Times New Roman"/>
                <w:color w:val="auto"/>
                <w:kern w:val="0"/>
                <w:sz w:val="24"/>
                <w:szCs w:val="24"/>
                <w:highlight w:val="none"/>
                <w:vertAlign w:val="subscript"/>
                <w:lang w:val="en-US" w:eastAsia="zh-CN"/>
              </w:rPr>
              <w:t>a</w:t>
            </w:r>
            <w:r>
              <w:rPr>
                <w:rFonts w:hint="default" w:ascii="Times New Roman" w:hAnsi="Times New Roman" w:eastAsia="宋体" w:cs="Times New Roman"/>
                <w:color w:val="auto"/>
                <w:kern w:val="0"/>
                <w:sz w:val="24"/>
                <w:szCs w:val="24"/>
                <w:highlight w:val="none"/>
                <w:lang w:val="en-US" w:eastAsia="zh-CN"/>
              </w:rPr>
              <w:t>/n；</w:t>
            </w:r>
          </w:p>
          <w:p w14:paraId="0089BD9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qa</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年平均降雨量，mm；</w:t>
            </w:r>
          </w:p>
          <w:p w14:paraId="20B6E75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n</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年平均降雨天数；</w:t>
            </w:r>
          </w:p>
          <w:p w14:paraId="70C58B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F——必须进入事故废水收集系统的雨水汇水面积，ha；</w:t>
            </w:r>
          </w:p>
          <w:p w14:paraId="2CD014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径流系数，取0.9。</w:t>
            </w:r>
          </w:p>
          <w:p w14:paraId="4E74AC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根据</w:t>
            </w:r>
            <w:r>
              <w:rPr>
                <w:rFonts w:hint="default" w:ascii="Times New Roman" w:hAnsi="Times New Roman" w:eastAsia="宋体" w:cs="Times New Roman"/>
                <w:color w:val="auto"/>
                <w:kern w:val="0"/>
                <w:sz w:val="24"/>
                <w:szCs w:val="24"/>
                <w:highlight w:val="none"/>
                <w:lang w:val="en-US" w:eastAsia="zh-CN"/>
              </w:rPr>
              <w:t>可查询乐昌市生态环境状况公开数据</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乐昌市全市多年平均降雨量在1300</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1550毫米之间，雨水多集中在4~6月。2023年全市一般年平均降雨量1531.9毫米，降雨天数为145天，本项目以此作为计算依据，厂房</w:t>
            </w:r>
            <w:r>
              <w:rPr>
                <w:rFonts w:hint="default" w:ascii="Times New Roman" w:hAnsi="Times New Roman" w:eastAsia="宋体" w:cs="Times New Roman"/>
                <w:color w:val="auto"/>
                <w:szCs w:val="22"/>
                <w:highlight w:val="none"/>
              </w:rPr>
              <w:t>汇水面积</w:t>
            </w:r>
            <w:r>
              <w:rPr>
                <w:rFonts w:hint="default" w:ascii="Times New Roman" w:hAnsi="Times New Roman" w:eastAsia="宋体" w:cs="Times New Roman"/>
                <w:color w:val="auto"/>
                <w:szCs w:val="24"/>
                <w:highlight w:val="none"/>
                <w:lang w:val="en-US" w:eastAsia="zh-CN"/>
              </w:rPr>
              <w:t>F</w:t>
            </w:r>
            <w:r>
              <w:rPr>
                <w:rFonts w:hint="default" w:ascii="Times New Roman" w:hAnsi="Times New Roman" w:eastAsia="宋体" w:cs="Times New Roman"/>
                <w:color w:val="auto"/>
                <w:szCs w:val="22"/>
                <w:highlight w:val="none"/>
                <w:lang w:eastAsia="zh-CN"/>
              </w:rPr>
              <w:t>（</w:t>
            </w:r>
            <w:r>
              <w:rPr>
                <w:rFonts w:hint="default" w:ascii="Times New Roman" w:hAnsi="Times New Roman" w:eastAsia="宋体" w:cs="Times New Roman"/>
                <w:color w:val="auto"/>
                <w:szCs w:val="22"/>
                <w:highlight w:val="none"/>
                <w:lang w:val="en-US" w:eastAsia="zh-CN"/>
              </w:rPr>
              <w:t>除去绿地面积</w:t>
            </w:r>
            <w:r>
              <w:rPr>
                <w:rFonts w:hint="default" w:ascii="Times New Roman" w:hAnsi="Times New Roman" w:eastAsia="宋体" w:cs="Times New Roman"/>
                <w:color w:val="auto"/>
                <w:szCs w:val="22"/>
                <w:highlight w:val="none"/>
                <w:lang w:eastAsia="zh-CN"/>
              </w:rPr>
              <w:t>）</w:t>
            </w:r>
            <w:r>
              <w:rPr>
                <w:rFonts w:hint="default" w:ascii="Times New Roman" w:hAnsi="Times New Roman" w:eastAsia="宋体" w:cs="Times New Roman"/>
                <w:color w:val="auto"/>
                <w:szCs w:val="22"/>
                <w:highlight w:val="none"/>
                <w:lang w:val="en-US" w:eastAsia="zh-CN"/>
              </w:rPr>
              <w:t>为</w:t>
            </w:r>
            <w:r>
              <w:rPr>
                <w:rFonts w:hint="default" w:ascii="Times New Roman" w:hAnsi="Times New Roman" w:cs="Times New Roman"/>
                <w:color w:val="auto"/>
                <w:szCs w:val="22"/>
                <w:highlight w:val="none"/>
                <w:lang w:val="en-US" w:eastAsia="zh-CN"/>
              </w:rPr>
              <w:t>27119.6</w:t>
            </w:r>
            <w:r>
              <w:rPr>
                <w:rFonts w:hint="default" w:ascii="Times New Roman" w:hAnsi="Times New Roman" w:eastAsia="宋体" w:cs="Times New Roman"/>
                <w:color w:val="auto"/>
                <w:szCs w:val="22"/>
                <w:highlight w:val="none"/>
                <w:lang w:val="en-US" w:eastAsia="zh-CN"/>
              </w:rPr>
              <w:t>m</w:t>
            </w:r>
            <w:r>
              <w:rPr>
                <w:rFonts w:hint="default" w:ascii="Times New Roman" w:hAnsi="Times New Roman" w:eastAsia="宋体" w:cs="Times New Roman"/>
                <w:color w:val="auto"/>
                <w:szCs w:val="22"/>
                <w:highlight w:val="none"/>
                <w:vertAlign w:val="superscript"/>
                <w:lang w:val="en-US" w:eastAsia="zh-CN"/>
              </w:rPr>
              <w:t>2</w:t>
            </w:r>
            <w:r>
              <w:rPr>
                <w:rFonts w:hint="default" w:ascii="Times New Roman" w:hAnsi="Times New Roman" w:eastAsia="宋体" w:cs="Times New Roman"/>
                <w:color w:val="auto"/>
                <w:szCs w:val="22"/>
                <w:highlight w:val="none"/>
                <w:lang w:val="en-US" w:eastAsia="zh-CN"/>
              </w:rPr>
              <w:t>（</w:t>
            </w:r>
            <w:r>
              <w:rPr>
                <w:rFonts w:hint="default" w:ascii="Times New Roman" w:hAnsi="Times New Roman" w:cs="Times New Roman"/>
                <w:color w:val="auto"/>
                <w:szCs w:val="22"/>
                <w:highlight w:val="none"/>
                <w:lang w:val="en-US" w:eastAsia="zh-CN"/>
              </w:rPr>
              <w:t>2.71</w:t>
            </w:r>
            <w:r>
              <w:rPr>
                <w:rFonts w:hint="default" w:ascii="Times New Roman" w:hAnsi="Times New Roman" w:eastAsia="宋体" w:cs="Times New Roman"/>
                <w:color w:val="auto"/>
                <w:szCs w:val="22"/>
                <w:highlight w:val="none"/>
                <w:lang w:val="en-US" w:eastAsia="zh-CN"/>
              </w:rPr>
              <w:t>ha），</w:t>
            </w:r>
            <w:r>
              <w:rPr>
                <w:rFonts w:hint="default" w:ascii="Times New Roman" w:hAnsi="Times New Roman" w:eastAsia="宋体" w:cs="Times New Roman"/>
                <w:color w:val="auto"/>
                <w:kern w:val="0"/>
                <w:sz w:val="24"/>
                <w:szCs w:val="24"/>
                <w:highlight w:val="none"/>
              </w:rPr>
              <w:t>计算</w:t>
            </w:r>
            <w:r>
              <w:rPr>
                <w:rFonts w:hint="default" w:ascii="Times New Roman" w:hAnsi="Times New Roman" w:eastAsia="宋体" w:cs="Times New Roman"/>
                <w:color w:val="auto"/>
                <w:kern w:val="0"/>
                <w:sz w:val="24"/>
                <w:szCs w:val="24"/>
                <w:highlight w:val="none"/>
                <w:lang w:val="en-US" w:eastAsia="zh-CN"/>
              </w:rPr>
              <w:t>得</w:t>
            </w:r>
            <w:r>
              <w:rPr>
                <w:rFonts w:hint="default" w:ascii="Times New Roman" w:hAnsi="Times New Roman" w:eastAsia="宋体" w:cs="Times New Roman"/>
                <w:color w:val="auto"/>
                <w:szCs w:val="22"/>
                <w:highlight w:val="none"/>
              </w:rPr>
              <w:t>可能进入该收集系统的雨水量约为</w:t>
            </w:r>
            <w:r>
              <w:rPr>
                <w:rFonts w:hint="default" w:ascii="Times New Roman" w:hAnsi="Times New Roman" w:cs="Times New Roman"/>
                <w:color w:val="auto"/>
                <w:szCs w:val="22"/>
                <w:highlight w:val="none"/>
                <w:lang w:val="en-US" w:eastAsia="zh-CN"/>
              </w:rPr>
              <w:t>257.7</w:t>
            </w:r>
            <w:r>
              <w:rPr>
                <w:rFonts w:hint="default" w:ascii="Times New Roman" w:hAnsi="Times New Roman" w:eastAsia="宋体" w:cs="Times New Roman"/>
                <w:color w:val="auto"/>
                <w:szCs w:val="22"/>
                <w:highlight w:val="none"/>
              </w:rPr>
              <w:t>m</w:t>
            </w:r>
            <w:r>
              <w:rPr>
                <w:rFonts w:hint="default" w:ascii="Times New Roman" w:hAnsi="Times New Roman" w:eastAsia="宋体" w:cs="Times New Roman"/>
                <w:color w:val="auto"/>
                <w:szCs w:val="22"/>
                <w:highlight w:val="none"/>
                <w:vertAlign w:val="superscript"/>
              </w:rPr>
              <w:t>3</w:t>
            </w:r>
            <w:r>
              <w:rPr>
                <w:rFonts w:hint="default" w:ascii="Times New Roman" w:hAnsi="Times New Roman" w:eastAsia="宋体" w:cs="Times New Roman"/>
                <w:color w:val="auto"/>
                <w:szCs w:val="22"/>
                <w:highlight w:val="none"/>
              </w:rPr>
              <w:t>。</w:t>
            </w:r>
            <w:r>
              <w:rPr>
                <w:rFonts w:hint="default" w:ascii="Times New Roman" w:hAnsi="Times New Roman" w:eastAsia="宋体" w:cs="Times New Roman"/>
                <w:color w:val="auto"/>
                <w:szCs w:val="22"/>
                <w:highlight w:val="none"/>
                <w:lang w:val="en-US" w:eastAsia="zh-CN"/>
              </w:rPr>
              <w:t>则</w:t>
            </w:r>
            <w:r>
              <w:rPr>
                <w:rFonts w:hint="default" w:ascii="Times New Roman" w:hAnsi="Times New Roman" w:eastAsia="宋体" w:cs="Times New Roman"/>
                <w:color w:val="auto"/>
                <w:kern w:val="2"/>
                <w:sz w:val="24"/>
                <w:szCs w:val="22"/>
                <w:highlight w:val="none"/>
                <w:lang w:val="en-US" w:eastAsia="zh-CN" w:bidi="ar-SA"/>
              </w:rPr>
              <w:t>V</w:t>
            </w:r>
            <w:r>
              <w:rPr>
                <w:rFonts w:hint="default" w:ascii="Times New Roman" w:hAnsi="Times New Roman" w:eastAsia="宋体" w:cs="Times New Roman"/>
                <w:color w:val="auto"/>
                <w:kern w:val="2"/>
                <w:sz w:val="24"/>
                <w:szCs w:val="22"/>
                <w:highlight w:val="none"/>
                <w:vertAlign w:val="subscript"/>
                <w:lang w:val="en-US" w:eastAsia="zh-CN" w:bidi="ar-SA"/>
              </w:rPr>
              <w:t>5</w:t>
            </w:r>
            <w:r>
              <w:rPr>
                <w:rFonts w:hint="default" w:ascii="Times New Roman" w:hAnsi="Times New Roman" w:eastAsia="宋体" w:cs="Times New Roman"/>
                <w:color w:val="auto"/>
                <w:kern w:val="2"/>
                <w:sz w:val="24"/>
                <w:szCs w:val="22"/>
                <w:highlight w:val="none"/>
                <w:lang w:val="en-US" w:eastAsia="zh-CN" w:bidi="ar-SA"/>
              </w:rPr>
              <w:t>=</w:t>
            </w:r>
            <w:r>
              <w:rPr>
                <w:rFonts w:hint="default" w:ascii="Times New Roman" w:hAnsi="Times New Roman" w:cs="Times New Roman"/>
                <w:color w:val="auto"/>
                <w:szCs w:val="22"/>
                <w:highlight w:val="none"/>
                <w:lang w:val="en-US" w:eastAsia="zh-CN"/>
              </w:rPr>
              <w:t>257.7</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eastAsia="宋体" w:cs="Times New Roman"/>
                <w:color w:val="auto"/>
                <w:sz w:val="24"/>
                <w:szCs w:val="24"/>
                <w:highlight w:val="none"/>
              </w:rPr>
              <w:t>。</w:t>
            </w:r>
          </w:p>
          <w:p w14:paraId="442E80E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eastAsia="宋体" w:cs="Times New Roman"/>
                <w:color w:val="auto"/>
                <w:sz w:val="24"/>
                <w:szCs w:val="22"/>
                <w:highlight w:val="none"/>
              </w:rPr>
              <w:t>事故状态下水体污染的预防与控制技术要求》（Q/SY 1190-2013）</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cs="Times New Roman"/>
                <w:color w:val="auto"/>
                <w:sz w:val="24"/>
                <w:szCs w:val="24"/>
                <w:highlight w:val="none"/>
                <w:lang w:val="en-US" w:eastAsia="zh-CN"/>
              </w:rPr>
              <w:t>排至事故缓冲设施的排水管道在自流进水的事故缓冲设施最高液位以下的容积可作为事故缓冲设施的有效容积</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cs="Times New Roman"/>
                <w:color w:val="auto"/>
                <w:sz w:val="24"/>
                <w:szCs w:val="24"/>
                <w:highlight w:val="none"/>
                <w:lang w:val="en-US" w:eastAsia="zh-CN"/>
              </w:rPr>
              <w:t>。本项目事故雨水经雨水管网经自流进入应急事故池，建设单位在雨水排口设置阀门，当事故发生时，可通过关闭雨水排放口，事故雨水经雨水管网进入事故应急池，雨水收集管网全长约1000m，雨水管径为300mm，计算得厂区雨水管网容量70.7</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cs="Times New Roman"/>
                <w:color w:val="auto"/>
                <w:kern w:val="2"/>
                <w:sz w:val="24"/>
                <w:szCs w:val="22"/>
                <w:highlight w:val="none"/>
                <w:vertAlign w:val="baseline"/>
                <w:lang w:val="en-US" w:eastAsia="zh-CN" w:bidi="ar-SA"/>
              </w:rPr>
              <w:t>。有效容积取0.8，即56.6</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cs="Times New Roman"/>
                <w:color w:val="auto"/>
                <w:kern w:val="2"/>
                <w:sz w:val="24"/>
                <w:szCs w:val="22"/>
                <w:highlight w:val="none"/>
                <w:vertAlign w:val="baseline"/>
                <w:lang w:val="en-US" w:eastAsia="zh-CN" w:bidi="ar-SA"/>
              </w:rPr>
              <w:t>，</w:t>
            </w:r>
            <w:r>
              <w:rPr>
                <w:rFonts w:hint="default" w:ascii="Times New Roman" w:hAnsi="Times New Roman" w:cs="Times New Roman"/>
                <w:color w:val="auto"/>
                <w:highlight w:val="none"/>
                <w:lang w:val="en-US" w:eastAsia="zh-CN"/>
              </w:rPr>
              <w:t>此容量可作为事故缓冲设施。</w:t>
            </w:r>
          </w:p>
          <w:p w14:paraId="2186DFA0">
            <w:pPr>
              <w:keepNext w:val="0"/>
              <w:keepLines w:val="0"/>
              <w:suppressLineNumbers w:val="0"/>
              <w:spacing w:before="0" w:beforeAutospacing="0" w:after="0" w:afterAutospacing="0"/>
              <w:ind w:left="0" w:right="0" w:firstLine="56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为满足消防或其他事故时废水收集需要，</w:t>
            </w: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所需的事故储存设施总有效容积V</w:t>
            </w:r>
            <w:r>
              <w:rPr>
                <w:rFonts w:hint="default" w:ascii="Times New Roman" w:hAnsi="Times New Roman" w:eastAsia="宋体" w:cs="Times New Roman"/>
                <w:color w:val="auto"/>
                <w:sz w:val="24"/>
                <w:szCs w:val="24"/>
                <w:highlight w:val="none"/>
                <w:vertAlign w:val="subscript"/>
              </w:rPr>
              <w:t>总</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9.6+</w:t>
            </w:r>
            <w:r>
              <w:rPr>
                <w:rFonts w:hint="default" w:ascii="Times New Roman" w:hAnsi="Times New Roman" w:cs="Times New Roman"/>
                <w:color w:val="auto"/>
                <w:sz w:val="24"/>
                <w:szCs w:val="24"/>
                <w:highlight w:val="none"/>
                <w:lang w:val="en-US" w:eastAsia="zh-CN"/>
              </w:rPr>
              <w:t>583.2-445.44）</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Cs w:val="22"/>
                <w:highlight w:val="none"/>
                <w:lang w:val="en-US" w:eastAsia="zh-CN"/>
              </w:rPr>
              <w:t>257.7-56.6</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348.46</w:t>
            </w:r>
            <w:r>
              <w:rPr>
                <w:rFonts w:hint="default" w:ascii="Times New Roman" w:hAnsi="Times New Roman" w:eastAsia="宋体" w:cs="Times New Roman"/>
                <w:color w:val="auto"/>
                <w:kern w:val="2"/>
                <w:sz w:val="24"/>
                <w:szCs w:val="22"/>
                <w:highlight w:val="none"/>
                <w:lang w:val="en-US" w:eastAsia="zh-CN" w:bidi="ar-SA"/>
              </w:rPr>
              <w:t>m</w:t>
            </w:r>
            <w:r>
              <w:rPr>
                <w:rFonts w:hint="default" w:ascii="Times New Roman" w:hAnsi="Times New Roman" w:eastAsia="宋体" w:cs="Times New Roman"/>
                <w:color w:val="auto"/>
                <w:kern w:val="2"/>
                <w:sz w:val="24"/>
                <w:szCs w:val="22"/>
                <w:highlight w:val="none"/>
                <w:vertAlign w:val="superscript"/>
                <w:lang w:val="en-US" w:eastAsia="zh-CN" w:bidi="ar-SA"/>
              </w:rPr>
              <w:t>3</w:t>
            </w:r>
            <w:r>
              <w:rPr>
                <w:rFonts w:hint="default" w:ascii="Times New Roman" w:hAnsi="Times New Roman" w:eastAsia="宋体" w:cs="Times New Roman"/>
                <w:color w:val="auto"/>
                <w:sz w:val="24"/>
                <w:szCs w:val="24"/>
                <w:highlight w:val="none"/>
              </w:rPr>
              <w:t>。</w:t>
            </w:r>
          </w:p>
          <w:p w14:paraId="4CB08E71">
            <w:pPr>
              <w:pStyle w:val="5"/>
              <w:numPr>
                <w:ilvl w:val="3"/>
                <w:numId w:val="0"/>
              </w:numPr>
              <w:suppressLineNumbers w:val="0"/>
              <w:spacing w:before="0" w:beforeAutospacing="0" w:after="0" w:afterAutospacing="0"/>
              <w:ind w:right="0" w:firstLine="480"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本项目事故废水依托自建事故应急池，厂区设有1个有效容积为</w:t>
            </w:r>
            <w:r>
              <w:rPr>
                <w:rFonts w:hint="default" w:ascii="Times New Roman" w:hAnsi="Times New Roman" w:cs="Times New Roman"/>
                <w:b w:val="0"/>
                <w:bCs w:val="0"/>
                <w:color w:val="auto"/>
                <w:sz w:val="24"/>
                <w:szCs w:val="24"/>
                <w:highlight w:val="none"/>
                <w:lang w:val="en-US" w:eastAsia="zh-CN"/>
              </w:rPr>
              <w:t>350</w:t>
            </w:r>
            <w:r>
              <w:rPr>
                <w:rFonts w:hint="default" w:ascii="Times New Roman" w:hAnsi="Times New Roman" w:cs="Times New Roman"/>
                <w:b w:val="0"/>
                <w:bCs w:val="0"/>
                <w:color w:val="auto"/>
                <w:sz w:val="24"/>
                <w:szCs w:val="24"/>
                <w:highlight w:val="none"/>
              </w:rPr>
              <w:t>m</w:t>
            </w:r>
            <w:r>
              <w:rPr>
                <w:rFonts w:hint="default" w:ascii="Times New Roman" w:hAnsi="Times New Roman" w:cs="Times New Roman"/>
                <w:b w:val="0"/>
                <w:bCs w:val="0"/>
                <w:color w:val="auto"/>
                <w:sz w:val="24"/>
                <w:szCs w:val="24"/>
                <w:highlight w:val="none"/>
                <w:vertAlign w:val="superscript"/>
              </w:rPr>
              <w:t>3</w:t>
            </w:r>
            <w:r>
              <w:rPr>
                <w:rFonts w:hint="default" w:ascii="Times New Roman" w:hAnsi="Times New Roman" w:cs="Times New Roman"/>
                <w:b w:val="0"/>
                <w:bCs w:val="0"/>
                <w:color w:val="auto"/>
                <w:sz w:val="24"/>
                <w:szCs w:val="24"/>
                <w:highlight w:val="none"/>
              </w:rPr>
              <w:t>的事故应急池</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且本项目厂房设有围堰及沙包等应急措施及物资。当发生事故时，泄漏物料、消防废水等事故废水均能截留在厂区内。园区定期对事故应急系统进行排查，发现存在问题，马上进行检修，确保事故时能有效运行</w:t>
            </w:r>
            <w:r>
              <w:rPr>
                <w:rFonts w:hint="default" w:ascii="Times New Roman" w:hAnsi="Times New Roman" w:cs="Times New Roman"/>
                <w:b w:val="0"/>
                <w:bCs w:val="0"/>
                <w:color w:val="auto"/>
                <w:sz w:val="24"/>
                <w:szCs w:val="24"/>
                <w:highlight w:val="none"/>
                <w:lang w:eastAsia="zh-CN"/>
              </w:rPr>
              <w:t>。</w:t>
            </w:r>
          </w:p>
          <w:p w14:paraId="034EA98D">
            <w:pPr>
              <w:pStyle w:val="5"/>
              <w:numPr>
                <w:ilvl w:val="3"/>
                <w:numId w:val="0"/>
              </w:numPr>
              <w:suppressLineNumbers w:val="0"/>
              <w:spacing w:before="0" w:beforeAutospacing="0" w:after="0" w:afterAutospacing="0"/>
              <w:ind w:right="0" w:firstLine="480" w:firstLineChars="200"/>
              <w:rPr>
                <w:rFonts w:hint="eastAsia"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eastAsia="zh-CN"/>
              </w:rPr>
              <w:t>根据《电镀水污染物排放标准》（DB44/1597-2015），钝化工艺属于化学转移膜类，适用电镀行业标准，生产废水应满足中间接排放标准，</w:t>
            </w:r>
            <w:r>
              <w:rPr>
                <w:rFonts w:hint="default" w:ascii="Times New Roman" w:hAnsi="Times New Roman" w:cs="Times New Roman"/>
                <w:b w:val="0"/>
                <w:bCs w:val="0"/>
                <w:color w:val="auto"/>
                <w:sz w:val="24"/>
                <w:szCs w:val="24"/>
                <w:highlight w:val="none"/>
                <w:lang w:val="en-US" w:eastAsia="zh-CN"/>
              </w:rPr>
              <w:t>因此</w:t>
            </w:r>
            <w:r>
              <w:rPr>
                <w:rFonts w:hint="default" w:ascii="Times New Roman" w:hAnsi="Times New Roman" w:cs="Times New Roman"/>
                <w:b w:val="0"/>
                <w:bCs w:val="0"/>
                <w:color w:val="auto"/>
                <w:sz w:val="24"/>
                <w:szCs w:val="24"/>
                <w:highlight w:val="none"/>
                <w:lang w:eastAsia="zh-CN"/>
              </w:rPr>
              <w:t>前处理清洗废水经自建污水处理站处理</w:t>
            </w:r>
            <w:r>
              <w:rPr>
                <w:rFonts w:hint="eastAsia" w:cs="Times New Roman"/>
                <w:b w:val="0"/>
                <w:bCs w:val="0"/>
                <w:color w:val="auto"/>
                <w:sz w:val="24"/>
                <w:szCs w:val="24"/>
                <w:highlight w:val="none"/>
                <w:lang w:val="en-US" w:eastAsia="zh-CN"/>
              </w:rPr>
              <w:t>，参考《电镀废水治理工程技术规范》（HJ2002-2010）：“电镀废水处理站应设置应急事故水池，应急事故水池的容积应能容纳12~24h的废水量”。经前文分析，本项目进入废水处理站的生产废水量为29.91m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/d（24h）＜350m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。本项目根据《事故状态下水体污染的预防与控制技术要求》（Q/SY 1190-2013）规定要求设置的应急事故水池的容积同样满足《电镀废水治理工程技术规范》（HJ2002-2010）中设置应急事故水池容积能容纳12~24h的废水量的要求。</w:t>
            </w:r>
          </w:p>
          <w:p w14:paraId="2C180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综上，本项目设置的应急事故水池是合理的。采取以上措施后，只要严格按照事故应急预案进行处置，一般可认为此类事故对环境的影响不大。为了防止事故状态下事故废水排入地表水体中，企业必须严格执行环境风险防控措施，并加强环境管理，确保发生事故时事故废水可控制在厂区范围内。</w:t>
            </w:r>
          </w:p>
          <w:p w14:paraId="405015B2">
            <w:pPr>
              <w:pStyle w:val="5"/>
              <w:numPr>
                <w:ilvl w:val="3"/>
                <w:numId w:val="0"/>
              </w:numPr>
              <w:suppressLineNumbers w:val="0"/>
              <w:spacing w:before="0" w:beforeAutospacing="0" w:after="0" w:afterAutospacing="0"/>
              <w:ind w:left="480" w:leftChars="200" w:right="0"/>
              <w:rPr>
                <w:rFonts w:hint="default" w:ascii="Times New Roman" w:hAnsi="Times New Roman" w:eastAsia="宋体" w:cs="Times New Roman"/>
                <w:color w:val="auto"/>
                <w:kern w:val="2"/>
                <w:sz w:val="24"/>
                <w:highlight w:val="none"/>
                <w:lang w:val="en-US" w:eastAsia="zh-CN"/>
              </w:rPr>
            </w:pPr>
            <w:r>
              <w:rPr>
                <w:rFonts w:hint="default" w:ascii="Times New Roman" w:hAnsi="Times New Roman" w:cs="Times New Roman"/>
                <w:color w:val="auto"/>
                <w:kern w:val="2"/>
                <w:sz w:val="24"/>
                <w:highlight w:val="none"/>
                <w:lang w:val="en-US" w:eastAsia="zh-CN"/>
              </w:rPr>
              <w:t>6</w:t>
            </w:r>
            <w:r>
              <w:rPr>
                <w:rFonts w:hint="default" w:ascii="Times New Roman" w:hAnsi="Times New Roman" w:eastAsia="宋体" w:cs="Times New Roman"/>
                <w:color w:val="auto"/>
                <w:kern w:val="2"/>
                <w:sz w:val="24"/>
                <w:highlight w:val="none"/>
                <w:lang w:val="en-US" w:eastAsia="zh-CN"/>
              </w:rPr>
              <w:t>、项目</w:t>
            </w:r>
            <w:r>
              <w:rPr>
                <w:rFonts w:hint="default" w:ascii="Times New Roman" w:hAnsi="Times New Roman" w:eastAsia="宋体" w:cs="Times New Roman"/>
                <w:color w:val="auto"/>
                <w:highlight w:val="none"/>
              </w:rPr>
              <w:t>制定突发环境事件应急措施</w:t>
            </w:r>
          </w:p>
          <w:p w14:paraId="0E0CB4E1">
            <w:pPr>
              <w:pStyle w:val="43"/>
              <w:keepNext w:val="0"/>
              <w:keepLines w:val="0"/>
              <w:suppressLineNumbers w:val="0"/>
              <w:spacing w:before="0" w:beforeAutospacing="0" w:after="0" w:afterAutospacing="0"/>
              <w:ind w:left="0" w:right="0" w:firstLine="480" w:firstLineChars="200"/>
              <w:rPr>
                <w:rFonts w:hint="default" w:ascii="Times New Roman" w:hAnsi="Times New Roman" w:eastAsia="宋体" w:cs="Times New Roman"/>
                <w:color w:val="auto"/>
                <w:kern w:val="2"/>
                <w:sz w:val="24"/>
                <w:highlight w:val="none"/>
                <w:lang w:eastAsia="zh-CN"/>
              </w:rPr>
            </w:pPr>
            <w:r>
              <w:rPr>
                <w:rFonts w:hint="default" w:ascii="Times New Roman" w:hAnsi="Times New Roman" w:eastAsia="宋体" w:cs="Times New Roman"/>
                <w:color w:val="auto"/>
                <w:kern w:val="2"/>
                <w:sz w:val="24"/>
                <w:highlight w:val="none"/>
              </w:rPr>
              <w:t>为有效防范突发环境事件的发生，及时、合理处置可能发生的各类重大、特大环境污染事故，保障人民群众身心健康及正常生产、生活活动，</w:t>
            </w:r>
            <w:r>
              <w:rPr>
                <w:rFonts w:hint="default" w:ascii="Times New Roman" w:hAnsi="Times New Roman" w:eastAsia="宋体" w:cs="Times New Roman"/>
                <w:color w:val="auto"/>
                <w:kern w:val="2"/>
                <w:sz w:val="24"/>
                <w:highlight w:val="none"/>
                <w:lang w:eastAsia="zh-CN"/>
              </w:rPr>
              <w:t>本项目</w:t>
            </w:r>
            <w:r>
              <w:rPr>
                <w:rFonts w:hint="default" w:ascii="Times New Roman" w:hAnsi="Times New Roman" w:eastAsia="宋体" w:cs="Times New Roman"/>
                <w:color w:val="auto"/>
                <w:kern w:val="2"/>
                <w:sz w:val="24"/>
                <w:highlight w:val="none"/>
              </w:rPr>
              <w:t>应依据《中华人民共和国环境保护法》</w:t>
            </w:r>
            <w:r>
              <w:rPr>
                <w:rFonts w:hint="default" w:ascii="Times New Roman" w:hAnsi="Times New Roman" w:eastAsia="宋体" w:cs="Times New Roman"/>
                <w:color w:val="auto"/>
                <w:kern w:val="2"/>
                <w:sz w:val="24"/>
                <w:highlight w:val="none"/>
                <w:lang w:eastAsia="zh-CN"/>
              </w:rPr>
              <w:t>及相关法律</w:t>
            </w:r>
            <w:r>
              <w:rPr>
                <w:rFonts w:hint="default" w:ascii="Times New Roman" w:hAnsi="Times New Roman" w:eastAsia="宋体" w:cs="Times New Roman"/>
                <w:color w:val="auto"/>
                <w:kern w:val="2"/>
                <w:sz w:val="24"/>
                <w:highlight w:val="none"/>
              </w:rPr>
              <w:t>的规定，制定本项目的应急预案，详见</w:t>
            </w:r>
            <w:r>
              <w:rPr>
                <w:rFonts w:hint="default" w:ascii="Times New Roman" w:hAnsi="Times New Roman" w:cs="Times New Roman"/>
                <w:color w:val="auto"/>
                <w:kern w:val="2"/>
                <w:sz w:val="24"/>
                <w:highlight w:val="none"/>
                <w:lang w:val="en-US" w:eastAsia="zh-CN"/>
              </w:rPr>
              <w:t>下</w:t>
            </w:r>
            <w:r>
              <w:rPr>
                <w:rFonts w:hint="default" w:ascii="Times New Roman" w:hAnsi="Times New Roman" w:eastAsia="宋体" w:cs="Times New Roman"/>
                <w:color w:val="auto"/>
                <w:kern w:val="2"/>
                <w:sz w:val="24"/>
                <w:highlight w:val="none"/>
              </w:rPr>
              <w:t>表突发事故应急预案要点</w:t>
            </w:r>
            <w:r>
              <w:rPr>
                <w:rFonts w:hint="default" w:ascii="Times New Roman" w:hAnsi="Times New Roman" w:eastAsia="宋体" w:cs="Times New Roman"/>
                <w:color w:val="auto"/>
                <w:kern w:val="2"/>
                <w:sz w:val="24"/>
                <w:highlight w:val="none"/>
                <w:lang w:eastAsia="zh-CN"/>
              </w:rPr>
              <w:t>。</w:t>
            </w:r>
          </w:p>
          <w:p w14:paraId="7C166014">
            <w:pPr>
              <w:keepNext w:val="0"/>
              <w:keepLines w:val="0"/>
              <w:numPr>
                <w:ilvl w:val="0"/>
                <w:numId w:val="0"/>
              </w:numPr>
              <w:suppressLineNumbers w:val="0"/>
              <w:tabs>
                <w:tab w:val="left" w:pos="0"/>
              </w:tabs>
              <w:spacing w:before="0" w:beforeAutospacing="0" w:after="0" w:afterAutospacing="0"/>
              <w:ind w:left="0" w:leftChars="0" w:right="0" w:rightChars="0" w:firstLine="40" w:firstLineChars="0"/>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bidi="ar-SA"/>
              </w:rPr>
              <w:t>表4-43</w:t>
            </w:r>
            <w:r>
              <w:rPr>
                <w:rFonts w:hint="default" w:ascii="Times New Roman" w:hAnsi="Times New Roman" w:cs="Times New Roman"/>
                <w:b/>
                <w:bCs/>
                <w:color w:val="auto"/>
                <w:kern w:val="0"/>
                <w:sz w:val="21"/>
                <w:szCs w:val="21"/>
                <w:highlight w:val="none"/>
              </w:rPr>
              <w:t>突发环境事件应急预案表</w:t>
            </w:r>
          </w:p>
          <w:tbl>
            <w:tblPr>
              <w:tblStyle w:val="38"/>
              <w:tblW w:w="49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2175"/>
              <w:gridCol w:w="6157"/>
            </w:tblGrid>
            <w:tr w14:paraId="4EC3F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360" w:type="pct"/>
                  <w:noWrap w:val="0"/>
                  <w:vAlign w:val="center"/>
                </w:tcPr>
                <w:p w14:paraId="667017D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11" w:type="pct"/>
                  <w:noWrap w:val="0"/>
                  <w:vAlign w:val="center"/>
                </w:tcPr>
                <w:p w14:paraId="263D88E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428" w:type="pct"/>
                  <w:noWrap w:val="0"/>
                  <w:vAlign w:val="center"/>
                </w:tcPr>
                <w:p w14:paraId="7EA4B80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4CF1A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60" w:type="pct"/>
                  <w:noWrap w:val="0"/>
                  <w:vAlign w:val="center"/>
                </w:tcPr>
                <w:p w14:paraId="33AF308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11" w:type="pct"/>
                  <w:noWrap w:val="0"/>
                  <w:vAlign w:val="center"/>
                </w:tcPr>
                <w:p w14:paraId="6563ECB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428" w:type="pct"/>
                  <w:noWrap w:val="0"/>
                  <w:vAlign w:val="center"/>
                </w:tcPr>
                <w:p w14:paraId="1482A94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5243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60" w:type="pct"/>
                  <w:noWrap w:val="0"/>
                  <w:vAlign w:val="center"/>
                </w:tcPr>
                <w:p w14:paraId="427E7A8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11" w:type="pct"/>
                  <w:noWrap w:val="0"/>
                  <w:vAlign w:val="center"/>
                </w:tcPr>
                <w:p w14:paraId="1D45B77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428" w:type="pct"/>
                  <w:noWrap w:val="0"/>
                  <w:vAlign w:val="center"/>
                </w:tcPr>
                <w:p w14:paraId="0759A31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1193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noWrap w:val="0"/>
                  <w:vAlign w:val="center"/>
                </w:tcPr>
                <w:p w14:paraId="6D08035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11" w:type="pct"/>
                  <w:noWrap w:val="0"/>
                  <w:vAlign w:val="center"/>
                </w:tcPr>
                <w:p w14:paraId="48AEE4C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428" w:type="pct"/>
                  <w:noWrap w:val="0"/>
                  <w:vAlign w:val="center"/>
                </w:tcPr>
                <w:p w14:paraId="4A68320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754C6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60" w:type="pct"/>
                  <w:noWrap w:val="0"/>
                  <w:vAlign w:val="center"/>
                </w:tcPr>
                <w:p w14:paraId="0ED452E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11" w:type="pct"/>
                  <w:noWrap w:val="0"/>
                  <w:vAlign w:val="center"/>
                </w:tcPr>
                <w:p w14:paraId="63F7D69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428" w:type="pct"/>
                  <w:noWrap w:val="0"/>
                  <w:vAlign w:val="center"/>
                </w:tcPr>
                <w:p w14:paraId="1D311AC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7D32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noWrap w:val="0"/>
                  <w:vAlign w:val="center"/>
                </w:tcPr>
                <w:p w14:paraId="03A94AE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11" w:type="pct"/>
                  <w:noWrap w:val="0"/>
                  <w:vAlign w:val="center"/>
                </w:tcPr>
                <w:p w14:paraId="14EDC5E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428" w:type="pct"/>
                  <w:noWrap w:val="0"/>
                  <w:vAlign w:val="center"/>
                </w:tcPr>
                <w:p w14:paraId="43C83E3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09E03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noWrap w:val="0"/>
                  <w:vAlign w:val="center"/>
                </w:tcPr>
                <w:p w14:paraId="6A3A48C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11" w:type="pct"/>
                  <w:noWrap w:val="0"/>
                  <w:vAlign w:val="center"/>
                </w:tcPr>
                <w:p w14:paraId="2A87535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428" w:type="pct"/>
                  <w:noWrap w:val="0"/>
                  <w:vAlign w:val="center"/>
                </w:tcPr>
                <w:p w14:paraId="651F2FC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4F829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60" w:type="pct"/>
                  <w:noWrap w:val="0"/>
                  <w:vAlign w:val="center"/>
                </w:tcPr>
                <w:p w14:paraId="0B2CF835">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11" w:type="pct"/>
                  <w:noWrap w:val="0"/>
                  <w:vAlign w:val="center"/>
                </w:tcPr>
                <w:p w14:paraId="72C5C4A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428" w:type="pct"/>
                  <w:noWrap w:val="0"/>
                  <w:vAlign w:val="center"/>
                </w:tcPr>
                <w:p w14:paraId="70DE847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40E0D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noWrap w:val="0"/>
                  <w:vAlign w:val="center"/>
                </w:tcPr>
                <w:p w14:paraId="2FB48F6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11" w:type="pct"/>
                  <w:noWrap w:val="0"/>
                  <w:vAlign w:val="center"/>
                </w:tcPr>
                <w:p w14:paraId="7B9C0F3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428" w:type="pct"/>
                  <w:noWrap w:val="0"/>
                  <w:vAlign w:val="center"/>
                </w:tcPr>
                <w:p w14:paraId="577F89D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64AB9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60" w:type="pct"/>
                  <w:noWrap w:val="0"/>
                  <w:vAlign w:val="center"/>
                </w:tcPr>
                <w:p w14:paraId="10F10B4A">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11" w:type="pct"/>
                  <w:noWrap w:val="0"/>
                  <w:vAlign w:val="center"/>
                </w:tcPr>
                <w:p w14:paraId="718D68C2">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428" w:type="pct"/>
                  <w:noWrap w:val="0"/>
                  <w:vAlign w:val="center"/>
                </w:tcPr>
                <w:p w14:paraId="2983DF5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5DC62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60" w:type="pct"/>
                  <w:noWrap w:val="0"/>
                  <w:vAlign w:val="center"/>
                </w:tcPr>
                <w:p w14:paraId="79F9B18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11" w:type="pct"/>
                  <w:noWrap w:val="0"/>
                  <w:vAlign w:val="center"/>
                </w:tcPr>
                <w:p w14:paraId="33B82FD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428" w:type="pct"/>
                  <w:noWrap w:val="0"/>
                  <w:vAlign w:val="center"/>
                </w:tcPr>
                <w:p w14:paraId="02423F9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line="276" w:lineRule="auto"/>
                    <w:ind w:left="0" w:right="0" w:firstLine="0" w:firstLine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3C9D5E0D">
            <w:pPr>
              <w:pStyle w:val="5"/>
              <w:numPr>
                <w:ilvl w:val="3"/>
                <w:numId w:val="0"/>
              </w:numPr>
              <w:suppressLineNumbers w:val="0"/>
              <w:spacing w:before="0" w:beforeAutospacing="0" w:after="0" w:afterAutospacing="0"/>
              <w:ind w:left="480" w:leftChars="20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、环境风险分析小结与建议</w:t>
            </w:r>
          </w:p>
          <w:p w14:paraId="1E8F420C">
            <w:pPr>
              <w:keepNext w:val="0"/>
              <w:keepLines w:val="0"/>
              <w:suppressLineNumbers w:val="0"/>
              <w:spacing w:before="0" w:beforeAutospacing="0" w:after="0" w:afterAutospacing="0"/>
              <w:ind w:left="0" w:right="0" w:firstLine="480" w:firstLineChars="20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本项目无风险物质，泄漏、火灾、爆炸等事故发生概率较低，物质泄漏、火灾、爆炸等事故下引发的伴生/次生污染物排放的风险隐患较低，在落实上述防范措施后，生产过程的环境风险总体可控。</w:t>
            </w:r>
          </w:p>
          <w:p w14:paraId="7DFC0206">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8、环保验收“三同时”</w:t>
            </w:r>
          </w:p>
          <w:p w14:paraId="359CA3DB">
            <w:pPr>
              <w:keepNext w:val="0"/>
              <w:keepLines w:val="0"/>
              <w:suppressLineNumbers w:val="0"/>
              <w:spacing w:before="0" w:beforeAutospacing="0" w:after="0" w:afterAutospacing="0"/>
              <w:ind w:left="0" w:right="0" w:firstLine="480" w:firstLineChars="200"/>
              <w:jc w:val="left"/>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242A9EF">
            <w:pPr>
              <w:keepNext w:val="0"/>
              <w:keepLines w:val="0"/>
              <w:numPr>
                <w:ilvl w:val="0"/>
                <w:numId w:val="0"/>
              </w:numPr>
              <w:suppressLineNumbers w:val="0"/>
              <w:tabs>
                <w:tab w:val="left" w:pos="0"/>
              </w:tabs>
              <w:spacing w:before="0" w:beforeAutospacing="0" w:after="0" w:afterAutospacing="0" w:line="276" w:lineRule="auto"/>
              <w:ind w:left="0" w:leftChars="0" w:right="0" w:rightChars="0" w:firstLine="40" w:firstLineChars="0"/>
              <w:jc w:val="center"/>
              <w:rPr>
                <w:rFonts w:hint="default" w:ascii="Times New Roman" w:hAnsi="Times New Roman" w:cs="Times New Roman"/>
                <w:b/>
                <w:color w:val="auto"/>
                <w:sz w:val="21"/>
                <w:szCs w:val="20"/>
                <w:highlight w:val="none"/>
              </w:rPr>
            </w:pPr>
            <w:r>
              <w:rPr>
                <w:rFonts w:hint="default" w:ascii="Times New Roman" w:hAnsi="Times New Roman" w:eastAsia="宋体" w:cs="Times New Roman"/>
                <w:b/>
                <w:color w:val="auto"/>
                <w:kern w:val="2"/>
                <w:sz w:val="21"/>
                <w:szCs w:val="21"/>
                <w:highlight w:val="none"/>
                <w:lang w:val="en-US" w:eastAsia="zh-CN" w:bidi="ar-SA"/>
              </w:rPr>
              <w:t>表4-44</w:t>
            </w:r>
            <w:r>
              <w:rPr>
                <w:rFonts w:hint="default" w:ascii="Times New Roman" w:hAnsi="Times New Roman" w:eastAsia="宋体" w:cs="Times New Roman"/>
                <w:b/>
                <w:bCs/>
                <w:color w:val="auto"/>
                <w:kern w:val="2"/>
                <w:sz w:val="21"/>
                <w:szCs w:val="21"/>
                <w:highlight w:val="none"/>
                <w:lang w:val="en-US" w:eastAsia="zh-CN" w:bidi="ar-SA"/>
              </w:rPr>
              <w:t>项目环境保护“三同时”验收一览表</w:t>
            </w:r>
          </w:p>
          <w:tbl>
            <w:tblPr>
              <w:tblStyle w:val="38"/>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051"/>
              <w:gridCol w:w="1520"/>
              <w:gridCol w:w="1255"/>
              <w:gridCol w:w="1369"/>
              <w:gridCol w:w="3139"/>
            </w:tblGrid>
            <w:tr w14:paraId="069B3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noWrap w:val="0"/>
                  <w:vAlign w:val="center"/>
                </w:tcPr>
                <w:p w14:paraId="31FCB5A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586" w:type="pct"/>
                  <w:noWrap w:val="0"/>
                  <w:vAlign w:val="center"/>
                </w:tcPr>
                <w:p w14:paraId="2AE9B69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846" w:type="pct"/>
                  <w:noWrap w:val="0"/>
                  <w:vAlign w:val="center"/>
                </w:tcPr>
                <w:p w14:paraId="527F437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76" w:type="pct"/>
                  <w:noWrap w:val="0"/>
                  <w:vAlign w:val="center"/>
                </w:tcPr>
                <w:p w14:paraId="062AFE1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726D16A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762" w:type="pct"/>
                  <w:noWrap w:val="0"/>
                  <w:vAlign w:val="center"/>
                </w:tcPr>
                <w:p w14:paraId="6E23FFA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742" w:type="pct"/>
                  <w:noWrap w:val="0"/>
                  <w:vAlign w:val="center"/>
                </w:tcPr>
                <w:p w14:paraId="5EFA1BA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739F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noWrap w:val="0"/>
                  <w:vAlign w:val="center"/>
                </w:tcPr>
                <w:p w14:paraId="7472049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586" w:type="pct"/>
                  <w:noWrap w:val="0"/>
                  <w:vAlign w:val="center"/>
                </w:tcPr>
                <w:p w14:paraId="530371B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综合废水</w:t>
                  </w:r>
                </w:p>
              </w:tc>
              <w:tc>
                <w:tcPr>
                  <w:tcW w:w="846" w:type="pct"/>
                  <w:noWrap w:val="0"/>
                  <w:vAlign w:val="center"/>
                </w:tcPr>
                <w:p w14:paraId="2D30EB0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r>
                    <w:rPr>
                      <w:rFonts w:hint="default" w:ascii="Times New Roman" w:hAnsi="Times New Roman" w:cs="Times New Roman"/>
                      <w:b w:val="0"/>
                      <w:bCs w:val="0"/>
                      <w:color w:val="auto"/>
                      <w:kern w:val="2"/>
                      <w:sz w:val="21"/>
                      <w:szCs w:val="21"/>
                      <w:highlight w:val="none"/>
                      <w:lang w:val="en-US" w:eastAsia="zh-CN" w:bidi="ar-SA"/>
                    </w:rPr>
                    <w:t>总磷、</w:t>
                  </w:r>
                  <w:r>
                    <w:rPr>
                      <w:rFonts w:hint="default" w:ascii="Times New Roman" w:hAnsi="Times New Roman" w:eastAsia="宋体" w:cs="Times New Roman"/>
                      <w:b w:val="0"/>
                      <w:bCs w:val="0"/>
                      <w:color w:val="auto"/>
                      <w:kern w:val="2"/>
                      <w:sz w:val="21"/>
                      <w:szCs w:val="21"/>
                      <w:highlight w:val="none"/>
                      <w:lang w:val="en-US" w:eastAsia="zh-CN" w:bidi="ar-SA"/>
                    </w:rPr>
                    <w:t>石油类、氟化物、LAS</w:t>
                  </w:r>
                </w:p>
              </w:tc>
              <w:tc>
                <w:tcPr>
                  <w:tcW w:w="676" w:type="pct"/>
                  <w:noWrap w:val="0"/>
                  <w:vAlign w:val="center"/>
                </w:tcPr>
                <w:p w14:paraId="34BD3CD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r>
                    <w:rPr>
                      <w:rFonts w:hint="default" w:ascii="Times New Roman" w:hAnsi="Times New Roman" w:cs="Times New Roman"/>
                      <w:b w:val="0"/>
                      <w:bCs w:val="0"/>
                      <w:color w:val="auto"/>
                      <w:kern w:val="2"/>
                      <w:sz w:val="21"/>
                      <w:szCs w:val="21"/>
                      <w:highlight w:val="none"/>
                      <w:lang w:val="en-US" w:eastAsia="zh-CN" w:bidi="ar-SA"/>
                    </w:rPr>
                    <w:t>、隔油隔渣池</w:t>
                  </w:r>
                  <w:r>
                    <w:rPr>
                      <w:rFonts w:hint="default" w:ascii="Times New Roman" w:hAnsi="Times New Roman" w:eastAsia="宋体" w:cs="Times New Roman"/>
                      <w:b w:val="0"/>
                      <w:bCs w:val="0"/>
                      <w:color w:val="auto"/>
                      <w:kern w:val="2"/>
                      <w:sz w:val="21"/>
                      <w:szCs w:val="21"/>
                      <w:highlight w:val="none"/>
                      <w:lang w:val="en-US" w:eastAsia="zh-CN" w:bidi="ar-SA"/>
                    </w:rPr>
                    <w:t>、“中和调节+混凝沉淀+气浮+化学除氟”</w:t>
                  </w:r>
                </w:p>
              </w:tc>
              <w:tc>
                <w:tcPr>
                  <w:tcW w:w="762" w:type="pct"/>
                  <w:noWrap w:val="0"/>
                  <w:vAlign w:val="center"/>
                </w:tcPr>
                <w:p w14:paraId="7EADFFF6">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w:t>
                  </w:r>
                  <w:r>
                    <w:rPr>
                      <w:rFonts w:hint="default" w:ascii="Times New Roman" w:hAnsi="Times New Roman"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污染物实际排放浓度</w:t>
                  </w:r>
                </w:p>
              </w:tc>
              <w:tc>
                <w:tcPr>
                  <w:tcW w:w="1742" w:type="pct"/>
                  <w:noWrap w:val="0"/>
                  <w:vAlign w:val="center"/>
                </w:tcPr>
                <w:p w14:paraId="4CD8974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w:t>
                  </w:r>
                  <w:r>
                    <w:rPr>
                      <w:rFonts w:hint="default" w:ascii="Times New Roman" w:hAnsi="Times New Roman" w:cs="Times New Roman"/>
                      <w:b w:val="0"/>
                      <w:bCs w:val="0"/>
                      <w:color w:val="auto"/>
                      <w:kern w:val="2"/>
                      <w:sz w:val="21"/>
                      <w:szCs w:val="21"/>
                      <w:highlight w:val="none"/>
                      <w:lang w:val="en-US" w:eastAsia="zh-CN" w:bidi="ar-SA"/>
                    </w:rPr>
                    <w:t>水污染物排放限值</w:t>
                  </w:r>
                  <w:r>
                    <w:rPr>
                      <w:rFonts w:hint="default" w:ascii="Times New Roman" w:hAnsi="Times New Roman" w:eastAsia="宋体" w:cs="Times New Roman"/>
                      <w:b w:val="0"/>
                      <w:bCs w:val="0"/>
                      <w:color w:val="auto"/>
                      <w:kern w:val="2"/>
                      <w:sz w:val="21"/>
                      <w:szCs w:val="21"/>
                      <w:highlight w:val="none"/>
                      <w:lang w:val="en-US" w:eastAsia="zh-CN" w:bidi="ar-SA"/>
                    </w:rPr>
                    <w:t>》（DB44/26-2001）第二时段三级标准两者较严值</w:t>
                  </w:r>
                </w:p>
              </w:tc>
            </w:tr>
            <w:tr w14:paraId="49AC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restart"/>
                  <w:noWrap w:val="0"/>
                  <w:vAlign w:val="center"/>
                </w:tcPr>
                <w:p w14:paraId="52A3EEB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586" w:type="pct"/>
                  <w:vMerge w:val="restart"/>
                  <w:noWrap w:val="0"/>
                  <w:vAlign w:val="center"/>
                </w:tcPr>
                <w:p w14:paraId="3CD9D53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燃烧废气</w:t>
                  </w:r>
                  <w:r>
                    <w:rPr>
                      <w:rFonts w:hint="default" w:ascii="Times New Roman" w:hAnsi="Times New Roman" w:eastAsia="宋体" w:cs="Times New Roman"/>
                      <w:b w:val="0"/>
                      <w:bCs w:val="0"/>
                      <w:color w:val="auto"/>
                      <w:kern w:val="2"/>
                      <w:sz w:val="21"/>
                      <w:szCs w:val="21"/>
                      <w:highlight w:val="none"/>
                      <w:lang w:val="en-US" w:eastAsia="zh-CN" w:bidi="ar-SA"/>
                    </w:rPr>
                    <w:br w:type="textWrapping"/>
                  </w:r>
                  <w:r>
                    <w:rPr>
                      <w:rFonts w:hint="default" w:ascii="Times New Roman" w:hAnsi="Times New Roman" w:cs="Times New Roman"/>
                      <w:b w:val="0"/>
                      <w:bCs w:val="0"/>
                      <w:color w:val="auto"/>
                      <w:kern w:val="2"/>
                      <w:sz w:val="21"/>
                      <w:szCs w:val="21"/>
                      <w:highlight w:val="none"/>
                      <w:lang w:val="en-US" w:eastAsia="zh-CN" w:bidi="ar-SA"/>
                    </w:rPr>
                    <w:t>DA001</w:t>
                  </w:r>
                </w:p>
              </w:tc>
              <w:tc>
                <w:tcPr>
                  <w:tcW w:w="1541" w:type="dxa"/>
                  <w:noWrap w:val="0"/>
                  <w:vAlign w:val="center"/>
                </w:tcPr>
                <w:p w14:paraId="618FBC29">
                  <w:pPr>
                    <w:pStyle w:val="56"/>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颗粒物</w:t>
                  </w:r>
                </w:p>
              </w:tc>
              <w:tc>
                <w:tcPr>
                  <w:tcW w:w="676" w:type="pct"/>
                  <w:vMerge w:val="restart"/>
                  <w:noWrap w:val="0"/>
                  <w:vAlign w:val="center"/>
                </w:tcPr>
                <w:p w14:paraId="75E2F7B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燃气；燃烧废气经15m高排气筒（DA001）排放</w:t>
                  </w:r>
                </w:p>
              </w:tc>
              <w:tc>
                <w:tcPr>
                  <w:tcW w:w="762" w:type="pct"/>
                  <w:vMerge w:val="restart"/>
                  <w:noWrap w:val="0"/>
                  <w:vAlign w:val="center"/>
                </w:tcPr>
                <w:p w14:paraId="42D79F4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p>
              </w:tc>
              <w:tc>
                <w:tcPr>
                  <w:tcW w:w="1742" w:type="pct"/>
                  <w:vMerge w:val="restart"/>
                  <w:noWrap w:val="0"/>
                  <w:vAlign w:val="center"/>
                </w:tcPr>
                <w:p w14:paraId="4B4C3E3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p>
              </w:tc>
            </w:tr>
            <w:tr w14:paraId="489F4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013918B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continue"/>
                  <w:noWrap w:val="0"/>
                  <w:vAlign w:val="center"/>
                </w:tcPr>
                <w:p w14:paraId="450889F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541" w:type="dxa"/>
                  <w:noWrap w:val="0"/>
                  <w:vAlign w:val="center"/>
                </w:tcPr>
                <w:p w14:paraId="2FE56FF1">
                  <w:pPr>
                    <w:pStyle w:val="56"/>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二氧化硫</w:t>
                  </w:r>
                </w:p>
              </w:tc>
              <w:tc>
                <w:tcPr>
                  <w:tcW w:w="676" w:type="pct"/>
                  <w:vMerge w:val="continue"/>
                  <w:noWrap w:val="0"/>
                  <w:vAlign w:val="center"/>
                </w:tcPr>
                <w:p w14:paraId="1D14481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33DAEFE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020915C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41233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5154486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continue"/>
                  <w:noWrap w:val="0"/>
                  <w:vAlign w:val="center"/>
                </w:tcPr>
                <w:p w14:paraId="0A60D5F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541" w:type="dxa"/>
                  <w:noWrap w:val="0"/>
                  <w:vAlign w:val="center"/>
                </w:tcPr>
                <w:p w14:paraId="594CC6F4">
                  <w:pPr>
                    <w:pStyle w:val="56"/>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rPr>
                    <w:t>氮氧化物</w:t>
                  </w:r>
                </w:p>
              </w:tc>
              <w:tc>
                <w:tcPr>
                  <w:tcW w:w="676" w:type="pct"/>
                  <w:vMerge w:val="continue"/>
                  <w:noWrap w:val="0"/>
                  <w:vAlign w:val="center"/>
                </w:tcPr>
                <w:p w14:paraId="1109CA4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6637A9A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47079E1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97AF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31F59BE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continue"/>
                  <w:noWrap w:val="0"/>
                  <w:vAlign w:val="center"/>
                </w:tcPr>
                <w:p w14:paraId="4F5CDEE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541" w:type="dxa"/>
                  <w:noWrap w:val="0"/>
                  <w:vAlign w:val="center"/>
                </w:tcPr>
                <w:p w14:paraId="594B387F">
                  <w:pPr>
                    <w:pStyle w:val="56"/>
                    <w:keepNext w:val="0"/>
                    <w:keepLines w:val="0"/>
                    <w:pageBreakBefore w:val="0"/>
                    <w:widowControl/>
                    <w:suppressLineNumbers w:val="0"/>
                    <w:kinsoku/>
                    <w:overflowPunct/>
                    <w:topLinePunct w:val="0"/>
                    <w:bidi w:val="0"/>
                    <w:snapToGrid/>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烟气黑度</w:t>
                  </w:r>
                </w:p>
              </w:tc>
              <w:tc>
                <w:tcPr>
                  <w:tcW w:w="676" w:type="pct"/>
                  <w:vMerge w:val="continue"/>
                  <w:noWrap w:val="0"/>
                  <w:vAlign w:val="center"/>
                </w:tcPr>
                <w:p w14:paraId="43AD9AC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01C25E0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noWrap w:val="0"/>
                  <w:vAlign w:val="center"/>
                </w:tcPr>
                <w:p w14:paraId="7932BA0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《工业炉窑大气污染物排放标准》（GB 9078-1996）</w:t>
                  </w:r>
                </w:p>
              </w:tc>
            </w:tr>
            <w:tr w14:paraId="40CCA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5" w:type="pct"/>
                  <w:vMerge w:val="continue"/>
                  <w:noWrap w:val="0"/>
                  <w:vAlign w:val="center"/>
                </w:tcPr>
                <w:p w14:paraId="643CAD7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54429F7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食堂油烟废气DA002</w:t>
                  </w:r>
                </w:p>
              </w:tc>
              <w:tc>
                <w:tcPr>
                  <w:tcW w:w="846" w:type="pct"/>
                  <w:noWrap w:val="0"/>
                  <w:vAlign w:val="center"/>
                </w:tcPr>
                <w:p w14:paraId="1AE615E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油烟</w:t>
                  </w:r>
                </w:p>
              </w:tc>
              <w:tc>
                <w:tcPr>
                  <w:tcW w:w="676" w:type="pct"/>
                  <w:noWrap w:val="0"/>
                  <w:vAlign w:val="center"/>
                </w:tcPr>
                <w:p w14:paraId="3E2262C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kern w:val="2"/>
                      <w:sz w:val="21"/>
                      <w:szCs w:val="21"/>
                      <w:highlight w:val="none"/>
                      <w:lang w:val="en-US" w:eastAsia="zh-CN" w:bidi="ar-SA"/>
                    </w:rPr>
                    <w:t>食堂油烟废气经1套静电油烟净化装置处理后，经20m高排气筒DA002排放</w:t>
                  </w:r>
                </w:p>
              </w:tc>
              <w:tc>
                <w:tcPr>
                  <w:tcW w:w="762" w:type="pct"/>
                  <w:noWrap w:val="0"/>
                  <w:vAlign w:val="center"/>
                </w:tcPr>
                <w:p w14:paraId="5960B31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p>
              </w:tc>
              <w:tc>
                <w:tcPr>
                  <w:tcW w:w="1742" w:type="pct"/>
                  <w:noWrap w:val="0"/>
                  <w:vAlign w:val="center"/>
                </w:tcPr>
                <w:p w14:paraId="03468F6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《饮食业油烟排放标准（试行）》（GB18483-2001）</w:t>
                  </w:r>
                </w:p>
              </w:tc>
            </w:tr>
            <w:tr w14:paraId="4F1E5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85" w:type="pct"/>
                  <w:vMerge w:val="continue"/>
                  <w:noWrap w:val="0"/>
                  <w:vAlign w:val="center"/>
                </w:tcPr>
                <w:p w14:paraId="56D73FF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7F327C4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焊接烟尘</w:t>
                  </w:r>
                </w:p>
              </w:tc>
              <w:tc>
                <w:tcPr>
                  <w:tcW w:w="846" w:type="pct"/>
                  <w:noWrap w:val="0"/>
                  <w:vAlign w:val="center"/>
                </w:tcPr>
                <w:p w14:paraId="4A5D811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颗粒物</w:t>
                  </w:r>
                </w:p>
              </w:tc>
              <w:tc>
                <w:tcPr>
                  <w:tcW w:w="676" w:type="pct"/>
                  <w:noWrap w:val="0"/>
                  <w:vAlign w:val="center"/>
                </w:tcPr>
                <w:p w14:paraId="704AAC3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设置</w:t>
                  </w:r>
                  <w:r>
                    <w:rPr>
                      <w:rFonts w:hint="default" w:ascii="Times New Roman" w:hAnsi="Times New Roman" w:eastAsia="宋体" w:cs="Times New Roman"/>
                      <w:b w:val="0"/>
                      <w:bCs w:val="0"/>
                      <w:color w:val="auto"/>
                      <w:kern w:val="2"/>
                      <w:sz w:val="21"/>
                      <w:szCs w:val="21"/>
                      <w:highlight w:val="none"/>
                      <w:lang w:val="en-US" w:eastAsia="zh-CN" w:bidi="ar-SA"/>
                    </w:rPr>
                    <w:t>移动式焊烟净化器</w:t>
                  </w:r>
                  <w:r>
                    <w:rPr>
                      <w:rFonts w:hint="default" w:ascii="Times New Roman" w:hAnsi="Times New Roman" w:cs="Times New Roman"/>
                      <w:b w:val="0"/>
                      <w:bCs w:val="0"/>
                      <w:color w:val="auto"/>
                      <w:kern w:val="2"/>
                      <w:sz w:val="21"/>
                      <w:szCs w:val="21"/>
                      <w:highlight w:val="none"/>
                      <w:lang w:val="en-US" w:eastAsia="zh-CN" w:bidi="ar-SA"/>
                    </w:rPr>
                    <w:t>2台</w:t>
                  </w:r>
                </w:p>
              </w:tc>
              <w:tc>
                <w:tcPr>
                  <w:tcW w:w="762" w:type="pct"/>
                  <w:noWrap w:val="0"/>
                  <w:vAlign w:val="center"/>
                </w:tcPr>
                <w:p w14:paraId="519DD1A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42" w:type="pct"/>
                  <w:noWrap w:val="0"/>
                  <w:vAlign w:val="center"/>
                </w:tcPr>
                <w:p w14:paraId="704C3BD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广东省《大气污染物排放限值》（DB44/27-2001）第二时段无组织排放监控浓度限值</w:t>
                  </w:r>
                </w:p>
              </w:tc>
            </w:tr>
            <w:tr w14:paraId="3D96C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6968652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7A15002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打磨、抛光粉尘</w:t>
                  </w:r>
                  <w:r>
                    <w:rPr>
                      <w:rFonts w:hint="eastAsia" w:cs="Times New Roman"/>
                      <w:b w:val="0"/>
                      <w:bCs w:val="0"/>
                      <w:color w:val="auto"/>
                      <w:kern w:val="2"/>
                      <w:sz w:val="21"/>
                      <w:szCs w:val="21"/>
                      <w:highlight w:val="none"/>
                      <w:lang w:val="en-US" w:eastAsia="zh-CN" w:bidi="ar-SA"/>
                    </w:rPr>
                    <w:t>DA003</w:t>
                  </w:r>
                </w:p>
              </w:tc>
              <w:tc>
                <w:tcPr>
                  <w:tcW w:w="846" w:type="pct"/>
                  <w:noWrap w:val="0"/>
                  <w:vAlign w:val="center"/>
                </w:tcPr>
                <w:p w14:paraId="3C8CE87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颗粒物</w:t>
                  </w:r>
                </w:p>
              </w:tc>
              <w:tc>
                <w:tcPr>
                  <w:tcW w:w="676" w:type="pct"/>
                  <w:noWrap w:val="0"/>
                  <w:vAlign w:val="center"/>
                </w:tcPr>
                <w:p w14:paraId="49623FE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大旋风+滤芯式二级回收系统处理后</w:t>
                  </w:r>
                  <w:r>
                    <w:rPr>
                      <w:rFonts w:hint="eastAsia" w:ascii="Times New Roman" w:hAnsi="Times New Roman" w:cs="Times New Roman"/>
                      <w:b w:val="0"/>
                      <w:bCs w:val="0"/>
                      <w:color w:val="auto"/>
                      <w:kern w:val="2"/>
                      <w:sz w:val="21"/>
                      <w:szCs w:val="21"/>
                      <w:highlight w:val="none"/>
                      <w:lang w:val="en-US" w:eastAsia="zh-CN" w:bidi="ar-SA"/>
                    </w:rPr>
                    <w:t>经15m高排气筒DA003排放</w:t>
                  </w:r>
                  <w:r>
                    <w:rPr>
                      <w:rFonts w:hint="default" w:ascii="Times New Roman" w:hAnsi="Times New Roman" w:eastAsia="宋体" w:cs="Times New Roman"/>
                      <w:b w:val="0"/>
                      <w:bCs w:val="0"/>
                      <w:color w:val="auto"/>
                      <w:kern w:val="2"/>
                      <w:sz w:val="21"/>
                      <w:szCs w:val="21"/>
                      <w:highlight w:val="none"/>
                      <w:lang w:val="en-US" w:eastAsia="zh-CN" w:bidi="ar-SA"/>
                    </w:rPr>
                    <w:t>，设置6套“大旋风+滤芯式二级回收系统”</w:t>
                  </w:r>
                </w:p>
              </w:tc>
              <w:tc>
                <w:tcPr>
                  <w:tcW w:w="762" w:type="pct"/>
                  <w:noWrap w:val="0"/>
                  <w:vAlign w:val="center"/>
                </w:tcPr>
                <w:p w14:paraId="2C4F677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排气筒设置情况；污染物实际排放浓度</w:t>
                  </w:r>
                </w:p>
              </w:tc>
              <w:tc>
                <w:tcPr>
                  <w:tcW w:w="1742" w:type="pct"/>
                  <w:noWrap w:val="0"/>
                  <w:vAlign w:val="center"/>
                </w:tcPr>
                <w:p w14:paraId="2508CA1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广东省《大气污染物排放限值》（DB44/27-2001）第二时段排放限值及其无组织排放监控浓度限值</w:t>
                  </w:r>
                </w:p>
              </w:tc>
            </w:tr>
            <w:tr w14:paraId="53FF1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01873F5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restart"/>
                  <w:noWrap w:val="0"/>
                  <w:vAlign w:val="center"/>
                </w:tcPr>
                <w:p w14:paraId="236B6DF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污水处理站恶臭</w:t>
                  </w:r>
                </w:p>
              </w:tc>
              <w:tc>
                <w:tcPr>
                  <w:tcW w:w="846" w:type="pct"/>
                  <w:noWrap w:val="0"/>
                  <w:vAlign w:val="center"/>
                </w:tcPr>
                <w:p w14:paraId="522DC35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臭气浓度</w:t>
                  </w:r>
                </w:p>
              </w:tc>
              <w:tc>
                <w:tcPr>
                  <w:tcW w:w="676" w:type="pct"/>
                  <w:vMerge w:val="restart"/>
                  <w:noWrap w:val="0"/>
                  <w:vAlign w:val="center"/>
                </w:tcPr>
                <w:p w14:paraId="4A57E4C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采取加盖密闭、加强</w:t>
                  </w:r>
                </w:p>
              </w:tc>
              <w:tc>
                <w:tcPr>
                  <w:tcW w:w="762" w:type="pct"/>
                  <w:vMerge w:val="restart"/>
                  <w:noWrap w:val="0"/>
                  <w:vAlign w:val="center"/>
                </w:tcPr>
                <w:p w14:paraId="20410DF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废气防治措施；厂界浓度监测</w:t>
                  </w:r>
                </w:p>
              </w:tc>
              <w:tc>
                <w:tcPr>
                  <w:tcW w:w="1742" w:type="pct"/>
                  <w:vMerge w:val="restart"/>
                  <w:noWrap w:val="0"/>
                  <w:vAlign w:val="center"/>
                </w:tcPr>
                <w:p w14:paraId="7CC518E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《恶臭污染物排放标准》(GB14554-93)表1二级标准中“新改扩建”限值要求</w:t>
                  </w:r>
                </w:p>
              </w:tc>
            </w:tr>
            <w:tr w14:paraId="2E6CE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09964E2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continue"/>
                  <w:noWrap w:val="0"/>
                  <w:vAlign w:val="center"/>
                </w:tcPr>
                <w:p w14:paraId="6E43616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846" w:type="pct"/>
                  <w:noWrap w:val="0"/>
                  <w:vAlign w:val="center"/>
                </w:tcPr>
                <w:p w14:paraId="0902114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氨气</w:t>
                  </w:r>
                </w:p>
              </w:tc>
              <w:tc>
                <w:tcPr>
                  <w:tcW w:w="676" w:type="pct"/>
                  <w:vMerge w:val="continue"/>
                  <w:noWrap w:val="0"/>
                  <w:vAlign w:val="center"/>
                </w:tcPr>
                <w:p w14:paraId="499C228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430135A6">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2BF0A3D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4C3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6D5EC9A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vMerge w:val="continue"/>
                  <w:noWrap w:val="0"/>
                  <w:vAlign w:val="center"/>
                </w:tcPr>
                <w:p w14:paraId="1DCBAD9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846" w:type="pct"/>
                  <w:noWrap w:val="0"/>
                  <w:vAlign w:val="center"/>
                </w:tcPr>
                <w:p w14:paraId="4F578C2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硫化氢</w:t>
                  </w:r>
                </w:p>
              </w:tc>
              <w:tc>
                <w:tcPr>
                  <w:tcW w:w="676" w:type="pct"/>
                  <w:vMerge w:val="continue"/>
                  <w:noWrap w:val="0"/>
                  <w:vAlign w:val="center"/>
                </w:tcPr>
                <w:p w14:paraId="5ADEA96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0742550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4824A1D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38EAA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noWrap w:val="0"/>
                  <w:vAlign w:val="center"/>
                </w:tcPr>
                <w:p w14:paraId="06C273D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586" w:type="pct"/>
                  <w:noWrap w:val="0"/>
                  <w:vAlign w:val="center"/>
                </w:tcPr>
                <w:p w14:paraId="57892B6D">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846" w:type="pct"/>
                  <w:noWrap w:val="0"/>
                  <w:vAlign w:val="center"/>
                </w:tcPr>
                <w:p w14:paraId="57D4B9ED">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76" w:type="pct"/>
                  <w:noWrap w:val="0"/>
                  <w:vAlign w:val="center"/>
                </w:tcPr>
                <w:p w14:paraId="12DBF74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762" w:type="pct"/>
                  <w:noWrap w:val="0"/>
                  <w:vAlign w:val="center"/>
                </w:tcPr>
                <w:p w14:paraId="2ED725DD">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742" w:type="pct"/>
                  <w:noWrap w:val="0"/>
                  <w:vAlign w:val="center"/>
                </w:tcPr>
                <w:p w14:paraId="54DD6E0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20C2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restart"/>
                  <w:noWrap w:val="0"/>
                  <w:vAlign w:val="center"/>
                </w:tcPr>
                <w:p w14:paraId="4EBA527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171FB52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586" w:type="pct"/>
                  <w:noWrap w:val="0"/>
                  <w:vAlign w:val="center"/>
                </w:tcPr>
                <w:p w14:paraId="53C7340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846" w:type="pct"/>
                  <w:noWrap w:val="0"/>
                  <w:vAlign w:val="center"/>
                </w:tcPr>
                <w:p w14:paraId="641BCF2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noWrap w:val="0"/>
                  <w:vAlign w:val="center"/>
                </w:tcPr>
                <w:p w14:paraId="3A4D66E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762" w:type="pct"/>
                  <w:vMerge w:val="restart"/>
                  <w:noWrap w:val="0"/>
                  <w:vAlign w:val="center"/>
                </w:tcPr>
                <w:p w14:paraId="1E45045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742" w:type="pct"/>
                  <w:vMerge w:val="restart"/>
                  <w:noWrap w:val="0"/>
                  <w:vAlign w:val="center"/>
                </w:tcPr>
                <w:p w14:paraId="28579CA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04E8C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4F055B9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173E512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包装废料</w:t>
                  </w:r>
                </w:p>
              </w:tc>
              <w:tc>
                <w:tcPr>
                  <w:tcW w:w="846" w:type="pct"/>
                  <w:noWrap w:val="0"/>
                  <w:vAlign w:val="center"/>
                </w:tcPr>
                <w:p w14:paraId="57B1C9C4">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restart"/>
                  <w:noWrap w:val="0"/>
                  <w:vAlign w:val="center"/>
                </w:tcPr>
                <w:p w14:paraId="674A40A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交由有资质单位统一清运处理</w:t>
                  </w:r>
                </w:p>
              </w:tc>
              <w:tc>
                <w:tcPr>
                  <w:tcW w:w="762" w:type="pct"/>
                  <w:vMerge w:val="continue"/>
                  <w:noWrap w:val="0"/>
                  <w:vAlign w:val="center"/>
                </w:tcPr>
                <w:p w14:paraId="17A5816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73A034C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1D77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15E83E7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04C7F94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废滤芯</w:t>
                  </w:r>
                </w:p>
              </w:tc>
              <w:tc>
                <w:tcPr>
                  <w:tcW w:w="846" w:type="pct"/>
                  <w:noWrap w:val="0"/>
                  <w:vAlign w:val="center"/>
                </w:tcPr>
                <w:p w14:paraId="673F68AD">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5F09EF7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5C5B775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28C66B9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21AC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385" w:type="pct"/>
                  <w:vMerge w:val="continue"/>
                  <w:noWrap w:val="0"/>
                  <w:vAlign w:val="center"/>
                </w:tcPr>
                <w:p w14:paraId="0ACA717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493F14A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边角料</w:t>
                  </w:r>
                </w:p>
              </w:tc>
              <w:tc>
                <w:tcPr>
                  <w:tcW w:w="846" w:type="pct"/>
                  <w:noWrap w:val="0"/>
                  <w:vAlign w:val="center"/>
                </w:tcPr>
                <w:p w14:paraId="7E87AADE">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16AA2C0D">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3EEEC32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0B52EBA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7FAC6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4D80C60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046710E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沉降金属粉尘和除尘器收集粉尘</w:t>
                  </w:r>
                </w:p>
              </w:tc>
              <w:tc>
                <w:tcPr>
                  <w:tcW w:w="846" w:type="pct"/>
                  <w:noWrap w:val="0"/>
                  <w:vAlign w:val="center"/>
                </w:tcPr>
                <w:p w14:paraId="1D8E698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5842F78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762" w:type="pct"/>
                  <w:vMerge w:val="continue"/>
                  <w:noWrap w:val="0"/>
                  <w:vAlign w:val="center"/>
                </w:tcPr>
                <w:p w14:paraId="01EECB2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742" w:type="pct"/>
                  <w:vMerge w:val="continue"/>
                  <w:noWrap w:val="0"/>
                  <w:vAlign w:val="center"/>
                </w:tcPr>
                <w:p w14:paraId="3D41F282">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6FE10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551A824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0DA8283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废表面处理剂包装桶</w:t>
                  </w:r>
                </w:p>
              </w:tc>
              <w:tc>
                <w:tcPr>
                  <w:tcW w:w="846" w:type="pct"/>
                  <w:noWrap w:val="0"/>
                  <w:vAlign w:val="center"/>
                </w:tcPr>
                <w:p w14:paraId="2546279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restart"/>
                  <w:noWrap w:val="0"/>
                  <w:vAlign w:val="center"/>
                </w:tcPr>
                <w:p w14:paraId="6BA3540A">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762" w:type="pct"/>
                  <w:vMerge w:val="restart"/>
                  <w:noWrap w:val="0"/>
                  <w:vAlign w:val="center"/>
                </w:tcPr>
                <w:p w14:paraId="5587167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r>
                    <w:rPr>
                      <w:rFonts w:hint="default" w:ascii="Times New Roman" w:hAnsi="Times New Roman" w:cs="Times New Roman"/>
                      <w:b w:val="0"/>
                      <w:bCs w:val="0"/>
                      <w:color w:val="auto"/>
                      <w:kern w:val="2"/>
                      <w:sz w:val="21"/>
                      <w:szCs w:val="21"/>
                      <w:highlight w:val="none"/>
                      <w:lang w:val="en-US" w:eastAsia="zh-CN" w:bidi="ar-SA"/>
                    </w:rPr>
                    <w:t>，危废暂存间做好防渗防漏</w:t>
                  </w:r>
                </w:p>
              </w:tc>
              <w:tc>
                <w:tcPr>
                  <w:tcW w:w="1742" w:type="pct"/>
                  <w:vMerge w:val="restart"/>
                  <w:noWrap w:val="0"/>
                  <w:vAlign w:val="center"/>
                </w:tcPr>
                <w:p w14:paraId="4909CB1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456B4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0AFBE495">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06B6E96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预处理池泥渣</w:t>
                  </w:r>
                </w:p>
              </w:tc>
              <w:tc>
                <w:tcPr>
                  <w:tcW w:w="846" w:type="pct"/>
                  <w:noWrap w:val="0"/>
                  <w:vAlign w:val="center"/>
                </w:tcPr>
                <w:p w14:paraId="3E7A3EAF">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25ED4A41">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62" w:type="pct"/>
                  <w:vMerge w:val="continue"/>
                  <w:noWrap w:val="0"/>
                  <w:vAlign w:val="center"/>
                </w:tcPr>
                <w:p w14:paraId="1A0F0AF5">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42" w:type="pct"/>
                  <w:vMerge w:val="continue"/>
                  <w:noWrap w:val="0"/>
                  <w:vAlign w:val="center"/>
                </w:tcPr>
                <w:p w14:paraId="721B3C58">
                  <w:pPr>
                    <w:keepNext w:val="0"/>
                    <w:keepLines w:val="0"/>
                    <w:suppressLineNumbers w:val="0"/>
                    <w:autoSpaceDE w:val="0"/>
                    <w:autoSpaceDN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58B23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5AB7D7A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shd w:val="clear" w:color="auto" w:fill="auto"/>
                  <w:noWrap w:val="0"/>
                  <w:vAlign w:val="center"/>
                </w:tcPr>
                <w:p w14:paraId="21EDD59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无铬钝化池废槽液</w:t>
                  </w:r>
                </w:p>
              </w:tc>
              <w:tc>
                <w:tcPr>
                  <w:tcW w:w="846" w:type="pct"/>
                  <w:noWrap w:val="0"/>
                  <w:vAlign w:val="center"/>
                </w:tcPr>
                <w:p w14:paraId="496CC6B9">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kern w:val="2"/>
                      <w:sz w:val="21"/>
                      <w:szCs w:val="21"/>
                      <w:highlight w:val="none"/>
                      <w:lang w:val="en-US" w:eastAsia="zh-CN" w:bidi="ar-SA"/>
                    </w:rPr>
                    <w:t>/</w:t>
                  </w:r>
                </w:p>
              </w:tc>
              <w:tc>
                <w:tcPr>
                  <w:tcW w:w="676" w:type="pct"/>
                  <w:vMerge w:val="continue"/>
                  <w:noWrap w:val="0"/>
                  <w:vAlign w:val="center"/>
                </w:tcPr>
                <w:p w14:paraId="735807D0">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62" w:type="pct"/>
                  <w:vMerge w:val="continue"/>
                  <w:noWrap w:val="0"/>
                  <w:vAlign w:val="center"/>
                </w:tcPr>
                <w:p w14:paraId="2FDB3039">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42" w:type="pct"/>
                  <w:vMerge w:val="continue"/>
                  <w:noWrap w:val="0"/>
                  <w:vAlign w:val="center"/>
                </w:tcPr>
                <w:p w14:paraId="082C56DB">
                  <w:pPr>
                    <w:keepNext w:val="0"/>
                    <w:keepLines w:val="0"/>
                    <w:suppressLineNumbers w:val="0"/>
                    <w:autoSpaceDE w:val="0"/>
                    <w:autoSpaceDN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74273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638F35B1">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5B8E0B9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废水处理站污泥</w:t>
                  </w:r>
                </w:p>
              </w:tc>
              <w:tc>
                <w:tcPr>
                  <w:tcW w:w="846" w:type="pct"/>
                  <w:noWrap w:val="0"/>
                  <w:vAlign w:val="center"/>
                </w:tcPr>
                <w:p w14:paraId="11B2320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4C1E0B29">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62" w:type="pct"/>
                  <w:vMerge w:val="continue"/>
                  <w:noWrap w:val="0"/>
                  <w:vAlign w:val="center"/>
                </w:tcPr>
                <w:p w14:paraId="4A6A11E2">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42" w:type="pct"/>
                  <w:vMerge w:val="continue"/>
                  <w:noWrap w:val="0"/>
                  <w:vAlign w:val="center"/>
                </w:tcPr>
                <w:p w14:paraId="2E6C68F6">
                  <w:pPr>
                    <w:keepNext w:val="0"/>
                    <w:keepLines w:val="0"/>
                    <w:suppressLineNumbers w:val="0"/>
                    <w:autoSpaceDE w:val="0"/>
                    <w:autoSpaceDN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9F3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85" w:type="pct"/>
                  <w:vMerge w:val="continue"/>
                  <w:noWrap w:val="0"/>
                  <w:vAlign w:val="center"/>
                </w:tcPr>
                <w:p w14:paraId="23A13080">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36B790C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废机油桶、废机油、废液压油桶、废液压油</w:t>
                  </w:r>
                  <w:r>
                    <w:rPr>
                      <w:rFonts w:hint="default" w:ascii="Times New Roman" w:hAnsi="Times New Roman" w:cs="Times New Roman"/>
                      <w:b w:val="0"/>
                      <w:bCs w:val="0"/>
                      <w:color w:val="auto"/>
                      <w:kern w:val="2"/>
                      <w:sz w:val="21"/>
                      <w:szCs w:val="21"/>
                      <w:highlight w:val="none"/>
                      <w:lang w:val="en-US" w:eastAsia="zh-CN" w:bidi="ar-SA"/>
                    </w:rPr>
                    <w:t>、含</w:t>
                  </w:r>
                  <w:r>
                    <w:rPr>
                      <w:rFonts w:hint="eastAsia" w:cs="Times New Roman"/>
                      <w:b w:val="0"/>
                      <w:bCs w:val="0"/>
                      <w:color w:val="auto"/>
                      <w:kern w:val="2"/>
                      <w:sz w:val="21"/>
                      <w:szCs w:val="21"/>
                      <w:highlight w:val="none"/>
                      <w:lang w:val="en-US" w:eastAsia="zh-CN" w:bidi="ar-SA"/>
                    </w:rPr>
                    <w:t>油</w:t>
                  </w:r>
                  <w:r>
                    <w:rPr>
                      <w:rFonts w:hint="default" w:ascii="Times New Roman" w:hAnsi="Times New Roman" w:cs="Times New Roman"/>
                      <w:b w:val="0"/>
                      <w:bCs w:val="0"/>
                      <w:color w:val="auto"/>
                      <w:kern w:val="2"/>
                      <w:sz w:val="21"/>
                      <w:szCs w:val="21"/>
                      <w:highlight w:val="none"/>
                      <w:lang w:val="en-US" w:eastAsia="zh-CN" w:bidi="ar-SA"/>
                    </w:rPr>
                    <w:t>废抹布</w:t>
                  </w:r>
                </w:p>
              </w:tc>
              <w:tc>
                <w:tcPr>
                  <w:tcW w:w="846" w:type="pct"/>
                  <w:noWrap w:val="0"/>
                  <w:vAlign w:val="center"/>
                </w:tcPr>
                <w:p w14:paraId="78D0E9BC">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72079D25">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62" w:type="pct"/>
                  <w:vMerge w:val="continue"/>
                  <w:noWrap w:val="0"/>
                  <w:vAlign w:val="center"/>
                </w:tcPr>
                <w:p w14:paraId="02ECFBC4">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42" w:type="pct"/>
                  <w:vMerge w:val="continue"/>
                  <w:noWrap w:val="0"/>
                  <w:vAlign w:val="center"/>
                </w:tcPr>
                <w:p w14:paraId="2BD781BC">
                  <w:pPr>
                    <w:keepNext w:val="0"/>
                    <w:keepLines w:val="0"/>
                    <w:suppressLineNumbers w:val="0"/>
                    <w:autoSpaceDE w:val="0"/>
                    <w:autoSpaceDN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711A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vMerge w:val="continue"/>
                  <w:noWrap w:val="0"/>
                  <w:vAlign w:val="center"/>
                </w:tcPr>
                <w:p w14:paraId="5939D09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586" w:type="pct"/>
                  <w:noWrap w:val="0"/>
                  <w:vAlign w:val="center"/>
                </w:tcPr>
                <w:p w14:paraId="0FD356E3">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废pH调整剂包装桶</w:t>
                  </w:r>
                </w:p>
              </w:tc>
              <w:tc>
                <w:tcPr>
                  <w:tcW w:w="846" w:type="pct"/>
                  <w:noWrap w:val="0"/>
                  <w:vAlign w:val="center"/>
                </w:tcPr>
                <w:p w14:paraId="7314062B">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76" w:type="pct"/>
                  <w:vMerge w:val="continue"/>
                  <w:noWrap w:val="0"/>
                  <w:vAlign w:val="center"/>
                </w:tcPr>
                <w:p w14:paraId="76FCB4A6">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762" w:type="pct"/>
                  <w:vMerge w:val="continue"/>
                  <w:noWrap w:val="0"/>
                  <w:vAlign w:val="center"/>
                </w:tcPr>
                <w:p w14:paraId="195F1353">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742" w:type="pct"/>
                  <w:vMerge w:val="continue"/>
                  <w:noWrap w:val="0"/>
                  <w:vAlign w:val="center"/>
                </w:tcPr>
                <w:p w14:paraId="0C5739F2">
                  <w:pPr>
                    <w:keepNext w:val="0"/>
                    <w:keepLines w:val="0"/>
                    <w:suppressLineNumbers w:val="0"/>
                    <w:autoSpaceDE w:val="0"/>
                    <w:autoSpaceDN w:val="0"/>
                    <w:snapToGrid/>
                    <w:spacing w:before="0" w:beforeLines="0" w:beforeAutospacing="0" w:after="0" w:afterAutospacing="0" w:line="240" w:lineRule="auto"/>
                    <w:ind w:left="0" w:right="0"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27886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noWrap w:val="0"/>
                  <w:vAlign w:val="center"/>
                </w:tcPr>
                <w:p w14:paraId="16ACAD4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风险防范措施</w:t>
                  </w:r>
                </w:p>
              </w:tc>
              <w:tc>
                <w:tcPr>
                  <w:tcW w:w="586" w:type="pct"/>
                  <w:noWrap w:val="0"/>
                  <w:vAlign w:val="center"/>
                </w:tcPr>
                <w:p w14:paraId="18662CB8">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事故废水</w:t>
                  </w:r>
                </w:p>
              </w:tc>
              <w:tc>
                <w:tcPr>
                  <w:tcW w:w="846" w:type="pct"/>
                  <w:noWrap w:val="0"/>
                  <w:vAlign w:val="center"/>
                </w:tcPr>
                <w:p w14:paraId="656E2347">
                  <w:pPr>
                    <w:keepNext w:val="0"/>
                    <w:keepLines w:val="0"/>
                    <w:suppressLineNumbers w:val="0"/>
                    <w:spacing w:before="0" w:beforeLines="0" w:beforeAutospacing="0" w:after="0" w:afterAutospacing="0" w:line="240" w:lineRule="auto"/>
                    <w:ind w:left="0" w:right="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r>
                    <w:rPr>
                      <w:rFonts w:hint="default" w:ascii="Times New Roman" w:hAnsi="Times New Roman" w:cs="Times New Roman"/>
                      <w:b w:val="0"/>
                      <w:bCs w:val="0"/>
                      <w:color w:val="auto"/>
                      <w:kern w:val="2"/>
                      <w:sz w:val="21"/>
                      <w:szCs w:val="21"/>
                      <w:highlight w:val="none"/>
                      <w:lang w:val="en-US" w:eastAsia="zh-CN" w:bidi="ar-SA"/>
                    </w:rPr>
                    <w:t>总磷、</w:t>
                  </w:r>
                  <w:r>
                    <w:rPr>
                      <w:rFonts w:hint="default" w:ascii="Times New Roman" w:hAnsi="Times New Roman" w:eastAsia="宋体" w:cs="Times New Roman"/>
                      <w:b w:val="0"/>
                      <w:bCs w:val="0"/>
                      <w:color w:val="auto"/>
                      <w:kern w:val="2"/>
                      <w:sz w:val="21"/>
                      <w:szCs w:val="21"/>
                      <w:highlight w:val="none"/>
                      <w:lang w:val="en-US" w:eastAsia="zh-CN" w:bidi="ar-SA"/>
                    </w:rPr>
                    <w:t>石油类、氟化物、LAS</w:t>
                  </w:r>
                </w:p>
              </w:tc>
              <w:tc>
                <w:tcPr>
                  <w:tcW w:w="676" w:type="pct"/>
                  <w:noWrap w:val="0"/>
                  <w:vAlign w:val="center"/>
                </w:tcPr>
                <w:p w14:paraId="7E9A1394">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eastAsia" w:cs="Times New Roman"/>
                      <w:b w:val="0"/>
                      <w:bCs w:val="0"/>
                      <w:color w:val="auto"/>
                      <w:kern w:val="2"/>
                      <w:sz w:val="21"/>
                      <w:szCs w:val="21"/>
                      <w:highlight w:val="none"/>
                      <w:lang w:val="en-US" w:eastAsia="zh-CN" w:bidi="ar-SA"/>
                    </w:rPr>
                    <w:t>事故应急池</w:t>
                  </w:r>
                </w:p>
              </w:tc>
              <w:tc>
                <w:tcPr>
                  <w:tcW w:w="762" w:type="pct"/>
                  <w:noWrap w:val="0"/>
                  <w:vAlign w:val="center"/>
                </w:tcPr>
                <w:p w14:paraId="76A75136">
                  <w:pPr>
                    <w:keepNext w:val="0"/>
                    <w:keepLines w:val="0"/>
                    <w:widowControl/>
                    <w:suppressLineNumbers w:val="0"/>
                    <w:autoSpaceDE w:val="0"/>
                    <w:autoSpaceDN w:val="0"/>
                    <w:snapToGrid/>
                    <w:spacing w:before="0" w:beforeLines="0" w:beforeAutospacing="0" w:after="0" w:afterAutospacing="0" w:line="240" w:lineRule="auto"/>
                    <w:ind w:left="0" w:right="0" w:firstLine="0" w:firstLineChars="0"/>
                    <w:contextualSpacing/>
                    <w:jc w:val="center"/>
                    <w:textAlignment w:val="baseline"/>
                    <w:rPr>
                      <w:rFonts w:hint="default" w:ascii="Times New Roman" w:hAnsi="Times New Roman" w:eastAsia="宋体" w:cs="Times New Roman"/>
                      <w:bCs/>
                      <w:color w:val="auto"/>
                      <w:sz w:val="21"/>
                      <w:szCs w:val="21"/>
                      <w:highlight w:val="none"/>
                    </w:rPr>
                  </w:pPr>
                  <w:r>
                    <w:rPr>
                      <w:rFonts w:hint="eastAsia" w:cs="Times New Roman"/>
                      <w:b w:val="0"/>
                      <w:bCs w:val="0"/>
                      <w:color w:val="auto"/>
                      <w:kern w:val="2"/>
                      <w:sz w:val="21"/>
                      <w:szCs w:val="21"/>
                      <w:highlight w:val="none"/>
                      <w:lang w:val="en-US" w:eastAsia="zh-CN" w:bidi="ar-SA"/>
                    </w:rPr>
                    <w:t>事故应急池</w:t>
                  </w:r>
                  <w:r>
                    <w:rPr>
                      <w:rFonts w:hint="default" w:ascii="Times New Roman" w:hAnsi="Times New Roman" w:eastAsia="宋体" w:cs="Times New Roman"/>
                      <w:b w:val="0"/>
                      <w:bCs w:val="0"/>
                      <w:color w:val="auto"/>
                      <w:kern w:val="2"/>
                      <w:sz w:val="21"/>
                      <w:szCs w:val="21"/>
                      <w:highlight w:val="none"/>
                      <w:lang w:val="en-US" w:eastAsia="zh-CN" w:bidi="ar-SA"/>
                    </w:rPr>
                    <w:t>设置情况</w:t>
                  </w:r>
                  <w:r>
                    <w:rPr>
                      <w:rFonts w:hint="eastAsia" w:cs="Times New Roman"/>
                      <w:b w:val="0"/>
                      <w:bCs w:val="0"/>
                      <w:color w:val="auto"/>
                      <w:kern w:val="2"/>
                      <w:sz w:val="21"/>
                      <w:szCs w:val="21"/>
                      <w:highlight w:val="none"/>
                      <w:lang w:val="en-US" w:eastAsia="zh-CN" w:bidi="ar-SA"/>
                    </w:rPr>
                    <w:t>，事故废水收集管网</w:t>
                  </w:r>
                  <w:r>
                    <w:rPr>
                      <w:rFonts w:hint="default" w:ascii="Times New Roman" w:hAnsi="Times New Roman" w:eastAsia="宋体" w:cs="Times New Roman"/>
                      <w:b w:val="0"/>
                      <w:bCs w:val="0"/>
                      <w:color w:val="auto"/>
                      <w:kern w:val="2"/>
                      <w:sz w:val="21"/>
                      <w:szCs w:val="21"/>
                      <w:highlight w:val="none"/>
                      <w:lang w:val="en-US" w:eastAsia="zh-CN" w:bidi="ar-SA"/>
                    </w:rPr>
                    <w:t>设置情况</w:t>
                  </w:r>
                </w:p>
              </w:tc>
              <w:tc>
                <w:tcPr>
                  <w:tcW w:w="1742" w:type="pct"/>
                  <w:noWrap w:val="0"/>
                  <w:vAlign w:val="center"/>
                </w:tcPr>
                <w:p w14:paraId="51BF3CD5">
                  <w:pPr>
                    <w:keepNext w:val="0"/>
                    <w:keepLines w:val="0"/>
                    <w:pageBreakBefore w:val="0"/>
                    <w:widowControl w:val="0"/>
                    <w:suppressLineNumbers w:val="0"/>
                    <w:kinsoku/>
                    <w:wordWrap/>
                    <w:overflowPunct/>
                    <w:topLinePunct w:val="0"/>
                    <w:autoSpaceDE w:val="0"/>
                    <w:autoSpaceDN w:val="0"/>
                    <w:bidi w:val="0"/>
                    <w:adjustRightInd/>
                    <w:snapToGrid/>
                    <w:spacing w:before="0" w:beforeLines="0" w:beforeAutospacing="0" w:after="0" w:afterAutospacing="0" w:line="240" w:lineRule="auto"/>
                    <w:ind w:left="0" w:right="0" w:firstLine="0" w:firstLineChars="0"/>
                    <w:contextualSpacing/>
                    <w:jc w:val="center"/>
                    <w:textAlignment w:val="baseline"/>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val="en-US" w:eastAsia="zh-CN"/>
                    </w:rPr>
                    <w:t>满足</w:t>
                  </w:r>
                  <w:r>
                    <w:rPr>
                      <w:rFonts w:hint="default" w:ascii="Times New Roman" w:hAnsi="Times New Roman" w:eastAsia="宋体" w:cs="Times New Roman"/>
                      <w:bCs/>
                      <w:color w:val="auto"/>
                      <w:sz w:val="21"/>
                      <w:szCs w:val="21"/>
                      <w:highlight w:val="none"/>
                    </w:rPr>
                    <w:t>《事故状态下水体污染的预防与控制技术要求》（Q/SY 1190-2013）的规定</w:t>
                  </w:r>
                  <w:r>
                    <w:rPr>
                      <w:rFonts w:hint="eastAsia" w:cs="Times New Roman"/>
                      <w:bCs/>
                      <w:color w:val="auto"/>
                      <w:sz w:val="21"/>
                      <w:szCs w:val="21"/>
                      <w:highlight w:val="none"/>
                      <w:lang w:eastAsia="zh-CN"/>
                    </w:rPr>
                    <w:t>，发生事故时，泄漏物料、消防废水等事故废水均能截留在厂区内</w:t>
                  </w:r>
                </w:p>
              </w:tc>
            </w:tr>
          </w:tbl>
          <w:p w14:paraId="77228BFA">
            <w:pPr>
              <w:keepNext/>
              <w:keepLines/>
              <w:suppressLineNumbers w:val="0"/>
              <w:tabs>
                <w:tab w:val="left" w:pos="0"/>
              </w:tabs>
              <w:spacing w:before="0" w:beforeAutospacing="0" w:after="0" w:afterAutospacing="0"/>
              <w:ind w:left="478" w:right="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八、电磁辐射环境</w:t>
            </w:r>
          </w:p>
          <w:p w14:paraId="5A154C64">
            <w:pPr>
              <w:pStyle w:val="12"/>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本项目不存在电磁辐射影响。</w:t>
            </w:r>
          </w:p>
          <w:p w14:paraId="2AC11E62">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05F3BF7B">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p w14:paraId="6D786852">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tc>
      </w:tr>
    </w:tbl>
    <w:p w14:paraId="470540EA">
      <w:pPr>
        <w:rPr>
          <w:color w:val="auto"/>
          <w:highlight w:val="none"/>
        </w:rPr>
        <w:sectPr>
          <w:pgSz w:w="11906" w:h="16838"/>
          <w:pgMar w:top="1440" w:right="1080" w:bottom="1440" w:left="108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D6F560">
      <w:pPr>
        <w:pStyle w:val="2"/>
        <w:numPr>
          <w:ilvl w:val="0"/>
          <w:numId w:val="0"/>
        </w:numPr>
        <w:rPr>
          <w:rFonts w:cs="Times New Roman"/>
          <w:b/>
          <w:bCs/>
          <w:color w:val="auto"/>
          <w:highlight w:val="none"/>
        </w:rPr>
      </w:pPr>
      <w:bookmarkStart w:id="177" w:name="_Toc30723"/>
      <w:bookmarkStart w:id="178" w:name="_Toc23240"/>
      <w:bookmarkStart w:id="179" w:name="_Toc21119"/>
      <w:r>
        <w:rPr>
          <w:rFonts w:hint="eastAsia" w:cs="Times New Roman"/>
          <w:b/>
          <w:bCs/>
          <w:color w:val="auto"/>
          <w:highlight w:val="none"/>
        </w:rPr>
        <w:t>五、</w:t>
      </w:r>
      <w:r>
        <w:rPr>
          <w:rFonts w:cs="Times New Roman"/>
          <w:b/>
          <w:bCs/>
          <w:color w:val="auto"/>
          <w:highlight w:val="none"/>
        </w:rPr>
        <w:t>环境保护措施监督检查清单</w:t>
      </w:r>
      <w:bookmarkEnd w:id="175"/>
      <w:bookmarkEnd w:id="177"/>
      <w:bookmarkEnd w:id="178"/>
      <w:bookmarkEnd w:id="179"/>
    </w:p>
    <w:tbl>
      <w:tblPr>
        <w:tblStyle w:val="38"/>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352"/>
        <w:gridCol w:w="983"/>
        <w:gridCol w:w="1461"/>
        <w:gridCol w:w="1898"/>
        <w:gridCol w:w="2823"/>
      </w:tblGrid>
      <w:tr w14:paraId="46C9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tcBorders>
              <w:tl2br w:val="single" w:color="auto" w:sz="4" w:space="0"/>
            </w:tcBorders>
            <w:vAlign w:val="center"/>
          </w:tcPr>
          <w:p w14:paraId="74E9B6D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内容</w:t>
            </w:r>
          </w:p>
          <w:p w14:paraId="2CBE8CB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eastAsia"/>
                <w:b/>
                <w:bCs/>
                <w:color w:val="auto"/>
                <w:kern w:val="2"/>
                <w:highlight w:val="none"/>
              </w:rPr>
            </w:pPr>
            <w:r>
              <w:rPr>
                <w:rFonts w:hint="eastAsia"/>
                <w:b/>
                <w:bCs/>
                <w:color w:val="auto"/>
                <w:kern w:val="2"/>
                <w:highlight w:val="none"/>
              </w:rPr>
              <w:t>要素</w:t>
            </w:r>
          </w:p>
        </w:tc>
        <w:tc>
          <w:tcPr>
            <w:tcW w:w="1255" w:type="pct"/>
            <w:gridSpan w:val="2"/>
            <w:vAlign w:val="center"/>
          </w:tcPr>
          <w:p w14:paraId="5F7CDD1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排放口（编号、名称）/污染源</w:t>
            </w:r>
          </w:p>
        </w:tc>
        <w:tc>
          <w:tcPr>
            <w:tcW w:w="785" w:type="pct"/>
            <w:vAlign w:val="center"/>
          </w:tcPr>
          <w:p w14:paraId="127138A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污染物项目</w:t>
            </w:r>
          </w:p>
        </w:tc>
        <w:tc>
          <w:tcPr>
            <w:tcW w:w="1020" w:type="pct"/>
            <w:vAlign w:val="center"/>
          </w:tcPr>
          <w:p w14:paraId="5403213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环境保护措施</w:t>
            </w:r>
          </w:p>
        </w:tc>
        <w:tc>
          <w:tcPr>
            <w:tcW w:w="1518" w:type="pct"/>
            <w:vAlign w:val="center"/>
          </w:tcPr>
          <w:p w14:paraId="080994A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b/>
                <w:bCs/>
                <w:color w:val="auto"/>
                <w:kern w:val="2"/>
                <w:highlight w:val="none"/>
              </w:rPr>
            </w:pPr>
            <w:r>
              <w:rPr>
                <w:rFonts w:hint="eastAsia"/>
                <w:b/>
                <w:bCs/>
                <w:color w:val="auto"/>
                <w:kern w:val="2"/>
                <w:highlight w:val="none"/>
              </w:rPr>
              <w:t>执行标准</w:t>
            </w:r>
          </w:p>
        </w:tc>
      </w:tr>
      <w:tr w14:paraId="6CEE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8" w:hRule="atLeast"/>
          <w:jc w:val="center"/>
        </w:trPr>
        <w:tc>
          <w:tcPr>
            <w:tcW w:w="418" w:type="pct"/>
            <w:vMerge w:val="restart"/>
            <w:vAlign w:val="center"/>
          </w:tcPr>
          <w:p w14:paraId="0042C21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大气环境</w:t>
            </w:r>
          </w:p>
        </w:tc>
        <w:tc>
          <w:tcPr>
            <w:tcW w:w="727" w:type="pct"/>
            <w:vAlign w:val="center"/>
          </w:tcPr>
          <w:p w14:paraId="636C3FE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天然气燃烧废气</w:t>
            </w:r>
          </w:p>
          <w:p w14:paraId="238EF11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（DA001）</w:t>
            </w:r>
          </w:p>
        </w:tc>
        <w:tc>
          <w:tcPr>
            <w:tcW w:w="528" w:type="pct"/>
            <w:vAlign w:val="center"/>
          </w:tcPr>
          <w:p w14:paraId="52C4A15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燃烧废气</w:t>
            </w:r>
          </w:p>
        </w:tc>
        <w:tc>
          <w:tcPr>
            <w:tcW w:w="785" w:type="pct"/>
            <w:vAlign w:val="center"/>
          </w:tcPr>
          <w:p w14:paraId="6AEB5D9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颗粒物、氮氧化物、二氧化硫</w:t>
            </w:r>
            <w:r>
              <w:rPr>
                <w:rFonts w:hint="eastAsia"/>
                <w:color w:val="auto"/>
                <w:kern w:val="2"/>
                <w:highlight w:val="none"/>
                <w:lang w:eastAsia="zh-CN"/>
              </w:rPr>
              <w:t>、</w:t>
            </w:r>
            <w:r>
              <w:rPr>
                <w:rFonts w:hint="eastAsia"/>
                <w:color w:val="auto"/>
                <w:kern w:val="2"/>
                <w:highlight w:val="none"/>
                <w:lang w:val="en-US" w:eastAsia="zh-CN"/>
              </w:rPr>
              <w:t>烟气黑度</w:t>
            </w:r>
          </w:p>
        </w:tc>
        <w:tc>
          <w:tcPr>
            <w:tcW w:w="1020" w:type="pct"/>
            <w:vAlign w:val="center"/>
          </w:tcPr>
          <w:p w14:paraId="07EDA3C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经</w:t>
            </w:r>
            <w:r>
              <w:rPr>
                <w:rFonts w:hint="eastAsia"/>
                <w:color w:val="auto"/>
                <w:kern w:val="0"/>
                <w:highlight w:val="none"/>
                <w:lang w:val="en-US" w:eastAsia="zh-CN" w:bidi="ar"/>
              </w:rPr>
              <w:t>15</w:t>
            </w:r>
            <w:r>
              <w:rPr>
                <w:rFonts w:hint="eastAsia"/>
                <w:color w:val="auto"/>
                <w:kern w:val="0"/>
                <w:highlight w:val="none"/>
                <w:lang w:bidi="ar"/>
              </w:rPr>
              <w:t>m</w:t>
            </w:r>
            <w:r>
              <w:rPr>
                <w:rFonts w:hint="eastAsia"/>
                <w:color w:val="auto"/>
                <w:kern w:val="2"/>
                <w:highlight w:val="none"/>
              </w:rPr>
              <w:t>高排气筒（DA001）排放</w:t>
            </w:r>
          </w:p>
        </w:tc>
        <w:tc>
          <w:tcPr>
            <w:tcW w:w="1518" w:type="pct"/>
            <w:vAlign w:val="center"/>
          </w:tcPr>
          <w:p w14:paraId="2C15596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根据《关于印发&lt;工业炉窑大气污染综合治理方案&gt;的通知》（环大气〔2019〕56号）和《关于贯彻落实&lt;工业炉窑大气污染物综合治理方案&gt;的实施意见》（粤环函〔2019〕1112号），废气按照颗粒物、二氧化硫、氮氧化物排放限值分别不高于30、200、300毫克/立方米控制</w:t>
            </w:r>
            <w:r>
              <w:rPr>
                <w:rFonts w:hint="eastAsia"/>
                <w:color w:val="auto"/>
                <w:kern w:val="2"/>
                <w:highlight w:val="none"/>
                <w:lang w:eastAsia="zh-CN"/>
              </w:rPr>
              <w:t>，</w:t>
            </w:r>
            <w:r>
              <w:rPr>
                <w:rFonts w:hint="eastAsia"/>
                <w:color w:val="auto"/>
                <w:kern w:val="2"/>
                <w:highlight w:val="none"/>
                <w:lang w:val="en-US" w:eastAsia="zh-CN"/>
              </w:rPr>
              <w:t>烟气黑度执行</w:t>
            </w:r>
            <w:r>
              <w:rPr>
                <w:rFonts w:hint="eastAsia" w:cs="Times New Roman"/>
                <w:color w:val="auto"/>
                <w:kern w:val="2"/>
                <w:highlight w:val="none"/>
                <w:lang w:val="en-US" w:eastAsia="zh-CN"/>
              </w:rPr>
              <w:t>《工业炉窑大气污染物排放标准》（GB 9078-1996）</w:t>
            </w:r>
          </w:p>
        </w:tc>
      </w:tr>
      <w:tr w14:paraId="1CE0D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8" w:hRule="atLeast"/>
          <w:jc w:val="center"/>
        </w:trPr>
        <w:tc>
          <w:tcPr>
            <w:tcW w:w="418" w:type="pct"/>
            <w:vMerge w:val="continue"/>
            <w:vAlign w:val="center"/>
          </w:tcPr>
          <w:p w14:paraId="525375E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Align w:val="center"/>
          </w:tcPr>
          <w:p w14:paraId="3132F02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lang w:val="en-US" w:eastAsia="zh-CN"/>
              </w:rPr>
            </w:pPr>
            <w:r>
              <w:rPr>
                <w:rFonts w:hint="eastAsia"/>
                <w:color w:val="auto"/>
                <w:kern w:val="2"/>
                <w:highlight w:val="none"/>
                <w:lang w:val="en-US" w:eastAsia="zh-CN"/>
              </w:rPr>
              <w:t>食堂油烟</w:t>
            </w:r>
          </w:p>
          <w:p w14:paraId="1D0FDFA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rPr>
              <w:t>（DA00</w:t>
            </w:r>
            <w:r>
              <w:rPr>
                <w:rFonts w:hint="eastAsia"/>
                <w:color w:val="auto"/>
                <w:kern w:val="2"/>
                <w:highlight w:val="none"/>
                <w:lang w:val="en-US" w:eastAsia="zh-CN"/>
              </w:rPr>
              <w:t>2</w:t>
            </w:r>
            <w:r>
              <w:rPr>
                <w:rFonts w:hint="eastAsia"/>
                <w:color w:val="auto"/>
                <w:kern w:val="2"/>
                <w:highlight w:val="none"/>
              </w:rPr>
              <w:t>）</w:t>
            </w:r>
          </w:p>
        </w:tc>
        <w:tc>
          <w:tcPr>
            <w:tcW w:w="528" w:type="pct"/>
            <w:vAlign w:val="center"/>
          </w:tcPr>
          <w:p w14:paraId="2867EF9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eastAsia="宋体"/>
                <w:color w:val="auto"/>
                <w:kern w:val="2"/>
                <w:highlight w:val="none"/>
                <w:lang w:val="en-US" w:eastAsia="zh-CN"/>
              </w:rPr>
            </w:pPr>
            <w:r>
              <w:rPr>
                <w:rFonts w:hint="eastAsia"/>
                <w:color w:val="auto"/>
                <w:kern w:val="2"/>
                <w:highlight w:val="none"/>
                <w:lang w:val="en-US" w:eastAsia="zh-CN"/>
              </w:rPr>
              <w:t>油烟</w:t>
            </w:r>
          </w:p>
        </w:tc>
        <w:tc>
          <w:tcPr>
            <w:tcW w:w="785" w:type="pct"/>
            <w:vAlign w:val="center"/>
          </w:tcPr>
          <w:p w14:paraId="6BA02AA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eastAsia="宋体"/>
                <w:color w:val="auto"/>
                <w:kern w:val="2"/>
                <w:highlight w:val="none"/>
                <w:lang w:val="en-US" w:eastAsia="zh-CN"/>
              </w:rPr>
            </w:pPr>
            <w:r>
              <w:rPr>
                <w:rFonts w:hint="eastAsia"/>
                <w:color w:val="auto"/>
                <w:kern w:val="2"/>
                <w:highlight w:val="none"/>
                <w:lang w:val="en-US" w:eastAsia="zh-CN"/>
              </w:rPr>
              <w:t>油烟</w:t>
            </w:r>
          </w:p>
        </w:tc>
        <w:tc>
          <w:tcPr>
            <w:tcW w:w="1020" w:type="pct"/>
            <w:vAlign w:val="center"/>
          </w:tcPr>
          <w:p w14:paraId="377548F7">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s="Times New Roman"/>
                <w:i w:val="0"/>
                <w:iCs w:val="0"/>
                <w:color w:val="auto"/>
                <w:kern w:val="0"/>
                <w:sz w:val="21"/>
                <w:szCs w:val="21"/>
                <w:highlight w:val="none"/>
                <w:u w:val="none"/>
                <w:lang w:val="en-US" w:eastAsia="zh-CN" w:bidi="ar"/>
              </w:rPr>
              <w:t>静电油烟净化器处理后，</w:t>
            </w:r>
            <w:r>
              <w:rPr>
                <w:rFonts w:hint="eastAsia"/>
                <w:color w:val="auto"/>
                <w:kern w:val="2"/>
                <w:highlight w:val="none"/>
              </w:rPr>
              <w:t>经</w:t>
            </w:r>
            <w:r>
              <w:rPr>
                <w:rFonts w:hint="eastAsia"/>
                <w:color w:val="auto"/>
                <w:kern w:val="0"/>
                <w:highlight w:val="none"/>
                <w:lang w:val="en-US" w:eastAsia="zh-CN" w:bidi="ar"/>
              </w:rPr>
              <w:t>20</w:t>
            </w:r>
            <w:r>
              <w:rPr>
                <w:rFonts w:hint="eastAsia"/>
                <w:color w:val="auto"/>
                <w:kern w:val="0"/>
                <w:highlight w:val="none"/>
                <w:lang w:bidi="ar"/>
              </w:rPr>
              <w:t>m</w:t>
            </w:r>
            <w:r>
              <w:rPr>
                <w:rFonts w:hint="eastAsia"/>
                <w:color w:val="auto"/>
                <w:kern w:val="2"/>
                <w:highlight w:val="none"/>
              </w:rPr>
              <w:t>高排气筒（DA00</w:t>
            </w:r>
            <w:r>
              <w:rPr>
                <w:rFonts w:hint="eastAsia"/>
                <w:color w:val="auto"/>
                <w:kern w:val="2"/>
                <w:highlight w:val="none"/>
                <w:lang w:val="en-US" w:eastAsia="zh-CN"/>
              </w:rPr>
              <w:t>2</w:t>
            </w:r>
            <w:r>
              <w:rPr>
                <w:rFonts w:hint="eastAsia"/>
                <w:color w:val="auto"/>
                <w:kern w:val="2"/>
                <w:highlight w:val="none"/>
              </w:rPr>
              <w:t>）排放</w:t>
            </w:r>
          </w:p>
        </w:tc>
        <w:tc>
          <w:tcPr>
            <w:tcW w:w="1518" w:type="pct"/>
            <w:vAlign w:val="center"/>
          </w:tcPr>
          <w:p w14:paraId="4DD5A0F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《饮食业油烟排放标准（试行）》（GB18483-2001）</w:t>
            </w:r>
          </w:p>
        </w:tc>
      </w:tr>
      <w:tr w14:paraId="6A85F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8" w:hRule="atLeast"/>
          <w:jc w:val="center"/>
        </w:trPr>
        <w:tc>
          <w:tcPr>
            <w:tcW w:w="418" w:type="pct"/>
            <w:vMerge w:val="continue"/>
            <w:vAlign w:val="center"/>
          </w:tcPr>
          <w:p w14:paraId="01E770A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Align w:val="center"/>
          </w:tcPr>
          <w:p w14:paraId="50190AA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打磨、抛光粉尘</w:t>
            </w:r>
          </w:p>
          <w:p w14:paraId="58BFCA8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8" w:type="pct"/>
            <w:vAlign w:val="center"/>
          </w:tcPr>
          <w:p w14:paraId="20C3E03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打磨、抛光粉</w:t>
            </w:r>
          </w:p>
        </w:tc>
        <w:tc>
          <w:tcPr>
            <w:tcW w:w="785" w:type="pct"/>
            <w:vAlign w:val="center"/>
          </w:tcPr>
          <w:p w14:paraId="29DF2DB6">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color w:val="auto"/>
                <w:kern w:val="2"/>
                <w:highlight w:val="none"/>
                <w:lang w:val="en-US" w:eastAsia="zh-CN"/>
              </w:rPr>
            </w:pPr>
            <w:r>
              <w:rPr>
                <w:rFonts w:hint="eastAsia"/>
                <w:color w:val="auto"/>
                <w:kern w:val="2"/>
                <w:highlight w:val="none"/>
                <w:lang w:val="en-US" w:eastAsia="zh-CN"/>
              </w:rPr>
              <w:t>颗粒物</w:t>
            </w:r>
          </w:p>
        </w:tc>
        <w:tc>
          <w:tcPr>
            <w:tcW w:w="1020" w:type="pct"/>
            <w:vAlign w:val="center"/>
          </w:tcPr>
          <w:p w14:paraId="30938EB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打磨、抛光粉尘</w:t>
            </w:r>
            <w:r>
              <w:rPr>
                <w:rFonts w:hint="eastAsia"/>
                <w:color w:val="auto"/>
                <w:kern w:val="2"/>
                <w:highlight w:val="none"/>
                <w:lang w:val="en-US" w:eastAsia="zh-CN"/>
              </w:rPr>
              <w:t>在密闭车间采用</w:t>
            </w:r>
            <w:r>
              <w:rPr>
                <w:rFonts w:hint="eastAsia"/>
                <w:color w:val="auto"/>
                <w:kern w:val="2"/>
                <w:highlight w:val="none"/>
              </w:rPr>
              <w:t>大旋风+滤芯式二级回收系统处理后，经</w:t>
            </w:r>
            <w:r>
              <w:rPr>
                <w:rFonts w:hint="eastAsia"/>
                <w:color w:val="auto"/>
                <w:kern w:val="0"/>
                <w:highlight w:val="none"/>
                <w:lang w:val="en-US" w:eastAsia="zh-CN" w:bidi="ar"/>
              </w:rPr>
              <w:t>15</w:t>
            </w:r>
            <w:r>
              <w:rPr>
                <w:rFonts w:hint="eastAsia"/>
                <w:color w:val="auto"/>
                <w:kern w:val="0"/>
                <w:highlight w:val="none"/>
                <w:lang w:bidi="ar"/>
              </w:rPr>
              <w:t>m</w:t>
            </w:r>
            <w:r>
              <w:rPr>
                <w:rFonts w:hint="eastAsia"/>
                <w:color w:val="auto"/>
                <w:kern w:val="2"/>
                <w:highlight w:val="none"/>
              </w:rPr>
              <w:t>高排气筒（DA001）排放</w:t>
            </w:r>
          </w:p>
        </w:tc>
        <w:tc>
          <w:tcPr>
            <w:tcW w:w="1518" w:type="pct"/>
            <w:vAlign w:val="center"/>
          </w:tcPr>
          <w:p w14:paraId="01E74CF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广东省《大气污染物排放限值》（DB44/27-2001）第二时段</w:t>
            </w:r>
            <w:r>
              <w:rPr>
                <w:rFonts w:hint="eastAsia"/>
                <w:color w:val="auto"/>
                <w:kern w:val="2"/>
                <w:highlight w:val="none"/>
                <w:lang w:val="en-US" w:eastAsia="zh-CN"/>
              </w:rPr>
              <w:t>及</w:t>
            </w:r>
            <w:r>
              <w:rPr>
                <w:rFonts w:hint="eastAsia"/>
                <w:color w:val="auto"/>
                <w:kern w:val="2"/>
                <w:highlight w:val="none"/>
              </w:rPr>
              <w:t>无组织排放监控浓度限值</w:t>
            </w:r>
          </w:p>
        </w:tc>
      </w:tr>
      <w:tr w14:paraId="21775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418" w:type="pct"/>
            <w:vMerge w:val="continue"/>
            <w:textDirection w:val="tbLrV"/>
            <w:vAlign w:val="center"/>
          </w:tcPr>
          <w:p w14:paraId="2ADAAB4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Merge w:val="restart"/>
            <w:vAlign w:val="center"/>
          </w:tcPr>
          <w:p w14:paraId="3B4D19F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无组织排放</w:t>
            </w:r>
          </w:p>
        </w:tc>
        <w:tc>
          <w:tcPr>
            <w:tcW w:w="528" w:type="pct"/>
            <w:vAlign w:val="center"/>
          </w:tcPr>
          <w:p w14:paraId="51E45DF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焊接烟尘</w:t>
            </w:r>
          </w:p>
        </w:tc>
        <w:tc>
          <w:tcPr>
            <w:tcW w:w="785" w:type="pct"/>
            <w:vAlign w:val="center"/>
          </w:tcPr>
          <w:p w14:paraId="6171E54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颗粒物</w:t>
            </w:r>
          </w:p>
        </w:tc>
        <w:tc>
          <w:tcPr>
            <w:tcW w:w="1020" w:type="pct"/>
            <w:vAlign w:val="center"/>
          </w:tcPr>
          <w:p w14:paraId="73533491">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焊接烟尘采用移动式焊烟净化器处理后于车间内无组织排放，并加强厂内通风</w:t>
            </w:r>
          </w:p>
        </w:tc>
        <w:tc>
          <w:tcPr>
            <w:tcW w:w="1518" w:type="pct"/>
            <w:vAlign w:val="center"/>
          </w:tcPr>
          <w:p w14:paraId="32E1EA7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广东省《大气污染物排放限值》（DB44/27-2001）第二时段无组织排放监控浓度限值</w:t>
            </w:r>
          </w:p>
        </w:tc>
      </w:tr>
      <w:tr w14:paraId="03A0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418" w:type="pct"/>
            <w:vMerge w:val="continue"/>
            <w:textDirection w:val="tbLrV"/>
            <w:vAlign w:val="center"/>
          </w:tcPr>
          <w:p w14:paraId="0FA0B2B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727" w:type="pct"/>
            <w:vMerge w:val="continue"/>
            <w:vAlign w:val="center"/>
          </w:tcPr>
          <w:p w14:paraId="4671472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p>
        </w:tc>
        <w:tc>
          <w:tcPr>
            <w:tcW w:w="528" w:type="pct"/>
            <w:vAlign w:val="center"/>
          </w:tcPr>
          <w:p w14:paraId="2691C0E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污水处理站恶臭</w:t>
            </w:r>
          </w:p>
        </w:tc>
        <w:tc>
          <w:tcPr>
            <w:tcW w:w="785" w:type="pct"/>
            <w:vAlign w:val="center"/>
          </w:tcPr>
          <w:p w14:paraId="2094BD3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default" w:eastAsia="宋体"/>
                <w:color w:val="auto"/>
                <w:kern w:val="2"/>
                <w:highlight w:val="none"/>
                <w:lang w:val="en-US" w:eastAsia="zh-CN"/>
              </w:rPr>
            </w:pPr>
            <w:r>
              <w:rPr>
                <w:rFonts w:hint="eastAsia"/>
                <w:color w:val="auto"/>
                <w:kern w:val="2"/>
                <w:highlight w:val="none"/>
                <w:lang w:val="en-US" w:eastAsia="zh-CN"/>
              </w:rPr>
              <w:t>臭气浓度、硫化氢、氨气</w:t>
            </w:r>
          </w:p>
        </w:tc>
        <w:tc>
          <w:tcPr>
            <w:tcW w:w="1020" w:type="pct"/>
            <w:vAlign w:val="center"/>
          </w:tcPr>
          <w:p w14:paraId="3197B44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采取加盖密闭、加强通风</w:t>
            </w:r>
          </w:p>
        </w:tc>
        <w:tc>
          <w:tcPr>
            <w:tcW w:w="1518" w:type="pct"/>
            <w:vAlign w:val="center"/>
          </w:tcPr>
          <w:p w14:paraId="209A8A1C">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《恶臭污染物排放标准》(GB14554-93)表1二级标准中“新改扩建”限值要求</w:t>
            </w:r>
          </w:p>
        </w:tc>
      </w:tr>
      <w:tr w14:paraId="5E85F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418" w:type="pct"/>
            <w:vAlign w:val="center"/>
          </w:tcPr>
          <w:p w14:paraId="3870F5C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地表水环境</w:t>
            </w:r>
          </w:p>
        </w:tc>
        <w:tc>
          <w:tcPr>
            <w:tcW w:w="1255" w:type="pct"/>
            <w:gridSpan w:val="2"/>
            <w:vAlign w:val="center"/>
          </w:tcPr>
          <w:p w14:paraId="06BDC5A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生活污水、生产废水</w:t>
            </w:r>
          </w:p>
          <w:p w14:paraId="10D50A7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r>
              <w:rPr>
                <w:rFonts w:hint="default" w:ascii="Times New Roman" w:hAnsi="Times New Roman" w:cs="Times New Roman"/>
                <w:color w:val="auto"/>
                <w:kern w:val="2"/>
                <w:highlight w:val="none"/>
                <w:lang w:val="en-US" w:eastAsia="zh-CN"/>
              </w:rPr>
              <w:t>DW00</w:t>
            </w:r>
            <w:r>
              <w:rPr>
                <w:rFonts w:hint="eastAsia"/>
                <w:color w:val="auto"/>
                <w:kern w:val="2"/>
                <w:highlight w:val="none"/>
              </w:rPr>
              <w:t>1）</w:t>
            </w:r>
          </w:p>
        </w:tc>
        <w:tc>
          <w:tcPr>
            <w:tcW w:w="785" w:type="pct"/>
            <w:vAlign w:val="center"/>
          </w:tcPr>
          <w:p w14:paraId="07864A60">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pH、COD</w:t>
            </w:r>
            <w:r>
              <w:rPr>
                <w:rFonts w:hint="eastAsia"/>
                <w:color w:val="auto"/>
                <w:kern w:val="2"/>
                <w:highlight w:val="none"/>
                <w:vertAlign w:val="subscript"/>
              </w:rPr>
              <w:t>Cr</w:t>
            </w:r>
            <w:r>
              <w:rPr>
                <w:rFonts w:hint="eastAsia"/>
                <w:color w:val="auto"/>
                <w:kern w:val="2"/>
                <w:highlight w:val="none"/>
              </w:rPr>
              <w:t>、BOD</w:t>
            </w:r>
            <w:r>
              <w:rPr>
                <w:rFonts w:hint="eastAsia"/>
                <w:color w:val="auto"/>
                <w:kern w:val="2"/>
                <w:highlight w:val="none"/>
                <w:vertAlign w:val="subscript"/>
              </w:rPr>
              <w:t>5</w:t>
            </w:r>
            <w:r>
              <w:rPr>
                <w:rFonts w:hint="eastAsia"/>
                <w:color w:val="auto"/>
                <w:kern w:val="2"/>
                <w:highlight w:val="none"/>
              </w:rPr>
              <w:t>、SS、氨氮、</w:t>
            </w:r>
            <w:r>
              <w:rPr>
                <w:rFonts w:hint="eastAsia"/>
                <w:color w:val="auto"/>
                <w:kern w:val="2"/>
                <w:highlight w:val="none"/>
                <w:lang w:val="en-US" w:eastAsia="zh-CN"/>
              </w:rPr>
              <w:t>总磷、</w:t>
            </w:r>
            <w:r>
              <w:rPr>
                <w:rFonts w:hint="eastAsia"/>
                <w:color w:val="auto"/>
                <w:kern w:val="2"/>
                <w:highlight w:val="none"/>
              </w:rPr>
              <w:t>石油类、阴离子表面活性剂、氟化物</w:t>
            </w:r>
          </w:p>
        </w:tc>
        <w:tc>
          <w:tcPr>
            <w:tcW w:w="1020" w:type="pct"/>
            <w:vAlign w:val="center"/>
          </w:tcPr>
          <w:p w14:paraId="4AEC162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生活污水经三级化粪池处理、生产废水经企业自建污水处理站处理后，经园区污水管网排入园区污水处理厂进一步处理后，排入武江</w:t>
            </w:r>
          </w:p>
        </w:tc>
        <w:tc>
          <w:tcPr>
            <w:tcW w:w="1518" w:type="pct"/>
            <w:vAlign w:val="center"/>
          </w:tcPr>
          <w:p w14:paraId="4DABEB22">
            <w:pPr>
              <w:pStyle w:val="19"/>
              <w:keepNext w:val="0"/>
              <w:keepLines w:val="0"/>
              <w:pageBreakBefore w:val="0"/>
              <w:suppressLineNumbers w:val="0"/>
              <w:kinsoku/>
              <w:overflowPunct/>
              <w:topLinePunct w:val="0"/>
              <w:bidi w:val="0"/>
              <w:snapToGrid/>
              <w:spacing w:before="0" w:beforeAutospacing="0" w:after="0" w:afterAutospacing="0" w:line="276" w:lineRule="auto"/>
              <w:ind w:left="0" w:right="0"/>
              <w:jc w:val="center"/>
              <w:rPr>
                <w:rFonts w:hint="default"/>
                <w:color w:val="auto"/>
                <w:highlight w:val="none"/>
                <w:lang w:val="en-US"/>
              </w:rPr>
            </w:pPr>
            <w:r>
              <w:rPr>
                <w:rFonts w:hint="eastAsia"/>
                <w:color w:val="auto"/>
                <w:sz w:val="21"/>
                <w:szCs w:val="21"/>
                <w:highlight w:val="none"/>
                <w:lang w:eastAsia="zh-CN"/>
              </w:rPr>
              <w:t>园区污水处理厂接管水质</w:t>
            </w:r>
            <w:r>
              <w:rPr>
                <w:rFonts w:hint="eastAsia"/>
                <w:color w:val="auto"/>
                <w:sz w:val="21"/>
                <w:szCs w:val="21"/>
                <w:highlight w:val="none"/>
                <w:lang w:val="en-US" w:eastAsia="zh-CN"/>
              </w:rPr>
              <w:t>要求及广东省《水污染物排放限值》（DB44/26-2001）第二时段三级标准两者较严值</w:t>
            </w:r>
          </w:p>
        </w:tc>
      </w:tr>
      <w:tr w14:paraId="4DB78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418" w:type="pct"/>
            <w:vAlign w:val="center"/>
          </w:tcPr>
          <w:p w14:paraId="2DA4661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声环境</w:t>
            </w:r>
          </w:p>
        </w:tc>
        <w:tc>
          <w:tcPr>
            <w:tcW w:w="1255" w:type="pct"/>
            <w:gridSpan w:val="2"/>
            <w:vAlign w:val="center"/>
          </w:tcPr>
          <w:p w14:paraId="6522E9E1">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机械设备</w:t>
            </w:r>
          </w:p>
        </w:tc>
        <w:tc>
          <w:tcPr>
            <w:tcW w:w="785" w:type="pct"/>
            <w:vAlign w:val="center"/>
          </w:tcPr>
          <w:p w14:paraId="20357B7F">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jc w:val="center"/>
              <w:rPr>
                <w:rFonts w:hint="eastAsia"/>
                <w:color w:val="auto"/>
                <w:highlight w:val="none"/>
              </w:rPr>
            </w:pPr>
            <w:r>
              <w:rPr>
                <w:rFonts w:hint="eastAsia"/>
                <w:color w:val="auto"/>
                <w:sz w:val="21"/>
                <w:szCs w:val="21"/>
                <w:highlight w:val="none"/>
              </w:rPr>
              <w:t>噪声</w:t>
            </w:r>
          </w:p>
        </w:tc>
        <w:tc>
          <w:tcPr>
            <w:tcW w:w="1020" w:type="pct"/>
            <w:vAlign w:val="center"/>
          </w:tcPr>
          <w:p w14:paraId="449670B2">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采取防振、隔声、降噪等措施</w:t>
            </w:r>
          </w:p>
        </w:tc>
        <w:tc>
          <w:tcPr>
            <w:tcW w:w="1518" w:type="pct"/>
            <w:vAlign w:val="center"/>
          </w:tcPr>
          <w:p w14:paraId="509AD24E">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《工业企业厂界环境噪声排放标准》（GB12348-2008）3类标准</w:t>
            </w:r>
          </w:p>
        </w:tc>
      </w:tr>
      <w:tr w14:paraId="6C0CC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18" w:type="pct"/>
            <w:vAlign w:val="center"/>
          </w:tcPr>
          <w:p w14:paraId="14EE9FB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电磁辐射</w:t>
            </w:r>
          </w:p>
        </w:tc>
        <w:tc>
          <w:tcPr>
            <w:tcW w:w="1255" w:type="pct"/>
            <w:gridSpan w:val="2"/>
            <w:vAlign w:val="center"/>
          </w:tcPr>
          <w:p w14:paraId="3699264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785" w:type="pct"/>
            <w:vAlign w:val="center"/>
          </w:tcPr>
          <w:p w14:paraId="5BAE4EA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1020" w:type="pct"/>
            <w:vAlign w:val="center"/>
          </w:tcPr>
          <w:p w14:paraId="4AC92353">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c>
          <w:tcPr>
            <w:tcW w:w="1518" w:type="pct"/>
            <w:vAlign w:val="center"/>
          </w:tcPr>
          <w:p w14:paraId="5AEA68A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w:t>
            </w:r>
          </w:p>
        </w:tc>
      </w:tr>
      <w:tr w14:paraId="2833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1F61636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固体废物</w:t>
            </w:r>
          </w:p>
        </w:tc>
        <w:tc>
          <w:tcPr>
            <w:tcW w:w="4581" w:type="pct"/>
            <w:gridSpan w:val="5"/>
            <w:vAlign w:val="center"/>
          </w:tcPr>
          <w:p w14:paraId="309BE7F9">
            <w:pPr>
              <w:keepNext w:val="0"/>
              <w:keepLines w:val="0"/>
              <w:pageBreakBefore w:val="0"/>
              <w:suppressLineNumbers w:val="0"/>
              <w:kinsoku/>
              <w:overflowPunct/>
              <w:topLinePunct w:val="0"/>
              <w:bidi w:val="0"/>
              <w:adjustRightInd w:val="0"/>
              <w:snapToGrid/>
              <w:spacing w:before="0" w:beforeAutospacing="0" w:after="0" w:afterAutospacing="0" w:line="276" w:lineRule="auto"/>
              <w:ind w:left="0" w:right="0" w:firstLine="420" w:firstLineChars="200"/>
              <w:jc w:val="both"/>
              <w:rPr>
                <w:rFonts w:hint="eastAsia"/>
                <w:color w:val="auto"/>
                <w:sz w:val="21"/>
                <w:szCs w:val="21"/>
                <w:highlight w:val="none"/>
              </w:rPr>
            </w:pPr>
            <w:r>
              <w:rPr>
                <w:rFonts w:hint="eastAsia"/>
                <w:color w:val="auto"/>
                <w:sz w:val="21"/>
                <w:szCs w:val="21"/>
                <w:highlight w:val="none"/>
              </w:rPr>
              <w:t>一般工业固体废物：在厂区内采用库房贮存，贮存过程满足相应防渗漏、防雨淋、防扬尘等环境保护要求；</w:t>
            </w:r>
          </w:p>
          <w:p w14:paraId="03819F5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危险废物：执行《危险废物贮存污染控制标准》（GB18597-2023）</w:t>
            </w:r>
            <w:r>
              <w:rPr>
                <w:rFonts w:hint="eastAsia"/>
                <w:color w:val="auto"/>
                <w:spacing w:val="-6"/>
                <w:kern w:val="2"/>
                <w:highlight w:val="none"/>
                <w:lang w:eastAsia="zh-CN"/>
              </w:rPr>
              <w:t>和《危险废物收集贮存运输技术规范》（HJ 2025-2012）</w:t>
            </w:r>
            <w:r>
              <w:rPr>
                <w:rFonts w:hint="eastAsia"/>
                <w:color w:val="auto"/>
                <w:kern w:val="2"/>
                <w:highlight w:val="none"/>
              </w:rPr>
              <w:t>。</w:t>
            </w:r>
          </w:p>
        </w:tc>
      </w:tr>
      <w:tr w14:paraId="4CD3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418" w:type="pct"/>
            <w:vAlign w:val="center"/>
          </w:tcPr>
          <w:p w14:paraId="146798CA">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土壤及地下水污染防治措施</w:t>
            </w:r>
          </w:p>
        </w:tc>
        <w:tc>
          <w:tcPr>
            <w:tcW w:w="4581" w:type="pct"/>
            <w:gridSpan w:val="5"/>
            <w:vAlign w:val="center"/>
          </w:tcPr>
          <w:p w14:paraId="098A8748">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厂区地面已全部硬化，危废间在建筑物内部，达到防风防雨防晒要求，地面硬化良好并刷环氧树脂漆防渗，四周设置围堰，满足四防要求。对预处理生产车间</w:t>
            </w:r>
            <w:r>
              <w:rPr>
                <w:rFonts w:hint="eastAsia"/>
                <w:color w:val="auto"/>
                <w:kern w:val="2"/>
                <w:highlight w:val="none"/>
                <w:lang w:val="en-US" w:eastAsia="zh-CN"/>
              </w:rPr>
              <w:t>、化学品仓库、危险废物暂存间、</w:t>
            </w:r>
            <w:r>
              <w:rPr>
                <w:rFonts w:hint="eastAsia"/>
                <w:color w:val="auto"/>
                <w:kern w:val="2"/>
                <w:highlight w:val="none"/>
              </w:rPr>
              <w:t>废水处理站进行一般防渗处理，防渗要求按照等效黏土防渗层Mb≥1.5m，K≤1×10</w:t>
            </w:r>
            <w:r>
              <w:rPr>
                <w:rFonts w:hint="eastAsia"/>
                <w:color w:val="auto"/>
                <w:kern w:val="2"/>
                <w:highlight w:val="none"/>
                <w:vertAlign w:val="superscript"/>
              </w:rPr>
              <w:t>-7</w:t>
            </w:r>
            <w:r>
              <w:rPr>
                <w:rFonts w:hint="eastAsia"/>
                <w:color w:val="auto"/>
                <w:kern w:val="2"/>
                <w:highlight w:val="none"/>
              </w:rPr>
              <w:t>cm/s或参照GB16889执行。</w:t>
            </w:r>
          </w:p>
        </w:tc>
      </w:tr>
      <w:tr w14:paraId="7FA69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418" w:type="pct"/>
            <w:vAlign w:val="center"/>
          </w:tcPr>
          <w:p w14:paraId="7D627B15">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生态保护措施</w:t>
            </w:r>
          </w:p>
        </w:tc>
        <w:tc>
          <w:tcPr>
            <w:tcW w:w="4581" w:type="pct"/>
            <w:gridSpan w:val="5"/>
            <w:vAlign w:val="center"/>
          </w:tcPr>
          <w:p w14:paraId="1D26229F">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firstLine="420" w:firstLineChars="200"/>
              <w:jc w:val="both"/>
              <w:rPr>
                <w:rFonts w:hint="eastAsia"/>
                <w:color w:val="auto"/>
                <w:kern w:val="2"/>
                <w:highlight w:val="none"/>
              </w:rPr>
            </w:pPr>
            <w:r>
              <w:rPr>
                <w:rFonts w:hint="eastAsia"/>
                <w:color w:val="auto"/>
                <w:kern w:val="2"/>
                <w:highlight w:val="none"/>
              </w:rPr>
              <w:t>厂房已建设安装完成，选址四周主要为厂房，不存在建设期间的生态影响。项目营运中产生的污染物通过采取以上环境保护治理措施并且加强日常的管理和监督，同时搞好厂区绿化后，均可达标排放。因此，项目营运期间不会对周边的生态环境造成明显的不利影响。</w:t>
            </w:r>
          </w:p>
        </w:tc>
      </w:tr>
      <w:tr w14:paraId="79A8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418" w:type="pct"/>
            <w:vAlign w:val="center"/>
          </w:tcPr>
          <w:p w14:paraId="5E0846D9">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环境风险防范措施</w:t>
            </w:r>
          </w:p>
        </w:tc>
        <w:tc>
          <w:tcPr>
            <w:tcW w:w="4581" w:type="pct"/>
            <w:gridSpan w:val="5"/>
            <w:vAlign w:val="center"/>
          </w:tcPr>
          <w:p w14:paraId="54062AC4">
            <w:pPr>
              <w:pStyle w:val="56"/>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1、严格执行应急管理、消防等相关规范，从总图布置和建筑安全方面进行风险防范，预留疏散通道或安置场所；</w:t>
            </w:r>
          </w:p>
          <w:p w14:paraId="5DC6EFB6">
            <w:pPr>
              <w:pStyle w:val="56"/>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2、从优化改进生产工艺、减少储存量、改善储存条件等方面降低风险程度；</w:t>
            </w:r>
          </w:p>
          <w:p w14:paraId="6728028F">
            <w:pPr>
              <w:pStyle w:val="56"/>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3、加强日常管理，降低管理失误而出现的风险事故，提高员工规范性操作水平，减少误操作引发的风险事故；</w:t>
            </w:r>
          </w:p>
          <w:p w14:paraId="6F64D4AF">
            <w:pPr>
              <w:pStyle w:val="56"/>
              <w:keepNext w:val="0"/>
              <w:keepLines w:val="0"/>
              <w:pageBreakBefore w:val="0"/>
              <w:widowControl/>
              <w:suppressLineNumbers w:val="0"/>
              <w:kinsoku/>
              <w:overflowPunct/>
              <w:topLinePunct w:val="0"/>
              <w:autoSpaceDE/>
              <w:autoSpaceDN/>
              <w:bidi w:val="0"/>
              <w:snapToGrid/>
              <w:spacing w:before="0" w:beforeAutospacing="0" w:after="0" w:afterAutospacing="0" w:line="276" w:lineRule="auto"/>
              <w:ind w:left="0" w:right="0" w:firstLine="420" w:firstLineChars="200"/>
              <w:jc w:val="both"/>
              <w:textAlignment w:val="auto"/>
              <w:rPr>
                <w:rFonts w:hint="eastAsia"/>
                <w:color w:val="auto"/>
                <w:kern w:val="2"/>
                <w:highlight w:val="none"/>
              </w:rPr>
            </w:pPr>
            <w:r>
              <w:rPr>
                <w:rFonts w:hint="eastAsia"/>
                <w:color w:val="auto"/>
                <w:kern w:val="2"/>
                <w:highlight w:val="none"/>
              </w:rPr>
              <w:t>4、按《危险废物贮存污染控制标准》（GB18597-2023）的相关要求做好危废暂存间的防渗措施，加强管理，避免装卸或存储过程中危险物质发生泄漏。</w:t>
            </w:r>
          </w:p>
        </w:tc>
      </w:tr>
      <w:tr w14:paraId="5BCD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418" w:type="pct"/>
            <w:vAlign w:val="center"/>
          </w:tcPr>
          <w:p w14:paraId="08511D74">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其他环境管理要求</w:t>
            </w:r>
          </w:p>
        </w:tc>
        <w:tc>
          <w:tcPr>
            <w:tcW w:w="4581" w:type="pct"/>
            <w:gridSpan w:val="5"/>
            <w:vAlign w:val="center"/>
          </w:tcPr>
          <w:p w14:paraId="45B5FDCD">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center"/>
              <w:rPr>
                <w:rFonts w:hint="eastAsia"/>
                <w:color w:val="auto"/>
                <w:kern w:val="2"/>
                <w:highlight w:val="none"/>
              </w:rPr>
            </w:pPr>
            <w:r>
              <w:rPr>
                <w:rFonts w:hint="eastAsia"/>
                <w:color w:val="auto"/>
                <w:kern w:val="2"/>
                <w:highlight w:val="none"/>
              </w:rPr>
              <w:t>无</w:t>
            </w:r>
          </w:p>
          <w:p w14:paraId="14784ECB">
            <w:pPr>
              <w:pStyle w:val="56"/>
              <w:keepNext w:val="0"/>
              <w:keepLines w:val="0"/>
              <w:pageBreakBefore w:val="0"/>
              <w:widowControl/>
              <w:suppressLineNumbers w:val="0"/>
              <w:kinsoku/>
              <w:overflowPunct/>
              <w:topLinePunct w:val="0"/>
              <w:bidi w:val="0"/>
              <w:snapToGrid/>
              <w:spacing w:before="0" w:beforeAutospacing="0" w:after="0" w:afterAutospacing="0" w:line="276" w:lineRule="auto"/>
              <w:ind w:left="0" w:right="0"/>
              <w:jc w:val="both"/>
              <w:rPr>
                <w:rFonts w:hint="eastAsia" w:eastAsia="宋体"/>
                <w:color w:val="auto"/>
                <w:kern w:val="2"/>
                <w:highlight w:val="none"/>
                <w:lang w:val="en-US" w:eastAsia="zh-CN"/>
              </w:rPr>
            </w:pPr>
          </w:p>
        </w:tc>
      </w:tr>
    </w:tbl>
    <w:p w14:paraId="46E16C5F">
      <w:pPr>
        <w:pStyle w:val="2"/>
        <w:numPr>
          <w:ilvl w:val="0"/>
          <w:numId w:val="0"/>
        </w:numPr>
        <w:rPr>
          <w:rFonts w:cs="Times New Roman"/>
          <w:color w:val="auto"/>
          <w:highlight w:val="none"/>
        </w:rPr>
      </w:pPr>
      <w:bookmarkStart w:id="180" w:name="_Toc4177"/>
      <w:bookmarkStart w:id="181" w:name="_Toc17135"/>
      <w:bookmarkStart w:id="182" w:name="_Toc15960"/>
      <w:r>
        <w:rPr>
          <w:rFonts w:hint="eastAsia" w:cs="Times New Roman"/>
          <w:color w:val="auto"/>
          <w:highlight w:val="none"/>
        </w:rPr>
        <w:t>六、</w:t>
      </w:r>
      <w:r>
        <w:rPr>
          <w:rFonts w:cs="Times New Roman"/>
          <w:color w:val="auto"/>
          <w:highlight w:val="none"/>
        </w:rPr>
        <w:t xml:space="preserve"> 结论</w:t>
      </w:r>
      <w:bookmarkEnd w:id="180"/>
      <w:bookmarkEnd w:id="181"/>
      <w:bookmarkEnd w:id="182"/>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236C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vAlign w:val="center"/>
          </w:tcPr>
          <w:p w14:paraId="0E54BB29">
            <w:pPr>
              <w:keepNext w:val="0"/>
              <w:keepLines w:val="0"/>
              <w:suppressLineNumbers w:val="0"/>
              <w:adjustRightInd w:val="0"/>
              <w:spacing w:before="0" w:beforeAutospacing="0" w:after="0" w:afterAutospacing="0"/>
              <w:ind w:left="0" w:right="0" w:firstLine="480" w:firstLineChars="200"/>
              <w:jc w:val="both"/>
              <w:rPr>
                <w:rFonts w:hint="eastAsia"/>
                <w:bCs/>
                <w:color w:val="auto"/>
                <w:kern w:val="0"/>
                <w:highlight w:val="none"/>
              </w:rPr>
            </w:pPr>
            <w:r>
              <w:rPr>
                <w:rFonts w:hint="eastAsia"/>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eastAsia"/>
                <w:b/>
                <w:color w:val="auto"/>
                <w:kern w:val="0"/>
                <w:highlight w:val="none"/>
              </w:rPr>
              <w:t>从环境保护角度分析，项目的建设是可行的</w:t>
            </w:r>
            <w:r>
              <w:rPr>
                <w:rFonts w:hint="eastAsia"/>
                <w:bCs/>
                <w:color w:val="auto"/>
                <w:kern w:val="0"/>
                <w:highlight w:val="none"/>
              </w:rPr>
              <w:t>。</w:t>
            </w:r>
          </w:p>
          <w:p w14:paraId="59C66B53">
            <w:pPr>
              <w:keepNext w:val="0"/>
              <w:keepLines w:val="0"/>
              <w:suppressLineNumbers w:val="0"/>
              <w:spacing w:before="0" w:beforeAutospacing="0" w:after="0" w:afterAutospacing="0"/>
              <w:ind w:left="0" w:right="0" w:firstLine="480"/>
              <w:jc w:val="both"/>
              <w:rPr>
                <w:rFonts w:hint="eastAsia"/>
                <w:color w:val="auto"/>
                <w:highlight w:val="none"/>
              </w:rPr>
            </w:pPr>
            <w:r>
              <w:rPr>
                <w:rFonts w:hint="eastAsia"/>
                <w:bCs/>
                <w:color w:val="auto"/>
                <w:highlight w:val="none"/>
              </w:rPr>
              <w:t>本环境影响报告表通过审批后</w:t>
            </w:r>
            <w:r>
              <w:rPr>
                <w:rFonts w:hint="eastAsia"/>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110C696A">
            <w:pPr>
              <w:keepNext w:val="0"/>
              <w:keepLines w:val="0"/>
              <w:suppressLineNumbers w:val="0"/>
              <w:spacing w:before="0" w:beforeAutospacing="0" w:after="0" w:afterAutospacing="0"/>
              <w:ind w:left="0" w:right="0"/>
              <w:jc w:val="both"/>
              <w:rPr>
                <w:rFonts w:hint="eastAsia"/>
                <w:color w:val="auto"/>
                <w:highlight w:val="none"/>
              </w:rPr>
            </w:pPr>
          </w:p>
          <w:p w14:paraId="372FEF93">
            <w:pPr>
              <w:keepNext w:val="0"/>
              <w:keepLines w:val="0"/>
              <w:suppressLineNumbers w:val="0"/>
              <w:spacing w:before="0" w:beforeAutospacing="0" w:after="0" w:afterAutospacing="0"/>
              <w:ind w:left="0" w:right="0"/>
              <w:jc w:val="both"/>
              <w:rPr>
                <w:rFonts w:hint="eastAsia"/>
                <w:color w:val="auto"/>
                <w:highlight w:val="none"/>
              </w:rPr>
            </w:pPr>
          </w:p>
          <w:p w14:paraId="492128B3">
            <w:pPr>
              <w:keepNext w:val="0"/>
              <w:keepLines w:val="0"/>
              <w:suppressLineNumbers w:val="0"/>
              <w:spacing w:before="0" w:beforeAutospacing="0" w:after="0" w:afterAutospacing="0"/>
              <w:ind w:left="0" w:right="0"/>
              <w:jc w:val="both"/>
              <w:rPr>
                <w:rFonts w:hint="eastAsia"/>
                <w:color w:val="auto"/>
                <w:highlight w:val="none"/>
              </w:rPr>
            </w:pPr>
          </w:p>
          <w:p w14:paraId="6CFC993E">
            <w:pPr>
              <w:keepNext w:val="0"/>
              <w:keepLines w:val="0"/>
              <w:suppressLineNumbers w:val="0"/>
              <w:spacing w:before="0" w:beforeAutospacing="0" w:after="0" w:afterAutospacing="0"/>
              <w:ind w:left="0" w:right="0"/>
              <w:jc w:val="both"/>
              <w:rPr>
                <w:rFonts w:hint="eastAsia"/>
                <w:color w:val="auto"/>
                <w:highlight w:val="none"/>
              </w:rPr>
            </w:pPr>
          </w:p>
          <w:p w14:paraId="1750B322">
            <w:pPr>
              <w:keepNext w:val="0"/>
              <w:keepLines w:val="0"/>
              <w:suppressLineNumbers w:val="0"/>
              <w:spacing w:before="0" w:beforeAutospacing="0" w:after="0" w:afterAutospacing="0"/>
              <w:ind w:left="0" w:right="0"/>
              <w:jc w:val="both"/>
              <w:rPr>
                <w:rFonts w:hint="eastAsia"/>
                <w:color w:val="auto"/>
                <w:highlight w:val="none"/>
              </w:rPr>
            </w:pPr>
          </w:p>
          <w:p w14:paraId="0C14F15B">
            <w:pPr>
              <w:keepNext w:val="0"/>
              <w:keepLines w:val="0"/>
              <w:suppressLineNumbers w:val="0"/>
              <w:spacing w:before="0" w:beforeAutospacing="0" w:after="0" w:afterAutospacing="0"/>
              <w:ind w:left="0" w:right="0"/>
              <w:jc w:val="both"/>
              <w:rPr>
                <w:rFonts w:hint="eastAsia"/>
                <w:color w:val="auto"/>
                <w:highlight w:val="none"/>
              </w:rPr>
            </w:pPr>
          </w:p>
        </w:tc>
      </w:tr>
    </w:tbl>
    <w:p w14:paraId="258A8CE9">
      <w:pPr>
        <w:rPr>
          <w:rFonts w:eastAsia="黑体"/>
          <w:snapToGrid w:val="0"/>
          <w:color w:val="000000" w:themeColor="text1"/>
          <w:sz w:val="32"/>
          <w:szCs w:val="32"/>
          <w:highlight w:val="none"/>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B00AB5A">
      <w:pPr>
        <w:pStyle w:val="45"/>
        <w:jc w:val="center"/>
        <w:rPr>
          <w:rFonts w:ascii="Times New Roman"/>
          <w:b w:val="0"/>
          <w:bCs w:val="0"/>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668480" behindDoc="0" locked="0" layoutInCell="1" allowOverlap="1">
            <wp:simplePos x="0" y="0"/>
            <wp:positionH relativeFrom="column">
              <wp:posOffset>7609205</wp:posOffset>
            </wp:positionH>
            <wp:positionV relativeFrom="paragraph">
              <wp:posOffset>53975</wp:posOffset>
            </wp:positionV>
            <wp:extent cx="972185" cy="1001395"/>
            <wp:effectExtent l="9525" t="9525" r="27940" b="17780"/>
            <wp:wrapNone/>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25"/>
                    <a:stretch>
                      <a:fillRect/>
                    </a:stretch>
                  </pic:blipFill>
                  <pic:spPr>
                    <a:xfrm>
                      <a:off x="0" y="0"/>
                      <a:ext cx="972185" cy="1001395"/>
                    </a:xfrm>
                    <a:prstGeom prst="rect">
                      <a:avLst/>
                    </a:prstGeom>
                    <a:noFill/>
                    <a:ln>
                      <a:solidFill>
                        <a:schemeClr val="tx1"/>
                      </a:solidFill>
                    </a:ln>
                  </pic:spPr>
                </pic:pic>
              </a:graphicData>
            </a:graphic>
          </wp:anchor>
        </w:drawing>
      </w:r>
      <w:r>
        <w:rPr>
          <w:rFonts w:ascii="Times New Roman"/>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2941955</wp:posOffset>
                </wp:positionH>
                <wp:positionV relativeFrom="paragraph">
                  <wp:posOffset>2425065</wp:posOffset>
                </wp:positionV>
                <wp:extent cx="1009015" cy="373380"/>
                <wp:effectExtent l="6350" t="6350" r="432435" b="20320"/>
                <wp:wrapNone/>
                <wp:docPr id="139" name="矩形标注 139"/>
                <wp:cNvGraphicFramePr/>
                <a:graphic xmlns:a="http://schemas.openxmlformats.org/drawingml/2006/main">
                  <a:graphicData uri="http://schemas.microsoft.com/office/word/2010/wordprocessingShape">
                    <wps:wsp>
                      <wps:cNvSpPr/>
                      <wps:spPr>
                        <a:xfrm>
                          <a:off x="4960620" y="3176270"/>
                          <a:ext cx="1009015" cy="373380"/>
                        </a:xfrm>
                        <a:prstGeom prst="wedgeRectCallout">
                          <a:avLst>
                            <a:gd name="adj1" fmla="val 86752"/>
                            <a:gd name="adj2" fmla="val 4472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B51551">
                            <w:pPr>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1.65pt;margin-top:190.95pt;height:29.4pt;width:79.45pt;z-index:251667456;v-text-anchor:middle;mso-width-relative:page;mso-height-relative:page;" fillcolor="#FFFFFF [3201]" filled="t" stroked="t" coordsize="21600,21600" o:gfxdata="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LJyeI9oAAAALAQAADwAAAAAAAAAB&#10;ACAAAAAiAAAAZHJzL2Rvd25yZXYueG1sUEsBAhQAFAAAAAgAh07iQLmLXZ25AgAAcgUAAA4AAAAA&#10;AAAAAQAgAAAAKQEAAGRycy9lMm9Eb2MueG1sUEsFBgAAAAAGAAYAWQEAAFQGAAAAAA==&#10;" adj="29538,20461">
                <v:fill on="t" focussize="0,0"/>
                <v:stroke weight="1pt" color="#000000 [3213]" miterlimit="8" joinstyle="miter"/>
                <v:imagedata o:title=""/>
                <o:lock v:ext="edit" aspectratio="f"/>
                <v:textbox>
                  <w:txbxContent>
                    <w:p w14:paraId="79B51551">
                      <w:pPr>
                        <w:jc w:val="center"/>
                      </w:pPr>
                      <w:r>
                        <w:rPr>
                          <w:rFonts w:hint="eastAsia"/>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7883525" cy="5264785"/>
            <wp:effectExtent l="28575" t="28575" r="33020" b="2857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6"/>
                    <a:stretch>
                      <a:fillRect/>
                    </a:stretch>
                  </pic:blipFill>
                  <pic:spPr>
                    <a:xfrm>
                      <a:off x="0" y="0"/>
                      <a:ext cx="7883525" cy="5264785"/>
                    </a:xfrm>
                    <a:prstGeom prst="rect">
                      <a:avLst/>
                    </a:prstGeom>
                    <a:noFill/>
                    <a:ln w="28575">
                      <a:solidFill>
                        <a:schemeClr val="tx1"/>
                      </a:solidFill>
                    </a:ln>
                  </pic:spPr>
                </pic:pic>
              </a:graphicData>
            </a:graphic>
          </wp:inline>
        </w:drawing>
      </w:r>
    </w:p>
    <w:p w14:paraId="1E9A84BB">
      <w:pPr>
        <w:pStyle w:val="45"/>
        <w:jc w:val="center"/>
        <w:outlineLvl w:val="0"/>
        <w:rPr>
          <w:rFonts w:ascii="Times New Roman"/>
          <w:color w:val="000000" w:themeColor="text1"/>
          <w:sz w:val="24"/>
          <w:szCs w:val="24"/>
          <w:highlight w:val="none"/>
          <w14:textFill>
            <w14:solidFill>
              <w14:schemeClr w14:val="tx1"/>
            </w14:solidFill>
          </w14:textFill>
        </w:rPr>
      </w:pPr>
      <w:bookmarkStart w:id="183" w:name="_Toc6195"/>
      <w:bookmarkStart w:id="184" w:name="_Toc30410"/>
      <w:bookmarkStart w:id="185" w:name="_Toc27190"/>
      <w:r>
        <w:rPr>
          <w:rFonts w:ascii="Times New Roman"/>
          <w:color w:val="000000" w:themeColor="text1"/>
          <w:sz w:val="24"/>
          <w:szCs w:val="24"/>
          <w:highlight w:val="none"/>
          <w14:textFill>
            <w14:solidFill>
              <w14:schemeClr w14:val="tx1"/>
            </w14:solidFill>
          </w14:textFill>
        </w:rPr>
        <w:t>附图1项目地理位置图</w:t>
      </w:r>
      <w:bookmarkEnd w:id="183"/>
      <w:bookmarkEnd w:id="184"/>
      <w:bookmarkEnd w:id="185"/>
    </w:p>
    <w:p w14:paraId="3C14C0A9">
      <w:pPr>
        <w:jc w:val="center"/>
        <w:rPr>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86" w:name="_Toc17352"/>
      <w:bookmarkStart w:id="187" w:name="_Toc21760"/>
    </w:p>
    <w:p w14:paraId="323205D6">
      <w:pPr>
        <w:jc w:val="center"/>
        <w:rPr>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3639185</wp:posOffset>
                </wp:positionH>
                <wp:positionV relativeFrom="paragraph">
                  <wp:posOffset>4305300</wp:posOffset>
                </wp:positionV>
                <wp:extent cx="1181735" cy="50546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181735" cy="505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22B1CE">
                            <w:pPr>
                              <w:rPr>
                                <w:rFonts w:hint="default" w:eastAsia="宋体"/>
                                <w:b/>
                                <w:bCs/>
                                <w:lang w:val="en-US" w:eastAsia="zh-CN"/>
                              </w:rPr>
                            </w:pPr>
                            <w:r>
                              <w:rPr>
                                <w:rFonts w:hint="eastAsia"/>
                                <w:b/>
                                <w:bCs/>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55pt;margin-top:339pt;height:39.8pt;width:93.05pt;z-index:251754496;mso-width-relative:page;mso-height-relative:page;" filled="f" stroked="f" coordsize="21600,21600" o:gfxdata="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Rept2wAAAAsBAAAPAAAAAAAAAAEAIAAAACIAAABk&#10;cnMvZG93bnJldi54bWxQSwECFAAUAAAACACHTuJAhPtw5jwCAABoBAAADgAAAAAAAAABACAAAAAq&#10;AQAAZHJzL2Uyb0RvYy54bWxQSwUGAAAAAAYABgBZAQAA2AUAAAAA&#10;">
                <v:fill on="f" focussize="0,0"/>
                <v:stroke on="f" weight="0.5pt"/>
                <v:imagedata o:title=""/>
                <o:lock v:ext="edit" aspectratio="f"/>
                <v:textbox>
                  <w:txbxContent>
                    <w:p w14:paraId="3722B1CE">
                      <w:pPr>
                        <w:rPr>
                          <w:rFonts w:hint="default" w:eastAsia="宋体"/>
                          <w:b/>
                          <w:bCs/>
                          <w:lang w:val="en-US" w:eastAsia="zh-CN"/>
                        </w:rPr>
                      </w:pPr>
                      <w:r>
                        <w:rPr>
                          <w:rFonts w:hint="eastAsia"/>
                          <w:b/>
                          <w:bCs/>
                          <w:lang w:val="en-US" w:eastAsia="zh-CN"/>
                        </w:rPr>
                        <w:t>DW001</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3571875</wp:posOffset>
                </wp:positionH>
                <wp:positionV relativeFrom="paragraph">
                  <wp:posOffset>4360545</wp:posOffset>
                </wp:positionV>
                <wp:extent cx="131445" cy="131445"/>
                <wp:effectExtent l="6350" t="6350" r="14605" b="14605"/>
                <wp:wrapNone/>
                <wp:docPr id="12" name="同心圆 12"/>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81.25pt;margin-top:343.35pt;height:10.35pt;width:10.35pt;z-index:251753472;v-text-anchor:middle;mso-width-relative:page;mso-height-relative:page;" fillcolor="#FFFF00" filled="t" stroked="t" coordsize="21600,21600" o:gfxdata="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mjzGi2gAAAAsBAAAPAAAAAAAAAAEAIAAAACIAAABkcnMvZG93&#10;bnJldi54bWxQSwECFAAUAAAACACHTuJAnpWqL3ACAAD5BAAADgAAAAAAAAABACAAAAApAQAAZHJz&#10;L2Uyb0RvYy54bWxQSwUGAAAAAAYABgBZAQAACwYAAAAA&#10;" adj="540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2499360</wp:posOffset>
                </wp:positionH>
                <wp:positionV relativeFrom="paragraph">
                  <wp:posOffset>3286760</wp:posOffset>
                </wp:positionV>
                <wp:extent cx="1188720" cy="36576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18872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57DC55">
                            <w:pPr>
                              <w:rPr>
                                <w:rFonts w:hint="default" w:eastAsia="宋体"/>
                                <w:b/>
                                <w:bCs/>
                                <w:lang w:val="en-US" w:eastAsia="zh-CN"/>
                              </w:rPr>
                            </w:pPr>
                            <w:r>
                              <w:rPr>
                                <w:rFonts w:hint="eastAsia"/>
                                <w:b/>
                                <w:bCs/>
                                <w:lang w:val="en-US" w:eastAsia="zh-CN"/>
                              </w:rPr>
                              <w:t>排气筒DA003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8pt;margin-top:258.8pt;height:28.8pt;width:93.6pt;z-index:251765760;mso-width-relative:page;mso-height-relative:page;" filled="f" stroked="f" coordsize="21600,21600" o:gfxdata="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&#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o74ZtsAAAALAQAADwAAAAAAAAABACAAAAAiAAAA&#10;ZHJzL2Rvd25yZXYueG1sUEsBAhQAFAAAAAgAh07iQMoUqoU9AgAAagQAAA4AAAAAAAAAAQAgAAAA&#10;KgEAAGRycy9lMm9Eb2MueG1sUEsFBgAAAAAGAAYAWQEAANkFAAAAAA==&#10;">
                <v:fill on="f" focussize="0,0"/>
                <v:stroke on="f" weight="0.5pt"/>
                <v:imagedata o:title=""/>
                <o:lock v:ext="edit" aspectratio="f"/>
                <v:textbox>
                  <w:txbxContent>
                    <w:p w14:paraId="5357DC55">
                      <w:pPr>
                        <w:rPr>
                          <w:rFonts w:hint="default" w:eastAsia="宋体"/>
                          <w:b/>
                          <w:bCs/>
                          <w:lang w:val="en-US" w:eastAsia="zh-CN"/>
                        </w:rPr>
                      </w:pPr>
                      <w:r>
                        <w:rPr>
                          <w:rFonts w:hint="eastAsia"/>
                          <w:b/>
                          <w:bCs/>
                          <w:lang w:val="en-US" w:eastAsia="zh-CN"/>
                        </w:rPr>
                        <w:t>排气筒DA003</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2929890</wp:posOffset>
                </wp:positionH>
                <wp:positionV relativeFrom="paragraph">
                  <wp:posOffset>3159125</wp:posOffset>
                </wp:positionV>
                <wp:extent cx="131445" cy="131445"/>
                <wp:effectExtent l="6350" t="6350" r="13335" b="13335"/>
                <wp:wrapNone/>
                <wp:docPr id="116" name="同心圆 116"/>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0.7pt;margin-top:248.75pt;height:10.35pt;width:10.35pt;z-index:251764736;v-text-anchor:middle;mso-width-relative:page;mso-height-relative:page;" fillcolor="#FF0000" filled="t" stroked="t" coordsize="21600,21600" o:gfxdata="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zqoBtoAAAALAQAADwAAAAAAAAABACAAAAAiAAAAZHJzL2Rv&#10;d25yZXYueG1sUEsBAhQAFAAAAAgAh07iQDeqQVhxAgAA+wQAAA4AAAAAAAAAAQAgAAAAKQEAAGRy&#10;cy9lMm9Eb2MueG1sUEsFBgAAAAAGAAYAWQEAAAwGAAAAAA==&#10;" adj="540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1802765</wp:posOffset>
                </wp:positionH>
                <wp:positionV relativeFrom="paragraph">
                  <wp:posOffset>2154555</wp:posOffset>
                </wp:positionV>
                <wp:extent cx="1188720" cy="36576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18872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D84755">
                            <w:pPr>
                              <w:rPr>
                                <w:rFonts w:hint="default" w:eastAsia="宋体"/>
                                <w:b/>
                                <w:bCs/>
                                <w:lang w:val="en-US" w:eastAsia="zh-CN"/>
                              </w:rPr>
                            </w:pPr>
                            <w:r>
                              <w:rPr>
                                <w:rFonts w:hint="eastAsia"/>
                                <w:b/>
                                <w:bCs/>
                                <w:lang w:val="en-US" w:eastAsia="zh-CN"/>
                              </w:rPr>
                              <w:t>排气筒DA002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95pt;margin-top:169.65pt;height:28.8pt;width:93.6pt;z-index:251758592;mso-width-relative:page;mso-height-relative:page;" filled="f" stroked="f" coordsize="21600,21600" o:gfxdata="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&#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ocFetwAAAALAQAADwAAAAAAAAABACAAAAAiAAAA&#10;ZHJzL2Rvd25yZXYueG1sUEsBAhQAFAAAAAgAh07iQPk24hI8AgAAaAQAAA4AAAAAAAAAAQAgAAAA&#10;KwEAAGRycy9lMm9Eb2MueG1sUEsFBgAAAAAGAAYAWQEAANkFAAAAAA==&#10;">
                <v:fill on="f" focussize="0,0"/>
                <v:stroke on="f" weight="0.5pt"/>
                <v:imagedata o:title=""/>
                <o:lock v:ext="edit" aspectratio="f"/>
                <v:textbox>
                  <w:txbxContent>
                    <w:p w14:paraId="02D84755">
                      <w:pPr>
                        <w:rPr>
                          <w:rFonts w:hint="default" w:eastAsia="宋体"/>
                          <w:b/>
                          <w:bCs/>
                          <w:lang w:val="en-US" w:eastAsia="zh-CN"/>
                        </w:rPr>
                      </w:pPr>
                      <w:r>
                        <w:rPr>
                          <w:rFonts w:hint="eastAsia"/>
                          <w:b/>
                          <w:bCs/>
                          <w:lang w:val="en-US" w:eastAsia="zh-CN"/>
                        </w:rPr>
                        <w:t>排气筒DA002</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2654300</wp:posOffset>
                </wp:positionH>
                <wp:positionV relativeFrom="paragraph">
                  <wp:posOffset>2444750</wp:posOffset>
                </wp:positionV>
                <wp:extent cx="298450" cy="226060"/>
                <wp:effectExtent l="3810" t="5080" r="10795" b="6350"/>
                <wp:wrapNone/>
                <wp:docPr id="43" name="直接连接符 43"/>
                <wp:cNvGraphicFramePr/>
                <a:graphic xmlns:a="http://schemas.openxmlformats.org/drawingml/2006/main">
                  <a:graphicData uri="http://schemas.microsoft.com/office/word/2010/wordprocessingShape">
                    <wps:wsp>
                      <wps:cNvCnPr/>
                      <wps:spPr>
                        <a:xfrm flipH="1" flipV="1">
                          <a:off x="0" y="0"/>
                          <a:ext cx="298450" cy="22606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09pt;margin-top:192.5pt;height:17.8pt;width:23.5pt;z-index:251759616;mso-width-relative:page;mso-height-relative:page;" filled="f" stroked="t" coordsize="21600,21600" o:gfxdata="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Ssi9oAAAALAQAADwAAAAAAAAABACAAAAAiAAAAZHJzL2Rvd25yZXYueG1s&#10;UEsBAhQAFAAAAAgAh07iQLKP6wj2AQAAzAMAAA4AAAAAAAAAAQAgAAAAKQEAAGRycy9lMm9Eb2Mu&#10;eG1sUEsFBgAAAAAGAAYAWQEAAJEFAAAAAA==&#10;">
                <v:fill on="f" focussize="0,0"/>
                <v:stroke weight="1pt" color="#000000 [3213]" miterlimit="8" joinstyle="miter"/>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2940685</wp:posOffset>
                </wp:positionH>
                <wp:positionV relativeFrom="paragraph">
                  <wp:posOffset>2663825</wp:posOffset>
                </wp:positionV>
                <wp:extent cx="131445" cy="131445"/>
                <wp:effectExtent l="6350" t="6350" r="13335" b="13335"/>
                <wp:wrapNone/>
                <wp:docPr id="41" name="同心圆 41"/>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1.55pt;margin-top:209.75pt;height:10.35pt;width:10.35pt;z-index:251757568;v-text-anchor:middle;mso-width-relative:page;mso-height-relative:page;" fillcolor="#FF0000" filled="t" stroked="t" coordsize="21600,21600" o:gfxdata="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L6LY9LZAAAACwEAAA8AAAAAAAAAAQAgAAAAIgAAAGRycy9kb3du&#10;cmV2LnhtbFBLAQIUABQAAAAIAIdO4kBJyrSscAIAAPkEAAAOAAAAAAAAAAEAIAAAACgBAABkcnMv&#10;ZTJvRG9jLnhtbFBLBQYAAAAABgAGAFkBAAAKBgAAAAA=&#10;" adj="540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1273175</wp:posOffset>
                </wp:positionH>
                <wp:positionV relativeFrom="paragraph">
                  <wp:posOffset>2714625</wp:posOffset>
                </wp:positionV>
                <wp:extent cx="1188720" cy="365760"/>
                <wp:effectExtent l="0" t="0" r="0" b="0"/>
                <wp:wrapNone/>
                <wp:docPr id="69" name="文本框 69"/>
                <wp:cNvGraphicFramePr/>
                <a:graphic xmlns:a="http://schemas.openxmlformats.org/drawingml/2006/main">
                  <a:graphicData uri="http://schemas.microsoft.com/office/word/2010/wordprocessingShape">
                    <wps:wsp>
                      <wps:cNvSpPr txBox="1"/>
                      <wps:spPr>
                        <a:xfrm>
                          <a:off x="2322830" y="3439160"/>
                          <a:ext cx="1188720" cy="365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54C232">
                            <w:pPr>
                              <w:rPr>
                                <w:rFonts w:hint="default" w:eastAsia="宋体"/>
                                <w:b/>
                                <w:bCs/>
                                <w:lang w:val="en-US" w:eastAsia="zh-CN"/>
                              </w:rPr>
                            </w:pPr>
                            <w:r>
                              <w:rPr>
                                <w:rFonts w:hint="eastAsia"/>
                                <w:b/>
                                <w:bCs/>
                                <w:lang w:val="en-US" w:eastAsia="zh-CN"/>
                              </w:rPr>
                              <w:t>排气筒DA001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25pt;margin-top:213.75pt;height:28.8pt;width:93.6pt;z-index:251660288;mso-width-relative:page;mso-height-relative:page;" filled="f" stroked="f" coordsize="21600,21600" o:gfxdata="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SB72toAAAALAQAADwAAAAAAAAAB&#10;ACAAAAAiAAAAZHJzL2Rvd25yZXYueG1sUEsBAhQAFAAAAAgAh07iQN0YCgBHAgAAdAQAAA4AAAAA&#10;AAAAAQAgAAAAKQEAAGRycy9lMm9Eb2MueG1sUEsFBgAAAAAGAAYAWQEAAOIFAAAAAA==&#10;">
                <v:fill on="f" focussize="0,0"/>
                <v:stroke on="f" weight="0.5pt"/>
                <v:imagedata o:title=""/>
                <o:lock v:ext="edit" aspectratio="f"/>
                <v:textbox>
                  <w:txbxContent>
                    <w:p w14:paraId="1854C232">
                      <w:pPr>
                        <w:rPr>
                          <w:rFonts w:hint="default" w:eastAsia="宋体"/>
                          <w:b/>
                          <w:bCs/>
                          <w:lang w:val="en-US" w:eastAsia="zh-CN"/>
                        </w:rPr>
                      </w:pPr>
                      <w:r>
                        <w:rPr>
                          <w:rFonts w:hint="eastAsia"/>
                          <w:b/>
                          <w:bCs/>
                          <w:lang w:val="en-US" w:eastAsia="zh-CN"/>
                        </w:rPr>
                        <w:t>排气筒DA001</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2137410</wp:posOffset>
                </wp:positionH>
                <wp:positionV relativeFrom="paragraph">
                  <wp:posOffset>3016885</wp:posOffset>
                </wp:positionV>
                <wp:extent cx="298450" cy="226060"/>
                <wp:effectExtent l="3810" t="5080" r="10795" b="6350"/>
                <wp:wrapNone/>
                <wp:docPr id="68" name="直接连接符 68"/>
                <wp:cNvGraphicFramePr/>
                <a:graphic xmlns:a="http://schemas.openxmlformats.org/drawingml/2006/main">
                  <a:graphicData uri="http://schemas.microsoft.com/office/word/2010/wordprocessingShape">
                    <wps:wsp>
                      <wps:cNvCnPr/>
                      <wps:spPr>
                        <a:xfrm flipH="1" flipV="1">
                          <a:off x="2327910" y="3743960"/>
                          <a:ext cx="298450" cy="22606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68.3pt;margin-top:237.55pt;height:17.8pt;width:23.5pt;z-index:251747328;mso-width-relative:page;mso-height-relative:page;" filled="f" stroked="t" coordsize="21600,21600" o:gfxdata="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&#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EofofcAAAACwEAAA8AAAAAAAAAAQAgAAAAIgAAAGRy&#10;cy9kb3ducmV2LnhtbFBLAQIUABQAAAAIAIdO4kA+4G5KAQIAANgDAAAOAAAAAAAAAAEAIAAAACsB&#10;AABkcnMvZTJvRG9jLnhtbFBLBQYAAAAABgAGAFkBAACeBQAAAAA=&#10;">
                <v:fill on="f" focussize="0,0"/>
                <v:stroke weight="1pt" color="#000000 [3213]" miterlimit="8" joinstyle="miter"/>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2421255</wp:posOffset>
                </wp:positionH>
                <wp:positionV relativeFrom="paragraph">
                  <wp:posOffset>3182620</wp:posOffset>
                </wp:positionV>
                <wp:extent cx="131445" cy="131445"/>
                <wp:effectExtent l="6350" t="6350" r="14605" b="14605"/>
                <wp:wrapNone/>
                <wp:docPr id="67" name="同心圆 67"/>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90.65pt;margin-top:250.6pt;height:10.35pt;width:10.35pt;z-index:251748352;v-text-anchor:middle;mso-width-relative:page;mso-height-relative:page;" fillcolor="#FF0000" filled="t" stroked="t" coordsize="21600,21600" o:gfxdata="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xoX3RNgAAAALAQAADwAAAAAAAAABACAAAAAiAAAAZHJzL2Rvd25y&#10;ZXYueG1sUEsBAhQAFAAAAAgAh07iQE1uOe1wAgAA+QQAAA4AAAAAAAAAAQAgAAAAJwEAAGRycy9l&#10;Mm9Eb2MueG1sUEsFBgAAAAAGAAYAWQEAAAkGAAAAAA==&#10;" adj="5400">
                <v:fill on="t" focussize="0,0"/>
                <v:stroke weight="1pt" color="#000000 [3213]" miterlimit="8" joinstyle="miter"/>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744256" behindDoc="0" locked="0" layoutInCell="1" allowOverlap="1">
            <wp:simplePos x="0" y="0"/>
            <wp:positionH relativeFrom="column">
              <wp:posOffset>4888865</wp:posOffset>
            </wp:positionH>
            <wp:positionV relativeFrom="paragraph">
              <wp:posOffset>88265</wp:posOffset>
            </wp:positionV>
            <wp:extent cx="972185" cy="1001395"/>
            <wp:effectExtent l="9525" t="9525" r="27940" b="17780"/>
            <wp:wrapNone/>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25"/>
                    <a:stretch>
                      <a:fillRect/>
                    </a:stretch>
                  </pic:blipFill>
                  <pic:spPr>
                    <a:xfrm>
                      <a:off x="0" y="0"/>
                      <a:ext cx="972185" cy="1001395"/>
                    </a:xfrm>
                    <a:prstGeom prst="rect">
                      <a:avLst/>
                    </a:prstGeom>
                    <a:noFill/>
                    <a:ln>
                      <a:solidFill>
                        <a:schemeClr val="tx1"/>
                      </a:solidFill>
                    </a:ln>
                  </pic:spPr>
                </pic:pic>
              </a:graphicData>
            </a:graphic>
          </wp:anchor>
        </w:drawing>
      </w:r>
      <w:r>
        <w:rPr>
          <w:color w:val="000000" w:themeColor="text1"/>
          <w:highlight w:val="none"/>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2457450</wp:posOffset>
                </wp:positionH>
                <wp:positionV relativeFrom="paragraph">
                  <wp:posOffset>5093335</wp:posOffset>
                </wp:positionV>
                <wp:extent cx="981075" cy="42735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981075"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6DF4B1">
                            <w:pPr>
                              <w:rPr>
                                <w:rFonts w:hint="eastAsia" w:eastAsia="宋体"/>
                                <w:highlight w:val="yellow"/>
                                <w:lang w:eastAsia="zh-CN"/>
                              </w:rPr>
                            </w:pPr>
                            <w:r>
                              <w:rPr>
                                <w:rFonts w:hint="eastAsia"/>
                                <w:highlight w:val="yellow"/>
                                <w:lang w:eastAsia="zh-CN"/>
                              </w:rPr>
                              <w:t>在建厂房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5pt;margin-top:401.05pt;height:33.65pt;width:77.25pt;z-index:251752448;mso-width-relative:page;mso-height-relative:page;" filled="f" stroked="f" coordsize="21600,21600" o:gfxdata="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bq6NTcAAAACwEAAA8AAAAAAAAAAQAgAAAAIgAA&#10;AGRycy9kb3ducmV2LnhtbFBLAQIUABQAAAAIAIdO4kA2gT8KPQIAAGkEAAAOAAAAAAAAAAEAIAAA&#10;ACsBAABkcnMvZTJvRG9jLnhtbFBLBQYAAAAABgAGAFkBAADaBQAAAAA=&#10;">
                <v:fill on="f" focussize="0,0"/>
                <v:stroke on="f" weight="0.5pt"/>
                <v:imagedata o:title=""/>
                <o:lock v:ext="edit" aspectratio="f"/>
                <v:textbox>
                  <w:txbxContent>
                    <w:p w14:paraId="306DF4B1">
                      <w:pPr>
                        <w:rPr>
                          <w:rFonts w:hint="eastAsia" w:eastAsia="宋体"/>
                          <w:highlight w:val="yellow"/>
                          <w:lang w:eastAsia="zh-CN"/>
                        </w:rPr>
                      </w:pPr>
                      <w:r>
                        <w:rPr>
                          <w:rFonts w:hint="eastAsia"/>
                          <w:highlight w:val="yellow"/>
                          <w:lang w:eastAsia="zh-CN"/>
                        </w:rPr>
                        <w:t>在建厂房</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2086610</wp:posOffset>
                </wp:positionH>
                <wp:positionV relativeFrom="paragraph">
                  <wp:posOffset>4555490</wp:posOffset>
                </wp:positionV>
                <wp:extent cx="1524000" cy="2124075"/>
                <wp:effectExtent l="4445" t="4445" r="14605" b="24130"/>
                <wp:wrapNone/>
                <wp:docPr id="110" name="任意多边形 110"/>
                <wp:cNvGraphicFramePr/>
                <a:graphic xmlns:a="http://schemas.openxmlformats.org/drawingml/2006/main">
                  <a:graphicData uri="http://schemas.microsoft.com/office/word/2010/wordprocessingShape">
                    <wps:wsp>
                      <wps:cNvSpPr/>
                      <wps:spPr>
                        <a:xfrm>
                          <a:off x="2986405" y="5455285"/>
                          <a:ext cx="1524000" cy="2124075"/>
                        </a:xfrm>
                        <a:custGeom>
                          <a:avLst/>
                          <a:gdLst>
                            <a:gd name="connisteX0" fmla="*/ 0 w 1524000"/>
                            <a:gd name="connsiteY0" fmla="*/ 0 h 2124075"/>
                            <a:gd name="connisteX1" fmla="*/ 0 w 1524000"/>
                            <a:gd name="connsiteY1" fmla="*/ 2124075 h 2124075"/>
                            <a:gd name="connisteX2" fmla="*/ 1304925 w 1524000"/>
                            <a:gd name="connsiteY2" fmla="*/ 1905000 h 2124075"/>
                            <a:gd name="connisteX3" fmla="*/ 1524000 w 1524000"/>
                            <a:gd name="connsiteY3" fmla="*/ 1666875 h 2124075"/>
                            <a:gd name="connisteX4" fmla="*/ 1524000 w 1524000"/>
                            <a:gd name="connsiteY4" fmla="*/ 0 h 2124075"/>
                            <a:gd name="connisteX5" fmla="*/ 0 w 1524000"/>
                            <a:gd name="connsiteY5" fmla="*/ 0 h 2124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524000" h="2124075">
                              <a:moveTo>
                                <a:pt x="0" y="0"/>
                              </a:moveTo>
                              <a:lnTo>
                                <a:pt x="0" y="2124075"/>
                              </a:lnTo>
                              <a:lnTo>
                                <a:pt x="1304925" y="1905000"/>
                              </a:lnTo>
                              <a:lnTo>
                                <a:pt x="1524000" y="1666875"/>
                              </a:lnTo>
                              <a:lnTo>
                                <a:pt x="1524000" y="0"/>
                              </a:lnTo>
                              <a:lnTo>
                                <a:pt x="0" y="0"/>
                              </a:lnTo>
                              <a:close/>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4.3pt;margin-top:358.7pt;height:167.25pt;width:120pt;z-index:251751424;mso-width-relative:page;mso-height-relative:page;" filled="f" stroked="t" coordsize="1524000,2124075" o:gfxdata="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" path="m0,0l0,2124075,1304925,1905000,1524000,1666875,1524000,0,0,0xe">
                <v:path o:connectlocs="0,0;0,2124075;1304925,1905000;1524000,1666875;1524000,0;0,0" o:connectangles="0,0,0,0,0,0"/>
                <v:fill on="f" focussize="0,0"/>
                <v:stroke color="#000000 [3213]"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4676775</wp:posOffset>
                </wp:positionH>
                <wp:positionV relativeFrom="paragraph">
                  <wp:posOffset>3588385</wp:posOffset>
                </wp:positionV>
                <wp:extent cx="495300" cy="4273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495300"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2F173">
                            <w:pPr>
                              <w:rPr>
                                <w:highlight w:val="yellow"/>
                              </w:rPr>
                            </w:pPr>
                            <w:r>
                              <w:rPr>
                                <w:rFonts w:hint="eastAsia"/>
                                <w:highlight w:val="yellow"/>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8.25pt;margin-top:282.55pt;height:33.65pt;width:39pt;z-index:251750400;mso-width-relative:page;mso-height-relative:page;" filled="f" stroked="f" coordsize="21600,21600" o:gfxdata="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tpXZtsAAAALAQAADwAAAAAAAAABACAAAAAiAAAA&#10;ZHJzL2Rvd25yZXYueG1sUEsBAhQAFAAAAAgAh07iQG48TMo9AgAAaQQAAA4AAAAAAAAAAQAgAAAA&#10;KgEAAGRycy9lMm9Eb2MueG1sUEsFBgAAAAAGAAYAWQEAANkFAAAAAA==&#10;">
                <v:fill on="f" focussize="0,0"/>
                <v:stroke on="f" weight="0.5pt"/>
                <v:imagedata o:title=""/>
                <o:lock v:ext="edit" aspectratio="f"/>
                <v:textbox>
                  <w:txbxContent>
                    <w:p w14:paraId="2862F173">
                      <w:pPr>
                        <w:rPr>
                          <w:highlight w:val="yellow"/>
                        </w:rPr>
                      </w:pPr>
                      <w:r>
                        <w:rPr>
                          <w:rFonts w:hint="eastAsia"/>
                          <w:highlight w:val="yellow"/>
                        </w:rPr>
                        <w:t>空地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2581275</wp:posOffset>
                </wp:positionH>
                <wp:positionV relativeFrom="paragraph">
                  <wp:posOffset>1483360</wp:posOffset>
                </wp:positionV>
                <wp:extent cx="495300" cy="427355"/>
                <wp:effectExtent l="0" t="0" r="0" b="0"/>
                <wp:wrapNone/>
                <wp:docPr id="140" name="文本框 140"/>
                <wp:cNvGraphicFramePr/>
                <a:graphic xmlns:a="http://schemas.openxmlformats.org/drawingml/2006/main">
                  <a:graphicData uri="http://schemas.microsoft.com/office/word/2010/wordprocessingShape">
                    <wps:wsp>
                      <wps:cNvSpPr txBox="1"/>
                      <wps:spPr>
                        <a:xfrm>
                          <a:off x="4293235" y="2680335"/>
                          <a:ext cx="495300"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A641AB">
                            <w:pPr>
                              <w:rPr>
                                <w:highlight w:val="yellow"/>
                              </w:rPr>
                            </w:pPr>
                            <w:r>
                              <w:rPr>
                                <w:rFonts w:hint="eastAsia"/>
                                <w:highlight w:val="yellow"/>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25pt;margin-top:116.8pt;height:33.65pt;width:39pt;z-index:251745280;mso-width-relative:page;mso-height-relative:page;" filled="f" stroked="f" coordsize="21600,21600" o:gfxdata="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arbFdwAAAALAQAADwAAAAAA&#10;AAABACAAAAAiAAAAZHJzL2Rvd25yZXYueG1sUEsBAhQAFAAAAAgAh07iQLkJORRIAgAAdQQAAA4A&#10;AAAAAAAAAQAgAAAAKwEAAGRycy9lMm9Eb2MueG1sUEsFBgAAAAAGAAYAWQEAAOUFAAAAAA==&#10;">
                <v:fill on="f" focussize="0,0"/>
                <v:stroke on="f" weight="0.5pt"/>
                <v:imagedata o:title=""/>
                <o:lock v:ext="edit" aspectratio="f"/>
                <v:textbox>
                  <w:txbxContent>
                    <w:p w14:paraId="65A641AB">
                      <w:pPr>
                        <w:rPr>
                          <w:highlight w:val="yellow"/>
                        </w:rPr>
                      </w:pPr>
                      <w:r>
                        <w:rPr>
                          <w:rFonts w:hint="eastAsia"/>
                          <w:highlight w:val="yellow"/>
                        </w:rPr>
                        <w:t>空地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1171575</wp:posOffset>
                </wp:positionH>
                <wp:positionV relativeFrom="paragraph">
                  <wp:posOffset>3969385</wp:posOffset>
                </wp:positionV>
                <wp:extent cx="495300" cy="42735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495300" cy="427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866B95">
                            <w:pPr>
                              <w:rPr>
                                <w:highlight w:val="yellow"/>
                              </w:rPr>
                            </w:pPr>
                            <w:r>
                              <w:rPr>
                                <w:rFonts w:hint="eastAsia"/>
                                <w:highlight w:val="yellow"/>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25pt;margin-top:312.55pt;height:33.65pt;width:39pt;z-index:251749376;mso-width-relative:page;mso-height-relative:page;" filled="f" stroked="f" coordsize="21600,21600" o:gfxdata="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wJ1xXaAAAACwEAAA8AAAAAAAAAAQAgAAAAIgAAAGRy&#10;cy9kb3ducmV2LnhtbFBLAQIUABQAAAAIAIdO4kCObx3bPAIAAGcEAAAOAAAAAAAAAAEAIAAAACkB&#10;AABkcnMvZTJvRG9jLnhtbFBLBQYAAAAABgAGAFkBAADXBQAAAAA=&#10;">
                <v:fill on="f" focussize="0,0"/>
                <v:stroke on="f" weight="0.5pt"/>
                <v:imagedata o:title=""/>
                <o:lock v:ext="edit" aspectratio="f"/>
                <v:textbox>
                  <w:txbxContent>
                    <w:p w14:paraId="6A866B95">
                      <w:pPr>
                        <w:rPr>
                          <w:highlight w:val="yellow"/>
                        </w:rPr>
                      </w:pPr>
                      <w:r>
                        <w:rPr>
                          <w:rFonts w:hint="eastAsia"/>
                          <w:highlight w:val="yellow"/>
                        </w:rPr>
                        <w:t>空地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4036695</wp:posOffset>
                </wp:positionH>
                <wp:positionV relativeFrom="paragraph">
                  <wp:posOffset>2753995</wp:posOffset>
                </wp:positionV>
                <wp:extent cx="952500" cy="408940"/>
                <wp:effectExtent l="445770" t="6350" r="11430" b="60960"/>
                <wp:wrapNone/>
                <wp:docPr id="169" name="圆角矩形标注 169"/>
                <wp:cNvGraphicFramePr/>
                <a:graphic xmlns:a="http://schemas.openxmlformats.org/drawingml/2006/main">
                  <a:graphicData uri="http://schemas.microsoft.com/office/word/2010/wordprocessingShape">
                    <wps:wsp>
                      <wps:cNvSpPr/>
                      <wps:spPr>
                        <a:xfrm>
                          <a:off x="5407660" y="4213860"/>
                          <a:ext cx="952500" cy="408940"/>
                        </a:xfrm>
                        <a:prstGeom prst="wedgeRoundRectCallout">
                          <a:avLst>
                            <a:gd name="adj1" fmla="val -91800"/>
                            <a:gd name="adj2" fmla="val 57452"/>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C8F9C4">
                            <w:pP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7.85pt;margin-top:216.85pt;height:32.2pt;width:75pt;z-index:251746304;v-text-anchor:middle;mso-width-relative:page;mso-height-relative:page;" fillcolor="#FFFFFF [3212]" filled="t" stroked="t" coordsize="21600,21600" o:gfxdata="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AQEwxn2QAAAAsBAAAPAAAAAAAAAAEAIAAAACIAAABkcnMvZG93bnJldi54bWxQSwECFAAUAAAA&#10;CACHTuJAL5JoGtECAAChBQAADgAAAAAAAAABACAAAAAoAQAAZHJzL2Uyb0RvYy54bWxQSwUGAAAA&#10;AAYABgBZAQAAawYAAAAA&#10;" adj="-9029,23210,14400">
                <v:fill on="t" focussize="0,0"/>
                <v:stroke weight="1pt" color="#000000 [3213]" miterlimit="8" joinstyle="miter"/>
                <v:imagedata o:title=""/>
                <o:lock v:ext="edit" aspectratio="f"/>
                <v:textbox>
                  <w:txbxContent>
                    <w:p w14:paraId="3FC8F9C4">
                      <w:pP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2114550</wp:posOffset>
                </wp:positionH>
                <wp:positionV relativeFrom="paragraph">
                  <wp:posOffset>2520315</wp:posOffset>
                </wp:positionV>
                <wp:extent cx="1485900" cy="1993900"/>
                <wp:effectExtent l="5080" t="4445" r="13970" b="20955"/>
                <wp:wrapNone/>
                <wp:docPr id="57" name="任意多边形 57"/>
                <wp:cNvGraphicFramePr/>
                <a:graphic xmlns:a="http://schemas.openxmlformats.org/drawingml/2006/main">
                  <a:graphicData uri="http://schemas.microsoft.com/office/word/2010/wordprocessingShape">
                    <wps:wsp>
                      <wps:cNvSpPr/>
                      <wps:spPr>
                        <a:xfrm>
                          <a:off x="2988945" y="3382010"/>
                          <a:ext cx="1485900" cy="1993900"/>
                        </a:xfrm>
                        <a:custGeom>
                          <a:avLst/>
                          <a:gdLst>
                            <a:gd name="connisteX0" fmla="*/ 6350 w 1485900"/>
                            <a:gd name="connsiteY0" fmla="*/ 1993900 h 1993900"/>
                            <a:gd name="connisteX1" fmla="*/ 1485900 w 1485900"/>
                            <a:gd name="connsiteY1" fmla="*/ 1993900 h 1993900"/>
                            <a:gd name="connisteX2" fmla="*/ 1485900 w 1485900"/>
                            <a:gd name="connsiteY2" fmla="*/ 165100 h 1993900"/>
                            <a:gd name="connisteX3" fmla="*/ 1250950 w 1485900"/>
                            <a:gd name="connsiteY3" fmla="*/ 0 h 1993900"/>
                            <a:gd name="connisteX4" fmla="*/ 0 w 1485900"/>
                            <a:gd name="connsiteY4" fmla="*/ 0 h 1993900"/>
                            <a:gd name="connisteX5" fmla="*/ 6350 w 1485900"/>
                            <a:gd name="connsiteY5" fmla="*/ 1993900 h 1993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85900" h="1993900">
                              <a:moveTo>
                                <a:pt x="6350" y="1993900"/>
                              </a:moveTo>
                              <a:lnTo>
                                <a:pt x="1485900" y="1993900"/>
                              </a:lnTo>
                              <a:lnTo>
                                <a:pt x="1485900" y="165100"/>
                              </a:lnTo>
                              <a:lnTo>
                                <a:pt x="1250950" y="0"/>
                              </a:lnTo>
                              <a:lnTo>
                                <a:pt x="0" y="0"/>
                              </a:lnTo>
                              <a:lnTo>
                                <a:pt x="6350" y="1993900"/>
                              </a:lnTo>
                              <a:close/>
                            </a:path>
                          </a:pathLst>
                        </a:custGeom>
                        <a:solidFill>
                          <a:schemeClr val="accent1">
                            <a:alpha val="50000"/>
                          </a:schemeClr>
                        </a:solid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6.5pt;margin-top:198.45pt;height:157pt;width:117pt;z-index:251659264;mso-width-relative:page;mso-height-relative:page;" fillcolor="#5B9BD5 [3204]" filled="t" stroked="t" coordsize="1485900,1993900" o:gfxdata="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w0IsfdwAAAALAQAADwAAAAAAAAABACAAAAAiAAAAZHJzL2Rvd25yZXYueG1sUEsBAhQAFAAA&#10;AAgAh07iQBUQuGtBAwAAfAkAAA4AAAAAAAAAAQAgAAAAKwEAAGRycy9lMm9Eb2MueG1sUEsFBgAA&#10;AAAGAAYAWQEAAN4GAAAAAA==&#10;" path="m6350,1993900l1485900,1993900,1485900,165100,1250950,0,0,0,6350,1993900xe">
                <v:path o:connectlocs="6350,1993900;1485900,1993900;1485900,165100;1250950,0;0,0;6350,1993900" o:connectangles="0,0,0,0,0,0"/>
                <v:fill on="t" opacity="32768f" focussize="0,0"/>
                <v:stroke color="#FF0000 [24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5886450" cy="7565390"/>
            <wp:effectExtent l="9525" t="9525" r="9525" b="2603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27"/>
                    <a:stretch>
                      <a:fillRect/>
                    </a:stretch>
                  </pic:blipFill>
                  <pic:spPr>
                    <a:xfrm>
                      <a:off x="0" y="0"/>
                      <a:ext cx="5886450" cy="7565390"/>
                    </a:xfrm>
                    <a:prstGeom prst="rect">
                      <a:avLst/>
                    </a:prstGeom>
                    <a:noFill/>
                    <a:ln>
                      <a:solidFill>
                        <a:schemeClr val="tx1"/>
                      </a:solidFill>
                    </a:ln>
                  </pic:spPr>
                </pic:pic>
              </a:graphicData>
            </a:graphic>
          </wp:inline>
        </w:drawing>
      </w:r>
    </w:p>
    <w:p w14:paraId="596C9391">
      <w:pPr>
        <w:pStyle w:val="45"/>
        <w:jc w:val="center"/>
        <w:outlineLvl w:val="0"/>
        <w:rPr>
          <w:rFonts w:ascii="Times New Roman"/>
          <w:color w:val="000000" w:themeColor="text1"/>
          <w:sz w:val="24"/>
          <w:szCs w:val="24"/>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88" w:name="_Toc19779"/>
      <w:r>
        <w:rPr>
          <w:color w:val="000000" w:themeColor="text1"/>
          <w:sz w:val="24"/>
          <w:highlight w:val="none"/>
          <w14:textFill>
            <w14:solidFill>
              <w14:schemeClr w14:val="tx1"/>
            </w14:solidFill>
          </w14:textFill>
        </w:rPr>
        <mc:AlternateContent>
          <mc:Choice Requires="wpg">
            <w:drawing>
              <wp:anchor distT="0" distB="0" distL="114300" distR="114300" simplePos="0" relativeHeight="251669504" behindDoc="0" locked="0" layoutInCell="1" allowOverlap="1">
                <wp:simplePos x="0" y="0"/>
                <wp:positionH relativeFrom="column">
                  <wp:posOffset>1212850</wp:posOffset>
                </wp:positionH>
                <wp:positionV relativeFrom="paragraph">
                  <wp:posOffset>3641725</wp:posOffset>
                </wp:positionV>
                <wp:extent cx="1200150" cy="1000125"/>
                <wp:effectExtent l="5080" t="4445" r="13970" b="5080"/>
                <wp:wrapNone/>
                <wp:docPr id="58" name="组合 58"/>
                <wp:cNvGraphicFramePr/>
                <a:graphic xmlns:a="http://schemas.openxmlformats.org/drawingml/2006/main">
                  <a:graphicData uri="http://schemas.microsoft.com/office/word/2010/wordprocessingGroup">
                    <wpg:wgp>
                      <wpg:cNvGrpSpPr/>
                      <wpg:grpSpPr>
                        <a:xfrm>
                          <a:off x="0" y="0"/>
                          <a:ext cx="1200150" cy="1000125"/>
                          <a:chOff x="15112" y="1682833"/>
                          <a:chExt cx="1890" cy="1575"/>
                        </a:xfrm>
                      </wpg:grpSpPr>
                      <wps:wsp>
                        <wps:cNvPr id="66" name="文本框 66"/>
                        <wps:cNvSpPr txBox="1"/>
                        <wps:spPr>
                          <a:xfrm>
                            <a:off x="15112" y="1682833"/>
                            <a:ext cx="1890" cy="1575"/>
                          </a:xfrm>
                          <a:prstGeom prst="rect">
                            <a:avLst/>
                          </a:prstGeom>
                          <a:solidFill>
                            <a:schemeClr val="accent1">
                              <a:lumMod val="20000"/>
                              <a:lumOff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3BE8BB">
                              <w:pPr>
                                <w:jc w:val="center"/>
                                <w:rPr>
                                  <w:b/>
                                  <w:bCs/>
                                </w:rPr>
                              </w:pPr>
                              <w:r>
                                <w:rPr>
                                  <w:rFonts w:hint="eastAsia"/>
                                  <w:b/>
                                  <w:bCs/>
                                </w:rPr>
                                <w:t>图例</w:t>
                              </w:r>
                            </w:p>
                            <w:p w14:paraId="10DC199E">
                              <w:pPr>
                                <w:pStyle w:val="43"/>
                              </w:pPr>
                              <w:r>
                                <w:rPr>
                                  <w:rFonts w:hint="eastAsia"/>
                                </w:rPr>
                                <w:t>项目位置：</w:t>
                              </w:r>
                            </w:p>
                            <w:p w14:paraId="74FCE000">
                              <w:pPr>
                                <w:pStyle w:val="43"/>
                              </w:pPr>
                              <w:r>
                                <w:rPr>
                                  <w:rFonts w:hint="eastAsia"/>
                                </w:rPr>
                                <w:t>四至情况：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矩形 125"/>
                        <wps:cNvSpPr/>
                        <wps:spPr>
                          <a:xfrm>
                            <a:off x="16432" y="1683493"/>
                            <a:ext cx="435" cy="240"/>
                          </a:xfrm>
                          <a:prstGeom prst="rect">
                            <a:avLst/>
                          </a:prstGeom>
                          <a:noFill/>
                          <a:ln w="28575">
                            <a:solidFill>
                              <a:srgbClr val="56C7A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矩形 129"/>
                        <wps:cNvSpPr/>
                        <wps:spPr>
                          <a:xfrm>
                            <a:off x="16452" y="1683973"/>
                            <a:ext cx="435" cy="240"/>
                          </a:xfrm>
                          <a:prstGeom prst="rect">
                            <a:avLst/>
                          </a:prstGeom>
                          <a:noFill/>
                          <a:ln w="28575">
                            <a:solidFill>
                              <a:srgbClr val="322EB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95.5pt;margin-top:286.75pt;height:78.75pt;width:94.5pt;z-index:251669504;mso-width-relative:page;mso-height-relative:page;" coordorigin="15112,1682833" coordsize="1890,1575" o:gfxdata="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">
                <o:lock v:ext="edit" aspectratio="f"/>
                <v:shape id="_x0000_s1026" o:spid="_x0000_s1026" o:spt="202" type="#_x0000_t202" style="position:absolute;left:15112;top:1682833;height:1575;width:1890;" fillcolor="#DEEBF7 [660]" filled="t" stroked="t" coordsize="21600,21600" o:gfxdata="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b0qIL4A&#10;AADbAAAADwAAAAAAAAABACAAAAAiAAAAZHJzL2Rvd25yZXYueG1sUEsBAhQAFAAAAAgAh07iQDMv&#10;BZ47AAAAOQAAABAAAAAAAAAAAQAgAAAADQEAAGRycy9zaGFwZXhtbC54bWxQSwUGAAAAAAYABgBb&#10;AQAAtwMAAAAA&#10;">
                  <v:fill on="t" focussize="0,0"/>
                  <v:stroke weight="0.5pt" color="#000000 [3204]" joinstyle="round"/>
                  <v:imagedata o:title=""/>
                  <o:lock v:ext="edit" aspectratio="f"/>
                  <v:textbox>
                    <w:txbxContent>
                      <w:p w14:paraId="723BE8BB">
                        <w:pPr>
                          <w:jc w:val="center"/>
                          <w:rPr>
                            <w:b/>
                            <w:bCs/>
                          </w:rPr>
                        </w:pPr>
                        <w:r>
                          <w:rPr>
                            <w:rFonts w:hint="eastAsia"/>
                            <w:b/>
                            <w:bCs/>
                          </w:rPr>
                          <w:t>图例</w:t>
                        </w:r>
                      </w:p>
                      <w:p w14:paraId="10DC199E">
                        <w:pPr>
                          <w:pStyle w:val="43"/>
                        </w:pPr>
                        <w:r>
                          <w:rPr>
                            <w:rFonts w:hint="eastAsia"/>
                          </w:rPr>
                          <w:t>项目位置：</w:t>
                        </w:r>
                      </w:p>
                      <w:p w14:paraId="74FCE000">
                        <w:pPr>
                          <w:pStyle w:val="43"/>
                        </w:pPr>
                        <w:r>
                          <w:rPr>
                            <w:rFonts w:hint="eastAsia"/>
                          </w:rPr>
                          <w:t>四至情况：</w:t>
                        </w:r>
                      </w:p>
                    </w:txbxContent>
                  </v:textbox>
                </v:shape>
                <v:rect id="_x0000_s1026" o:spid="_x0000_s1026" o:spt="1" style="position:absolute;left:16432;top:1683493;height:240;width:435;v-text-anchor:middle;" filled="f" stroked="t" coordsize="21600,21600" o:gfxdata="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n7EZ7sAAADc&#10;AAAADwAAAAAAAAABACAAAAAiAAAAZHJzL2Rvd25yZXYueG1sUEsBAhQAFAAAAAgAh07iQDMvBZ47&#10;AAAAOQAAABAAAAAAAAAAAQAgAAAACgEAAGRycy9zaGFwZXhtbC54bWxQSwUGAAAAAAYABgBbAQAA&#10;tAMAAAAA&#10;">
                  <v:fill on="f" focussize="0,0"/>
                  <v:stroke weight="2.25pt" color="#56C7AF [3204]" miterlimit="8" joinstyle="miter"/>
                  <v:imagedata o:title=""/>
                  <o:lock v:ext="edit" aspectratio="f"/>
                </v:rect>
                <v:rect id="_x0000_s1026" o:spid="_x0000_s1026" o:spt="1" style="position:absolute;left:16452;top:1683973;height:240;width:435;v-text-anchor:middle;" filled="f" stroked="t" coordsize="21600,21600" o:gfxdata="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9MB1W8AAAA&#10;3AAAAA8AAAAAAAAAAQAgAAAAIgAAAGRycy9kb3ducmV2LnhtbFBLAQIUABQAAAAIAIdO4kAzLwWe&#10;OwAAADkAAAAQAAAAAAAAAAEAIAAAAAsBAABkcnMvc2hhcGV4bWwueG1sUEsFBgAAAAAGAAYAWwEA&#10;ALUDAAAAAA==&#10;">
                  <v:fill on="f" focussize="0,0"/>
                  <v:stroke weight="2.25pt" color="#322EB9 [3204]" miterlimit="8" joinstyle="miter"/>
                  <v:imagedata o:title=""/>
                  <o:lock v:ext="edit" aspectratio="f"/>
                </v:rect>
              </v:group>
            </w:pict>
          </mc:Fallback>
        </mc:AlternateContent>
      </w:r>
      <w:r>
        <w:rPr>
          <w:rFonts w:ascii="Times New Roman"/>
          <w:color w:val="000000" w:themeColor="text1"/>
          <w:sz w:val="24"/>
          <w:szCs w:val="24"/>
          <w:highlight w:val="none"/>
          <w14:textFill>
            <w14:solidFill>
              <w14:schemeClr w14:val="tx1"/>
            </w14:solidFill>
          </w14:textFill>
        </w:rPr>
        <w:t>附图2 项目四至情况</w:t>
      </w:r>
      <w:bookmarkEnd w:id="186"/>
      <w:bookmarkEnd w:id="187"/>
      <w:bookmarkEnd w:id="188"/>
    </w:p>
    <w:p w14:paraId="0D75E564">
      <w:pPr>
        <w:jc w:val="center"/>
        <w:rPr>
          <w:color w:val="000000" w:themeColor="text1"/>
          <w:sz w:val="24"/>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43232" behindDoc="0" locked="0" layoutInCell="1" allowOverlap="1">
                <wp:simplePos x="0" y="0"/>
                <wp:positionH relativeFrom="column">
                  <wp:posOffset>2999740</wp:posOffset>
                </wp:positionH>
                <wp:positionV relativeFrom="paragraph">
                  <wp:posOffset>298450</wp:posOffset>
                </wp:positionV>
                <wp:extent cx="1181735" cy="690880"/>
                <wp:effectExtent l="0" t="0" r="0" b="13335"/>
                <wp:wrapNone/>
                <wp:docPr id="3" name="组合 3"/>
                <wp:cNvGraphicFramePr/>
                <a:graphic xmlns:a="http://schemas.openxmlformats.org/drawingml/2006/main">
                  <a:graphicData uri="http://schemas.microsoft.com/office/word/2010/wordprocessingGroup">
                    <wpg:wgp>
                      <wpg:cNvGrpSpPr/>
                      <wpg:grpSpPr>
                        <a:xfrm>
                          <a:off x="0" y="0"/>
                          <a:ext cx="1181735" cy="690880"/>
                          <a:chOff x="6274" y="1665253"/>
                          <a:chExt cx="1861" cy="1088"/>
                        </a:xfrm>
                      </wpg:grpSpPr>
                      <wps:wsp>
                        <wps:cNvPr id="11" name="同心圆 128"/>
                        <wps:cNvSpPr/>
                        <wps:spPr>
                          <a:xfrm>
                            <a:off x="6856" y="1666134"/>
                            <a:ext cx="207" cy="207"/>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 name="文本框 130"/>
                        <wps:cNvSpPr txBox="1"/>
                        <wps:spPr>
                          <a:xfrm>
                            <a:off x="6274" y="1665253"/>
                            <a:ext cx="1861" cy="6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3A033A">
                              <w:pPr>
                                <w:rPr>
                                  <w:rFonts w:hint="default" w:eastAsia="宋体"/>
                                  <w:b/>
                                  <w:bCs/>
                                  <w:highlight w:val="lightGray"/>
                                  <w:lang w:val="en-US" w:eastAsia="zh-CN"/>
                                </w:rPr>
                              </w:pPr>
                              <w:r>
                                <w:rPr>
                                  <w:rFonts w:hint="eastAsia"/>
                                  <w:b/>
                                  <w:bCs/>
                                  <w:highlight w:val="lightGray"/>
                                  <w:lang w:val="en-US" w:eastAsia="zh-CN"/>
                                </w:rPr>
                                <w:t>排气筒DA002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直接连接符 131"/>
                        <wps:cNvCnPr/>
                        <wps:spPr>
                          <a:xfrm flipV="1">
                            <a:off x="6933" y="1665681"/>
                            <a:ext cx="262" cy="438"/>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36.2pt;margin-top:23.5pt;height:54.4pt;width:93.05pt;z-index:251743232;mso-width-relative:page;mso-height-relative:page;" coordorigin="6274,1665253" coordsize="1861,1088" o:gfxdata="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">
                <o:lock v:ext="edit" aspectratio="f"/>
                <v:shape id="同心圆 128" o:spid="_x0000_s1026" o:spt="23" type="#_x0000_t23" style="position:absolute;left:6856;top:1666134;height:207;width:207;v-text-anchor:middle;" fillcolor="#FF0000" filled="t" stroked="t" coordsize="21600,21600" o:gfxdata="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vV1erUAAADbAAAADwAA&#10;AAAAAAABACAAAAAiAAAAZHJzL2Rvd25yZXYueG1sUEsBAhQAFAAAAAgAh07iQDMvBZ47AAAAOQAA&#10;ABAAAAAAAAAAAQAgAAAABAEAAGRycy9zaGFwZXhtbC54bWxQSwUGAAAAAAYABgBbAQAArgMAAAAA&#10;" adj="5400">
                  <v:fill on="t" focussize="0,0"/>
                  <v:stroke weight="1pt" color="#000000 [3213]" miterlimit="8" joinstyle="miter"/>
                  <v:imagedata o:title=""/>
                  <o:lock v:ext="edit" aspectratio="f"/>
                </v:shape>
                <v:shape id="文本框 130" o:spid="_x0000_s1026" o:spt="202" type="#_x0000_t202" style="position:absolute;left:6274;top:1665253;height:617;width:1861;"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163A033A">
                        <w:pPr>
                          <w:rPr>
                            <w:rFonts w:hint="default" w:eastAsia="宋体"/>
                            <w:b/>
                            <w:bCs/>
                            <w:highlight w:val="lightGray"/>
                            <w:lang w:val="en-US" w:eastAsia="zh-CN"/>
                          </w:rPr>
                        </w:pPr>
                        <w:r>
                          <w:rPr>
                            <w:rFonts w:hint="eastAsia"/>
                            <w:b/>
                            <w:bCs/>
                            <w:highlight w:val="lightGray"/>
                            <w:lang w:val="en-US" w:eastAsia="zh-CN"/>
                          </w:rPr>
                          <w:t>排气筒DA002</w:t>
                        </w:r>
                      </w:p>
                    </w:txbxContent>
                  </v:textbox>
                </v:shape>
                <v:line id="直接连接符 131" o:spid="_x0000_s1026" o:spt="20" style="position:absolute;left:6933;top:1665681;flip:y;height:438;width:262;" filled="f" stroked="t" coordsize="21600,21600" o:gfxdata="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99kC8AAAA&#10;2w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line>
              </v:group>
            </w:pict>
          </mc:Fallback>
        </mc:AlternateContent>
      </w:r>
      <w:r>
        <w:rPr>
          <w:color w:val="000000" w:themeColor="text1"/>
          <w:sz w:val="24"/>
          <w14:textFill>
            <w14:solidFill>
              <w14:schemeClr w14:val="tx1"/>
            </w14:solidFill>
          </w14:textFill>
        </w:rPr>
        <mc:AlternateContent>
          <mc:Choice Requires="wpg">
            <w:drawing>
              <wp:anchor distT="0" distB="0" distL="114300" distR="114300" simplePos="0" relativeHeight="251766784" behindDoc="0" locked="0" layoutInCell="1" allowOverlap="1">
                <wp:simplePos x="0" y="0"/>
                <wp:positionH relativeFrom="column">
                  <wp:posOffset>3031490</wp:posOffset>
                </wp:positionH>
                <wp:positionV relativeFrom="paragraph">
                  <wp:posOffset>2345690</wp:posOffset>
                </wp:positionV>
                <wp:extent cx="1181100" cy="690245"/>
                <wp:effectExtent l="0" t="0" r="0" b="13970"/>
                <wp:wrapNone/>
                <wp:docPr id="118" name="组合 118"/>
                <wp:cNvGraphicFramePr/>
                <a:graphic xmlns:a="http://schemas.openxmlformats.org/drawingml/2006/main">
                  <a:graphicData uri="http://schemas.microsoft.com/office/word/2010/wordprocessingGroup">
                    <wpg:wgp>
                      <wpg:cNvGrpSpPr/>
                      <wpg:grpSpPr>
                        <a:xfrm>
                          <a:off x="0" y="0"/>
                          <a:ext cx="1181100" cy="690245"/>
                          <a:chOff x="6197" y="1665253"/>
                          <a:chExt cx="1860" cy="1087"/>
                        </a:xfrm>
                      </wpg:grpSpPr>
                      <wps:wsp>
                        <wps:cNvPr id="119" name="同心圆 128"/>
                        <wps:cNvSpPr/>
                        <wps:spPr>
                          <a:xfrm>
                            <a:off x="6771" y="1666134"/>
                            <a:ext cx="207" cy="207"/>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0" name="文本框 130"/>
                        <wps:cNvSpPr txBox="1"/>
                        <wps:spPr>
                          <a:xfrm>
                            <a:off x="6197" y="1665253"/>
                            <a:ext cx="1861" cy="6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CDBCAB">
                              <w:pPr>
                                <w:rPr>
                                  <w:rFonts w:hint="default" w:eastAsia="宋体"/>
                                  <w:b/>
                                  <w:bCs/>
                                  <w:highlight w:val="lightGray"/>
                                  <w:lang w:val="en-US" w:eastAsia="zh-CN"/>
                                </w:rPr>
                              </w:pPr>
                              <w:r>
                                <w:rPr>
                                  <w:rFonts w:hint="eastAsia"/>
                                  <w:b/>
                                  <w:bCs/>
                                  <w:highlight w:val="lightGray"/>
                                  <w:lang w:val="en-US" w:eastAsia="zh-CN"/>
                                </w:rPr>
                                <w:t>排气筒DA003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1" name="直接连接符 131"/>
                        <wps:cNvCnPr/>
                        <wps:spPr>
                          <a:xfrm flipV="1">
                            <a:off x="6933" y="1665681"/>
                            <a:ext cx="262" cy="438"/>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238.7pt;margin-top:184.7pt;height:54.35pt;width:93pt;z-index:251766784;mso-width-relative:page;mso-height-relative:page;" coordorigin="6197,1665253" coordsize="1860,1087" o:gfxdata="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2i6bxdoAAAALAQAADwAAAAAAAAABACAAAAAiAAAAZHJzL2Rvd25yZXYueG1sUEsBAhQA&#10;FAAAAAgAh07iQG8LDxe4AwAArQoAAA4AAAAAAAAAAQAgAAAAKQEAAGRycy9lMm9Eb2MueG1sUEsF&#10;BgAAAAAGAAYAWQEAAFMHAAAAAA==&#10;">
                <o:lock v:ext="edit" aspectratio="f"/>
                <v:shape id="同心圆 128" o:spid="_x0000_s1026" o:spt="23" type="#_x0000_t23" style="position:absolute;left:6771;top:1666134;height:207;width:207;v-text-anchor:middle;" fillcolor="#FF0000" filled="t" stroked="t" coordsize="21600,21600" o:gfxdata="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9hRK8AAAA&#10;3AAAAA8AAAAAAAAAAQAgAAAAIgAAAGRycy9kb3ducmV2LnhtbFBLAQIUABQAAAAIAIdO4kAzLwWe&#10;OwAAADkAAAAQAAAAAAAAAAEAIAAAAAsBAABkcnMvc2hhcGV4bWwueG1sUEsFBgAAAAAGAAYAWwEA&#10;ALUDAAAAAA==&#10;" adj="5400">
                  <v:fill on="t" focussize="0,0"/>
                  <v:stroke weight="1pt" color="#000000 [3213]" miterlimit="8" joinstyle="miter"/>
                  <v:imagedata o:title=""/>
                  <o:lock v:ext="edit" aspectratio="f"/>
                </v:shape>
                <v:shape id="文本框 130" o:spid="_x0000_s1026" o:spt="202" type="#_x0000_t202" style="position:absolute;left:6197;top:1665253;height:617;width:1861;" filled="f" stroked="f" coordsize="21600,21600" o:gfxdata="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f1H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34CDBCAB">
                        <w:pPr>
                          <w:rPr>
                            <w:rFonts w:hint="default" w:eastAsia="宋体"/>
                            <w:b/>
                            <w:bCs/>
                            <w:highlight w:val="lightGray"/>
                            <w:lang w:val="en-US" w:eastAsia="zh-CN"/>
                          </w:rPr>
                        </w:pPr>
                        <w:r>
                          <w:rPr>
                            <w:rFonts w:hint="eastAsia"/>
                            <w:b/>
                            <w:bCs/>
                            <w:highlight w:val="lightGray"/>
                            <w:lang w:val="en-US" w:eastAsia="zh-CN"/>
                          </w:rPr>
                          <w:t>排气筒DA003</w:t>
                        </w:r>
                      </w:p>
                    </w:txbxContent>
                  </v:textbox>
                </v:shape>
                <v:line id="直接连接符 131" o:spid="_x0000_s1026" o:spt="20" style="position:absolute;left:6933;top:1665681;flip:y;height:438;width:262;" filled="f" stroked="t" coordsize="21600,21600" o:gfxdata="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antVugAAANw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line>
              </v:group>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3747135</wp:posOffset>
                </wp:positionH>
                <wp:positionV relativeFrom="paragraph">
                  <wp:posOffset>709295</wp:posOffset>
                </wp:positionV>
                <wp:extent cx="130810" cy="238125"/>
                <wp:effectExtent l="6350" t="6350" r="13970" b="14605"/>
                <wp:wrapNone/>
                <wp:docPr id="64" name="矩形 64"/>
                <wp:cNvGraphicFramePr/>
                <a:graphic xmlns:a="http://schemas.openxmlformats.org/drawingml/2006/main">
                  <a:graphicData uri="http://schemas.microsoft.com/office/word/2010/wordprocessingShape">
                    <wps:wsp>
                      <wps:cNvSpPr/>
                      <wps:spPr>
                        <a:xfrm>
                          <a:off x="0" y="0"/>
                          <a:ext cx="130810" cy="238125"/>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05pt;margin-top:55.85pt;height:18.75pt;width:10.3pt;z-index:251760640;v-text-anchor:middle;mso-width-relative:page;mso-height-relative:page;" fillcolor="#FFC000" filled="t" stroked="t" coordsize="21600,21600" o:gfxdata="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Pe3NCfZAAAACwEAAA8AAAAAAAAAAQAgAAAAIgAAAGRycy9kb3du&#10;cmV2LnhtbFBLAQIUABQAAAAIAIdO4kA7aukbcAIAAPUEAAAOAAAAAAAAAAEAIAAAACgBAABkcnMv&#10;ZTJvRG9jLnhtbFBLBQYAAAAABgAGAFkBAAAKBgAAAAA=&#10;">
                <v:fill on="t" focussize="0,0"/>
                <v:stroke weight="1pt" color="#000000 [3213]"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3282315</wp:posOffset>
                </wp:positionH>
                <wp:positionV relativeFrom="paragraph">
                  <wp:posOffset>1057910</wp:posOffset>
                </wp:positionV>
                <wp:extent cx="1181735" cy="391795"/>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18173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929760">
                            <w:pPr>
                              <w:rPr>
                                <w:rFonts w:hint="default" w:eastAsia="宋体"/>
                                <w:b/>
                                <w:bCs/>
                                <w:color w:val="000000" w:themeColor="text1"/>
                                <w:sz w:val="20"/>
                                <w:szCs w:val="20"/>
                                <w:highlight w:val="none"/>
                                <w:lang w:val="en-US" w:eastAsia="zh-CN"/>
                                <w14:textFill>
                                  <w14:solidFill>
                                    <w14:schemeClr w14:val="tx1"/>
                                  </w14:solidFill>
                                </w14:textFill>
                              </w:rPr>
                            </w:pPr>
                            <w:r>
                              <w:rPr>
                                <w:rFonts w:hint="eastAsia"/>
                                <w:b/>
                                <w:bCs/>
                                <w:color w:val="000000" w:themeColor="text1"/>
                                <w:sz w:val="20"/>
                                <w:szCs w:val="20"/>
                                <w:highlight w:val="none"/>
                                <w:lang w:val="en-US" w:eastAsia="zh-CN"/>
                                <w14:textFill>
                                  <w14:solidFill>
                                    <w14:schemeClr w14:val="tx1"/>
                                  </w14:solidFill>
                                </w14:textFill>
                              </w:rPr>
                              <w:t>三级化粪</w:t>
                            </w:r>
                            <w:r>
                              <w:rPr>
                                <w:rFonts w:hint="eastAsia" w:eastAsia="宋体"/>
                                <w:b/>
                                <w:bCs/>
                                <w:color w:val="000000" w:themeColor="text1"/>
                                <w:sz w:val="20"/>
                                <w:szCs w:val="20"/>
                                <w:highlight w:val="none"/>
                                <w:lang w:val="en-US" w:eastAsia="zh-CN"/>
                                <w14:textFill>
                                  <w14:solidFill>
                                    <w14:schemeClr w14:val="tx1"/>
                                  </w14:solidFill>
                                </w14:textFill>
                              </w:rPr>
                              <w:t>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45pt;margin-top:83.3pt;height:30.85pt;width:93.05pt;z-index:251761664;mso-width-relative:page;mso-height-relative:page;" filled="f" stroked="f" coordsize="21600,21600" o:gfxdata="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&#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HN61XbAAAACwEAAA8AAAAAAAAAAQAgAAAAIgAAAGRy&#10;cy9kb3ducmV2LnhtbFBLAQIUABQAAAAIAIdO4kAJepBxOwIAAGgEAAAOAAAAAAAAAAEAIAAAACoB&#10;AABkcnMvZTJvRG9jLnhtbFBLBQYAAAAABgAGAFkBAADXBQAAAAA=&#10;">
                <v:fill on="f" focussize="0,0"/>
                <v:stroke on="f" weight="0.5pt"/>
                <v:imagedata o:title=""/>
                <o:lock v:ext="edit" aspectratio="f"/>
                <v:textbox>
                  <w:txbxContent>
                    <w:p w14:paraId="48929760">
                      <w:pPr>
                        <w:rPr>
                          <w:rFonts w:hint="default" w:eastAsia="宋体"/>
                          <w:b/>
                          <w:bCs/>
                          <w:color w:val="000000" w:themeColor="text1"/>
                          <w:sz w:val="20"/>
                          <w:szCs w:val="20"/>
                          <w:highlight w:val="none"/>
                          <w:lang w:val="en-US" w:eastAsia="zh-CN"/>
                          <w14:textFill>
                            <w14:solidFill>
                              <w14:schemeClr w14:val="tx1"/>
                            </w14:solidFill>
                          </w14:textFill>
                        </w:rPr>
                      </w:pPr>
                      <w:r>
                        <w:rPr>
                          <w:rFonts w:hint="eastAsia"/>
                          <w:b/>
                          <w:bCs/>
                          <w:color w:val="000000" w:themeColor="text1"/>
                          <w:sz w:val="20"/>
                          <w:szCs w:val="20"/>
                          <w:highlight w:val="none"/>
                          <w:lang w:val="en-US" w:eastAsia="zh-CN"/>
                          <w14:textFill>
                            <w14:solidFill>
                              <w14:schemeClr w14:val="tx1"/>
                            </w14:solidFill>
                          </w14:textFill>
                        </w:rPr>
                        <w:t>三级化粪</w:t>
                      </w:r>
                      <w:r>
                        <w:rPr>
                          <w:rFonts w:hint="eastAsia" w:eastAsia="宋体"/>
                          <w:b/>
                          <w:bCs/>
                          <w:color w:val="000000" w:themeColor="text1"/>
                          <w:sz w:val="20"/>
                          <w:szCs w:val="20"/>
                          <w:highlight w:val="none"/>
                          <w:lang w:val="en-US" w:eastAsia="zh-CN"/>
                          <w14:textFill>
                            <w14:solidFill>
                              <w14:schemeClr w14:val="tx1"/>
                            </w14:solidFill>
                          </w14:textFill>
                        </w:rPr>
                        <w:t>池</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756544" behindDoc="0" locked="0" layoutInCell="1" allowOverlap="1">
            <wp:simplePos x="0" y="0"/>
            <wp:positionH relativeFrom="column">
              <wp:posOffset>5215890</wp:posOffset>
            </wp:positionH>
            <wp:positionV relativeFrom="paragraph">
              <wp:posOffset>57785</wp:posOffset>
            </wp:positionV>
            <wp:extent cx="467360" cy="481965"/>
            <wp:effectExtent l="9525" t="9525" r="19685" b="15875"/>
            <wp:wrapNone/>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5"/>
                    <a:stretch>
                      <a:fillRect/>
                    </a:stretch>
                  </pic:blipFill>
                  <pic:spPr>
                    <a:xfrm>
                      <a:off x="0" y="0"/>
                      <a:ext cx="467360" cy="481965"/>
                    </a:xfrm>
                    <a:prstGeom prst="rect">
                      <a:avLst/>
                    </a:prstGeom>
                    <a:noFill/>
                    <a:ln>
                      <a:solidFill>
                        <a:schemeClr val="tx1"/>
                      </a:solid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2045970</wp:posOffset>
                </wp:positionH>
                <wp:positionV relativeFrom="paragraph">
                  <wp:posOffset>1113790</wp:posOffset>
                </wp:positionV>
                <wp:extent cx="1181735" cy="39179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181735" cy="391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4142C6">
                            <w:pPr>
                              <w:rPr>
                                <w:rFonts w:hint="default" w:eastAsia="宋体"/>
                                <w:b/>
                                <w:bCs/>
                                <w:color w:val="000000" w:themeColor="text1"/>
                                <w:highlight w:val="none"/>
                                <w:lang w:val="en-US" w:eastAsia="zh-CN"/>
                                <w14:textFill>
                                  <w14:solidFill>
                                    <w14:schemeClr w14:val="tx1"/>
                                  </w14:solidFill>
                                </w14:textFill>
                              </w:rPr>
                            </w:pPr>
                            <w:r>
                              <w:rPr>
                                <w:rFonts w:hint="eastAsia" w:eastAsia="宋体"/>
                                <w:b/>
                                <w:bCs/>
                                <w:color w:val="000000" w:themeColor="text1"/>
                                <w:highlight w:val="none"/>
                                <w:lang w:val="en-US" w:eastAsia="zh-CN"/>
                                <w14:textFill>
                                  <w14:solidFill>
                                    <w14:schemeClr w14:val="tx1"/>
                                  </w14:solidFill>
                                </w14:textFill>
                              </w:rPr>
                              <w:t>事故应急池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1pt;margin-top:87.7pt;height:30.85pt;width:93.05pt;z-index:251742208;mso-width-relative:page;mso-height-relative:page;" filled="f" stroked="f" coordsize="21600,21600" o:gfxdata="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PvrmrcAAAACwEAAA8AAAAAAAAAAQAgAAAAIgAA&#10;AGRycy9kb3ducmV2LnhtbFBLAQIUABQAAAAIAIdO4kDwEyWIPQIAAGgEAAAOAAAAAAAAAAEAIAAA&#10;ACsBAABkcnMvZTJvRG9jLnhtbFBLBQYAAAAABgAGAFkBAADaBQAAAAA=&#10;">
                <v:fill on="f" focussize="0,0"/>
                <v:stroke on="f" weight="0.5pt"/>
                <v:imagedata o:title=""/>
                <o:lock v:ext="edit" aspectratio="f"/>
                <v:textbox>
                  <w:txbxContent>
                    <w:p w14:paraId="2F4142C6">
                      <w:pPr>
                        <w:rPr>
                          <w:rFonts w:hint="default" w:eastAsia="宋体"/>
                          <w:b/>
                          <w:bCs/>
                          <w:color w:val="000000" w:themeColor="text1"/>
                          <w:highlight w:val="none"/>
                          <w:lang w:val="en-US" w:eastAsia="zh-CN"/>
                          <w14:textFill>
                            <w14:solidFill>
                              <w14:schemeClr w14:val="tx1"/>
                            </w14:solidFill>
                          </w14:textFill>
                        </w:rPr>
                      </w:pPr>
                      <w:r>
                        <w:rPr>
                          <w:rFonts w:hint="eastAsia" w:eastAsia="宋体"/>
                          <w:b/>
                          <w:bCs/>
                          <w:color w:val="000000" w:themeColor="text1"/>
                          <w:highlight w:val="none"/>
                          <w:lang w:val="en-US" w:eastAsia="zh-CN"/>
                          <w14:textFill>
                            <w14:solidFill>
                              <w14:schemeClr w14:val="tx1"/>
                            </w14:solidFill>
                          </w14:textFill>
                        </w:rPr>
                        <w:t>事故应急池</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4939030</wp:posOffset>
                </wp:positionH>
                <wp:positionV relativeFrom="paragraph">
                  <wp:posOffset>6183630</wp:posOffset>
                </wp:positionV>
                <wp:extent cx="793115" cy="31369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793115" cy="313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AC3EE4">
                            <w:pPr>
                              <w:rPr>
                                <w:rFonts w:hint="default" w:eastAsia="宋体"/>
                                <w:b/>
                                <w:bCs/>
                                <w:lang w:val="en-US" w:eastAsia="zh-CN"/>
                              </w:rPr>
                            </w:pPr>
                            <w:r>
                              <w:rPr>
                                <w:rFonts w:hint="eastAsia"/>
                                <w:b/>
                                <w:bCs/>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9pt;margin-top:486.9pt;height:24.7pt;width:62.45pt;z-index:251767808;mso-width-relative:page;mso-height-relative:page;" filled="f" stroked="f" coordsize="21600,21600" o:gfxdata="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t9d/13AAAAAwBAAAPAAAAAAAAAAEAIAAAACIA&#10;AABkcnMvZG93bnJldi54bWxQSwECFAAUAAAACACHTuJAA+pJ1D4CAABpBAAADgAAAAAAAAABACAA&#10;AAArAQAAZHJzL2Uyb0RvYy54bWxQSwUGAAAAAAYABgBZAQAA2wUAAAAA&#10;">
                <v:fill on="f" focussize="0,0"/>
                <v:stroke on="f" weight="0.5pt"/>
                <v:imagedata o:title=""/>
                <o:lock v:ext="edit" aspectratio="f"/>
                <v:textbox>
                  <w:txbxContent>
                    <w:p w14:paraId="6AAC3EE4">
                      <w:pPr>
                        <w:rPr>
                          <w:rFonts w:hint="default" w:eastAsia="宋体"/>
                          <w:b/>
                          <w:bCs/>
                          <w:lang w:val="en-US" w:eastAsia="zh-CN"/>
                        </w:rPr>
                      </w:pPr>
                      <w:r>
                        <w:rPr>
                          <w:rFonts w:hint="eastAsia"/>
                          <w:b/>
                          <w:bCs/>
                          <w:lang w:val="en-US" w:eastAsia="zh-CN"/>
                        </w:rPr>
                        <w:t>DW001</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5495925</wp:posOffset>
                </wp:positionH>
                <wp:positionV relativeFrom="paragraph">
                  <wp:posOffset>6414770</wp:posOffset>
                </wp:positionV>
                <wp:extent cx="131445" cy="131445"/>
                <wp:effectExtent l="6350" t="6350" r="13335" b="13335"/>
                <wp:wrapNone/>
                <wp:docPr id="123" name="同心圆 123"/>
                <wp:cNvGraphicFramePr/>
                <a:graphic xmlns:a="http://schemas.openxmlformats.org/drawingml/2006/main">
                  <a:graphicData uri="http://schemas.microsoft.com/office/word/2010/wordprocessingShape">
                    <wps:wsp>
                      <wps:cNvSpPr/>
                      <wps:spPr>
                        <a:xfrm>
                          <a:off x="0" y="0"/>
                          <a:ext cx="131445" cy="131445"/>
                        </a:xfrm>
                        <a:prstGeom prst="donut">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32.75pt;margin-top:505.1pt;height:10.35pt;width:10.35pt;z-index:251768832;v-text-anchor:middle;mso-width-relative:page;mso-height-relative:page;" fillcolor="#FFFF00" filled="t" stroked="t" coordsize="21600,21600" o:gfxdata="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h1MQbaAAAADQEAAA8AAAAAAAAAAQAgAAAAIgAAAGRycy9k&#10;b3ducmV2LnhtbFBLAQIUABQAAAAIAIdO4kB6n/uScgIAAPsEAAAOAAAAAAAAAAEAIAAAACkBAABk&#10;cnMvZTJvRG9jLnhtbFBLBQYAAAAABgAGAFkBAAANBgAAAAA=&#10;" adj="5400">
                <v:fill on="t" focussize="0,0"/>
                <v:stroke weight="1pt" color="#000000 [3213]"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5676900" cy="7058025"/>
            <wp:effectExtent l="9525" t="9525" r="13335" b="13970"/>
            <wp:docPr id="1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pic:cNvPicPr>
                      <a:picLocks noChangeAspect="1"/>
                    </pic:cNvPicPr>
                  </pic:nvPicPr>
                  <pic:blipFill>
                    <a:blip r:embed="rId28"/>
                    <a:stretch>
                      <a:fillRect/>
                    </a:stretch>
                  </pic:blipFill>
                  <pic:spPr>
                    <a:xfrm>
                      <a:off x="0" y="0"/>
                      <a:ext cx="5676900" cy="7058025"/>
                    </a:xfrm>
                    <a:prstGeom prst="rect">
                      <a:avLst/>
                    </a:prstGeom>
                    <a:noFill/>
                    <a:ln>
                      <a:solidFill>
                        <a:schemeClr val="tx1"/>
                      </a:solidFill>
                    </a:ln>
                  </pic:spPr>
                </pic:pic>
              </a:graphicData>
            </a:graphic>
          </wp:inline>
        </w:drawing>
      </w:r>
      <w:r>
        <w:rPr>
          <w:color w:val="000000" w:themeColor="text1"/>
          <w:sz w:val="24"/>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2230755</wp:posOffset>
                </wp:positionH>
                <wp:positionV relativeFrom="paragraph">
                  <wp:posOffset>1400175</wp:posOffset>
                </wp:positionV>
                <wp:extent cx="415925" cy="233680"/>
                <wp:effectExtent l="6350" t="6350" r="15875" b="7620"/>
                <wp:wrapNone/>
                <wp:docPr id="16" name="矩形 16"/>
                <wp:cNvGraphicFramePr/>
                <a:graphic xmlns:a="http://schemas.openxmlformats.org/drawingml/2006/main">
                  <a:graphicData uri="http://schemas.microsoft.com/office/word/2010/wordprocessingShape">
                    <wps:wsp>
                      <wps:cNvSpPr/>
                      <wps:spPr>
                        <a:xfrm>
                          <a:off x="3145155" y="2682240"/>
                          <a:ext cx="415925" cy="2336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65pt;margin-top:110.25pt;height:18.4pt;width:32.75pt;z-index:251741184;v-text-anchor:middle;mso-width-relative:page;mso-height-relative:page;" fillcolor="#5B9BD5 [3204]" filled="t" stroked="t" coordsize="21600,21600" o:gfxdata="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U/MHndoAAAALAQAADwAAAAAAAAABACAAAAAiAAAAZHJzL2Rvd25yZXYueG1sUEsBAhQAFAAAAAgA&#10;h07iQL54DpOVAgAAIwUAAA4AAAAAAAAAAQAgAAAAKQEAAGRycy9lMm9Eb2MueG1sUEsFBgAAAAAG&#10;AAYAWQEAADAGAAAAAA==&#10;">
                <v:fill on="t" focussize="0,0"/>
                <v:stroke weight="1pt" color="#2E75B6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g">
            <w:drawing>
              <wp:anchor distT="0" distB="0" distL="114300" distR="114300" simplePos="0" relativeHeight="251715584" behindDoc="0" locked="0" layoutInCell="1" allowOverlap="1">
                <wp:simplePos x="0" y="0"/>
                <wp:positionH relativeFrom="column">
                  <wp:posOffset>871855</wp:posOffset>
                </wp:positionH>
                <wp:positionV relativeFrom="paragraph">
                  <wp:posOffset>2345055</wp:posOffset>
                </wp:positionV>
                <wp:extent cx="1181100" cy="690245"/>
                <wp:effectExtent l="0" t="0" r="0" b="11430"/>
                <wp:wrapNone/>
                <wp:docPr id="190" name="组合 190"/>
                <wp:cNvGraphicFramePr/>
                <a:graphic xmlns:a="http://schemas.openxmlformats.org/drawingml/2006/main">
                  <a:graphicData uri="http://schemas.microsoft.com/office/word/2010/wordprocessingGroup">
                    <wpg:wgp>
                      <wpg:cNvGrpSpPr/>
                      <wpg:grpSpPr>
                        <a:xfrm>
                          <a:off x="0" y="0"/>
                          <a:ext cx="1181100" cy="690245"/>
                          <a:chOff x="6197" y="1665253"/>
                          <a:chExt cx="1860" cy="1087"/>
                        </a:xfrm>
                      </wpg:grpSpPr>
                      <wps:wsp>
                        <wps:cNvPr id="128" name="同心圆 128"/>
                        <wps:cNvSpPr/>
                        <wps:spPr>
                          <a:xfrm>
                            <a:off x="6771" y="1666134"/>
                            <a:ext cx="207" cy="207"/>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0" name="文本框 130"/>
                        <wps:cNvSpPr txBox="1"/>
                        <wps:spPr>
                          <a:xfrm>
                            <a:off x="6197" y="1665253"/>
                            <a:ext cx="1861" cy="6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4970E6">
                              <w:pPr>
                                <w:rPr>
                                  <w:rFonts w:hint="default" w:eastAsia="宋体"/>
                                  <w:b/>
                                  <w:bCs/>
                                  <w:highlight w:val="lightGray"/>
                                  <w:lang w:val="en-US" w:eastAsia="zh-CN"/>
                                </w:rPr>
                              </w:pPr>
                              <w:r>
                                <w:rPr>
                                  <w:rFonts w:hint="eastAsia"/>
                                  <w:b/>
                                  <w:bCs/>
                                  <w:highlight w:val="lightGray"/>
                                  <w:lang w:val="en-US" w:eastAsia="zh-CN"/>
                                </w:rPr>
                                <w:t>排气筒DA001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直接连接符 131"/>
                        <wps:cNvCnPr/>
                        <wps:spPr>
                          <a:xfrm flipV="1">
                            <a:off x="6933" y="1665681"/>
                            <a:ext cx="262" cy="438"/>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8.65pt;margin-top:184.65pt;height:54.35pt;width:93pt;z-index:251715584;mso-width-relative:page;mso-height-relative:page;" coordorigin="6197,1665253" coordsize="1860,1087" o:gfxdata="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DvHdhr2gAAAAsBAAAPAAAAAAAAAAEAIAAAACIAAABkcnMvZG93bnJldi54bWxQSwECFAAU&#10;AAAACACHTuJAeZRVabcDAACtCgAADgAAAAAAAAABACAAAAApAQAAZHJzL2Uyb0RvYy54bWxQSwUG&#10;AAAAAAYABgBZAQAAUgcAAAAA&#10;">
                <o:lock v:ext="edit" aspectratio="f"/>
                <v:shape id="_x0000_s1026" o:spid="_x0000_s1026" o:spt="23" type="#_x0000_t23" style="position:absolute;left:6771;top:1666134;height:207;width:207;v-text-anchor:middle;" fillcolor="#FF0000" filled="t" stroked="t" coordsize="21600,21600" o:gfxdata="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d6jS8AAAA&#10;3AAAAA8AAAAAAAAAAQAgAAAAIgAAAGRycy9kb3ducmV2LnhtbFBLAQIUABQAAAAIAIdO4kAzLwWe&#10;OwAAADkAAAAQAAAAAAAAAAEAIAAAAAsBAABkcnMvc2hhcGV4bWwueG1sUEsFBgAAAAAGAAYAWwEA&#10;ALUDAAAAAA==&#10;" adj="5400">
                  <v:fill on="t" focussize="0,0"/>
                  <v:stroke weight="1pt" color="#000000 [3213]" miterlimit="8" joinstyle="miter"/>
                  <v:imagedata o:title=""/>
                  <o:lock v:ext="edit" aspectratio="f"/>
                </v:shape>
                <v:shape id="_x0000_s1026" o:spid="_x0000_s1026" o:spt="202" type="#_x0000_t202" style="position:absolute;left:6197;top:1665253;height:617;width:1861;" filled="f" stroked="f" coordsize="21600,21600" o:gfxdata="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pscz&#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F4970E6">
                        <w:pPr>
                          <w:rPr>
                            <w:rFonts w:hint="default" w:eastAsia="宋体"/>
                            <w:b/>
                            <w:bCs/>
                            <w:highlight w:val="lightGray"/>
                            <w:lang w:val="en-US" w:eastAsia="zh-CN"/>
                          </w:rPr>
                        </w:pPr>
                        <w:r>
                          <w:rPr>
                            <w:rFonts w:hint="eastAsia"/>
                            <w:b/>
                            <w:bCs/>
                            <w:highlight w:val="lightGray"/>
                            <w:lang w:val="en-US" w:eastAsia="zh-CN"/>
                          </w:rPr>
                          <w:t>排气筒DA001</w:t>
                        </w:r>
                      </w:p>
                    </w:txbxContent>
                  </v:textbox>
                </v:shape>
                <v:line id="_x0000_s1026" o:spid="_x0000_s1026" o:spt="20" style="position:absolute;left:6933;top:1665681;flip:y;height:438;width:262;" filled="f" stroked="t" coordsize="21600,21600" o:gfxdata="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s+2IugAAANw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line>
              </v:group>
            </w:pict>
          </mc:Fallback>
        </mc:AlternateContent>
      </w:r>
    </w:p>
    <w:p w14:paraId="4E1BB1F8">
      <w:pPr>
        <w:jc w:val="center"/>
        <w:outlineLvl w:val="0"/>
        <w:rPr>
          <w:rFonts w:hint="eastAsia" w:ascii="Times New Roman" w:eastAsia="宋体"/>
          <w:b/>
          <w:bCs/>
          <w:color w:val="000000" w:themeColor="text1"/>
          <w:sz w:val="24"/>
          <w:szCs w:val="24"/>
          <w:highlight w:val="none"/>
          <w14:textFill>
            <w14:solidFill>
              <w14:schemeClr w14:val="tx1"/>
            </w14:solidFill>
          </w14:textFill>
        </w:rPr>
        <w:sectPr>
          <w:pgSz w:w="11906" w:h="16838"/>
          <w:pgMar w:top="1083" w:right="1440" w:bottom="1083" w:left="1440"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89" w:name="_Toc12059"/>
      <w:bookmarkStart w:id="190" w:name="_Toc3262"/>
      <w:r>
        <w:rPr>
          <w:rFonts w:hint="eastAsia" w:ascii="Times New Roman"/>
          <w:b/>
          <w:bCs/>
          <w:color w:val="000000" w:themeColor="text1"/>
          <w:sz w:val="24"/>
          <w:szCs w:val="24"/>
          <w:highlight w:val="none"/>
          <w14:textFill>
            <w14:solidFill>
              <w14:schemeClr w14:val="tx1"/>
            </w14:solidFill>
          </w14:textFill>
        </w:rPr>
        <w:t>附图</w:t>
      </w:r>
      <w:r>
        <w:rPr>
          <w:rFonts w:hint="eastAsia" w:ascii="Times New Roman" w:eastAsia="宋体"/>
          <w:b/>
          <w:bCs/>
          <w:color w:val="000000" w:themeColor="text1"/>
          <w:sz w:val="24"/>
          <w:szCs w:val="24"/>
          <w:highlight w:val="none"/>
          <w14:textFill>
            <w14:solidFill>
              <w14:schemeClr w14:val="tx1"/>
            </w14:solidFill>
          </w14:textFill>
        </w:rPr>
        <w:t>3</w:t>
      </w:r>
      <w:r>
        <w:rPr>
          <w:rFonts w:hint="eastAsia"/>
          <w:b/>
          <w:bCs/>
          <w:color w:val="000000" w:themeColor="text1"/>
          <w:sz w:val="24"/>
          <w:szCs w:val="24"/>
          <w:highlight w:val="none"/>
          <w:lang w:val="en-US" w:eastAsia="zh-CN"/>
          <w14:textFill>
            <w14:solidFill>
              <w14:schemeClr w14:val="tx1"/>
            </w14:solidFill>
          </w14:textFill>
        </w:rPr>
        <w:t>-1</w:t>
      </w:r>
      <w:r>
        <w:rPr>
          <w:rFonts w:hint="eastAsia" w:ascii="Times New Roman" w:eastAsia="宋体"/>
          <w:b/>
          <w:bCs/>
          <w:color w:val="000000" w:themeColor="text1"/>
          <w:sz w:val="24"/>
          <w:szCs w:val="24"/>
          <w:highlight w:val="none"/>
          <w14:textFill>
            <w14:solidFill>
              <w14:schemeClr w14:val="tx1"/>
            </w14:solidFill>
          </w14:textFill>
        </w:rPr>
        <w:t xml:space="preserve"> </w:t>
      </w:r>
      <w:r>
        <w:rPr>
          <w:rFonts w:hint="eastAsia" w:ascii="Times New Roman" w:eastAsia="宋体"/>
          <w:b/>
          <w:bCs/>
          <w:color w:val="000000" w:themeColor="text1"/>
          <w:sz w:val="24"/>
          <w:szCs w:val="24"/>
          <w:highlight w:val="none"/>
          <w:lang w:val="en-US" w:eastAsia="zh-CN"/>
          <w14:textFill>
            <w14:solidFill>
              <w14:schemeClr w14:val="tx1"/>
            </w14:solidFill>
          </w14:textFill>
        </w:rPr>
        <w:t>厂区总</w:t>
      </w:r>
      <w:r>
        <w:rPr>
          <w:rFonts w:hint="eastAsia" w:ascii="Times New Roman" w:eastAsia="宋体"/>
          <w:b/>
          <w:bCs/>
          <w:color w:val="000000" w:themeColor="text1"/>
          <w:sz w:val="24"/>
          <w:szCs w:val="24"/>
          <w:highlight w:val="none"/>
          <w14:textFill>
            <w14:solidFill>
              <w14:schemeClr w14:val="tx1"/>
            </w14:solidFill>
          </w14:textFill>
        </w:rPr>
        <w:t>平面布置图</w:t>
      </w:r>
      <w:bookmarkEnd w:id="189"/>
      <w:bookmarkEnd w:id="190"/>
    </w:p>
    <w:p w14:paraId="27D220B4">
      <w:pPr>
        <w:pStyle w:val="43"/>
        <w:keepNext w:val="0"/>
        <w:keepLines w:val="0"/>
        <w:pageBreakBefore w:val="0"/>
        <w:widowControl w:val="0"/>
        <w:kinsoku/>
        <w:wordWrap/>
        <w:overflowPunct/>
        <w:topLinePunct w:val="0"/>
        <w:autoSpaceDE w:val="0"/>
        <w:autoSpaceDN w:val="0"/>
        <w:bidi w:val="0"/>
        <w:adjustRightInd w:val="0"/>
        <w:snapToGrid/>
        <w:jc w:val="center"/>
        <w:textAlignment w:val="auto"/>
        <w:outlineLvl w:val="0"/>
        <w:rPr>
          <w:rFonts w:hint="eastAsia"/>
          <w:color w:val="000000" w:themeColor="text1"/>
          <w14:textFill>
            <w14:solidFill>
              <w14:schemeClr w14:val="tx1"/>
            </w14:solidFill>
          </w14:textFill>
        </w:rPr>
        <w:sectPr>
          <w:pgSz w:w="11906" w:h="16838"/>
          <w:pgMar w:top="1083" w:right="1440" w:bottom="1083" w:left="1440"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pPr>
      <w:bookmarkStart w:id="191" w:name="_Toc4344"/>
      <w:r>
        <w:drawing>
          <wp:inline distT="0" distB="0" distL="114300" distR="114300">
            <wp:extent cx="6052820" cy="6735445"/>
            <wp:effectExtent l="9525" t="9525" r="15240" b="1270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29"/>
                    <a:stretch>
                      <a:fillRect/>
                    </a:stretch>
                  </pic:blipFill>
                  <pic:spPr>
                    <a:xfrm>
                      <a:off x="0" y="0"/>
                      <a:ext cx="6052820" cy="6735445"/>
                    </a:xfrm>
                    <a:prstGeom prst="rect">
                      <a:avLst/>
                    </a:prstGeom>
                    <a:noFill/>
                    <a:ln>
                      <a:solidFill>
                        <a:schemeClr val="tx1"/>
                      </a:solidFill>
                    </a:ln>
                  </pic:spPr>
                </pic:pic>
              </a:graphicData>
            </a:graphic>
          </wp:inline>
        </w:drawing>
      </w:r>
      <w:r>
        <w:rPr>
          <w:rFonts w:hint="eastAsia" w:ascii="Times New Roman"/>
          <w:b/>
          <w:bCs/>
          <w:color w:val="000000" w:themeColor="text1"/>
          <w:sz w:val="24"/>
          <w:szCs w:val="24"/>
          <w:highlight w:val="none"/>
          <w14:textFill>
            <w14:solidFill>
              <w14:schemeClr w14:val="tx1"/>
            </w14:solidFill>
          </w14:textFill>
        </w:rPr>
        <w:t>附图</w:t>
      </w:r>
      <w:r>
        <w:rPr>
          <w:rFonts w:hint="eastAsia" w:ascii="Times New Roman" w:eastAsia="宋体"/>
          <w:b/>
          <w:bCs/>
          <w:color w:val="000000" w:themeColor="text1"/>
          <w:sz w:val="24"/>
          <w:szCs w:val="24"/>
          <w:highlight w:val="none"/>
          <w14:textFill>
            <w14:solidFill>
              <w14:schemeClr w14:val="tx1"/>
            </w14:solidFill>
          </w14:textFill>
        </w:rPr>
        <w:t>3</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-2</w:t>
      </w:r>
      <w:r>
        <w:rPr>
          <w:rFonts w:hint="eastAsia" w:ascii="Times New Roman" w:eastAsia="宋体"/>
          <w:b/>
          <w:bCs/>
          <w:color w:val="000000" w:themeColor="text1"/>
          <w:sz w:val="24"/>
          <w:szCs w:val="24"/>
          <w:highlight w:val="none"/>
          <w14:textFill>
            <w14:solidFill>
              <w14:schemeClr w14:val="tx1"/>
            </w14:solidFill>
          </w14:textFill>
        </w:rPr>
        <w:t xml:space="preserve"> </w:t>
      </w:r>
      <w:r>
        <w:rPr>
          <w:rFonts w:hint="eastAsia" w:ascii="Times New Roman" w:eastAsia="宋体"/>
          <w:b/>
          <w:bCs/>
          <w:color w:val="000000" w:themeColor="text1"/>
          <w:sz w:val="24"/>
          <w:szCs w:val="24"/>
          <w:highlight w:val="none"/>
          <w:lang w:val="en-US" w:eastAsia="zh-CN"/>
          <w14:textFill>
            <w14:solidFill>
              <w14:schemeClr w14:val="tx1"/>
            </w14:solidFill>
          </w14:textFill>
        </w:rPr>
        <w:t>厂区</w:t>
      </w:r>
      <w:r>
        <w:rPr>
          <w:rFonts w:hint="eastAsia" w:ascii="Times New Roman"/>
          <w:b/>
          <w:bCs/>
          <w:color w:val="000000" w:themeColor="text1"/>
          <w:sz w:val="24"/>
          <w:szCs w:val="24"/>
          <w:highlight w:val="none"/>
          <w:lang w:val="en-US" w:eastAsia="zh-CN"/>
          <w14:textFill>
            <w14:solidFill>
              <w14:schemeClr w14:val="tx1"/>
            </w14:solidFill>
          </w14:textFill>
        </w:rPr>
        <w:t>雨污管网</w:t>
      </w:r>
      <w:r>
        <w:rPr>
          <w:rFonts w:hint="eastAsia" w:ascii="Times New Roman" w:eastAsia="宋体"/>
          <w:b/>
          <w:bCs/>
          <w:color w:val="000000" w:themeColor="text1"/>
          <w:sz w:val="24"/>
          <w:szCs w:val="24"/>
          <w:highlight w:val="none"/>
          <w14:textFill>
            <w14:solidFill>
              <w14:schemeClr w14:val="tx1"/>
            </w14:solidFill>
          </w14:textFill>
        </w:rPr>
        <w:t>图</w:t>
      </w:r>
      <w:bookmarkEnd w:id="191"/>
    </w:p>
    <w:p w14:paraId="3C2B9ABE">
      <w:pPr>
        <w:pStyle w:val="43"/>
        <w:keepNext w:val="0"/>
        <w:keepLines w:val="0"/>
        <w:pageBreakBefore w:val="0"/>
        <w:widowControl w:val="0"/>
        <w:kinsoku/>
        <w:wordWrap/>
        <w:overflowPunct/>
        <w:topLinePunct w:val="0"/>
        <w:autoSpaceDE/>
        <w:autoSpaceDN/>
        <w:bidi w:val="0"/>
        <w:snapToGrid w:val="0"/>
        <w:spacing w:line="240" w:lineRule="auto"/>
        <w:jc w:val="center"/>
        <w:textAlignment w:val="auto"/>
        <w:rPr>
          <w:rFonts w:ascii="Times New Roman"/>
          <w:color w:val="000000" w:themeColor="text1"/>
          <w:sz w:val="21"/>
          <w:highlight w:val="none"/>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5283835</wp:posOffset>
                </wp:positionH>
                <wp:positionV relativeFrom="paragraph">
                  <wp:posOffset>3985895</wp:posOffset>
                </wp:positionV>
                <wp:extent cx="1760855" cy="64960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760855" cy="649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74B081">
                            <w:pPr>
                              <w:keepNext w:val="0"/>
                              <w:keepLines w:val="0"/>
                              <w:pageBreakBefore w:val="0"/>
                              <w:widowControl w:val="0"/>
                              <w:kinsoku/>
                              <w:wordWrap/>
                              <w:overflowPunct/>
                              <w:topLinePunct w:val="0"/>
                              <w:bidi w:val="0"/>
                              <w:adjustRightInd/>
                              <w:snapToGrid/>
                              <w:spacing w:line="276" w:lineRule="auto"/>
                              <w:jc w:val="center"/>
                              <w:textAlignment w:val="auto"/>
                              <w:rPr>
                                <w:rFonts w:hint="eastAsia" w:eastAsia="宋体"/>
                                <w:b/>
                                <w:bCs/>
                                <w:color w:val="FF0000"/>
                                <w:sz w:val="21"/>
                                <w:szCs w:val="21"/>
                                <w:lang w:eastAsia="zh-CN"/>
                              </w:rPr>
                            </w:pPr>
                            <w:r>
                              <w:rPr>
                                <w:rFonts w:hint="eastAsia"/>
                                <w:b/>
                                <w:bCs/>
                                <w:color w:val="FF0000"/>
                                <w:sz w:val="21"/>
                                <w:szCs w:val="21"/>
                              </w:rPr>
                              <w:t>韶关博鑫工程服务有限公司宿舍楼</w:t>
                            </w:r>
                            <w:r>
                              <w:rPr>
                                <w:rFonts w:hint="eastAsia"/>
                                <w:b/>
                                <w:bCs/>
                                <w:color w:val="FF0000"/>
                                <w:sz w:val="21"/>
                                <w:szCs w:val="21"/>
                                <w:lang w:eastAsia="zh-CN"/>
                              </w:rPr>
                              <w:t>（</w:t>
                            </w:r>
                            <w:r>
                              <w:rPr>
                                <w:rFonts w:hint="eastAsia"/>
                                <w:b/>
                                <w:bCs/>
                                <w:color w:val="FF0000"/>
                                <w:sz w:val="21"/>
                                <w:szCs w:val="21"/>
                                <w:lang w:val="en-US" w:eastAsia="zh-CN"/>
                              </w:rPr>
                              <w:t>关注点</w:t>
                            </w:r>
                            <w:r>
                              <w:rPr>
                                <w:rFonts w:hint="eastAsia"/>
                                <w:b/>
                                <w:bCs/>
                                <w:color w:val="FF0000"/>
                                <w:sz w:val="21"/>
                                <w:szCs w:val="21"/>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05pt;margin-top:313.85pt;height:51.15pt;width:138.65pt;z-index:251728896;mso-width-relative:page;mso-height-relative:page;" filled="f" stroked="f" coordsize="21600,21600" o:gfxdata="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2SEvtwAAAAMAQAADwAAAAAAAAABACAAAAAiAAAA&#10;ZHJzL2Rvd25yZXYueG1sUEsBAhQAFAAAAAgAh07iQIgQSwc8AgAAaAQAAA4AAAAAAAAAAQAgAAAA&#10;KwEAAGRycy9lMm9Eb2MueG1sUEsFBgAAAAAGAAYAWQEAANkFAAAAAA==&#10;">
                <v:fill on="f" focussize="0,0"/>
                <v:stroke on="f" weight="0.5pt"/>
                <v:imagedata o:title=""/>
                <o:lock v:ext="edit" aspectratio="f"/>
                <v:textbox>
                  <w:txbxContent>
                    <w:p w14:paraId="4374B081">
                      <w:pPr>
                        <w:keepNext w:val="0"/>
                        <w:keepLines w:val="0"/>
                        <w:pageBreakBefore w:val="0"/>
                        <w:widowControl w:val="0"/>
                        <w:kinsoku/>
                        <w:wordWrap/>
                        <w:overflowPunct/>
                        <w:topLinePunct w:val="0"/>
                        <w:bidi w:val="0"/>
                        <w:adjustRightInd/>
                        <w:snapToGrid/>
                        <w:spacing w:line="276" w:lineRule="auto"/>
                        <w:jc w:val="center"/>
                        <w:textAlignment w:val="auto"/>
                        <w:rPr>
                          <w:rFonts w:hint="eastAsia" w:eastAsia="宋体"/>
                          <w:b/>
                          <w:bCs/>
                          <w:color w:val="FF0000"/>
                          <w:sz w:val="21"/>
                          <w:szCs w:val="21"/>
                          <w:lang w:eastAsia="zh-CN"/>
                        </w:rPr>
                      </w:pPr>
                      <w:r>
                        <w:rPr>
                          <w:rFonts w:hint="eastAsia"/>
                          <w:b/>
                          <w:bCs/>
                          <w:color w:val="FF0000"/>
                          <w:sz w:val="21"/>
                          <w:szCs w:val="21"/>
                        </w:rPr>
                        <w:t>韶关博鑫工程服务有限公司宿舍楼</w:t>
                      </w:r>
                      <w:r>
                        <w:rPr>
                          <w:rFonts w:hint="eastAsia"/>
                          <w:b/>
                          <w:bCs/>
                          <w:color w:val="FF0000"/>
                          <w:sz w:val="21"/>
                          <w:szCs w:val="21"/>
                          <w:lang w:eastAsia="zh-CN"/>
                        </w:rPr>
                        <w:t>（</w:t>
                      </w:r>
                      <w:r>
                        <w:rPr>
                          <w:rFonts w:hint="eastAsia"/>
                          <w:b/>
                          <w:bCs/>
                          <w:color w:val="FF0000"/>
                          <w:sz w:val="21"/>
                          <w:szCs w:val="21"/>
                          <w:lang w:val="en-US" w:eastAsia="zh-CN"/>
                        </w:rPr>
                        <w:t>关注点</w:t>
                      </w:r>
                      <w:r>
                        <w:rPr>
                          <w:rFonts w:hint="eastAsia"/>
                          <w:b/>
                          <w:bCs/>
                          <w:color w:val="FF0000"/>
                          <w:sz w:val="21"/>
                          <w:szCs w:val="21"/>
                          <w:lang w:eastAsia="zh-CN"/>
                        </w:rPr>
                        <w:t>）</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3007360</wp:posOffset>
                </wp:positionH>
                <wp:positionV relativeFrom="paragraph">
                  <wp:posOffset>3995420</wp:posOffset>
                </wp:positionV>
                <wp:extent cx="1303020" cy="39306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1303020" cy="393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AB86F3">
                            <w:pPr>
                              <w:jc w:val="center"/>
                              <w:rPr>
                                <w:rFonts w:hint="eastAsia"/>
                                <w:b/>
                                <w:bCs/>
                                <w:color w:val="FF0000"/>
                                <w:sz w:val="21"/>
                                <w:szCs w:val="21"/>
                              </w:rPr>
                            </w:pPr>
                            <w:r>
                              <w:rPr>
                                <w:rFonts w:hint="eastAsia"/>
                                <w:b/>
                                <w:bCs/>
                                <w:color w:val="FF0000"/>
                                <w:sz w:val="21"/>
                                <w:szCs w:val="21"/>
                              </w:rPr>
                              <w:t>拓美产业园公寓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8pt;margin-top:314.6pt;height:30.95pt;width:102.6pt;z-index:251724800;mso-width-relative:page;mso-height-relative:page;" filled="f" stroked="f" coordsize="21600,21600" o:gfxdata="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DCoUvcAAAACwEAAA8AAAAAAAAAAQAgAAAAIgAA&#10;AGRycy9kb3ducmV2LnhtbFBLAQIUABQAAAAIAIdO4kDxvpJ1PQIAAGoEAAAOAAAAAAAAAAEAIAAA&#10;ACsBAABkcnMvZTJvRG9jLnhtbFBLBQYAAAAABgAGAFkBAADaBQAAAAA=&#10;">
                <v:fill on="f" focussize="0,0"/>
                <v:stroke on="f" weight="0.5pt"/>
                <v:imagedata o:title=""/>
                <o:lock v:ext="edit" aspectratio="f"/>
                <v:textbox>
                  <w:txbxContent>
                    <w:p w14:paraId="71AB86F3">
                      <w:pPr>
                        <w:jc w:val="center"/>
                        <w:rPr>
                          <w:rFonts w:hint="eastAsia"/>
                          <w:b/>
                          <w:bCs/>
                          <w:color w:val="FF0000"/>
                          <w:sz w:val="21"/>
                          <w:szCs w:val="21"/>
                        </w:rPr>
                      </w:pPr>
                      <w:r>
                        <w:rPr>
                          <w:rFonts w:hint="eastAsia"/>
                          <w:b/>
                          <w:bCs/>
                          <w:color w:val="FF0000"/>
                          <w:sz w:val="21"/>
                          <w:szCs w:val="21"/>
                        </w:rPr>
                        <w:t>拓美产业园公寓</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2569845</wp:posOffset>
                </wp:positionH>
                <wp:positionV relativeFrom="paragraph">
                  <wp:posOffset>2753995</wp:posOffset>
                </wp:positionV>
                <wp:extent cx="1151255" cy="361315"/>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1151255" cy="3613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147CC6">
                            <w:pPr>
                              <w:jc w:val="center"/>
                              <w:rPr>
                                <w:b/>
                                <w:bCs/>
                                <w:color w:val="FF0000"/>
                                <w:sz w:val="21"/>
                                <w:szCs w:val="21"/>
                              </w:rPr>
                            </w:pPr>
                            <w:r>
                              <w:rPr>
                                <w:rFonts w:hint="eastAsia"/>
                                <w:b/>
                                <w:bCs/>
                                <w:color w:val="FF0000"/>
                                <w:sz w:val="21"/>
                                <w:szCs w:val="21"/>
                              </w:rPr>
                              <w:t>大岭背居民区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5pt;margin-top:216.85pt;height:28.45pt;width:90.65pt;z-index:251726848;mso-width-relative:page;mso-height-relative:page;" filled="f" stroked="f" coordsize="21600,21600" o:gfxdata="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jNe+2wAAAAsBAAAPAAAAAAAAAAEAIAAAACIAAABk&#10;cnMvZG93bnJldi54bWxQSwECFAAUAAAACACHTuJARJkglzwCAABqBAAADgAAAAAAAAABACAAAAAq&#10;AQAAZHJzL2Uyb0RvYy54bWxQSwUGAAAAAAYABgBZAQAA2AUAAAAA&#10;">
                <v:fill on="f" focussize="0,0"/>
                <v:stroke on="f" weight="0.5pt"/>
                <v:imagedata o:title=""/>
                <o:lock v:ext="edit" aspectratio="f"/>
                <v:textbox>
                  <w:txbxContent>
                    <w:p w14:paraId="05147CC6">
                      <w:pPr>
                        <w:jc w:val="center"/>
                        <w:rPr>
                          <w:b/>
                          <w:bCs/>
                          <w:color w:val="FF0000"/>
                          <w:sz w:val="21"/>
                          <w:szCs w:val="21"/>
                        </w:rPr>
                      </w:pPr>
                      <w:r>
                        <w:rPr>
                          <w:rFonts w:hint="eastAsia"/>
                          <w:b/>
                          <w:bCs/>
                          <w:color w:val="FF0000"/>
                          <w:sz w:val="21"/>
                          <w:szCs w:val="21"/>
                        </w:rPr>
                        <w:t>大岭背居民区</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4273550</wp:posOffset>
                </wp:positionH>
                <wp:positionV relativeFrom="paragraph">
                  <wp:posOffset>1712595</wp:posOffset>
                </wp:positionV>
                <wp:extent cx="1723390" cy="41719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723390" cy="4171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07CC8F">
                            <w:pPr>
                              <w:jc w:val="center"/>
                              <w:rPr>
                                <w:rFonts w:hint="default" w:eastAsia="宋体"/>
                                <w:b/>
                                <w:bCs/>
                                <w:color w:val="FF0000"/>
                                <w:sz w:val="21"/>
                                <w:szCs w:val="21"/>
                                <w:lang w:val="en-US" w:eastAsia="zh-CN"/>
                              </w:rPr>
                            </w:pPr>
                            <w:r>
                              <w:rPr>
                                <w:rFonts w:hint="eastAsia"/>
                                <w:b/>
                                <w:bCs/>
                                <w:color w:val="FF0000"/>
                                <w:sz w:val="21"/>
                                <w:szCs w:val="21"/>
                                <w:lang w:val="en-US" w:eastAsia="zh-CN"/>
                              </w:rPr>
                              <w:t>厂区宿舍楼（关注点）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5pt;margin-top:134.85pt;height:32.85pt;width:135.7pt;z-index:251727872;mso-width-relative:page;mso-height-relative:page;" filled="f" stroked="f" coordsize="21600,21600" o:gfxdata="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Y06JndAAAACwEAAA8AAAAAAAAAAQAgAAAAIgAA&#10;AGRycy9kb3ducmV2LnhtbFBLAQIUABQAAAAIAIdO4kB7L+8fPAIAAGgEAAAOAAAAAAAAAAEAIAAA&#10;ACwBAABkcnMvZTJvRG9jLnhtbFBLBQYAAAAABgAGAFkBAADaBQAAAAA=&#10;">
                <v:fill on="f" focussize="0,0"/>
                <v:stroke on="f" weight="0.5pt"/>
                <v:imagedata o:title=""/>
                <o:lock v:ext="edit" aspectratio="f"/>
                <v:textbox>
                  <w:txbxContent>
                    <w:p w14:paraId="6107CC8F">
                      <w:pPr>
                        <w:jc w:val="center"/>
                        <w:rPr>
                          <w:rFonts w:hint="default" w:eastAsia="宋体"/>
                          <w:b/>
                          <w:bCs/>
                          <w:color w:val="FF0000"/>
                          <w:sz w:val="21"/>
                          <w:szCs w:val="21"/>
                          <w:lang w:val="en-US" w:eastAsia="zh-CN"/>
                        </w:rPr>
                      </w:pPr>
                      <w:r>
                        <w:rPr>
                          <w:rFonts w:hint="eastAsia"/>
                          <w:b/>
                          <w:bCs/>
                          <w:color w:val="FF0000"/>
                          <w:sz w:val="21"/>
                          <w:szCs w:val="21"/>
                          <w:lang w:val="en-US" w:eastAsia="zh-CN"/>
                        </w:rPr>
                        <w:t>厂区宿舍楼（关注点）</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4403725</wp:posOffset>
                </wp:positionH>
                <wp:positionV relativeFrom="paragraph">
                  <wp:posOffset>2041525</wp:posOffset>
                </wp:positionV>
                <wp:extent cx="276860" cy="335280"/>
                <wp:effectExtent l="5080" t="3810" r="22860" b="22860"/>
                <wp:wrapNone/>
                <wp:docPr id="250" name="直接连接符 250"/>
                <wp:cNvGraphicFramePr/>
                <a:graphic xmlns:a="http://schemas.openxmlformats.org/drawingml/2006/main">
                  <a:graphicData uri="http://schemas.microsoft.com/office/word/2010/wordprocessingShape">
                    <wps:wsp>
                      <wps:cNvCnPr>
                        <a:stCxn id="238" idx="3"/>
                      </wps:cNvCnPr>
                      <wps:spPr>
                        <a:xfrm flipV="1">
                          <a:off x="0" y="0"/>
                          <a:ext cx="276860" cy="33528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46.75pt;margin-top:160.75pt;height:26.4pt;width:21.8pt;z-index:251731968;mso-width-relative:page;mso-height-relative:page;" filled="f" stroked="t" coordsize="21600,21600" o:gfxdata="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p93R9kAAAALAQAADwAAAAAAAAABACAAAAAiAAAA&#10;ZHJzL2Rvd25yZXYueG1sUEsBAhQAFAAAAAgAh07iQBaNM8sGAgAA7AMAAA4AAAAAAAAAAQAgAAAA&#10;KAEAAGRycy9lMm9Eb2MueG1sUEsFBgAAAAAGAAYAWQEAAKAFAAAAAA==&#10;">
                <v:fill on="f" focussize="0,0"/>
                <v:stroke weight="1pt" color="#FF0000 [3204]" miterlimit="8" joinstyle="miter"/>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4956810</wp:posOffset>
                </wp:positionH>
                <wp:positionV relativeFrom="paragraph">
                  <wp:posOffset>4308475</wp:posOffset>
                </wp:positionV>
                <wp:extent cx="428625" cy="133350"/>
                <wp:effectExtent l="1905" t="6350" r="7620" b="12700"/>
                <wp:wrapNone/>
                <wp:docPr id="240" name="直接连接符 240"/>
                <wp:cNvGraphicFramePr/>
                <a:graphic xmlns:a="http://schemas.openxmlformats.org/drawingml/2006/main">
                  <a:graphicData uri="http://schemas.microsoft.com/office/word/2010/wordprocessingShape">
                    <wps:wsp>
                      <wps:cNvCnPr/>
                      <wps:spPr>
                        <a:xfrm flipV="1">
                          <a:off x="0" y="0"/>
                          <a:ext cx="428625" cy="13335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90.3pt;margin-top:339.25pt;height:10.5pt;width:33.75pt;z-index:251730944;mso-width-relative:page;mso-height-relative:page;" filled="f" stroked="t" coordsize="21600,21600" o:gfxdata="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V2Qh2gAAAAsBAAAPAAAAAAAAAAEAIAAAACIAAABkcnMvZG93bnJldi54bWxQ&#10;SwECFAAUAAAACACHTuJAxi5oHvUBAADEAwAADgAAAAAAAAABACAAAAApAQAAZHJzL2Uyb0RvYy54&#10;bWxQSwUGAAAAAAYABgBZAQAAkAUAAAAA&#10;">
                <v:fill on="f" focussize="0,0"/>
                <v:stroke weight="1pt" color="#FF0000 [3204]" miterlimit="8" joinstyle="miter"/>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3956685</wp:posOffset>
                </wp:positionH>
                <wp:positionV relativeFrom="paragraph">
                  <wp:posOffset>4298950</wp:posOffset>
                </wp:positionV>
                <wp:extent cx="343535" cy="128270"/>
                <wp:effectExtent l="1905" t="5715" r="16510" b="18415"/>
                <wp:wrapNone/>
                <wp:docPr id="239" name="直接连接符 239"/>
                <wp:cNvGraphicFramePr/>
                <a:graphic xmlns:a="http://schemas.openxmlformats.org/drawingml/2006/main">
                  <a:graphicData uri="http://schemas.microsoft.com/office/word/2010/wordprocessingShape">
                    <wps:wsp>
                      <wps:cNvCnPr/>
                      <wps:spPr>
                        <a:xfrm>
                          <a:off x="0" y="0"/>
                          <a:ext cx="343535" cy="1282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1.55pt;margin-top:338.5pt;height:10.1pt;width:27.05pt;z-index:251729920;mso-width-relative:page;mso-height-relative:page;" filled="f" stroked="t" coordsize="21600,21600" o:gfxdata="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2Ezcw2AAAAAsBAAAPAAAAAAAAAAEAIAAAACIAAABkcnMvZG93bnJldi54bWxQSwECFAAUAAAA&#10;CACHTuJA5TGIQe4BAAC6AwAADgAAAAAAAAABACAAAAAnAQAAZHJzL2Uyb0RvYy54bWxQSwUGAAAA&#10;AAYABgBZAQAAhwUAAAAA&#10;">
                <v:fill on="f" focussize="0,0"/>
                <v:stroke weight="1pt" color="#FF0000 [3204]" miterlimit="8" joinstyle="miter"/>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2604770</wp:posOffset>
                </wp:positionH>
                <wp:positionV relativeFrom="paragraph">
                  <wp:posOffset>3093720</wp:posOffset>
                </wp:positionV>
                <wp:extent cx="295275" cy="171450"/>
                <wp:effectExtent l="3175" t="5715" r="6350" b="13335"/>
                <wp:wrapNone/>
                <wp:docPr id="179" name="直接连接符 179"/>
                <wp:cNvGraphicFramePr/>
                <a:graphic xmlns:a="http://schemas.openxmlformats.org/drawingml/2006/main">
                  <a:graphicData uri="http://schemas.microsoft.com/office/word/2010/wordprocessingShape">
                    <wps:wsp>
                      <wps:cNvCnPr/>
                      <wps:spPr>
                        <a:xfrm flipV="1">
                          <a:off x="0" y="0"/>
                          <a:ext cx="295275" cy="17145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05.1pt;margin-top:243.6pt;height:13.5pt;width:23.25pt;z-index:251725824;mso-width-relative:page;mso-height-relative:page;" filled="f" stroked="t" coordsize="21600,21600" o:gfxdata="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98n1doAAAALAQAADwAAAAAAAAABACAAAAAiAAAAZHJzL2Rvd25yZXYueG1s&#10;UEsBAhQAFAAAAAgAh07iQCCXhJv2AQAAxAMAAA4AAAAAAAAAAQAgAAAAKQEAAGRycy9lMm9Eb2Mu&#10;eG1sUEsFBgAAAAAGAAYAWQEAAJEFAAAAAA==&#10;">
                <v:fill on="f" focussize="0,0"/>
                <v:stroke weight="1pt" color="#FF0000 [3204]" miterlimit="8" joinstyle="miter"/>
                <v:imagedata o:title=""/>
                <o:lock v:ext="edit" aspectratio="f"/>
              </v:lin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4295775</wp:posOffset>
                </wp:positionH>
                <wp:positionV relativeFrom="paragraph">
                  <wp:posOffset>2349500</wp:posOffset>
                </wp:positionV>
                <wp:extent cx="107950" cy="53975"/>
                <wp:effectExtent l="6350" t="6350" r="19050" b="15875"/>
                <wp:wrapNone/>
                <wp:docPr id="238" name="矩形 238"/>
                <wp:cNvGraphicFramePr/>
                <a:graphic xmlns:a="http://schemas.openxmlformats.org/drawingml/2006/main">
                  <a:graphicData uri="http://schemas.microsoft.com/office/word/2010/wordprocessingShape">
                    <wps:wsp>
                      <wps:cNvSpPr/>
                      <wps:spPr>
                        <a:xfrm>
                          <a:off x="0" y="0"/>
                          <a:ext cx="107950" cy="53975"/>
                        </a:xfrm>
                        <a:prstGeom prst="rect">
                          <a:avLst/>
                        </a:prstGeom>
                        <a:solidFill>
                          <a:srgbClr val="FF0000">
                            <a:alpha val="2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8.25pt;margin-top:185pt;height:4.25pt;width:8.5pt;z-index:251723776;v-text-anchor:middle;mso-width-relative:page;mso-height-relative:page;" fillcolor="#FF0000" filled="t" stroked="t" coordsize="21600,21600" o:gfxdata="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TVYHZ2QAAAAsBAAAPAAAAAAAAAAEA&#10;IAAAACIAAABkcnMvZG93bnJldi54bWxQSwECFAAUAAAACACHTuJAb8VsVYACAAAXBQAADgAAAAAA&#10;AAABACAAAAAoAQAAZHJzL2Uyb0RvYy54bWxQSwUGAAAAAAYABgBZAQAAGgYAAAAA&#10;">
                <v:fill on="t" opacity="16384f" focussize="0,0"/>
                <v:stroke weight="1pt" color="#FF0000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4785360</wp:posOffset>
                </wp:positionH>
                <wp:positionV relativeFrom="paragraph">
                  <wp:posOffset>4425315</wp:posOffset>
                </wp:positionV>
                <wp:extent cx="170815" cy="85725"/>
                <wp:effectExtent l="6350" t="6350" r="13335" b="22225"/>
                <wp:wrapNone/>
                <wp:docPr id="237" name="矩形 237"/>
                <wp:cNvGraphicFramePr/>
                <a:graphic xmlns:a="http://schemas.openxmlformats.org/drawingml/2006/main">
                  <a:graphicData uri="http://schemas.microsoft.com/office/word/2010/wordprocessingShape">
                    <wps:wsp>
                      <wps:cNvSpPr/>
                      <wps:spPr>
                        <a:xfrm>
                          <a:off x="0" y="0"/>
                          <a:ext cx="170815" cy="85725"/>
                        </a:xfrm>
                        <a:prstGeom prst="rect">
                          <a:avLst/>
                        </a:prstGeom>
                        <a:solidFill>
                          <a:srgbClr val="FF0000">
                            <a:alpha val="2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6.8pt;margin-top:348.45pt;height:6.75pt;width:13.45pt;z-index:251722752;v-text-anchor:middle;mso-width-relative:page;mso-height-relative:page;" fillcolor="#FF0000" filled="t" stroked="t" coordsize="21600,21600" o:gfxdata="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L4z5ENsAAAALAQAADwAAAAAAAAAB&#10;ACAAAAAiAAAAZHJzL2Rvd25yZXYueG1sUEsBAhQAFAAAAAgAh07iQOLdk39/AgAAFwUAAA4AAAAA&#10;AAAAAQAgAAAAKgEAAGRycy9lMm9Eb2MueG1sUEsFBgAAAAAGAAYAWQEAABsGAAAAAA==&#10;">
                <v:fill on="t" opacity="16384f" focussize="0,0"/>
                <v:stroke weight="1pt" color="#FF0000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4251960</wp:posOffset>
                </wp:positionH>
                <wp:positionV relativeFrom="paragraph">
                  <wp:posOffset>4382770</wp:posOffset>
                </wp:positionV>
                <wp:extent cx="280670" cy="95250"/>
                <wp:effectExtent l="6350" t="6350" r="17780" b="12700"/>
                <wp:wrapNone/>
                <wp:docPr id="236" name="矩形 236"/>
                <wp:cNvGraphicFramePr/>
                <a:graphic xmlns:a="http://schemas.openxmlformats.org/drawingml/2006/main">
                  <a:graphicData uri="http://schemas.microsoft.com/office/word/2010/wordprocessingShape">
                    <wps:wsp>
                      <wps:cNvSpPr/>
                      <wps:spPr>
                        <a:xfrm>
                          <a:off x="5394960" y="5297170"/>
                          <a:ext cx="280670" cy="95250"/>
                        </a:xfrm>
                        <a:prstGeom prst="rect">
                          <a:avLst/>
                        </a:prstGeom>
                        <a:solidFill>
                          <a:srgbClr val="FF0000">
                            <a:alpha val="2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8pt;margin-top:345.1pt;height:7.5pt;width:22.1pt;z-index:251721728;v-text-anchor:middle;mso-width-relative:page;mso-height-relative:page;" fillcolor="#FF0000" filled="t" stroked="t" coordsize="21600,21600" o:gfxdata="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5q42nZAAAACwEA&#10;AA8AAAAAAAAAAQAgAAAAIgAAAGRycy9kb3ducmV2LnhtbFBLAQIUABQAAAAIAIdO4kBfsOLmiwIA&#10;ACMFAAAOAAAAAAAAAAEAIAAAACgBAABkcnMvZTJvRG9jLnhtbFBLBQYAAAAABgAGAFkBAAAlBgAA&#10;AAA=&#10;">
                <v:fill on="t" opacity="16384f" focussize="0,0"/>
                <v:stroke weight="1pt" color="#FF0000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2279650</wp:posOffset>
                </wp:positionH>
                <wp:positionV relativeFrom="paragraph">
                  <wp:posOffset>3168015</wp:posOffset>
                </wp:positionV>
                <wp:extent cx="375920" cy="366395"/>
                <wp:effectExtent l="6985" t="8255" r="17145" b="25400"/>
                <wp:wrapNone/>
                <wp:docPr id="235" name="任意多边形 235"/>
                <wp:cNvGraphicFramePr/>
                <a:graphic xmlns:a="http://schemas.openxmlformats.org/drawingml/2006/main">
                  <a:graphicData uri="http://schemas.microsoft.com/office/word/2010/wordprocessingShape">
                    <wps:wsp>
                      <wps:cNvSpPr/>
                      <wps:spPr>
                        <a:xfrm>
                          <a:off x="3422650" y="4082415"/>
                          <a:ext cx="375920" cy="366395"/>
                        </a:xfrm>
                        <a:custGeom>
                          <a:avLst/>
                          <a:gdLst>
                            <a:gd name="connisteX0" fmla="*/ 304800 w 375920"/>
                            <a:gd name="connsiteY0" fmla="*/ 0 h 366395"/>
                            <a:gd name="connisteX1" fmla="*/ 166370 w 375920"/>
                            <a:gd name="connsiteY1" fmla="*/ 57150 h 366395"/>
                            <a:gd name="connisteX2" fmla="*/ 19050 w 375920"/>
                            <a:gd name="connsiteY2" fmla="*/ 175895 h 366395"/>
                            <a:gd name="connisteX3" fmla="*/ 0 w 375920"/>
                            <a:gd name="connsiteY3" fmla="*/ 276225 h 366395"/>
                            <a:gd name="connisteX4" fmla="*/ 109220 w 375920"/>
                            <a:gd name="connsiteY4" fmla="*/ 366395 h 366395"/>
                            <a:gd name="connisteX5" fmla="*/ 304800 w 375920"/>
                            <a:gd name="connsiteY5" fmla="*/ 223520 h 366395"/>
                            <a:gd name="connisteX6" fmla="*/ 375920 w 375920"/>
                            <a:gd name="connsiteY6" fmla="*/ 128270 h 366395"/>
                            <a:gd name="connisteX7" fmla="*/ 304800 w 375920"/>
                            <a:gd name="connsiteY7" fmla="*/ 0 h 3663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75920" h="366395">
                              <a:moveTo>
                                <a:pt x="304800" y="0"/>
                              </a:moveTo>
                              <a:lnTo>
                                <a:pt x="166370" y="57150"/>
                              </a:lnTo>
                              <a:lnTo>
                                <a:pt x="19050" y="175895"/>
                              </a:lnTo>
                              <a:lnTo>
                                <a:pt x="0" y="276225"/>
                              </a:lnTo>
                              <a:lnTo>
                                <a:pt x="109220" y="366395"/>
                              </a:lnTo>
                              <a:lnTo>
                                <a:pt x="304800" y="223520"/>
                              </a:lnTo>
                              <a:lnTo>
                                <a:pt x="375920" y="128270"/>
                              </a:lnTo>
                              <a:lnTo>
                                <a:pt x="304800" y="0"/>
                              </a:lnTo>
                              <a:close/>
                            </a:path>
                          </a:pathLst>
                        </a:custGeom>
                        <a:solidFill>
                          <a:srgbClr val="FF0000">
                            <a:alpha val="2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9.5pt;margin-top:249.45pt;height:28.85pt;width:29.6pt;z-index:251719680;mso-width-relative:page;mso-height-relative:page;" fillcolor="#FF0000" filled="t" stroked="t" coordsize="375920,366395" o:gfxdata="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" path="m304800,0l166370,57150,19050,175895,0,276225,109220,366395,304800,223520,375920,128270,304800,0xe">
                <v:path o:connectlocs="304800,0;166370,57150;19050,175895;0,276225;109220,366395;304800,223520;375920,128270;304800,0" o:connectangles="0,0,0,0,0,0,0,0"/>
                <v:fill on="t" opacity="16384f" focussize="0,0"/>
                <v:stroke weight="1pt" color="#FF0000 [24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3896995</wp:posOffset>
                </wp:positionH>
                <wp:positionV relativeFrom="paragraph">
                  <wp:posOffset>2108835</wp:posOffset>
                </wp:positionV>
                <wp:extent cx="914400" cy="1103630"/>
                <wp:effectExtent l="6350" t="6350" r="12700" b="13970"/>
                <wp:wrapNone/>
                <wp:docPr id="234" name="圆角矩形 234"/>
                <wp:cNvGraphicFramePr/>
                <a:graphic xmlns:a="http://schemas.openxmlformats.org/drawingml/2006/main">
                  <a:graphicData uri="http://schemas.microsoft.com/office/word/2010/wordprocessingShape">
                    <wps:wsp>
                      <wps:cNvSpPr/>
                      <wps:spPr>
                        <a:xfrm>
                          <a:off x="7878445" y="4089400"/>
                          <a:ext cx="914400" cy="1103630"/>
                        </a:xfrm>
                        <a:prstGeom prst="roundRect">
                          <a:avLst/>
                        </a:prstGeom>
                        <a:noFill/>
                        <a:ln>
                          <a:solidFill>
                            <a:srgbClr val="42357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06.85pt;margin-top:166.05pt;height:86.9pt;width:72pt;z-index:251717632;v-text-anchor:middle;mso-width-relative:page;mso-height-relative:page;" filled="f" stroked="t" coordsize="21600,21600" arcsize="0.166666666666667" o:gfxdata="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HZD0gtgAAAALAQAA&#10;DwAAAAAAAAABACAAAAAiAAAAZHJzL2Rvd25yZXYueG1sUEsBAhQAFAAAAAgAh07iQLf9hJmLAgAA&#10;5gQAAA4AAAAAAAAAAQAgAAAAJwEAAGRycy9lMm9Eb2MueG1sUEsFBgAAAAAGAAYAWQEAACQGAAAA&#10;AA==&#10;">
                <v:fill on="f" focussize="0,0"/>
                <v:stroke weight="1pt" color="#423573 [2404]" miterlimit="8" joinstyle="miter"/>
                <v:imagedata o:title=""/>
                <o:lock v:ext="edit" aspectratio="f"/>
              </v:round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4921885</wp:posOffset>
                </wp:positionH>
                <wp:positionV relativeFrom="paragraph">
                  <wp:posOffset>2190115</wp:posOffset>
                </wp:positionV>
                <wp:extent cx="941705" cy="497840"/>
                <wp:effectExtent l="466090" t="13970" r="20955" b="78740"/>
                <wp:wrapNone/>
                <wp:docPr id="276" name="圆角矩形标注 276"/>
                <wp:cNvGraphicFramePr/>
                <a:graphic xmlns:a="http://schemas.openxmlformats.org/drawingml/2006/main">
                  <a:graphicData uri="http://schemas.microsoft.com/office/word/2010/wordprocessingShape">
                    <wps:wsp>
                      <wps:cNvSpPr/>
                      <wps:spPr>
                        <a:xfrm>
                          <a:off x="0" y="0"/>
                          <a:ext cx="941705" cy="497840"/>
                        </a:xfrm>
                        <a:prstGeom prst="wedgeRoundRectCallout">
                          <a:avLst>
                            <a:gd name="adj1" fmla="val -89379"/>
                            <a:gd name="adj2" fmla="val 56377"/>
                            <a:gd name="adj3" fmla="val 16667"/>
                          </a:avLst>
                        </a:prstGeom>
                        <a:solidFill>
                          <a:schemeClr val="bg1">
                            <a:lumMod val="95000"/>
                          </a:schemeClr>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10A640">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87.55pt;margin-top:172.45pt;height:39.2pt;width:74.15pt;z-index:251718656;v-text-anchor:middle;mso-width-relative:page;mso-height-relative:page;" fillcolor="#F2F2F2 [3052]" filled="t" stroked="t" coordsize="21600,21600" o:gfxdata="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J9otoDZAAAACwEAAA8AAAAAAAAAAQAgAAAAIgAAAGRycy9kb3ducmV2Lnht&#10;bFBLAQIUABQAAAAIAIdO4kD2V6XE3AIAALcFAAAOAAAAAAAAAAEAIAAAACgBAABkcnMvZTJvRG9j&#10;LnhtbFBLBQYAAAAABgAGAFkBAAB2BgAAAAA=&#10;" adj="-8506,22977,14400">
                <v:fill on="t" focussize="0,0"/>
                <v:stroke weight="2.25pt" color="#000000 [3213]" miterlimit="8" joinstyle="miter"/>
                <v:imagedata o:title=""/>
                <o:lock v:ext="edit" aspectratio="f"/>
                <v:textbox>
                  <w:txbxContent>
                    <w:p w14:paraId="6210A640">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项目位置</w:t>
                      </w:r>
                    </w:p>
                  </w:txbxContent>
                </v:textbox>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2410460</wp:posOffset>
                </wp:positionH>
                <wp:positionV relativeFrom="paragraph">
                  <wp:posOffset>679450</wp:posOffset>
                </wp:positionV>
                <wp:extent cx="3943985" cy="3933825"/>
                <wp:effectExtent l="9525" t="9525" r="27940" b="19050"/>
                <wp:wrapNone/>
                <wp:docPr id="214" name="矩形 214"/>
                <wp:cNvGraphicFramePr/>
                <a:graphic xmlns:a="http://schemas.openxmlformats.org/drawingml/2006/main">
                  <a:graphicData uri="http://schemas.microsoft.com/office/word/2010/wordprocessingShape">
                    <wps:wsp>
                      <wps:cNvSpPr/>
                      <wps:spPr>
                        <a:xfrm>
                          <a:off x="3554095" y="1841500"/>
                          <a:ext cx="3943985" cy="3933825"/>
                        </a:xfrm>
                        <a:prstGeom prst="rect">
                          <a:avLst/>
                        </a:prstGeom>
                        <a:noFill/>
                        <a:ln w="19050">
                          <a:solidFill>
                            <a:srgbClr val="B9609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8pt;margin-top:53.5pt;height:309.75pt;width:310.55pt;z-index:251720704;v-text-anchor:middle;mso-width-relative:page;mso-height-relative:page;" filled="f" stroked="t" coordsize="21600,21600" o:gfxdata="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GXRU62QAAAAwBAAAPAAAAAAAAAAEAIAAA&#10;ACIAAABkcnMvZG93bnJldi54bWxQSwECFAAUAAAACACHTuJAuVH9sn0CAADcBAAADgAAAAAAAAAB&#10;ACAAAAAoAQAAZHJzL2Uyb0RvYy54bWxQSwUGAAAAAAYABgBZAQAAFwYAAAAA&#10;">
                <v:fill on="f" focussize="0,0"/>
                <v:stroke weight="1.5pt" color="#B96093 [2404]" miterlimit="8" joinstyle="miter"/>
                <v:imagedata o:title=""/>
                <o:lock v:ext="edit" aspectratio="f"/>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4138295</wp:posOffset>
                </wp:positionH>
                <wp:positionV relativeFrom="paragraph">
                  <wp:posOffset>2334260</wp:posOffset>
                </wp:positionV>
                <wp:extent cx="438785" cy="623570"/>
                <wp:effectExtent l="5080" t="5080" r="13335" b="19050"/>
                <wp:wrapNone/>
                <wp:docPr id="211" name="任意多边形 211"/>
                <wp:cNvGraphicFramePr/>
                <a:graphic xmlns:a="http://schemas.openxmlformats.org/drawingml/2006/main">
                  <a:graphicData uri="http://schemas.microsoft.com/office/word/2010/wordprocessingShape">
                    <wps:wsp>
                      <wps:cNvSpPr/>
                      <wps:spPr>
                        <a:xfrm>
                          <a:off x="0" y="0"/>
                          <a:ext cx="438785" cy="623570"/>
                        </a:xfrm>
                        <a:custGeom>
                          <a:avLst/>
                          <a:gdLst>
                            <a:gd name="connisteX0" fmla="*/ 6350 w 1485900"/>
                            <a:gd name="connsiteY0" fmla="*/ 1993900 h 1993900"/>
                            <a:gd name="connisteX1" fmla="*/ 1485900 w 1485900"/>
                            <a:gd name="connsiteY1" fmla="*/ 1993900 h 1993900"/>
                            <a:gd name="connisteX2" fmla="*/ 1485900 w 1485900"/>
                            <a:gd name="connsiteY2" fmla="*/ 165100 h 1993900"/>
                            <a:gd name="connisteX3" fmla="*/ 1250950 w 1485900"/>
                            <a:gd name="connsiteY3" fmla="*/ 0 h 1993900"/>
                            <a:gd name="connisteX4" fmla="*/ 0 w 1485900"/>
                            <a:gd name="connsiteY4" fmla="*/ 0 h 1993900"/>
                            <a:gd name="connisteX5" fmla="*/ 6350 w 1485900"/>
                            <a:gd name="connsiteY5" fmla="*/ 1993900 h 1993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85900" h="1993900">
                              <a:moveTo>
                                <a:pt x="6350" y="1993900"/>
                              </a:moveTo>
                              <a:lnTo>
                                <a:pt x="1485900" y="1993900"/>
                              </a:lnTo>
                              <a:lnTo>
                                <a:pt x="1485900" y="165100"/>
                              </a:lnTo>
                              <a:lnTo>
                                <a:pt x="1250950" y="0"/>
                              </a:lnTo>
                              <a:lnTo>
                                <a:pt x="0" y="0"/>
                              </a:lnTo>
                              <a:lnTo>
                                <a:pt x="6350" y="1993900"/>
                              </a:lnTo>
                              <a:close/>
                            </a:path>
                          </a:pathLst>
                        </a:custGeom>
                        <a:solidFill>
                          <a:srgbClr val="00B0F0">
                            <a:alpha val="50000"/>
                          </a:srgbClr>
                        </a:solidFill>
                        <a:ln w="9525">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5.85pt;margin-top:183.8pt;height:49.1pt;width:34.55pt;z-index:251716608;mso-width-relative:page;mso-height-relative:page;" fillcolor="#00B0F0" filled="t" stroked="t" coordsize="1485900,1993900" o:gfxdata="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Ra58790AAAALAQAADwAAAAAAAAABACAAAAAiAAAAZHJzL2Rvd25yZXYueG1sUEsBAhQAFAAA&#10;AAgAh07iQKCSijFAAwAAcAkAAA4AAAAAAAAAAQAgAAAALAEAAGRycy9lMm9Eb2MueG1sUEsFBgAA&#10;AAAGAAYAWQEAAN4GAAAAAA==&#10;" path="m6350,1993900l1485900,1993900,1485900,165100,1250950,0,0,0,6350,1993900xe">
                <v:path o:connectlocs="1875,623570;438785,623570;438785,51633;369404,0;0,0;1875,623570" o:connectangles="0,0,0,0,0,0"/>
                <v:fill on="t" opacity="32768f" focussize="0,0"/>
                <v:stroke color="#00B0F0 [2404]" miterlimit="8" joinstyle="miter"/>
                <v:imagedata o:title=""/>
                <o:lock v:ext="edit" aspectratio="f"/>
              </v:shape>
            </w:pict>
          </mc:Fallback>
        </mc:AlternateContent>
      </w:r>
      <w:r>
        <w:rPr>
          <w:color w:val="000000" w:themeColor="text1"/>
          <w:sz w:val="24"/>
          <w14:textFill>
            <w14:solidFill>
              <w14:schemeClr w14:val="tx1"/>
            </w14:solidFill>
          </w14:textFill>
        </w:rPr>
        <mc:AlternateContent>
          <mc:Choice Requires="wpg">
            <w:drawing>
              <wp:anchor distT="0" distB="0" distL="114300" distR="114300" simplePos="0" relativeHeight="251713536" behindDoc="0" locked="0" layoutInCell="1" allowOverlap="1">
                <wp:simplePos x="0" y="0"/>
                <wp:positionH relativeFrom="column">
                  <wp:posOffset>324485</wp:posOffset>
                </wp:positionH>
                <wp:positionV relativeFrom="paragraph">
                  <wp:posOffset>3786505</wp:posOffset>
                </wp:positionV>
                <wp:extent cx="1534160" cy="1597660"/>
                <wp:effectExtent l="0" t="0" r="0" b="0"/>
                <wp:wrapNone/>
                <wp:docPr id="206" name="组合 206"/>
                <wp:cNvGraphicFramePr/>
                <a:graphic xmlns:a="http://schemas.openxmlformats.org/drawingml/2006/main">
                  <a:graphicData uri="http://schemas.microsoft.com/office/word/2010/wordprocessingGroup">
                    <wpg:wgp>
                      <wpg:cNvGrpSpPr/>
                      <wpg:grpSpPr>
                        <a:xfrm>
                          <a:off x="0" y="0"/>
                          <a:ext cx="1534160" cy="1597660"/>
                          <a:chOff x="12779" y="1684314"/>
                          <a:chExt cx="2416" cy="2516"/>
                        </a:xfrm>
                      </wpg:grpSpPr>
                      <wps:wsp>
                        <wps:cNvPr id="172" name="文本框 172"/>
                        <wps:cNvSpPr txBox="1"/>
                        <wps:spPr>
                          <a:xfrm>
                            <a:off x="12779" y="1684314"/>
                            <a:ext cx="2416" cy="25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5A04E8">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图例</w:t>
                              </w:r>
                            </w:p>
                            <w:p w14:paraId="43251478">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项目范围：</w:t>
                              </w:r>
                            </w:p>
                            <w:p w14:paraId="3E6F007E">
                              <w:p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环境保护目标：</w:t>
                              </w:r>
                            </w:p>
                            <w:p w14:paraId="4A38642A">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500m范围：</w:t>
                              </w:r>
                            </w:p>
                            <w:p w14:paraId="6576AED5">
                              <w:pP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50m范围：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3" name="矩形 173"/>
                        <wps:cNvSpPr/>
                        <wps:spPr>
                          <a:xfrm>
                            <a:off x="14381" y="1684942"/>
                            <a:ext cx="540" cy="330"/>
                          </a:xfrm>
                          <a:prstGeom prst="rect">
                            <a:avLst/>
                          </a:prstGeom>
                          <a:noFill/>
                          <a:ln w="19050">
                            <a:solidFill>
                              <a:srgbClr val="36E2D8"/>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7" name="矩形 177"/>
                        <wps:cNvSpPr/>
                        <wps:spPr>
                          <a:xfrm>
                            <a:off x="14351" y="1686427"/>
                            <a:ext cx="540" cy="330"/>
                          </a:xfrm>
                          <a:prstGeom prst="rect">
                            <a:avLst/>
                          </a:prstGeom>
                          <a:noFill/>
                          <a:ln w="19050">
                            <a:solidFill>
                              <a:srgbClr val="42357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6" name="矩形 176"/>
                        <wps:cNvSpPr/>
                        <wps:spPr>
                          <a:xfrm>
                            <a:off x="14351" y="1685947"/>
                            <a:ext cx="540" cy="330"/>
                          </a:xfrm>
                          <a:prstGeom prst="rect">
                            <a:avLst/>
                          </a:prstGeom>
                          <a:noFill/>
                          <a:ln w="19050">
                            <a:solidFill>
                              <a:srgbClr val="B9609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5" name="矩形 175"/>
                        <wps:cNvSpPr/>
                        <wps:spPr>
                          <a:xfrm>
                            <a:off x="14366" y="1685437"/>
                            <a:ext cx="540" cy="33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5.55pt;margin-top:298.15pt;height:125.8pt;width:120.8pt;z-index:251713536;mso-width-relative:page;mso-height-relative:page;" coordorigin="12779,1684314" coordsize="2416,2516" o:gfxdata="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735G9wAAAAKAQAADwAAAAAAAAABACAAAAAiAAAAZHJzL2Rvd25yZXYueG1sUEsB&#10;AhQAFAAAAAgAh07iQIcBBx65AwAAeBEAAA4AAAAAAAAAAQAgAAAAKwEAAGRycy9lMm9Eb2MueG1s&#10;UEsFBgAAAAAGAAYAWQEAAFYHAAAAAA==&#10;">
                <o:lock v:ext="edit" aspectratio="f"/>
                <v:shape id="_x0000_s1026" o:spid="_x0000_s1026" o:spt="202" type="#_x0000_t202" style="position:absolute;left:12779;top:1684314;height:2517;width:2416;" filled="f" stroked="f" coordsize="21600,21600" o:gfxdata="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SRR+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75A04E8">
                        <w:pPr>
                          <w:jc w:val="cente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图例</w:t>
                        </w:r>
                      </w:p>
                      <w:p w14:paraId="43251478">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项目范围：</w:t>
                        </w:r>
                      </w:p>
                      <w:p w14:paraId="3E6F007E">
                        <w:p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环境保护目标：</w:t>
                        </w:r>
                      </w:p>
                      <w:p w14:paraId="4A38642A">
                        <w:pPr>
                          <w:pStyle w:val="4"/>
                          <w:numPr>
                            <w:ilvl w:val="2"/>
                            <w:numId w:val="0"/>
                          </w:numPr>
                          <w:rPr>
                            <w:rFonts w:hint="eastAsia"/>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500m范围：</w:t>
                        </w:r>
                      </w:p>
                      <w:p w14:paraId="6576AED5">
                        <w:pPr>
                          <w:rPr>
                            <w:rFonts w:hint="default"/>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50m范围：</w:t>
                        </w:r>
                      </w:p>
                    </w:txbxContent>
                  </v:textbox>
                </v:shape>
                <v:rect id="_x0000_s1026" o:spid="_x0000_s1026" o:spt="1" style="position:absolute;left:14381;top:1684942;height:330;width:540;v-text-anchor:middle;" filled="f" stroked="t" coordsize="21600,21600" o:gfxdata="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WysyvQAA&#10;ANwAAAAPAAAAAAAAAAEAIAAAACIAAABkcnMvZG93bnJldi54bWxQSwECFAAUAAAACACHTuJAMy8F&#10;njsAAAA5AAAAEAAAAAAAAAABACAAAAAMAQAAZHJzL3NoYXBleG1sLnhtbFBLBQYAAAAABgAGAFsB&#10;AAC2AwAAAAA=&#10;">
                  <v:fill on="f" focussize="0,0"/>
                  <v:stroke weight="1.5pt" color="#36E2D8 [2404]" miterlimit="8" joinstyle="miter"/>
                  <v:imagedata o:title=""/>
                  <o:lock v:ext="edit" aspectratio="f"/>
                </v:rect>
                <v:rect id="_x0000_s1026" o:spid="_x0000_s1026" o:spt="1" style="position:absolute;left:14351;top:1686427;height:330;width:540;v-text-anchor:middle;" filled="f" stroked="t" coordsize="21600,21600" o:gfxdata="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nHN+7sAAADc&#10;AAAADwAAAAAAAAABACAAAAAiAAAAZHJzL2Rvd25yZXYueG1sUEsBAhQAFAAAAAgAh07iQDMvBZ47&#10;AAAAOQAAABAAAAAAAAAAAQAgAAAACgEAAGRycy9zaGFwZXhtbC54bWxQSwUGAAAAAAYABgBbAQAA&#10;tAMAAAAA&#10;">
                  <v:fill on="f" focussize="0,0"/>
                  <v:stroke weight="1.5pt" color="#423573 [2404]" miterlimit="8" joinstyle="miter"/>
                  <v:imagedata o:title=""/>
                  <o:lock v:ext="edit" aspectratio="f"/>
                </v:rect>
                <v:rect id="_x0000_s1026" o:spid="_x0000_s1026" o:spt="1" style="position:absolute;left:14351;top:1685947;height:330;width:540;v-text-anchor:middle;" filled="f" stroked="t" coordsize="21600,21600" o:gfxdata="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ui+kvQAA&#10;ANwAAAAPAAAAAAAAAAEAIAAAACIAAABkcnMvZG93bnJldi54bWxQSwECFAAUAAAACACHTuJAMy8F&#10;njsAAAA5AAAAEAAAAAAAAAABACAAAAAMAQAAZHJzL3NoYXBleG1sLnhtbFBLBQYAAAAABgAGAFsB&#10;AAC2AwAAAAA=&#10;">
                  <v:fill on="f" focussize="0,0"/>
                  <v:stroke weight="1.5pt" color="#B96093 [2404]" miterlimit="8" joinstyle="miter"/>
                  <v:imagedata o:title=""/>
                  <o:lock v:ext="edit" aspectratio="f"/>
                </v:rect>
                <v:rect id="_x0000_s1026" o:spid="_x0000_s1026" o:spt="1" style="position:absolute;left:14366;top:1685437;height:330;width:540;v-text-anchor:middle;" filled="f" stroked="t" coordsize="21600,21600" o:gfxdata="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3+dC8AAAA&#10;3AAAAA8AAAAAAAAAAQAgAAAAIgAAAGRycy9kb3ducmV2LnhtbFBLAQIUABQAAAAIAIdO4kAzLwWe&#10;OwAAADkAAAAQAAAAAAAAAAEAIAAAAAsBAABkcnMvc2hhcGV4bWwueG1sUEsFBgAAAAAGAAYAWwEA&#10;ALUDAAAAAA==&#10;">
                  <v:fill on="f" focussize="0,0"/>
                  <v:stroke weight="1.5pt" color="#FF0000 [2404]" miterlimit="8" joinstyle="miter"/>
                  <v:imagedata o:title=""/>
                  <o:lock v:ext="edit" aspectratio="f"/>
                </v:rect>
              </v:group>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276225</wp:posOffset>
                </wp:positionH>
                <wp:positionV relativeFrom="paragraph">
                  <wp:posOffset>3802380</wp:posOffset>
                </wp:positionV>
                <wp:extent cx="1511935" cy="1571625"/>
                <wp:effectExtent l="6350" t="6350" r="24765" b="22225"/>
                <wp:wrapNone/>
                <wp:docPr id="171" name="矩形 171"/>
                <wp:cNvGraphicFramePr/>
                <a:graphic xmlns:a="http://schemas.openxmlformats.org/drawingml/2006/main">
                  <a:graphicData uri="http://schemas.microsoft.com/office/word/2010/wordprocessingShape">
                    <wps:wsp>
                      <wps:cNvSpPr/>
                      <wps:spPr>
                        <a:xfrm>
                          <a:off x="8428355" y="5351145"/>
                          <a:ext cx="1511935" cy="1571625"/>
                        </a:xfrm>
                        <a:prstGeom prst="rect">
                          <a:avLst/>
                        </a:prstGeom>
                        <a:solidFill>
                          <a:schemeClr val="bg2"/>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5pt;margin-top:299.4pt;height:123.75pt;width:119.05pt;z-index:251711488;v-text-anchor:middle;mso-width-relative:page;mso-height-relative:page;" fillcolor="#E7E6E6 [3214]" filled="t" stroked="t" coordsize="21600,21600" o:gfxdata="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ShAce2QAAAAoBAAAPAAAAAAAAAAEA&#10;IAAAACIAAABkcnMvZG93bnJldi54bWxQSwECFAAUAAAACACHTuJAjyCIf4ACAAAFBQAADgAAAAAA&#10;AAABACAAAAAoAQAAZHJzL2Uyb0RvYy54bWxQSwUGAAAAAAYABgBZAQAAGgYAAAAA&#10;">
                <v:fill on="t" focussize="0,0"/>
                <v:stroke weight="1pt" color="#000000 [3213]" miterlimit="8" joinstyle="miter"/>
                <v:imagedata o:title=""/>
                <o:lock v:ext="edit" aspectratio="f"/>
              </v:rect>
            </w:pict>
          </mc:Fallback>
        </mc:AlternateContent>
      </w:r>
      <w:r>
        <w:rPr>
          <w:color w:val="000000" w:themeColor="text1"/>
          <w:highlight w:val="none"/>
          <w14:textFill>
            <w14:solidFill>
              <w14:schemeClr w14:val="tx1"/>
            </w14:solidFill>
          </w14:textFill>
        </w:rPr>
        <w:drawing>
          <wp:anchor distT="0" distB="0" distL="114300" distR="114300" simplePos="0" relativeHeight="251670528" behindDoc="0" locked="0" layoutInCell="1" allowOverlap="1">
            <wp:simplePos x="0" y="0"/>
            <wp:positionH relativeFrom="column">
              <wp:posOffset>7126605</wp:posOffset>
            </wp:positionH>
            <wp:positionV relativeFrom="paragraph">
              <wp:posOffset>100330</wp:posOffset>
            </wp:positionV>
            <wp:extent cx="972185" cy="1001395"/>
            <wp:effectExtent l="9525" t="9525" r="27940" b="17780"/>
            <wp:wrapNone/>
            <wp:docPr id="2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4"/>
                    <pic:cNvPicPr>
                      <a:picLocks noChangeAspect="1"/>
                    </pic:cNvPicPr>
                  </pic:nvPicPr>
                  <pic:blipFill>
                    <a:blip r:embed="rId25"/>
                    <a:stretch>
                      <a:fillRect/>
                    </a:stretch>
                  </pic:blipFill>
                  <pic:spPr>
                    <a:xfrm>
                      <a:off x="0" y="0"/>
                      <a:ext cx="972185" cy="1001395"/>
                    </a:xfrm>
                    <a:prstGeom prst="rect">
                      <a:avLst/>
                    </a:prstGeom>
                    <a:noFill/>
                    <a:ln>
                      <a:solidFill>
                        <a:schemeClr val="tx1"/>
                      </a:solidFill>
                    </a:ln>
                  </pic:spPr>
                </pic:pic>
              </a:graphicData>
            </a:graphic>
          </wp:anchor>
        </w:drawing>
      </w:r>
      <w:r>
        <w:rPr>
          <w:color w:val="000000" w:themeColor="text1"/>
          <w14:textFill>
            <w14:solidFill>
              <w14:schemeClr w14:val="tx1"/>
            </w14:solidFill>
          </w14:textFill>
        </w:rPr>
        <w:drawing>
          <wp:inline distT="0" distB="0" distL="114300" distR="114300">
            <wp:extent cx="7816215" cy="5362575"/>
            <wp:effectExtent l="9525" t="9525" r="22860" b="19050"/>
            <wp:docPr id="1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
                    <pic:cNvPicPr>
                      <a:picLocks noChangeAspect="1"/>
                    </pic:cNvPicPr>
                  </pic:nvPicPr>
                  <pic:blipFill>
                    <a:blip r:embed="rId30"/>
                    <a:stretch>
                      <a:fillRect/>
                    </a:stretch>
                  </pic:blipFill>
                  <pic:spPr>
                    <a:xfrm>
                      <a:off x="0" y="0"/>
                      <a:ext cx="7816215" cy="5362575"/>
                    </a:xfrm>
                    <a:prstGeom prst="rect">
                      <a:avLst/>
                    </a:prstGeom>
                    <a:noFill/>
                    <a:ln>
                      <a:solidFill>
                        <a:schemeClr val="tx1"/>
                      </a:solidFill>
                    </a:ln>
                  </pic:spPr>
                </pic:pic>
              </a:graphicData>
            </a:graphic>
          </wp:inline>
        </w:drawing>
      </w:r>
      <w:r>
        <w:rPr>
          <w:rFonts w:ascii="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31">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6432;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32" o:title=""/>
                <o:lock v:ext="edit"/>
              </v:shape>
            </w:pict>
          </mc:Fallback>
        </mc:AlternateContent>
      </w:r>
      <w:r>
        <w:rPr>
          <w:rFonts w:ascii="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33">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5408;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32" o:title=""/>
                <o:lock v:ext="edit"/>
              </v:shape>
            </w:pict>
          </mc:Fallback>
        </mc:AlternateContent>
      </w:r>
      <w:r>
        <w:rPr>
          <w:rFonts w:ascii="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34">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4384;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32" o:title=""/>
                <o:lock v:ext="edit"/>
              </v:shape>
            </w:pict>
          </mc:Fallback>
        </mc:AlternateContent>
      </w:r>
      <w:r>
        <w:rPr>
          <w:rFonts w:ascii="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35">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3360;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32" o:title=""/>
                <o:lock v:ext="edit"/>
              </v:shape>
            </w:pict>
          </mc:Fallback>
        </mc:AlternateContent>
      </w:r>
      <w:bookmarkStart w:id="192" w:name="_Toc31546"/>
    </w:p>
    <w:p w14:paraId="3E78C296">
      <w:pPr>
        <w:pStyle w:val="45"/>
        <w:keepNext w:val="0"/>
        <w:keepLines w:val="0"/>
        <w:pageBreakBefore w:val="0"/>
        <w:widowControl w:val="0"/>
        <w:kinsoku/>
        <w:wordWrap/>
        <w:overflowPunct/>
        <w:topLinePunct w:val="0"/>
        <w:autoSpaceDE/>
        <w:autoSpaceDN/>
        <w:bidi w:val="0"/>
        <w:snapToGrid w:val="0"/>
        <w:ind w:left="0"/>
        <w:jc w:val="center"/>
        <w:textAlignment w:val="auto"/>
        <w:outlineLvl w:val="0"/>
        <w:rPr>
          <w:rFonts w:ascii="Times New Roman"/>
          <w:b/>
          <w:bCs/>
          <w:color w:val="000000" w:themeColor="text1"/>
          <w:sz w:val="24"/>
          <w:szCs w:val="24"/>
          <w:highlight w:val="none"/>
          <w14:textFill>
            <w14:solidFill>
              <w14:schemeClr w14:val="tx1"/>
            </w14:solidFill>
          </w14:textFill>
        </w:rPr>
      </w:pPr>
      <w:bookmarkStart w:id="193" w:name="_Toc28580"/>
      <w:bookmarkStart w:id="194" w:name="_Toc4389"/>
      <w:r>
        <w:rPr>
          <w:rFonts w:hint="eastAsia" w:ascii="Times New Roman"/>
          <w:b/>
          <w:bCs/>
          <w:color w:val="000000" w:themeColor="text1"/>
          <w:sz w:val="24"/>
          <w:szCs w:val="24"/>
          <w:highlight w:val="none"/>
          <w14:textFill>
            <w14:solidFill>
              <w14:schemeClr w14:val="tx1"/>
            </w14:solidFill>
          </w14:textFill>
        </w:rPr>
        <w:t>附图4 环境保护目标分布图</w:t>
      </w:r>
      <w:bookmarkEnd w:id="192"/>
      <w:bookmarkEnd w:id="193"/>
      <w:bookmarkEnd w:id="194"/>
    </w:p>
    <w:p w14:paraId="069EC0B8">
      <w:pPr>
        <w:pStyle w:val="45"/>
        <w:jc w:val="center"/>
        <w:rPr>
          <w:rFonts w:ascii="Times New Roman"/>
          <w:color w:val="000000" w:themeColor="text1"/>
          <w:highlight w:val="none"/>
          <w14:textFill>
            <w14:solidFill>
              <w14:schemeClr w14:val="tx1"/>
            </w14:solidFill>
          </w14:textFill>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r>
        <w:rPr>
          <w:color w:val="000000" w:themeColor="text1"/>
          <w:sz w:val="32"/>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7571740</wp:posOffset>
                </wp:positionH>
                <wp:positionV relativeFrom="paragraph">
                  <wp:posOffset>3931285</wp:posOffset>
                </wp:positionV>
                <wp:extent cx="1513205" cy="1333500"/>
                <wp:effectExtent l="4445" t="4445" r="6350" b="14605"/>
                <wp:wrapNone/>
                <wp:docPr id="277" name="文本框 277"/>
                <wp:cNvGraphicFramePr/>
                <a:graphic xmlns:a="http://schemas.openxmlformats.org/drawingml/2006/main">
                  <a:graphicData uri="http://schemas.microsoft.com/office/word/2010/wordprocessingShape">
                    <wps:wsp>
                      <wps:cNvSpPr txBox="1"/>
                      <wps:spPr>
                        <a:xfrm>
                          <a:off x="7583170" y="4638040"/>
                          <a:ext cx="1513205" cy="1333500"/>
                        </a:xfrm>
                        <a:prstGeom prst="rect">
                          <a:avLst/>
                        </a:prstGeom>
                        <a:solidFill>
                          <a:schemeClr val="bg1">
                            <a:lumMod val="9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D6C7BE">
                            <w:pPr>
                              <w:jc w:val="center"/>
                              <w:rPr>
                                <w:b/>
                                <w:bCs/>
                                <w:sz w:val="24"/>
                                <w:szCs w:val="24"/>
                              </w:rPr>
                            </w:pPr>
                            <w:r>
                              <w:rPr>
                                <w:b/>
                                <w:bCs/>
                                <w:sz w:val="24"/>
                                <w:szCs w:val="24"/>
                              </w:rPr>
                              <w:t>图 例</w:t>
                            </w:r>
                          </w:p>
                          <w:p w14:paraId="1A04C0A3">
                            <w:pPr>
                              <w:pStyle w:val="43"/>
                              <w:spacing w:line="360" w:lineRule="auto"/>
                              <w:rPr>
                                <w:rFonts w:ascii="Times New Roman" w:cs="Times New Roman"/>
                                <w:b/>
                                <w:bCs/>
                              </w:rPr>
                            </w:pPr>
                            <w:r>
                              <w:rPr>
                                <w:rFonts w:ascii="Times New Roman" w:cs="Times New Roman"/>
                                <w:b/>
                                <w:bCs/>
                              </w:rPr>
                              <w:t>项目位置：</w:t>
                            </w:r>
                          </w:p>
                          <w:p w14:paraId="34DB81F5">
                            <w:pPr>
                              <w:pStyle w:val="50"/>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5"/>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6.2pt;margin-top:309.55pt;height:105pt;width:119.15pt;z-index:251661312;mso-width-relative:page;mso-height-relative:page;" fillcolor="#F2F2F2 [3052]" filled="t" stroked="t" coordsize="21600,21600" o:gfxdata="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hySCfaAAAADQEAAA8AAAAAAAAAAQAgAAAA&#10;IgAAAGRycy9kb3ducmV2LnhtbFBLAQIUABQAAAAIAIdO4kD/UjZNewIAAOoEAAAOAAAAAAAAAAEA&#10;IAAAACkBAABkcnMvZTJvRG9jLnhtbFBLBQYAAAAABgAGAFkBAAAWBgAAAAA=&#10;">
                <v:fill on="t" focussize="0,0"/>
                <v:stroke weight="0.5pt" color="#000000 [3204]" joinstyle="round"/>
                <v:imagedata o:title=""/>
                <o:lock v:ext="edit" aspectratio="f"/>
                <v:textbox>
                  <w:txbxContent>
                    <w:p w14:paraId="6AD6C7BE">
                      <w:pPr>
                        <w:jc w:val="center"/>
                        <w:rPr>
                          <w:b/>
                          <w:bCs/>
                          <w:sz w:val="24"/>
                          <w:szCs w:val="24"/>
                        </w:rPr>
                      </w:pPr>
                      <w:r>
                        <w:rPr>
                          <w:b/>
                          <w:bCs/>
                          <w:sz w:val="24"/>
                          <w:szCs w:val="24"/>
                        </w:rPr>
                        <w:t>图 例</w:t>
                      </w:r>
                    </w:p>
                    <w:p w14:paraId="1A04C0A3">
                      <w:pPr>
                        <w:pStyle w:val="43"/>
                        <w:spacing w:line="360" w:lineRule="auto"/>
                        <w:rPr>
                          <w:rFonts w:ascii="Times New Roman" w:cs="Times New Roman"/>
                          <w:b/>
                          <w:bCs/>
                        </w:rPr>
                      </w:pPr>
                      <w:r>
                        <w:rPr>
                          <w:rFonts w:ascii="Times New Roman" w:cs="Times New Roman"/>
                          <w:b/>
                          <w:bCs/>
                        </w:rPr>
                        <w:t>项目位置：</w:t>
                      </w:r>
                    </w:p>
                    <w:p w14:paraId="34DB81F5">
                      <w:pPr>
                        <w:pStyle w:val="50"/>
                        <w:spacing w:line="360" w:lineRule="auto"/>
                        <w:ind w:left="0" w:right="-120" w:firstLine="0"/>
                        <w:jc w:val="left"/>
                        <w:rPr>
                          <w:rFonts w:ascii="Times New Roman"/>
                          <w:b/>
                          <w:bCs/>
                          <w:sz w:val="24"/>
                          <w:szCs w:val="24"/>
                        </w:rPr>
                      </w:pPr>
                      <w:r>
                        <w:rPr>
                          <w:rFonts w:ascii="Times New Roman"/>
                          <w:b/>
                          <w:bCs/>
                          <w:sz w:val="24"/>
                          <w:szCs w:val="24"/>
                        </w:rPr>
                        <w:t>500m范围：</w:t>
                      </w:r>
                    </w:p>
                    <w:p w14:paraId="58BD89EB">
                      <w:pPr>
                        <w:pStyle w:val="55"/>
                        <w:keepNext w:val="0"/>
                        <w:keepLines w:val="0"/>
                        <w:pageBreakBefore w:val="0"/>
                        <w:widowControl/>
                        <w:kinsoku/>
                        <w:wordWrap/>
                        <w:overflowPunct/>
                        <w:topLinePunct w:val="0"/>
                        <w:bidi w:val="0"/>
                        <w:adjustRightInd/>
                        <w:snapToGrid/>
                        <w:spacing w:before="0" w:after="0" w:line="360" w:lineRule="auto"/>
                        <w:textAlignment w:val="auto"/>
                        <w:rPr>
                          <w:rFonts w:hint="eastAsia" w:eastAsia="宋体"/>
                          <w:lang w:val="en-US" w:eastAsia="zh-CN"/>
                        </w:rPr>
                      </w:pPr>
                      <w:r>
                        <w:rPr>
                          <w:rFonts w:hint="eastAsia"/>
                          <w:b/>
                          <w:bCs/>
                          <w:sz w:val="24"/>
                          <w:szCs w:val="24"/>
                          <w:lang w:eastAsia="zh-CN"/>
                        </w:rPr>
                        <w:t>敏感点：</w:t>
                      </w:r>
                    </w:p>
                  </w:txbxContent>
                </v:textbox>
              </v:shape>
            </w:pict>
          </mc:Fallback>
        </mc:AlternateContent>
      </w:r>
    </w:p>
    <w:p w14:paraId="69049D10">
      <w:pPr>
        <w:pStyle w:val="43"/>
        <w:keepNext w:val="0"/>
        <w:keepLines w:val="0"/>
        <w:pageBreakBefore w:val="0"/>
        <w:widowControl w:val="0"/>
        <w:kinsoku/>
        <w:wordWrap/>
        <w:overflowPunct/>
        <w:topLinePunct w:val="0"/>
        <w:autoSpaceDE w:val="0"/>
        <w:autoSpaceDN w:val="0"/>
        <w:bidi w:val="0"/>
        <w:adjustRightInd w:val="0"/>
        <w:snapToGrid w:val="0"/>
        <w:jc w:val="center"/>
        <w:textAlignment w:val="auto"/>
        <w:rPr>
          <w:rFonts w:ascii="Times New Roman"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2838450</wp:posOffset>
                </wp:positionH>
                <wp:positionV relativeFrom="paragraph">
                  <wp:posOffset>527050</wp:posOffset>
                </wp:positionV>
                <wp:extent cx="1111250" cy="550545"/>
                <wp:effectExtent l="543560" t="9525" r="18415" b="109220"/>
                <wp:wrapNone/>
                <wp:docPr id="289" name="圆角矩形标注 289"/>
                <wp:cNvGraphicFramePr/>
                <a:graphic xmlns:a="http://schemas.openxmlformats.org/drawingml/2006/main">
                  <a:graphicData uri="http://schemas.microsoft.com/office/word/2010/wordprocessingShape">
                    <wps:wsp>
                      <wps:cNvSpPr/>
                      <wps:spPr>
                        <a:xfrm>
                          <a:off x="0" y="0"/>
                          <a:ext cx="1111250" cy="550545"/>
                        </a:xfrm>
                        <a:prstGeom prst="wedgeRoundRectCallout">
                          <a:avLst>
                            <a:gd name="adj1" fmla="val -92685"/>
                            <a:gd name="adj2" fmla="val 62918"/>
                            <a:gd name="adj3" fmla="val 16667"/>
                          </a:avLst>
                        </a:prstGeom>
                        <a:solidFill>
                          <a:schemeClr val="bg1">
                            <a:lumMod val="95000"/>
                          </a:schemeClr>
                        </a:solidFill>
                        <a:ln>
                          <a:solidFill>
                            <a:schemeClr val="tx1"/>
                          </a:solidFill>
                        </a:ln>
                      </wps:spPr>
                      <wps:style>
                        <a:lnRef idx="3">
                          <a:schemeClr val="accent1"/>
                        </a:lnRef>
                        <a:fillRef idx="0">
                          <a:srgbClr val="FFFFFF"/>
                        </a:fillRef>
                        <a:effectRef idx="0">
                          <a:srgbClr val="FFFFFF"/>
                        </a:effectRef>
                        <a:fontRef idx="minor">
                          <a:schemeClr val="tx1"/>
                        </a:fontRef>
                      </wps:style>
                      <wps:txbx>
                        <w:txbxContent>
                          <w:p w14:paraId="11EEB1A0">
                            <w:pPr>
                              <w:jc w:val="center"/>
                              <w:rPr>
                                <w:b/>
                                <w:bCs/>
                              </w:rPr>
                            </w:pPr>
                            <w:r>
                              <w:rPr>
                                <w:rFonts w:hint="eastAsia"/>
                                <w:b/>
                                <w:bCs/>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3.5pt;margin-top:41.5pt;height:43.35pt;width:87.5pt;z-index:251712512;v-text-anchor:middle;mso-width-relative:page;mso-height-relative:page;" fillcolor="#F2F2F2 [3052]" filled="t" stroked="t" coordsize="21600,21600" o:gfxdata="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H7DJt2gAAAAoBAAAPAAAAAAAAAAEAIAAAACIAAABkcnMvZG93bnJldi54&#10;bWxQSwECFAAUAAAACACHTuJACbgOQNwCAAC4BQAADgAAAAAAAAABACAAAAApAQAAZHJzL2Uyb0Rv&#10;Yy54bWxQSwUGAAAAAAYABgBZAQAAdwYAAAAA&#10;" adj="-9220,24390,14400">
                <v:fill on="t" focussize="0,0"/>
                <v:stroke weight="1.5pt" color="#000000 [3213]" miterlimit="8" joinstyle="miter"/>
                <v:imagedata o:title=""/>
                <o:lock v:ext="edit" aspectratio="f"/>
                <v:textbox>
                  <w:txbxContent>
                    <w:p w14:paraId="11EEB1A0">
                      <w:pPr>
                        <w:jc w:val="center"/>
                        <w:rPr>
                          <w:b/>
                          <w:bCs/>
                        </w:rPr>
                      </w:pPr>
                      <w:r>
                        <w:rPr>
                          <w:rFonts w:hint="eastAsia"/>
                          <w:b/>
                          <w:bCs/>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2233295</wp:posOffset>
                </wp:positionH>
                <wp:positionV relativeFrom="paragraph">
                  <wp:posOffset>1143635</wp:posOffset>
                </wp:positionV>
                <wp:extent cx="88265" cy="92710"/>
                <wp:effectExtent l="17780" t="22225" r="23495" b="25400"/>
                <wp:wrapNone/>
                <wp:docPr id="286" name="五角星 286"/>
                <wp:cNvGraphicFramePr/>
                <a:graphic xmlns:a="http://schemas.openxmlformats.org/drawingml/2006/main">
                  <a:graphicData uri="http://schemas.microsoft.com/office/word/2010/wordprocessingShape">
                    <wps:wsp>
                      <wps:cNvSpPr/>
                      <wps:spPr>
                        <a:xfrm>
                          <a:off x="0" y="0"/>
                          <a:ext cx="88265" cy="9271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5.85pt;margin-top:90.05pt;height:7.3pt;width:6.95pt;z-index:251671552;v-text-anchor:middle;mso-width-relative:page;mso-height-relative:page;" fillcolor="#FF0000" filled="t" stroked="t" coordsize="88265,92710" o:gfxdata="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NixUIrbAAAACwEAAA8AAAAAAAAAAQAgAAAAIgAA&#10;AGRycy9kb3ducmV2LnhtbFBLAQIUABQAAAAIAIdO4kAa/+IZdwIAAPkEAAAOAAAAAAAAAAEAIAAA&#10;ACoBAABkcnMvZTJvRG9jLnhtbFBLBQYAAAAABgAGAFkBAAATBgAAAAA=&#10;" path="m0,35411l33714,35412,44132,0,54550,35412,88264,35411,60989,57297,71407,92709,44132,70823,16857,92709,27275,57297xe">
                <v:path o:connectlocs="44132,0;0,35411;16857,92709;71407,92709;88264,35411" o:connectangles="247,164,82,82,0"/>
                <v:fill on="t" focussize="0,0"/>
                <v:stroke weight="1pt" color="#000000 [3213]" miterlimit="8" joinstyle="miter"/>
                <v:imagedata o:title=""/>
                <o:lock v:ext="edit" aspectratio="f"/>
              </v:shape>
            </w:pict>
          </mc:Fallback>
        </mc:AlternateContent>
      </w:r>
      <w:r>
        <w:rPr>
          <w:rFonts w:hint="eastAsia"/>
        </w:rPr>
        <w:drawing>
          <wp:inline distT="0" distB="0" distL="114300" distR="114300">
            <wp:extent cx="8046720" cy="5445760"/>
            <wp:effectExtent l="9525" t="9525" r="18415" b="17780"/>
            <wp:docPr id="62" name="图片 62" descr="01城东法定图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1城东法定图则"/>
                    <pic:cNvPicPr>
                      <a:picLocks noChangeAspect="1"/>
                    </pic:cNvPicPr>
                  </pic:nvPicPr>
                  <pic:blipFill>
                    <a:blip r:embed="rId36"/>
                    <a:stretch>
                      <a:fillRect/>
                    </a:stretch>
                  </pic:blipFill>
                  <pic:spPr>
                    <a:xfrm>
                      <a:off x="0" y="0"/>
                      <a:ext cx="8046720" cy="5445760"/>
                    </a:xfrm>
                    <a:prstGeom prst="rect">
                      <a:avLst/>
                    </a:prstGeom>
                    <a:ln>
                      <a:solidFill>
                        <a:schemeClr val="tx1"/>
                      </a:solidFill>
                    </a:ln>
                  </pic:spPr>
                </pic:pic>
              </a:graphicData>
            </a:graphic>
          </wp:inline>
        </w:drawing>
      </w:r>
    </w:p>
    <w:p w14:paraId="3E5BE77E">
      <w:pPr>
        <w:kinsoku w:val="0"/>
        <w:overflowPunct w:val="0"/>
        <w:adjustRightInd w:val="0"/>
        <w:snapToGrid w:val="0"/>
        <w:ind w:firstLine="482" w:firstLineChars="200"/>
        <w:jc w:val="center"/>
        <w:outlineLvl w:val="0"/>
        <w:rPr>
          <w:b/>
          <w:bCs/>
          <w:color w:val="FF0000"/>
          <w:szCs w:val="22"/>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95" w:name="_Toc28121"/>
      <w:bookmarkStart w:id="196" w:name="_Toc30352"/>
      <w:bookmarkStart w:id="197" w:name="_Toc14212"/>
      <w:r>
        <w:rPr>
          <w:b/>
          <w:bCs/>
          <w:color w:val="FF0000"/>
          <w:szCs w:val="22"/>
          <w:highlight w:val="none"/>
        </w:rPr>
        <w:t>附图</w:t>
      </w:r>
      <w:r>
        <w:rPr>
          <w:rFonts w:hint="eastAsia"/>
          <w:b/>
          <w:bCs/>
          <w:color w:val="FF0000"/>
          <w:szCs w:val="22"/>
          <w:highlight w:val="none"/>
        </w:rPr>
        <w:t>5</w:t>
      </w:r>
      <w:r>
        <w:rPr>
          <w:b/>
          <w:bCs/>
          <w:color w:val="FF0000"/>
          <w:szCs w:val="22"/>
          <w:highlight w:val="none"/>
        </w:rPr>
        <w:t xml:space="preserve"> </w:t>
      </w:r>
      <w:bookmarkEnd w:id="195"/>
      <w:r>
        <w:rPr>
          <w:rFonts w:hint="eastAsia"/>
          <w:b/>
          <w:bCs/>
          <w:color w:val="FF0000"/>
          <w:szCs w:val="22"/>
          <w:highlight w:val="none"/>
        </w:rPr>
        <w:t>建设项目土地利用规划图</w:t>
      </w:r>
      <w:bookmarkEnd w:id="196"/>
      <w:bookmarkEnd w:id="197"/>
    </w:p>
    <w:p w14:paraId="4B6726A1">
      <w:pPr>
        <w:pStyle w:val="43"/>
        <w:jc w:val="center"/>
        <w:rPr>
          <w:rFonts w:ascii="Times New Roman" w:cs="Times New Roman"/>
          <w:color w:val="000000" w:themeColor="text1"/>
          <w:highlight w:val="none"/>
          <w14:textFill>
            <w14:solidFill>
              <w14:schemeClr w14:val="tx1"/>
            </w14:solidFill>
          </w14:textFill>
        </w:rPr>
      </w:pPr>
      <w:r>
        <w:rPr>
          <w:color w:val="000000" w:themeColor="text1"/>
          <w:sz w:val="32"/>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5603875</wp:posOffset>
                </wp:positionH>
                <wp:positionV relativeFrom="paragraph">
                  <wp:posOffset>3580130</wp:posOffset>
                </wp:positionV>
                <wp:extent cx="139065" cy="141605"/>
                <wp:effectExtent l="13970" t="16510" r="18415" b="13335"/>
                <wp:wrapNone/>
                <wp:docPr id="291" name="五角星 291"/>
                <wp:cNvGraphicFramePr/>
                <a:graphic xmlns:a="http://schemas.openxmlformats.org/drawingml/2006/main">
                  <a:graphicData uri="http://schemas.microsoft.com/office/word/2010/wordprocessingShape">
                    <wps:wsp>
                      <wps:cNvSpPr/>
                      <wps:spPr>
                        <a:xfrm>
                          <a:off x="3783965" y="2263140"/>
                          <a:ext cx="139065" cy="141605"/>
                        </a:xfrm>
                        <a:prstGeom prst="star5">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1.25pt;margin-top:281.9pt;height:11.15pt;width:10.95pt;z-index:251672576;v-text-anchor:middle;mso-width-relative:page;mso-height-relative:page;" fillcolor="#FF0000" filled="t" stroked="t" coordsize="139065,141605" o:gfxdata="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UVkIx2QAAAAsBAAAPAAAAAAAA&#10;AAEAIAAAACIAAABkcnMvZG93bnJldi54bWxQSwECFAAUAAAACACHTuJADMfoiIMCAAAGBQAADgAA&#10;AAAAAAABACAAAAAoAQAAZHJzL2Uyb0RvYy54bWxQSwUGAAAAAAYABgBZAQAAHQYAAAAA&#10;" path="m0,54088l53118,54088,69532,0,85946,54088,139064,54088,96091,87516,112505,141604,69532,108175,26559,141604,42973,87516xe">
                <v:path o:connectlocs="69532,0;0,54088;26559,141604;112505,141604;139064,54088" o:connectangles="247,164,82,82,0"/>
                <v:fill on="t" focussize="0,0"/>
                <v:stroke color="#000000 [3213]" miterlimit="8" joinstyle="miter"/>
                <v:imagedata o:title=""/>
                <o:lock v:ext="edit" aspectratio="f"/>
              </v:shape>
            </w:pict>
          </mc:Fallback>
        </mc:AlternateContent>
      </w:r>
      <w:r>
        <w:rPr>
          <w:color w:val="000000" w:themeColor="text1"/>
          <w:sz w:val="32"/>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5770245</wp:posOffset>
                </wp:positionH>
                <wp:positionV relativeFrom="paragraph">
                  <wp:posOffset>2940685</wp:posOffset>
                </wp:positionV>
                <wp:extent cx="1087120" cy="422275"/>
                <wp:effectExtent l="107950" t="5080" r="5080" b="277495"/>
                <wp:wrapNone/>
                <wp:docPr id="292" name="圆角矩形标注 292"/>
                <wp:cNvGraphicFramePr/>
                <a:graphic xmlns:a="http://schemas.openxmlformats.org/drawingml/2006/main">
                  <a:graphicData uri="http://schemas.microsoft.com/office/word/2010/wordprocessingShape">
                    <wps:wsp>
                      <wps:cNvSpPr/>
                      <wps:spPr>
                        <a:xfrm>
                          <a:off x="4039870" y="1560195"/>
                          <a:ext cx="1087120" cy="422275"/>
                        </a:xfrm>
                        <a:prstGeom prst="wedgeRoundRectCallout">
                          <a:avLst>
                            <a:gd name="adj1" fmla="val -57710"/>
                            <a:gd name="adj2" fmla="val 110751"/>
                            <a:gd name="adj3" fmla="val 16667"/>
                          </a:avLst>
                        </a:prstGeom>
                        <a:solidFill>
                          <a:schemeClr val="bg1"/>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54.35pt;margin-top:231.55pt;height:33.25pt;width:85.6pt;z-index:251673600;v-text-anchor:middle;mso-width-relative:page;mso-height-relative:page;" fillcolor="#FFFFFF [3212]" filled="t" stroked="t" coordsize="21600,21600" o:gfxdata="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BO5aaT3QAAAAwBAAAPAAAAAAAAAAEAIAAAACIAAABkcnMvZG93bnJldi54bWxQ&#10;SwECFAAUAAAACACHTuJAeOIM2dYCAACiBQAADgAAAAAAAAABACAAAAAsAQAAZHJzL2Uyb0RvYy54&#10;bWxQSwUGAAAAAAYABgBZAQAAdAYAAAAA&#10;" adj="-1665,34722,14400">
                <v:fill on="t" focussize="0,0"/>
                <v:stroke color="#000000 [3213]" miterlimit="8" joinstyle="miter"/>
                <v:imagedata o:title=""/>
                <o:lock v:ext="edit" aspectratio="f"/>
                <v:textbox>
                  <w:txbxContent>
                    <w:p w14:paraId="123D9E7C">
                      <w:pPr>
                        <w:keepNext w:val="0"/>
                        <w:keepLines w:val="0"/>
                        <w:pageBreakBefore w:val="0"/>
                        <w:widowControl w:val="0"/>
                        <w:kinsoku/>
                        <w:wordWrap/>
                        <w:overflowPunct/>
                        <w:topLinePunct w:val="0"/>
                        <w:bidi w:val="0"/>
                        <w:adjustRightInd/>
                        <w:snapToGrid w:val="0"/>
                        <w:jc w:val="center"/>
                        <w:textAlignment w:val="auto"/>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7646670" cy="5318760"/>
            <wp:effectExtent l="28575" t="28575" r="40005" b="43815"/>
            <wp:docPr id="3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5"/>
                    <pic:cNvPicPr>
                      <a:picLocks noChangeAspect="1"/>
                    </pic:cNvPicPr>
                  </pic:nvPicPr>
                  <pic:blipFill>
                    <a:blip r:embed="rId37"/>
                    <a:stretch>
                      <a:fillRect/>
                    </a:stretch>
                  </pic:blipFill>
                  <pic:spPr>
                    <a:xfrm>
                      <a:off x="0" y="0"/>
                      <a:ext cx="7646670" cy="5318760"/>
                    </a:xfrm>
                    <a:prstGeom prst="rect">
                      <a:avLst/>
                    </a:prstGeom>
                    <a:noFill/>
                    <a:ln w="28575">
                      <a:solidFill>
                        <a:schemeClr val="tx1"/>
                      </a:solidFill>
                    </a:ln>
                  </pic:spPr>
                </pic:pic>
              </a:graphicData>
            </a:graphic>
          </wp:inline>
        </w:drawing>
      </w:r>
    </w:p>
    <w:p w14:paraId="4BC2A38A">
      <w:pPr>
        <w:kinsoku w:val="0"/>
        <w:overflowPunct w:val="0"/>
        <w:adjustRightInd w:val="0"/>
        <w:snapToGrid w:val="0"/>
        <w:ind w:firstLine="482" w:firstLineChars="200"/>
        <w:jc w:val="center"/>
        <w:outlineLvl w:val="0"/>
        <w:rPr>
          <w:b/>
          <w:bCs/>
          <w:color w:val="000000" w:themeColor="text1"/>
          <w:szCs w:val="22"/>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198" w:name="_Toc7414"/>
      <w:bookmarkStart w:id="199" w:name="_Toc8749"/>
      <w:bookmarkStart w:id="200" w:name="_Toc9577"/>
      <w:r>
        <w:rPr>
          <w:b/>
          <w:bCs/>
          <w:color w:val="000000" w:themeColor="text1"/>
          <w:szCs w:val="22"/>
          <w:highlight w:val="none"/>
          <w14:textFill>
            <w14:solidFill>
              <w14:schemeClr w14:val="tx1"/>
            </w14:solidFill>
          </w14:textFill>
        </w:rPr>
        <w:t>附图</w:t>
      </w:r>
      <w:r>
        <w:rPr>
          <w:rFonts w:hint="eastAsia"/>
          <w:b/>
          <w:bCs/>
          <w:color w:val="000000" w:themeColor="text1"/>
          <w:szCs w:val="22"/>
          <w:highlight w:val="none"/>
          <w14:textFill>
            <w14:solidFill>
              <w14:schemeClr w14:val="tx1"/>
            </w14:solidFill>
          </w14:textFill>
        </w:rPr>
        <w:t>6</w:t>
      </w:r>
      <w:r>
        <w:rPr>
          <w:b/>
          <w:bCs/>
          <w:color w:val="000000" w:themeColor="text1"/>
          <w:szCs w:val="22"/>
          <w:highlight w:val="none"/>
          <w14:textFill>
            <w14:solidFill>
              <w14:schemeClr w14:val="tx1"/>
            </w14:solidFill>
          </w14:textFill>
        </w:rPr>
        <w:t xml:space="preserve"> </w:t>
      </w:r>
      <w:bookmarkEnd w:id="198"/>
      <w:r>
        <w:rPr>
          <w:rFonts w:hint="eastAsia"/>
          <w:b/>
          <w:bCs/>
          <w:color w:val="000000" w:themeColor="text1"/>
          <w:szCs w:val="22"/>
          <w:highlight w:val="none"/>
          <w14:textFill>
            <w14:solidFill>
              <w14:schemeClr w14:val="tx1"/>
            </w14:solidFill>
          </w14:textFill>
        </w:rPr>
        <w:t>大气环境功能区划图</w:t>
      </w:r>
      <w:bookmarkEnd w:id="199"/>
      <w:bookmarkEnd w:id="200"/>
    </w:p>
    <w:p w14:paraId="52D3BF6B">
      <w:pPr>
        <w:kinsoku w:val="0"/>
        <w:overflowPunct w:val="0"/>
        <w:adjustRightInd w:val="0"/>
        <w:snapToGrid w:val="0"/>
        <w:ind w:firstLine="480" w:firstLineChars="20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5824855</wp:posOffset>
                </wp:positionH>
                <wp:positionV relativeFrom="paragraph">
                  <wp:posOffset>3559810</wp:posOffset>
                </wp:positionV>
                <wp:extent cx="161290" cy="154305"/>
                <wp:effectExtent l="19685" t="20955" r="28575" b="34290"/>
                <wp:wrapNone/>
                <wp:docPr id="314" name="五角星 314"/>
                <wp:cNvGraphicFramePr/>
                <a:graphic xmlns:a="http://schemas.openxmlformats.org/drawingml/2006/main">
                  <a:graphicData uri="http://schemas.microsoft.com/office/word/2010/wordprocessingShape">
                    <wps:wsp>
                      <wps:cNvSpPr/>
                      <wps:spPr>
                        <a:xfrm>
                          <a:off x="0" y="0"/>
                          <a:ext cx="161290" cy="15430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0B261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8.65pt;margin-top:280.3pt;height:12.15pt;width:12.7pt;z-index:251684864;v-text-anchor:middle;mso-width-relative:page;mso-height-relative:page;" fillcolor="#FF0000" filled="t" stroked="t" coordsize="161290,154305" o:gfxdata="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NpjSAPdAAAACwEAAA8AAAAAAAAA&#10;AQAgAAAAIgAAAGRycy9kb3ducmV2LnhtbFBLAQIUABQAAAAIAIdO4kDLzc5CfgIAAAYFAAAOAAAA&#10;AAAAAAEAIAAAACwBAABkcnMvZTJvRG9jLnhtbFBLBQYAAAAABgAGAFkBAAAcBgAAAAA=&#10;" path="m0,58939l61607,58939,80645,0,99682,58939,161289,58939,111448,95365,130486,154304,80645,117877,30803,154304,49841,95365xe">
                <v:path textboxrect="0,0,161290,154305" o:connectlocs="80645,0;0,58939;30803,154304;130486,154304;161289,58939" o:connectangles="247,164,82,82,0"/>
                <v:fill on="t" focussize="0,0"/>
                <v:stroke weight="1pt" color="#000000 [3213]" miterlimit="8" joinstyle="miter"/>
                <v:imagedata o:title=""/>
                <o:lock v:ext="edit" aspectratio="f"/>
                <v:textbox>
                  <w:txbxContent>
                    <w:p w14:paraId="320B2617">
                      <w:pPr>
                        <w:jc w:val="center"/>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5936615</wp:posOffset>
                </wp:positionH>
                <wp:positionV relativeFrom="paragraph">
                  <wp:posOffset>852170</wp:posOffset>
                </wp:positionV>
                <wp:extent cx="219075" cy="209550"/>
                <wp:effectExtent l="19685" t="20955" r="27940" b="17145"/>
                <wp:wrapNone/>
                <wp:docPr id="313" name="五角星 313"/>
                <wp:cNvGraphicFramePr/>
                <a:graphic xmlns:a="http://schemas.openxmlformats.org/drawingml/2006/main">
                  <a:graphicData uri="http://schemas.microsoft.com/office/word/2010/wordprocessingShape">
                    <wps:wsp>
                      <wps:cNvSpPr/>
                      <wps:spPr>
                        <a:xfrm>
                          <a:off x="6902450" y="1977390"/>
                          <a:ext cx="219075" cy="2095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82C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7.45pt;margin-top:67.1pt;height:16.5pt;width:17.25pt;z-index:251683840;v-text-anchor:middle;mso-width-relative:page;mso-height-relative:page;" fillcolor="#FF0000" filled="t" stroked="t" coordsize="219075,209550" o:gfxdata="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LLDzzPZAAAACwEA&#10;AA8AAAAAAAAAAQAgAAAAIgAAAGRycy9kb3ducmV2LnhtbFBLAQIUABQAAAAIAIdO4kBzi/8qiwIA&#10;ABIFAAAOAAAAAAAAAAEAIAAAACgBAABkcnMvZTJvRG9jLnhtbFBLBQYAAAAABgAGAFkBAAAlBgAA&#10;AAA=&#10;" path="m0,80040l83679,80041,109537,0,135395,80041,219074,80040,151376,129508,177235,209549,109537,160080,41839,209549,67698,129508xe">
                <v:path textboxrect="0,0,219075,209550" o:connectlocs="109537,0;0,80040;41839,209549;177235,209549;219074,80040" o:connectangles="247,164,82,82,0"/>
                <v:fill on="t" focussize="0,0"/>
                <v:stroke weight="1pt" color="#000000 [3213]" miterlimit="8" joinstyle="miter"/>
                <v:imagedata o:title=""/>
                <o:lock v:ext="edit" aspectratio="f"/>
                <v:textbox>
                  <w:txbxContent>
                    <w:p w14:paraId="3D82CA96">
                      <w:pPr>
                        <w:jc w:val="center"/>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4161790</wp:posOffset>
                </wp:positionH>
                <wp:positionV relativeFrom="paragraph">
                  <wp:posOffset>3081655</wp:posOffset>
                </wp:positionV>
                <wp:extent cx="1276350" cy="589915"/>
                <wp:effectExtent l="13970" t="13970" r="462280" b="24765"/>
                <wp:wrapNone/>
                <wp:docPr id="317" name="圆角矩形标注 317"/>
                <wp:cNvGraphicFramePr/>
                <a:graphic xmlns:a="http://schemas.openxmlformats.org/drawingml/2006/main">
                  <a:graphicData uri="http://schemas.microsoft.com/office/word/2010/wordprocessingShape">
                    <wps:wsp>
                      <wps:cNvSpPr/>
                      <wps:spPr>
                        <a:xfrm>
                          <a:off x="0" y="0"/>
                          <a:ext cx="1276350"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E7192A9">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7.7pt;margin-top:242.65pt;height:46.45pt;width:100.5pt;z-index:251687936;v-text-anchor:middle;mso-width-relative:page;mso-height-relative:page;" fillcolor="#FFFFFF [3212]" filled="t" stroked="t" coordsize="21600,21600" o:gfxdata="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CJkct&#10;3AAAAAsBAAAPAAAAAAAAAAEAIAAAACIAAABkcnMvZG93bnJldi54bWxQSwECFAAUAAAACACHTuJA&#10;QPV/KMgCAACVBQAADgAAAAAAAAABACAAAAArAQAAZHJzL2Uyb0RvYy54bWxQSwUGAAAAAAYABgBZ&#10;AQAAZQYAAAAA&#10;" adj="27904,19283,14400">
                <v:fill on="t" focussize="0,0"/>
                <v:stroke weight="2.25pt" color="#000000 [3213]" miterlimit="8" joinstyle="miter"/>
                <v:imagedata o:title=""/>
                <o:lock v:ext="edit" aspectratio="f"/>
                <v:textbox>
                  <w:txbxContent>
                    <w:p w14:paraId="1E7192A9">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4067810</wp:posOffset>
                </wp:positionH>
                <wp:positionV relativeFrom="paragraph">
                  <wp:posOffset>823595</wp:posOffset>
                </wp:positionV>
                <wp:extent cx="1276350" cy="589915"/>
                <wp:effectExtent l="13970" t="13970" r="633730" b="24765"/>
                <wp:wrapNone/>
                <wp:docPr id="315" name="圆角矩形标注 315"/>
                <wp:cNvGraphicFramePr/>
                <a:graphic xmlns:a="http://schemas.openxmlformats.org/drawingml/2006/main">
                  <a:graphicData uri="http://schemas.microsoft.com/office/word/2010/wordprocessingShape">
                    <wps:wsp>
                      <wps:cNvSpPr/>
                      <wps:spPr>
                        <a:xfrm>
                          <a:off x="0" y="0"/>
                          <a:ext cx="1276350" cy="589915"/>
                        </a:xfrm>
                        <a:prstGeom prst="wedgeRoundRectCallout">
                          <a:avLst>
                            <a:gd name="adj1" fmla="val 90398"/>
                            <a:gd name="adj2" fmla="val -24273"/>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3pt;margin-top:64.85pt;height:46.45pt;width:100.5pt;z-index:251685888;v-text-anchor:middle;mso-width-relative:page;mso-height-relative:page;" fillcolor="#FFFFFF [3212]" filled="t" stroked="t" coordsize="21600,21600" o:gfxdata="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DcaDSzYAAAACwEA&#10;AA8AAAAAAAAAAQAgAAAAIgAAAGRycy9kb3ducmV2LnhtbFBLAQIUABQAAAAIAIdO4kCzBh32xQIA&#10;AJYFAAAOAAAAAAAAAAEAIAAAACcBAABkcnMvZTJvRG9jLnhtbFBLBQYAAAAABgAGAFkBAABeBgAA&#10;AAA=&#10;" adj="30326,5557,14400">
                <v:fill on="t" focussize="0,0"/>
                <v:stroke weight="2.25pt" color="#000000 [3213]" miterlimit="8" joinstyle="miter"/>
                <v:imagedata o:title=""/>
                <o:lock v:ext="edit" aspectratio="f"/>
                <v:textbox>
                  <w:txbxContent>
                    <w:p w14:paraId="74BDA57C">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5900420</wp:posOffset>
                </wp:positionH>
                <wp:positionV relativeFrom="paragraph">
                  <wp:posOffset>2379345</wp:posOffset>
                </wp:positionV>
                <wp:extent cx="5080" cy="1180465"/>
                <wp:effectExtent l="59690" t="0" r="68580" b="635"/>
                <wp:wrapNone/>
                <wp:docPr id="316" name="直接箭头连接符 316"/>
                <wp:cNvGraphicFramePr/>
                <a:graphic xmlns:a="http://schemas.openxmlformats.org/drawingml/2006/main">
                  <a:graphicData uri="http://schemas.microsoft.com/office/word/2010/wordprocessingShape">
                    <wps:wsp>
                      <wps:cNvCnPr>
                        <a:endCxn id="314" idx="0"/>
                      </wps:cNvCnPr>
                      <wps:spPr>
                        <a:xfrm>
                          <a:off x="6850380" y="3279140"/>
                          <a:ext cx="5080" cy="118046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64.6pt;margin-top:187.35pt;height:92.95pt;width:0.4pt;z-index:251686912;mso-width-relative:page;mso-height-relative:page;" filled="f" stroked="t" coordsize="21600,21600" o:gfxdata="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4FDgjYAAAACwEAAA8AAAAAAAAAAQAgAAAAIgAAAGRycy9kb3ducmV2LnhtbFBLAQIUABQAAAAI&#10;AIdO4kBbClkuJgIAABsEAAAOAAAAAAAAAAEAIAAAACcBAABkcnMvZTJvRG9jLnhtbFBLBQYAAAAA&#10;BgAGAFkBAAC/BQAAAAA=&#10;">
                <v:fill on="f" focussize="0,0"/>
                <v:stroke weight="2.25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682816" behindDoc="0" locked="0" layoutInCell="1" allowOverlap="1">
            <wp:simplePos x="0" y="0"/>
            <wp:positionH relativeFrom="column">
              <wp:posOffset>4533265</wp:posOffset>
            </wp:positionH>
            <wp:positionV relativeFrom="paragraph">
              <wp:posOffset>360045</wp:posOffset>
            </wp:positionV>
            <wp:extent cx="2734310" cy="2019300"/>
            <wp:effectExtent l="28575" t="28575" r="37465" b="28575"/>
            <wp:wrapNone/>
            <wp:docPr id="3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7"/>
                    <pic:cNvPicPr>
                      <a:picLocks noChangeAspect="1"/>
                    </pic:cNvPicPr>
                  </pic:nvPicPr>
                  <pic:blipFill>
                    <a:blip r:embed="rId38"/>
                    <a:stretch>
                      <a:fillRect/>
                    </a:stretch>
                  </pic:blipFill>
                  <pic:spPr>
                    <a:xfrm>
                      <a:off x="0" y="0"/>
                      <a:ext cx="2734310" cy="2019300"/>
                    </a:xfrm>
                    <a:prstGeom prst="rect">
                      <a:avLst/>
                    </a:prstGeom>
                    <a:noFill/>
                    <a:ln w="28575">
                      <a:solidFill>
                        <a:schemeClr val="tx1"/>
                      </a:solidFill>
                    </a:ln>
                  </pic:spPr>
                </pic:pic>
              </a:graphicData>
            </a:graphic>
          </wp:anchor>
        </w:drawing>
      </w:r>
      <w:r>
        <w:rPr>
          <w:color w:val="000000" w:themeColor="text1"/>
          <w:highlight w:val="none"/>
          <w14:textFill>
            <w14:solidFill>
              <w14:schemeClr w14:val="tx1"/>
            </w14:solidFill>
          </w14:textFill>
        </w:rPr>
        <w:drawing>
          <wp:inline distT="0" distB="0" distL="114300" distR="114300">
            <wp:extent cx="7670800" cy="5344795"/>
            <wp:effectExtent l="28575" t="28575" r="34925" b="36830"/>
            <wp:docPr id="3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6"/>
                    <pic:cNvPicPr>
                      <a:picLocks noChangeAspect="1"/>
                    </pic:cNvPicPr>
                  </pic:nvPicPr>
                  <pic:blipFill>
                    <a:blip r:embed="rId39"/>
                    <a:stretch>
                      <a:fillRect/>
                    </a:stretch>
                  </pic:blipFill>
                  <pic:spPr>
                    <a:xfrm>
                      <a:off x="0" y="0"/>
                      <a:ext cx="7670800" cy="5344795"/>
                    </a:xfrm>
                    <a:prstGeom prst="rect">
                      <a:avLst/>
                    </a:prstGeom>
                    <a:noFill/>
                    <a:ln w="28575">
                      <a:solidFill>
                        <a:schemeClr val="tx1"/>
                      </a:solidFill>
                    </a:ln>
                  </pic:spPr>
                </pic:pic>
              </a:graphicData>
            </a:graphic>
          </wp:inline>
        </w:drawing>
      </w:r>
    </w:p>
    <w:p w14:paraId="2C18EAB3">
      <w:pPr>
        <w:kinsoku w:val="0"/>
        <w:overflowPunct w:val="0"/>
        <w:adjustRightInd w:val="0"/>
        <w:snapToGrid w:val="0"/>
        <w:ind w:firstLine="482" w:firstLineChars="200"/>
        <w:jc w:val="center"/>
        <w:outlineLvl w:val="0"/>
        <w:rPr>
          <w:rFonts w:hint="default" w:ascii="Times New Roman" w:hAnsi="Times New Roman" w:cs="Times New Roman"/>
          <w:b/>
          <w:bCs/>
          <w:color w:val="000000" w:themeColor="text1"/>
          <w:szCs w:val="22"/>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1" w:name="_Toc3229"/>
      <w:bookmarkStart w:id="202" w:name="_Toc4489"/>
      <w:bookmarkStart w:id="203" w:name="_Toc1410"/>
      <w:r>
        <w:rPr>
          <w:rFonts w:hint="default" w:ascii="Times New Roman" w:hAnsi="Times New Roman" w:cs="Times New Roman"/>
          <w:b/>
          <w:bCs/>
          <w:color w:val="000000" w:themeColor="text1"/>
          <w:szCs w:val="22"/>
          <w:highlight w:val="none"/>
          <w14:textFill>
            <w14:solidFill>
              <w14:schemeClr w14:val="tx1"/>
            </w14:solidFill>
          </w14:textFill>
        </w:rPr>
        <w:t xml:space="preserve">附图7 </w:t>
      </w:r>
      <w:bookmarkEnd w:id="201"/>
      <w:r>
        <w:rPr>
          <w:rFonts w:hint="default" w:ascii="Times New Roman" w:hAnsi="Times New Roman" w:cs="Times New Roman"/>
          <w:b/>
          <w:bCs/>
          <w:color w:val="000000" w:themeColor="text1"/>
          <w:szCs w:val="22"/>
          <w:highlight w:val="none"/>
          <w14:textFill>
            <w14:solidFill>
              <w14:schemeClr w14:val="tx1"/>
            </w14:solidFill>
          </w14:textFill>
        </w:rPr>
        <w:t>水环境功能区划图</w:t>
      </w:r>
      <w:bookmarkEnd w:id="202"/>
      <w:bookmarkEnd w:id="203"/>
    </w:p>
    <w:p w14:paraId="5B395812">
      <w:pPr>
        <w:pStyle w:val="44"/>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5909945</wp:posOffset>
                </wp:positionH>
                <wp:positionV relativeFrom="paragraph">
                  <wp:posOffset>522605</wp:posOffset>
                </wp:positionV>
                <wp:extent cx="233045" cy="186690"/>
                <wp:effectExtent l="22225" t="17780" r="30480" b="24130"/>
                <wp:wrapNone/>
                <wp:docPr id="301" name="五角星 301"/>
                <wp:cNvGraphicFramePr/>
                <a:graphic xmlns:a="http://schemas.openxmlformats.org/drawingml/2006/main">
                  <a:graphicData uri="http://schemas.microsoft.com/office/word/2010/wordprocessingShape">
                    <wps:wsp>
                      <wps:cNvSpPr/>
                      <wps:spPr>
                        <a:xfrm>
                          <a:off x="0" y="0"/>
                          <a:ext cx="233045" cy="18669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5.35pt;margin-top:41.15pt;height:14.7pt;width:18.35pt;z-index:251676672;v-text-anchor:middle;mso-width-relative:page;mso-height-relative:page;" fillcolor="#FF0000" filled="t" stroked="t" coordsize="233045,186690" o:gfxdata="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dWL69kAAAAKAQAADwAAAAAAAAABACAAAAAiAAAA&#10;ZHJzL2Rvd25yZXYueG1sUEsBAhQAFAAAAAgAh07iQEucDgR4AgAA+wQAAA4AAAAAAAAAAQAgAAAA&#10;KAEAAGRycy9lMm9Eb2MueG1sUEsFBgAAAAAGAAYAWQEAABIGAAAAAA==&#10;" path="m0,71309l89015,71309,116522,0,144029,71309,233044,71309,161029,115380,188537,186689,116522,142617,44507,186689,72015,115380xe">
                <v:path o:connectlocs="116522,0;0,71309;44507,186689;188537,186689;233044,71309" o:connectangles="247,164,82,82,0"/>
                <v:fill on="t" focussize="0,0"/>
                <v:stroke weight="1pt" color="#000000 [3213]"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4099560</wp:posOffset>
                </wp:positionH>
                <wp:positionV relativeFrom="paragraph">
                  <wp:posOffset>3068955</wp:posOffset>
                </wp:positionV>
                <wp:extent cx="1181735" cy="589915"/>
                <wp:effectExtent l="13970" t="13970" r="423545" b="24765"/>
                <wp:wrapNone/>
                <wp:docPr id="303" name="圆角矩形标注 303"/>
                <wp:cNvGraphicFramePr/>
                <a:graphic xmlns:a="http://schemas.openxmlformats.org/drawingml/2006/main">
                  <a:graphicData uri="http://schemas.microsoft.com/office/word/2010/wordprocessingShape">
                    <wps:wsp>
                      <wps:cNvSpPr/>
                      <wps:spPr>
                        <a:xfrm>
                          <a:off x="0" y="0"/>
                          <a:ext cx="118173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85B6DD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2.8pt;margin-top:241.65pt;height:46.45pt;width:93.05pt;z-index:251678720;v-text-anchor:middle;mso-width-relative:page;mso-height-relative:page;" fillcolor="#FFFFFF [3212]" filled="t" stroked="t" coordsize="21600,21600" o:gfxdata="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O/K3&#10;FNwAAAALAQAADwAAAAAAAAABACAAAAAiAAAAZHJzL2Rvd25yZXYueG1sUEsBAhQAFAAAAAgAh07i&#10;QAk9oxTJAgAAlQUAAA4AAAAAAAAAAQAgAAAAKwEAAGRycy9lMm9Eb2MueG1sUEsFBgAAAAAGAAYA&#10;WQEAAGYGAAAAAA==&#10;" adj="27904,19283,14400">
                <v:fill on="t" focussize="0,0"/>
                <v:stroke weight="2.25pt" color="#000000 [3213]" miterlimit="8" joinstyle="miter"/>
                <v:imagedata o:title=""/>
                <o:lock v:ext="edit" aspectratio="f"/>
                <v:textbox>
                  <w:txbxContent>
                    <w:p w14:paraId="785B6DD7">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5659120</wp:posOffset>
                </wp:positionH>
                <wp:positionV relativeFrom="paragraph">
                  <wp:posOffset>3535045</wp:posOffset>
                </wp:positionV>
                <wp:extent cx="159385" cy="152400"/>
                <wp:effectExtent l="19685" t="20955" r="30480" b="17145"/>
                <wp:wrapNone/>
                <wp:docPr id="295" name="五角星 295"/>
                <wp:cNvGraphicFramePr/>
                <a:graphic xmlns:a="http://schemas.openxmlformats.org/drawingml/2006/main">
                  <a:graphicData uri="http://schemas.microsoft.com/office/word/2010/wordprocessingShape">
                    <wps:wsp>
                      <wps:cNvSpPr/>
                      <wps:spPr>
                        <a:xfrm>
                          <a:off x="7077075" y="1751965"/>
                          <a:ext cx="159385" cy="1524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59169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5.6pt;margin-top:278.35pt;height:12pt;width:12.55pt;z-index:251674624;v-text-anchor:middle;mso-width-relative:page;mso-height-relative:page;" fillcolor="#FF0000" filled="t" stroked="t" coordsize="159385,152400" o:gfxdata="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ZRV+8dsAAAAL&#10;AQAADwAAAAAAAAABACAAAAAiAAAAZHJzL2Rvd25yZXYueG1sUEsBAhQAFAAAAAgAh07iQOsQV7SL&#10;AgAAEgUAAA4AAAAAAAAAAQAgAAAAKgEAAGRycy9lMm9Eb2MueG1sUEsFBgAAAAAGAAYAWQEAACcG&#10;AAAAAA==&#10;" path="m0,58211l60879,58211,79692,0,98505,58211,159384,58211,110131,94187,128945,152399,79692,116422,30439,152399,49253,94187xe">
                <v:path textboxrect="0,0,159385,152400" o:connectlocs="79692,0;0,58211;30439,152399;128945,152399;159384,58211" o:connectangles="247,164,82,82,0"/>
                <v:fill on="t" focussize="0,0"/>
                <v:stroke weight="1pt" color="#000000 [3213]" miterlimit="8" joinstyle="miter"/>
                <v:imagedata o:title=""/>
                <o:lock v:ext="edit" aspectratio="f"/>
                <v:textbox>
                  <w:txbxContent>
                    <w:p w14:paraId="3359169A">
                      <w:pPr>
                        <w:jc w:val="center"/>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5739130</wp:posOffset>
                </wp:positionH>
                <wp:positionV relativeFrom="paragraph">
                  <wp:posOffset>2268220</wp:posOffset>
                </wp:positionV>
                <wp:extent cx="207645" cy="1266825"/>
                <wp:effectExtent l="45085" t="2540" r="13970" b="6985"/>
                <wp:wrapNone/>
                <wp:docPr id="302" name="直接箭头连接符 302"/>
                <wp:cNvGraphicFramePr/>
                <a:graphic xmlns:a="http://schemas.openxmlformats.org/drawingml/2006/main">
                  <a:graphicData uri="http://schemas.microsoft.com/office/word/2010/wordprocessingShape">
                    <wps:wsp>
                      <wps:cNvCnPr>
                        <a:endCxn id="295" idx="0"/>
                      </wps:cNvCnPr>
                      <wps:spPr>
                        <a:xfrm flipH="1">
                          <a:off x="6697345" y="3049270"/>
                          <a:ext cx="207645" cy="126682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1.9pt;margin-top:178.6pt;height:99.75pt;width:16.35pt;z-index:251677696;mso-width-relative:page;mso-height-relative:page;" filled="f" stroked="t" coordsize="21600,21600" o:gfxdata="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tReyNkAAAALAQAADwAAAAAAAAABACAAAAAiAAAAZHJzL2Rvd25yZXYueG1sUEsB&#10;AhQAFAAAAAgAh07iQIcIslstAgAAJwQAAA4AAAAAAAAAAQAgAAAAKAEAAGRycy9lMm9Eb2MueG1s&#10;UEsFBgAAAAAGAAYAWQEAAMcFAAAAAA==&#10;">
                <v:fill on="f" focussize="0,0"/>
                <v:stroke weight="2.25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4146550</wp:posOffset>
                </wp:positionH>
                <wp:positionV relativeFrom="paragraph">
                  <wp:posOffset>491490</wp:posOffset>
                </wp:positionV>
                <wp:extent cx="1276350" cy="589915"/>
                <wp:effectExtent l="13970" t="13970" r="538480" b="24765"/>
                <wp:wrapNone/>
                <wp:docPr id="297" name="圆角矩形标注 297"/>
                <wp:cNvGraphicFramePr/>
                <a:graphic xmlns:a="http://schemas.openxmlformats.org/drawingml/2006/main">
                  <a:graphicData uri="http://schemas.microsoft.com/office/word/2010/wordprocessingShape">
                    <wps:wsp>
                      <wps:cNvSpPr/>
                      <wps:spPr>
                        <a:xfrm>
                          <a:off x="5388610" y="1444625"/>
                          <a:ext cx="1276350" cy="589915"/>
                        </a:xfrm>
                        <a:prstGeom prst="wedgeRoundRectCallout">
                          <a:avLst>
                            <a:gd name="adj1" fmla="val 83980"/>
                            <a:gd name="adj2" fmla="val -31162"/>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3953F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6.5pt;margin-top:38.7pt;height:46.45pt;width:100.5pt;z-index:251675648;v-text-anchor:middle;mso-width-relative:page;mso-height-relative:page;" fillcolor="#FFFFFF [3212]" filled="t" stroked="t" coordsize="21600,21600" o:gfxdata="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Kh2dUXZAAAACgEAAA8AAAAAAAAAAQAgAAAAIgAAAGRycy9kb3ducmV2LnhtbFBLAQIU&#10;ABQAAAAIAIdO4kDnBJ6a1gIAAKIFAAAOAAAAAAAAAAEAIAAAACgBAABkcnMvZTJvRG9jLnhtbFBL&#10;BQYAAAAABgAGAFkBAABwBgAAAAA=&#10;" adj="28940,4069,14400">
                <v:fill on="t" focussize="0,0"/>
                <v:stroke weight="2.25pt" color="#000000 [3213]" miterlimit="8" joinstyle="miter"/>
                <v:imagedata o:title=""/>
                <o:lock v:ext="edit" aspectratio="f"/>
                <v:textbox>
                  <w:txbxContent>
                    <w:p w14:paraId="0C3953F2">
                      <w:pPr>
                        <w:jc w:val="center"/>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62336" behindDoc="0" locked="0" layoutInCell="1" allowOverlap="1">
            <wp:simplePos x="0" y="0"/>
            <wp:positionH relativeFrom="column">
              <wp:posOffset>4425950</wp:posOffset>
            </wp:positionH>
            <wp:positionV relativeFrom="paragraph">
              <wp:posOffset>333375</wp:posOffset>
            </wp:positionV>
            <wp:extent cx="2755900" cy="1914525"/>
            <wp:effectExtent l="28575" t="28575" r="34925" b="38100"/>
            <wp:wrapNone/>
            <wp:docPr id="3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4"/>
                    <pic:cNvPicPr>
                      <a:picLocks noChangeAspect="1"/>
                    </pic:cNvPicPr>
                  </pic:nvPicPr>
                  <pic:blipFill>
                    <a:blip r:embed="rId40"/>
                    <a:stretch>
                      <a:fillRect/>
                    </a:stretch>
                  </pic:blipFill>
                  <pic:spPr>
                    <a:xfrm>
                      <a:off x="0" y="0"/>
                      <a:ext cx="2755900" cy="1914525"/>
                    </a:xfrm>
                    <a:prstGeom prst="rect">
                      <a:avLst/>
                    </a:prstGeom>
                    <a:noFill/>
                    <a:ln w="28575">
                      <a:solidFill>
                        <a:schemeClr val="tx1"/>
                      </a:solidFill>
                    </a:ln>
                  </pic:spPr>
                </pic:pic>
              </a:graphicData>
            </a:graphic>
          </wp:anchor>
        </w:drawing>
      </w:r>
      <w:r>
        <w:rPr>
          <w:color w:val="000000" w:themeColor="text1"/>
          <w:highlight w:val="none"/>
          <w14:textFill>
            <w14:solidFill>
              <w14:schemeClr w14:val="tx1"/>
            </w14:solidFill>
          </w14:textFill>
        </w:rPr>
        <w:drawing>
          <wp:inline distT="0" distB="0" distL="114300" distR="114300">
            <wp:extent cx="7590155" cy="5273040"/>
            <wp:effectExtent l="28575" t="9525" r="39370" b="32385"/>
            <wp:docPr id="3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3"/>
                    <pic:cNvPicPr>
                      <a:picLocks noChangeAspect="1"/>
                    </pic:cNvPicPr>
                  </pic:nvPicPr>
                  <pic:blipFill>
                    <a:blip r:embed="rId41"/>
                    <a:stretch>
                      <a:fillRect/>
                    </a:stretch>
                  </pic:blipFill>
                  <pic:spPr>
                    <a:xfrm>
                      <a:off x="0" y="0"/>
                      <a:ext cx="7590155" cy="5273040"/>
                    </a:xfrm>
                    <a:prstGeom prst="rect">
                      <a:avLst/>
                    </a:prstGeom>
                    <a:noFill/>
                    <a:ln w="28575">
                      <a:solidFill>
                        <a:schemeClr val="tx1"/>
                      </a:solidFill>
                    </a:ln>
                  </pic:spPr>
                </pic:pic>
              </a:graphicData>
            </a:graphic>
          </wp:inline>
        </w:drawing>
      </w:r>
    </w:p>
    <w:p w14:paraId="1336E135">
      <w:pPr>
        <w:pStyle w:val="44"/>
        <w:jc w:val="center"/>
        <w:outlineLvl w:val="0"/>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4" w:name="_Toc4826"/>
      <w:bookmarkStart w:id="205" w:name="_Toc16764"/>
      <w:r>
        <w:rPr>
          <w:rFonts w:hint="default" w:ascii="Times New Roman" w:hAnsi="Times New Roman" w:cs="Times New Roman"/>
          <w:b/>
          <w:bCs/>
          <w:color w:val="000000" w:themeColor="text1"/>
          <w:szCs w:val="22"/>
          <w:highlight w:val="none"/>
          <w14:textFill>
            <w14:solidFill>
              <w14:schemeClr w14:val="tx1"/>
            </w14:solidFill>
          </w14:textFill>
        </w:rPr>
        <w:t xml:space="preserve">附图8 </w: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06" name="圆角矩形标注 306"/>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81792;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BIZfA&#10;2wAAAAsBAAAPAAAAAAAAAAEAIAAAACIAAABkcnMvZG93bnJldi54bWxQSwECFAAUAAAACACHTuJA&#10;RLZNyckCAACVBQAADgAAAAAAAAABACAAAAAqAQAAZHJzL2Uyb0RvYy54bWxQSwUGAAAAAAYABgBZ&#10;AQAAZQYAAAAA&#10;" adj="27904,19283,14400">
                <v:fill on="t" focussize="0,0"/>
                <v:stroke weight="2.25pt" color="#000000 [3213]" miterlimit="8" joinstyle="miter"/>
                <v:imagedata o:title=""/>
                <o:lock v:ext="edit" aspectratio="f"/>
                <v:textbox>
                  <w:txbxContent>
                    <w:p w14:paraId="25B042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07" name="直接箭头连接符 307"/>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80768;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i&#10;7gCT2gAAAAsBAAAPAAAAAAAAAAEAIAAAACIAAABkcnMvZG93bnJldi54bWxQSwECFAAUAAAACACH&#10;TuJA0dQrKyICAAD+AwAADgAAAAAAAAABACAAAAApAQAAZHJzL2Uyb0RvYy54bWxQSwUGAAAAAAYA&#10;BgBZAQAAvQU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08" name="五角星 308"/>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79744;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Ko9dod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000000" w:themeColor="text1"/>
          <w:szCs w:val="22"/>
          <w:highlight w:val="none"/>
          <w14:textFill>
            <w14:solidFill>
              <w14:schemeClr w14:val="tx1"/>
            </w14:solidFill>
          </w14:textFill>
        </w:rPr>
        <w:t>生态红线分布图</w:t>
      </w:r>
      <w:bookmarkEnd w:id="204"/>
      <w:bookmarkEnd w:id="205"/>
    </w:p>
    <w:p w14:paraId="35138656">
      <w:pPr>
        <w:pStyle w:val="44"/>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5673725</wp:posOffset>
                </wp:positionH>
                <wp:positionV relativeFrom="paragraph">
                  <wp:posOffset>3526790</wp:posOffset>
                </wp:positionV>
                <wp:extent cx="180975" cy="167640"/>
                <wp:effectExtent l="19685" t="20320" r="27940" b="21590"/>
                <wp:wrapNone/>
                <wp:docPr id="324" name="五角星 324"/>
                <wp:cNvGraphicFramePr/>
                <a:graphic xmlns:a="http://schemas.openxmlformats.org/drawingml/2006/main">
                  <a:graphicData uri="http://schemas.microsoft.com/office/word/2010/wordprocessingShape">
                    <wps:wsp>
                      <wps:cNvSpPr/>
                      <wps:spPr>
                        <a:xfrm>
                          <a:off x="0" y="0"/>
                          <a:ext cx="180975" cy="16764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0CF766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75pt;margin-top:277.7pt;height:13.2pt;width:14.25pt;z-index:251694080;v-text-anchor:middle;mso-width-relative:page;mso-height-relative:page;" fillcolor="#FF0000" filled="t" stroked="t" coordsize="180975,167640" o:gfxdata="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VgfJK2QAAAAsBAAAPAAAAAAAAAAEA&#10;IAAAACIAAABkcnMvZG93bnJldi54bWxQSwECFAAUAAAACACHTuJANcGxfoACAAAGBQAADgAAAAAA&#10;AAABACAAAAAoAQAAZHJzL2Uyb0RvYy54bWxQSwUGAAAAAAYABgBZAQAAGgYAAAAA&#10;" path="m0,64032l69126,64033,90487,0,111848,64033,180974,64032,125050,103606,146411,167639,90487,128064,34563,167639,55924,103606xe">
                <v:path textboxrect="0,0,180975,167640" o:connectlocs="90487,0;0,64032;34563,167639;146411,167639;180974,64032" o:connectangles="247,164,82,82,0"/>
                <v:fill on="t" focussize="0,0"/>
                <v:stroke weight="1pt" color="#000000 [3213]" miterlimit="8" joinstyle="miter"/>
                <v:imagedata o:title=""/>
                <o:lock v:ext="edit" aspectratio="f"/>
                <v:textbox>
                  <w:txbxContent>
                    <w:p w14:paraId="10CF7668">
                      <w:pPr>
                        <w:jc w:val="center"/>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3756025</wp:posOffset>
                </wp:positionH>
                <wp:positionV relativeFrom="paragraph">
                  <wp:posOffset>765810</wp:posOffset>
                </wp:positionV>
                <wp:extent cx="251460" cy="254000"/>
                <wp:effectExtent l="18415" t="21590" r="34925" b="29210"/>
                <wp:wrapNone/>
                <wp:docPr id="323" name="五角星 323"/>
                <wp:cNvGraphicFramePr/>
                <a:graphic xmlns:a="http://schemas.openxmlformats.org/drawingml/2006/main">
                  <a:graphicData uri="http://schemas.microsoft.com/office/word/2010/wordprocessingShape">
                    <wps:wsp>
                      <wps:cNvSpPr/>
                      <wps:spPr>
                        <a:xfrm>
                          <a:off x="0" y="0"/>
                          <a:ext cx="251460" cy="25400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5BA7A9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5.75pt;margin-top:60.3pt;height:20pt;width:19.8pt;z-index:251693056;v-text-anchor:middle;mso-width-relative:page;mso-height-relative:page;" fillcolor="#FF0000" filled="t" stroked="t" coordsize="251460,254000" o:gfxdata="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ze3yHYAAAACwEAAA8AAAAAAAAAAQAgAAAA&#10;IgAAAGRycy9kb3ducmV2LnhtbFBLAQIUABQAAAAIAIdO4kAtLCQNfQIAAAYFAAAOAAAAAAAAAAEA&#10;IAAAACcBAABkcnMvZTJvRG9jLnhtbFBLBQYAAAAABgAGAFkBAAAWBgAAAAA=&#10;" path="m0,97019l96049,97019,125730,0,155410,97019,251459,97019,173753,156979,203435,253999,125730,194037,48024,253999,77706,156979xe">
                <v:path textboxrect="0,0,251460,254000" o:connectlocs="125730,0;0,97019;48024,253999;203435,253999;251459,97019" o:connectangles="247,164,82,82,0"/>
                <v:fill on="t" focussize="0,0"/>
                <v:stroke weight="1pt" color="#000000 [3213]" miterlimit="8" joinstyle="miter"/>
                <v:imagedata o:title=""/>
                <o:lock v:ext="edit" aspectratio="f"/>
                <v:textbox>
                  <w:txbxContent>
                    <w:p w14:paraId="25BA7A96">
                      <w:pPr>
                        <w:jc w:val="center"/>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5887720</wp:posOffset>
                </wp:positionH>
                <wp:positionV relativeFrom="paragraph">
                  <wp:posOffset>2799715</wp:posOffset>
                </wp:positionV>
                <wp:extent cx="1276350" cy="533400"/>
                <wp:effectExtent l="116205" t="13970" r="17145" b="290830"/>
                <wp:wrapNone/>
                <wp:docPr id="326" name="圆角矩形标注 326"/>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53681"/>
                            <a:gd name="adj2" fmla="val 94232"/>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639BA789">
                            <w:pPr>
                              <w:jc w:val="center"/>
                              <w:rPr>
                                <w:sz w:val="28"/>
                                <w:szCs w:val="28"/>
                              </w:rPr>
                            </w:pPr>
                            <w:r>
                              <w:rPr>
                                <w:rFonts w:hint="eastAsia"/>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3.6pt;margin-top:220.45pt;height:42pt;width:100.5pt;z-index:251696128;v-text-anchor:middle;mso-width-relative:page;mso-height-relative:page;" fillcolor="#F2F2F2 [3052]" filled="t" stroked="t" coordsize="21600,21600" o:gfxdata="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kM4kstwAAAAMAQAADwAAAAAAAAABACAAAAAiAAAAZHJzL2Rvd25yZXYu&#10;eG1sUEsBAhQAFAAAAAgAh07iQKWecgTbAgAAuAUAAA4AAAAAAAAAAQAgAAAAKwEAAGRycy9lMm9E&#10;b2MueG1sUEsFBgAAAAAGAAYAWQEAAHgGAAAAAA==&#10;" adj="-795,31154,14400">
                <v:fill on="t" focussize="0,0"/>
                <v:stroke weight="2.25pt" color="#000000 [3213]" miterlimit="8" joinstyle="miter"/>
                <v:imagedata o:title=""/>
                <o:lock v:ext="edit" aspectratio="f"/>
                <v:textbox>
                  <w:txbxContent>
                    <w:p w14:paraId="639BA789">
                      <w:pPr>
                        <w:jc w:val="center"/>
                        <w:rPr>
                          <w:sz w:val="28"/>
                          <w:szCs w:val="28"/>
                        </w:rPr>
                      </w:pPr>
                      <w:r>
                        <w:rPr>
                          <w:rFonts w:hint="eastAsia"/>
                          <w:sz w:val="28"/>
                          <w:szCs w:val="28"/>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1801495</wp:posOffset>
                </wp:positionH>
                <wp:positionV relativeFrom="paragraph">
                  <wp:posOffset>356870</wp:posOffset>
                </wp:positionV>
                <wp:extent cx="1276350" cy="600075"/>
                <wp:effectExtent l="13970" t="13970" r="786130" b="14605"/>
                <wp:wrapNone/>
                <wp:docPr id="325" name="圆角矩形标注 325"/>
                <wp:cNvGraphicFramePr/>
                <a:graphic xmlns:a="http://schemas.openxmlformats.org/drawingml/2006/main">
                  <a:graphicData uri="http://schemas.microsoft.com/office/word/2010/wordprocessingShape">
                    <wps:wsp>
                      <wps:cNvSpPr/>
                      <wps:spPr>
                        <a:xfrm>
                          <a:off x="2901950" y="1645920"/>
                          <a:ext cx="1276350" cy="600075"/>
                        </a:xfrm>
                        <a:prstGeom prst="wedgeRoundRectCallout">
                          <a:avLst>
                            <a:gd name="adj1" fmla="val 101542"/>
                            <a:gd name="adj2" fmla="val 32116"/>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62D9FCB2">
                            <w:pPr>
                              <w:jc w:val="center"/>
                              <w:rPr>
                                <w:sz w:val="28"/>
                                <w:szCs w:val="28"/>
                              </w:rPr>
                            </w:pPr>
                            <w:r>
                              <w:rPr>
                                <w:rFonts w:hint="eastAsia"/>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1.85pt;margin-top:28.1pt;height:47.25pt;width:100.5pt;z-index:251695104;v-text-anchor:middle;mso-width-relative:page;mso-height-relative:page;" fillcolor="#F2F2F2 [3052]" filled="t" stroked="t" coordsize="21600,21600" o:gfxdata="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CgjgSDYAAAACgEAAA8AAAAAAAAAAQAgAAAAIgAAAGRycy9k&#10;b3ducmV2LnhtbFBLAQIUABQAAAAIAIdO4kBKZQFD5gIAAMQFAAAOAAAAAAAAAAEAIAAAACcBAABk&#10;cnMvZTJvRG9jLnhtbFBLBQYAAAAABgAGAFkBAAB/BgAAAAA=&#10;" adj="32733,17737,14400">
                <v:fill on="t" focussize="0,0"/>
                <v:stroke weight="2.25pt" color="#000000 [3213]" miterlimit="8" joinstyle="miter"/>
                <v:imagedata o:title=""/>
                <o:lock v:ext="edit" aspectratio="f"/>
                <v:textbox>
                  <w:txbxContent>
                    <w:p w14:paraId="62D9FCB2">
                      <w:pPr>
                        <w:jc w:val="center"/>
                        <w:rPr>
                          <w:sz w:val="28"/>
                          <w:szCs w:val="28"/>
                        </w:rPr>
                      </w:pPr>
                      <w:r>
                        <w:rPr>
                          <w:rFonts w:hint="eastAsia"/>
                          <w:sz w:val="28"/>
                          <w:szCs w:val="28"/>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5144135</wp:posOffset>
                </wp:positionH>
                <wp:positionV relativeFrom="paragraph">
                  <wp:posOffset>2479675</wp:posOffset>
                </wp:positionV>
                <wp:extent cx="529590" cy="1111250"/>
                <wp:effectExtent l="12700" t="6350" r="29210" b="6350"/>
                <wp:wrapNone/>
                <wp:docPr id="327" name="直接箭头连接符 327"/>
                <wp:cNvGraphicFramePr/>
                <a:graphic xmlns:a="http://schemas.openxmlformats.org/drawingml/2006/main">
                  <a:graphicData uri="http://schemas.microsoft.com/office/word/2010/wordprocessingShape">
                    <wps:wsp>
                      <wps:cNvCnPr>
                        <a:endCxn id="324" idx="1"/>
                      </wps:cNvCnPr>
                      <wps:spPr>
                        <a:xfrm>
                          <a:off x="6140450" y="3398520"/>
                          <a:ext cx="529590" cy="111125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05.05pt;margin-top:195.25pt;height:87.5pt;width:41.7pt;z-index:251697152;mso-width-relative:page;mso-height-relative:page;" filled="f" stroked="t" coordsize="21600,21600" o:gfxdata="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GFbWVdcAAAALAQAADwAAAAAAAAABACAAAAAiAAAAZHJzL2Rvd25yZXYueG1sUEsBAhQAFAAA&#10;AAgAh07iQKmDA2IpAgAAHQQAAA4AAAAAAAAAAQAgAAAAJgEAAGRycy9lMm9Eb2MueG1sUEsFBgAA&#10;AAAGAAYAWQEAAMEFAAAAAA==&#10;">
                <v:fill on="f" focussize="0,0"/>
                <v:stroke weight="2.25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w:drawing>
          <wp:anchor distT="0" distB="0" distL="114300" distR="114300" simplePos="0" relativeHeight="251692032" behindDoc="0" locked="0" layoutInCell="1" allowOverlap="1">
            <wp:simplePos x="0" y="0"/>
            <wp:positionH relativeFrom="column">
              <wp:posOffset>2209800</wp:posOffset>
            </wp:positionH>
            <wp:positionV relativeFrom="paragraph">
              <wp:posOffset>347980</wp:posOffset>
            </wp:positionV>
            <wp:extent cx="2924175" cy="2164715"/>
            <wp:effectExtent l="28575" t="28575" r="38100" b="35560"/>
            <wp:wrapNone/>
            <wp:docPr id="3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9"/>
                    <pic:cNvPicPr>
                      <a:picLocks noChangeAspect="1"/>
                    </pic:cNvPicPr>
                  </pic:nvPicPr>
                  <pic:blipFill>
                    <a:blip r:embed="rId42"/>
                    <a:stretch>
                      <a:fillRect/>
                    </a:stretch>
                  </pic:blipFill>
                  <pic:spPr>
                    <a:xfrm>
                      <a:off x="0" y="0"/>
                      <a:ext cx="2924175" cy="2164715"/>
                    </a:xfrm>
                    <a:prstGeom prst="rect">
                      <a:avLst/>
                    </a:prstGeom>
                    <a:noFill/>
                    <a:ln w="28575">
                      <a:solidFill>
                        <a:schemeClr val="tx1"/>
                      </a:solidFill>
                    </a:ln>
                  </pic:spPr>
                </pic:pic>
              </a:graphicData>
            </a:graphic>
          </wp:anchor>
        </w:drawing>
      </w:r>
      <w:r>
        <w:rPr>
          <w:color w:val="000000" w:themeColor="text1"/>
          <w:highlight w:val="none"/>
          <w14:textFill>
            <w14:solidFill>
              <w14:schemeClr w14:val="tx1"/>
            </w14:solidFill>
          </w14:textFill>
        </w:rPr>
        <w:drawing>
          <wp:inline distT="0" distB="0" distL="114300" distR="114300">
            <wp:extent cx="7498080" cy="5197475"/>
            <wp:effectExtent l="28575" t="28575" r="36195" b="31750"/>
            <wp:docPr id="3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8"/>
                    <pic:cNvPicPr>
                      <a:picLocks noChangeAspect="1"/>
                    </pic:cNvPicPr>
                  </pic:nvPicPr>
                  <pic:blipFill>
                    <a:blip r:embed="rId43"/>
                    <a:stretch>
                      <a:fillRect/>
                    </a:stretch>
                  </pic:blipFill>
                  <pic:spPr>
                    <a:xfrm>
                      <a:off x="0" y="0"/>
                      <a:ext cx="7498080" cy="5197475"/>
                    </a:xfrm>
                    <a:prstGeom prst="rect">
                      <a:avLst/>
                    </a:prstGeom>
                    <a:noFill/>
                    <a:ln w="28575">
                      <a:solidFill>
                        <a:schemeClr val="tx1"/>
                      </a:solidFill>
                    </a:ln>
                  </pic:spPr>
                </pic:pic>
              </a:graphicData>
            </a:graphic>
          </wp:inline>
        </w:drawing>
      </w:r>
    </w:p>
    <w:p w14:paraId="64E028B2">
      <w:pPr>
        <w:pStyle w:val="44"/>
        <w:jc w:val="center"/>
        <w:outlineLvl w:val="0"/>
        <w:rPr>
          <w:rFonts w:hint="default" w:ascii="Times New Roman" w:hAnsi="Times New Roman" w:cs="Times New Roman"/>
          <w:b/>
          <w:bCs/>
          <w:color w:val="000000" w:themeColor="text1"/>
          <w:szCs w:val="22"/>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6" w:name="_Toc21031"/>
      <w:bookmarkStart w:id="207" w:name="_Toc18533"/>
      <w:r>
        <w:rPr>
          <w:rFonts w:hint="default" w:ascii="Times New Roman" w:hAnsi="Times New Roman" w:cs="Times New Roman"/>
          <w:b/>
          <w:bCs/>
          <w:color w:val="000000" w:themeColor="text1"/>
          <w:szCs w:val="22"/>
          <w:highlight w:val="none"/>
          <w14:textFill>
            <w14:solidFill>
              <w14:schemeClr w14:val="tx1"/>
            </w14:solidFill>
          </w14:textFill>
        </w:rPr>
        <w:t>附图9</w:t>
      </w:r>
      <w:r>
        <w:rPr>
          <w:rFonts w:hint="eastAsia" w:ascii="Times New Roman" w:hAnsi="Times New Roman" w:cs="Times New Roman"/>
          <w:b/>
          <w:bCs/>
          <w:color w:val="000000" w:themeColor="text1"/>
          <w:szCs w:val="22"/>
          <w:highlight w:val="none"/>
          <w:lang w:val="en-US" w:eastAsia="zh-CN"/>
          <w14:textFill>
            <w14:solidFill>
              <w14:schemeClr w14:val="tx1"/>
            </w14:solidFill>
          </w14:textFill>
        </w:rPr>
        <w:t>-1</w:t>
      </w:r>
      <w:r>
        <w:rPr>
          <w:rFonts w:hint="default" w:ascii="Times New Roman" w:hAnsi="Times New Roman" w:cs="Times New Roman"/>
          <w:b/>
          <w:bCs/>
          <w:color w:val="000000" w:themeColor="text1"/>
          <w:szCs w:val="22"/>
          <w:highlight w:val="none"/>
          <w14:textFill>
            <w14:solidFill>
              <w14:schemeClr w14:val="tx1"/>
            </w14:solidFill>
          </w14:textFill>
        </w:rPr>
        <w:t xml:space="preserve"> </w:t>
      </w:r>
      <w:r>
        <w:rPr>
          <w:rFonts w:hint="default" w:ascii="Times New Roman" w:hAnsi="Times New Roman" w:cs="Times New Roman"/>
          <w:b/>
          <w:bCs/>
          <w:color w:val="000000" w:themeColor="text1"/>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4244975</wp:posOffset>
                </wp:positionH>
                <wp:positionV relativeFrom="paragraph">
                  <wp:posOffset>3159760</wp:posOffset>
                </wp:positionV>
                <wp:extent cx="1209675" cy="589915"/>
                <wp:effectExtent l="13970" t="13970" r="433705" b="24765"/>
                <wp:wrapNone/>
                <wp:docPr id="319" name="圆角矩形标注 319"/>
                <wp:cNvGraphicFramePr/>
                <a:graphic xmlns:a="http://schemas.openxmlformats.org/drawingml/2006/main">
                  <a:graphicData uri="http://schemas.microsoft.com/office/word/2010/wordprocessingShape">
                    <wps:wsp>
                      <wps:cNvSpPr/>
                      <wps:spPr>
                        <a:xfrm>
                          <a:off x="0" y="0"/>
                          <a:ext cx="1209675" cy="589915"/>
                        </a:xfrm>
                        <a:prstGeom prst="wedgeRoundRectCallout">
                          <a:avLst>
                            <a:gd name="adj1" fmla="val 79186"/>
                            <a:gd name="adj2" fmla="val 39275"/>
                            <a:gd name="adj3" fmla="val 16667"/>
                          </a:avLst>
                        </a:prstGeom>
                        <a:solidFill>
                          <a:schemeClr val="bg1"/>
                        </a:solid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34.25pt;margin-top:248.8pt;height:46.45pt;width:95.25pt;z-index:251691008;v-text-anchor:middle;mso-width-relative:page;mso-height-relative:page;" fillcolor="#FFFFFF [3212]" filled="t" stroked="t" coordsize="21600,21600" o:gfxdata="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Ehl8Db&#10;AAAACwEAAA8AAAAAAAAAAQAgAAAAIgAAAGRycy9kb3ducmV2LnhtbFBLAQIUABQAAAAIAIdO4kDw&#10;ghaZyAIAAJUFAAAOAAAAAAAAAAEAIAAAACoBAABkcnMvZTJvRG9jLnhtbFBLBQYAAAAABgAGAFkB&#10;AABkBgAAAAA=&#10;" adj="27904,19283,14400">
                <v:fill on="t" focussize="0,0"/>
                <v:stroke weight="2.25pt" color="#000000 [3213]" miterlimit="8" joinstyle="miter"/>
                <v:imagedata o:title=""/>
                <o:lock v:ext="edit" aspectratio="f"/>
                <v:textbox>
                  <w:txbxContent>
                    <w:p w14:paraId="19D046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rFonts w:hint="default" w:ascii="Times New Roman" w:hAnsi="Times New Roman" w:cs="Times New Roman"/>
          <w:b/>
          <w:bCs/>
          <w:color w:val="000000" w:themeColor="text1"/>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5802630</wp:posOffset>
                </wp:positionH>
                <wp:positionV relativeFrom="paragraph">
                  <wp:posOffset>2149475</wp:posOffset>
                </wp:positionV>
                <wp:extent cx="342900" cy="1366520"/>
                <wp:effectExtent l="34925" t="3175" r="22225" b="1905"/>
                <wp:wrapNone/>
                <wp:docPr id="320" name="直接箭头连接符 320"/>
                <wp:cNvGraphicFramePr/>
                <a:graphic xmlns:a="http://schemas.openxmlformats.org/drawingml/2006/main">
                  <a:graphicData uri="http://schemas.microsoft.com/office/word/2010/wordprocessingShape">
                    <wps:wsp>
                      <wps:cNvCnPr/>
                      <wps:spPr>
                        <a:xfrm flipH="1">
                          <a:off x="6792595" y="3194685"/>
                          <a:ext cx="342900" cy="136652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9pt;margin-top:169.25pt;height:107.6pt;width:27pt;z-index:251689984;mso-width-relative:page;mso-height-relative:page;" filled="f" stroked="t" coordsize="21600,21600" o:gfxdata="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Lu&#10;AJPaAAAACwEAAA8AAAAAAAAAAQAgAAAAIgAAAGRycy9kb3ducmV2LnhtbFBLAQIUABQAAAAIAIdO&#10;4kC3SfLYIQIAAP4DAAAOAAAAAAAAAAEAIAAAACkBAABkcnMvZTJvRG9jLnhtbFBLBQYAAAAABgAG&#10;AFkBAAC8BQA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b/>
          <w:bCs/>
          <w:color w:val="000000" w:themeColor="text1"/>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5668645</wp:posOffset>
                </wp:positionH>
                <wp:positionV relativeFrom="paragraph">
                  <wp:posOffset>3515995</wp:posOffset>
                </wp:positionV>
                <wp:extent cx="267970" cy="294005"/>
                <wp:effectExtent l="17145" t="23495" r="19685" b="25400"/>
                <wp:wrapNone/>
                <wp:docPr id="321" name="五角星 321"/>
                <wp:cNvGraphicFramePr/>
                <a:graphic xmlns:a="http://schemas.openxmlformats.org/drawingml/2006/main">
                  <a:graphicData uri="http://schemas.microsoft.com/office/word/2010/wordprocessingShape">
                    <wps:wsp>
                      <wps:cNvSpPr/>
                      <wps:spPr>
                        <a:xfrm>
                          <a:off x="0" y="0"/>
                          <a:ext cx="267970" cy="294005"/>
                        </a:xfrm>
                        <a:prstGeom prst="star5">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6.35pt;margin-top:276.85pt;height:23.15pt;width:21.1pt;z-index:251688960;v-text-anchor:middle;mso-width-relative:page;mso-height-relative:page;" fillcolor="#FFFF00" filled="t" stroked="t" coordsize="267970,294005" o:gfxdata="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wW2NN0AAAALAQAADwAAAAAAAAABACAA&#10;AAAiAAAAZHJzL2Rvd25yZXYueG1sUEsBAhQAFAAAAAgAh07iQEVN2l96AgAA+wQAAA4AAAAAAAAA&#10;AQAgAAAALAEAAGRycy9lMm9Eb2MueG1sUEsFBgAAAAAGAAYAWQEAABgGAAAAAA==&#10;" path="m0,112299l102355,112300,133985,0,165614,112300,267969,112299,185161,181704,216792,294004,133985,224598,51177,294004,82808,181704xe">
                <v:path o:connectlocs="133985,0;0,112299;51177,294004;216792,294004;267969,112299"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b/>
          <w:bCs/>
          <w:color w:val="000000" w:themeColor="text1"/>
          <w:highlight w:val="none"/>
          <w14:textFill>
            <w14:solidFill>
              <w14:schemeClr w14:val="tx1"/>
            </w14:solidFill>
          </w14:textFill>
        </w:rPr>
        <w:t>水环境管控单元</w:t>
      </w:r>
      <w:r>
        <w:rPr>
          <w:rFonts w:hint="default" w:ascii="Times New Roman" w:hAnsi="Times New Roman" w:cs="Times New Roman"/>
          <w:b/>
          <w:bCs/>
          <w:color w:val="000000" w:themeColor="text1"/>
          <w:szCs w:val="22"/>
          <w:highlight w:val="none"/>
          <w14:textFill>
            <w14:solidFill>
              <w14:schemeClr w14:val="tx1"/>
            </w14:solidFill>
          </w14:textFill>
        </w:rPr>
        <w:t>图</w:t>
      </w:r>
      <w:bookmarkEnd w:id="206"/>
      <w:bookmarkEnd w:id="207"/>
    </w:p>
    <w:p w14:paraId="0508D392">
      <w:pPr>
        <w:pStyle w:val="44"/>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6029325</wp:posOffset>
                </wp:positionH>
                <wp:positionV relativeFrom="paragraph">
                  <wp:posOffset>864870</wp:posOffset>
                </wp:positionV>
                <wp:extent cx="222250" cy="201295"/>
                <wp:effectExtent l="20320" t="19685" r="24130" b="26670"/>
                <wp:wrapNone/>
                <wp:docPr id="330" name="五角星 330"/>
                <wp:cNvGraphicFramePr/>
                <a:graphic xmlns:a="http://schemas.openxmlformats.org/drawingml/2006/main">
                  <a:graphicData uri="http://schemas.microsoft.com/office/word/2010/wordprocessingShape">
                    <wps:wsp>
                      <wps:cNvSpPr/>
                      <wps:spPr>
                        <a:xfrm>
                          <a:off x="7016750" y="2034540"/>
                          <a:ext cx="222250" cy="20129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74.75pt;margin-top:68.1pt;height:15.85pt;width:17.5pt;z-index:251699200;v-text-anchor:middle;mso-width-relative:page;mso-height-relative:page;" fillcolor="#FF0000" filled="t" stroked="t" coordsize="222250,201295" o:gfxdata="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JEh8lrbAAAACwEAAA8AAAAAAAAA&#10;AQAgAAAAIgAAAGRycy9kb3ducmV2LnhtbFBLAQIUABQAAAAIAIdO4kC+RikDgAIAAAcFAAAOAAAA&#10;AAAAAAEAIAAAACoBAABkcnMvZTJvRG9jLnhtbFBLBQYAAAAABgAGAFkBAAAcBgAAAAA=&#10;" path="m0,76887l84892,76888,111125,0,137357,76888,222249,76887,153570,124406,179803,201294,111125,153774,42446,201294,68679,124406xe">
                <v:path o:connectlocs="111125,0;0,76887;42446,201294;179803,201294;222249,76887" o:connectangles="247,164,82,82,0"/>
                <v:fill on="t" focussize="0,0"/>
                <v:stroke weight="1pt" color="#000000 [3213]"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5718810</wp:posOffset>
                </wp:positionH>
                <wp:positionV relativeFrom="paragraph">
                  <wp:posOffset>3582670</wp:posOffset>
                </wp:positionV>
                <wp:extent cx="155575" cy="146050"/>
                <wp:effectExtent l="19685" t="20320" r="34290" b="24130"/>
                <wp:wrapNone/>
                <wp:docPr id="331" name="五角星 331"/>
                <wp:cNvGraphicFramePr/>
                <a:graphic xmlns:a="http://schemas.openxmlformats.org/drawingml/2006/main">
                  <a:graphicData uri="http://schemas.microsoft.com/office/word/2010/wordprocessingShape">
                    <wps:wsp>
                      <wps:cNvSpPr/>
                      <wps:spPr>
                        <a:xfrm>
                          <a:off x="0" y="0"/>
                          <a:ext cx="155575" cy="146050"/>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0.3pt;margin-top:282.1pt;height:11.5pt;width:12.25pt;z-index:251700224;v-text-anchor:middle;mso-width-relative:page;mso-height-relative:page;" fillcolor="#FF0000" filled="t" stroked="t" coordsize="155575,146050" o:gfxdata="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&#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6F4QV2AAAAAsBAAAPAAAAAAAAAAEAIAAAACIAAABk&#10;cnMvZG93bnJldi54bWxQSwECFAAUAAAACACHTuJAhvo3tXgCAAD7BAAADgAAAAAAAAABACAAAAAn&#10;AQAAZHJzL2Uyb0RvYy54bWxQSwUGAAAAAAYABgBZAQAAEQYAAAAA&#10;" path="m0,55785l59424,55786,77787,0,96150,55786,155574,55785,107499,90263,125862,146049,77787,111571,29712,146049,48075,90263xe">
                <v:path o:connectlocs="77787,0;0,55785;29712,146049;125862,146049;155574,55785" o:connectangles="247,164,82,82,0"/>
                <v:fill on="t" focussize="0,0"/>
                <v:stroke weight="1pt" color="#000000 [3213]"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4584700</wp:posOffset>
                </wp:positionH>
                <wp:positionV relativeFrom="paragraph">
                  <wp:posOffset>628650</wp:posOffset>
                </wp:positionV>
                <wp:extent cx="1276350" cy="533400"/>
                <wp:effectExtent l="13970" t="13970" r="271780" b="24130"/>
                <wp:wrapNone/>
                <wp:docPr id="332" name="圆角矩形标注 332"/>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66766"/>
                            <a:gd name="adj2" fmla="val 19047"/>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7C3359FE">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61pt;margin-top:49.5pt;height:42pt;width:100.5pt;z-index:251701248;v-text-anchor:middle;mso-width-relative:page;mso-height-relative:page;" fillcolor="#F2F2F2 [3052]" filled="t" stroked="t" coordsize="21600,21600" o:gfxdata="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DDi31u1wAAAAoBAAAPAAAAAAAAAAEAIAAAACIAAABkcnMvZG93bnJldi54bWxQSwEC&#10;FAAUAAAACACHTuJAIpyX1tkCAAC3BQAADgAAAAAAAAABACAAAAAmAQAAZHJzL2Uyb0RvYy54bWxQ&#10;SwUGAAAAAAYABgBZAQAAcQYAAAAA&#10;" adj="25221,14914,14400">
                <v:fill on="t" focussize="0,0"/>
                <v:stroke weight="2.25pt" color="#000000 [3213]" miterlimit="8" joinstyle="miter"/>
                <v:imagedata o:title=""/>
                <o:lock v:ext="edit" aspectratio="f"/>
                <v:textbox>
                  <w:txbxContent>
                    <w:p w14:paraId="7C3359FE">
                      <w:pPr>
                        <w:jc w:val="center"/>
                        <w:rPr>
                          <w:b/>
                          <w:bCs/>
                          <w:sz w:val="28"/>
                          <w:szCs w:val="28"/>
                        </w:rPr>
                      </w:pPr>
                      <w:r>
                        <w:rPr>
                          <w:rFonts w:hint="eastAsia"/>
                          <w:b/>
                          <w:bCs/>
                          <w:sz w:val="28"/>
                          <w:szCs w:val="28"/>
                        </w:rPr>
                        <w:t>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5796915</wp:posOffset>
                </wp:positionH>
                <wp:positionV relativeFrom="paragraph">
                  <wp:posOffset>2249170</wp:posOffset>
                </wp:positionV>
                <wp:extent cx="394970" cy="1333500"/>
                <wp:effectExtent l="29845" t="3810" r="32385" b="15240"/>
                <wp:wrapNone/>
                <wp:docPr id="334" name="直接箭头连接符 334"/>
                <wp:cNvGraphicFramePr/>
                <a:graphic xmlns:a="http://schemas.openxmlformats.org/drawingml/2006/main">
                  <a:graphicData uri="http://schemas.microsoft.com/office/word/2010/wordprocessingShape">
                    <wps:wsp>
                      <wps:cNvCnPr>
                        <a:endCxn id="331" idx="0"/>
                      </wps:cNvCnPr>
                      <wps:spPr>
                        <a:xfrm flipH="1">
                          <a:off x="6778625" y="3177540"/>
                          <a:ext cx="394970" cy="1333500"/>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56.45pt;margin-top:177.1pt;height:105pt;width:31.1pt;z-index:251705344;mso-width-relative:page;mso-height-relative:page;" filled="f" stroked="t" coordsize="21600,21600" o:gfxdata="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ewrFz2QAAAAsBAAAPAAAAAAAAAAEAIAAAACIAAABkcnMvZG93bnJldi54&#10;bWxQSwECFAAUAAAACACHTuJAaqUwFjICAAAnBAAADgAAAAAAAAABACAAAAAoAQAAZHJzL2Uyb0Rv&#10;Yy54bWxQSwUGAAAAAAYABgBZAQAAzAUAAAAA&#10;">
                <v:fill on="f" focussize="0,0"/>
                <v:stroke weight="2.25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4036060</wp:posOffset>
                </wp:positionH>
                <wp:positionV relativeFrom="paragraph">
                  <wp:posOffset>3283585</wp:posOffset>
                </wp:positionV>
                <wp:extent cx="1276350" cy="533400"/>
                <wp:effectExtent l="13970" t="13970" r="462280" b="24130"/>
                <wp:wrapNone/>
                <wp:docPr id="333" name="圆角矩形标注 333"/>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07"/>
                            <a:gd name="adj2" fmla="val 24642"/>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4D3379BF">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7.8pt;margin-top:258.55pt;height:42pt;width:100.5pt;z-index:251704320;v-text-anchor:middle;mso-width-relative:page;mso-height-relative:page;" fillcolor="#F2F2F2 [3052]" filled="t" stroked="t" coordsize="21600,21600" o:gfxdata="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HenGF3aAAAACwEAAA8AAAAAAAAAAQAgAAAAIgAAAGRycy9kb3ducmV2Lnht&#10;bFBLAQIUABQAAAAIAIdO4kC+t0DS2wIAALcFAAAOAAAAAAAAAAEAIAAAACkBAABkcnMvZTJvRG9j&#10;LnhtbFBLBQYAAAAABgAGAFkBAAB2BgAAAAA=&#10;" adj="27758,16123,14400">
                <v:fill on="t" focussize="0,0"/>
                <v:stroke weight="2.25pt" color="#000000 [3213]" miterlimit="8" joinstyle="miter"/>
                <v:imagedata o:title=""/>
                <o:lock v:ext="edit" aspectratio="f"/>
                <v:textbox>
                  <w:txbxContent>
                    <w:p w14:paraId="4D3379BF">
                      <w:pPr>
                        <w:jc w:val="center"/>
                        <w:rPr>
                          <w:b/>
                          <w:bCs/>
                          <w:sz w:val="28"/>
                          <w:szCs w:val="28"/>
                        </w:rPr>
                      </w:pPr>
                      <w:r>
                        <w:rPr>
                          <w:rFonts w:hint="eastAsia"/>
                          <w:b/>
                          <w:bCs/>
                          <w:sz w:val="28"/>
                          <w:szCs w:val="28"/>
                        </w:rPr>
                        <w:t>项目位置</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98176" behindDoc="0" locked="0" layoutInCell="1" allowOverlap="1">
            <wp:simplePos x="0" y="0"/>
            <wp:positionH relativeFrom="column">
              <wp:posOffset>4379595</wp:posOffset>
            </wp:positionH>
            <wp:positionV relativeFrom="paragraph">
              <wp:posOffset>370840</wp:posOffset>
            </wp:positionV>
            <wp:extent cx="2750820" cy="1859280"/>
            <wp:effectExtent l="28575" t="9525" r="40005" b="36195"/>
            <wp:wrapNone/>
            <wp:docPr id="3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1"/>
                    <pic:cNvPicPr>
                      <a:picLocks noChangeAspect="1"/>
                    </pic:cNvPicPr>
                  </pic:nvPicPr>
                  <pic:blipFill>
                    <a:blip r:embed="rId44"/>
                    <a:stretch>
                      <a:fillRect/>
                    </a:stretch>
                  </pic:blipFill>
                  <pic:spPr>
                    <a:xfrm>
                      <a:off x="0" y="0"/>
                      <a:ext cx="2750820" cy="1859280"/>
                    </a:xfrm>
                    <a:prstGeom prst="rect">
                      <a:avLst/>
                    </a:prstGeom>
                    <a:noFill/>
                    <a:ln w="28575">
                      <a:solidFill>
                        <a:schemeClr val="tx1"/>
                      </a:solidFill>
                    </a:ln>
                  </pic:spPr>
                </pic:pic>
              </a:graphicData>
            </a:graphic>
          </wp:anchor>
        </w:drawing>
      </w:r>
      <w:r>
        <w:rPr>
          <w:color w:val="000000" w:themeColor="text1"/>
          <w:highlight w:val="none"/>
          <w14:textFill>
            <w14:solidFill>
              <w14:schemeClr w14:val="tx1"/>
            </w14:solidFill>
          </w14:textFill>
        </w:rPr>
        <w:drawing>
          <wp:inline distT="0" distB="0" distL="114300" distR="114300">
            <wp:extent cx="7539990" cy="5222875"/>
            <wp:effectExtent l="28575" t="28575" r="32385" b="44450"/>
            <wp:docPr id="3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0"/>
                    <pic:cNvPicPr>
                      <a:picLocks noChangeAspect="1"/>
                    </pic:cNvPicPr>
                  </pic:nvPicPr>
                  <pic:blipFill>
                    <a:blip r:embed="rId45"/>
                    <a:stretch>
                      <a:fillRect/>
                    </a:stretch>
                  </pic:blipFill>
                  <pic:spPr>
                    <a:xfrm>
                      <a:off x="0" y="0"/>
                      <a:ext cx="7539990" cy="5222875"/>
                    </a:xfrm>
                    <a:prstGeom prst="rect">
                      <a:avLst/>
                    </a:prstGeom>
                    <a:noFill/>
                    <a:ln w="28575">
                      <a:solidFill>
                        <a:schemeClr val="tx1"/>
                      </a:solidFill>
                    </a:ln>
                  </pic:spPr>
                </pic:pic>
              </a:graphicData>
            </a:graphic>
          </wp:inline>
        </w:drawing>
      </w:r>
    </w:p>
    <w:p w14:paraId="05EB7421">
      <w:pPr>
        <w:pStyle w:val="44"/>
        <w:jc w:val="center"/>
        <w:outlineLvl w:val="0"/>
        <w:rPr>
          <w:rFonts w:hint="default" w:ascii="Times New Roman" w:hAnsi="Times New Roman" w:cs="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08" w:name="_Toc17468"/>
      <w:bookmarkStart w:id="209" w:name="_Toc1547"/>
      <w:r>
        <w:rPr>
          <w:rFonts w:hint="default" w:ascii="Times New Roman" w:hAnsi="Times New Roman" w:cs="Times New Roman"/>
          <w:b/>
          <w:bCs/>
          <w:color w:val="000000" w:themeColor="text1"/>
          <w:szCs w:val="22"/>
          <w:highlight w:val="none"/>
          <w14:textFill>
            <w14:solidFill>
              <w14:schemeClr w14:val="tx1"/>
            </w14:solidFill>
          </w14:textFill>
        </w:rPr>
        <w:t>附图10 大气环境管控单元图</w:t>
      </w:r>
      <w:bookmarkEnd w:id="208"/>
      <w:bookmarkEnd w:id="209"/>
    </w:p>
    <w:p w14:paraId="3FFFF895">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5662295</wp:posOffset>
                </wp:positionH>
                <wp:positionV relativeFrom="paragraph">
                  <wp:posOffset>3543935</wp:posOffset>
                </wp:positionV>
                <wp:extent cx="177165" cy="168275"/>
                <wp:effectExtent l="19685" t="20320" r="31750" b="20955"/>
                <wp:wrapNone/>
                <wp:docPr id="337" name="五角星 337"/>
                <wp:cNvGraphicFramePr/>
                <a:graphic xmlns:a="http://schemas.openxmlformats.org/drawingml/2006/main">
                  <a:graphicData uri="http://schemas.microsoft.com/office/word/2010/wordprocessingShape">
                    <wps:wsp>
                      <wps:cNvSpPr/>
                      <wps:spPr>
                        <a:xfrm>
                          <a:off x="0" y="0"/>
                          <a:ext cx="177165" cy="1682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5.85pt;margin-top:279.05pt;height:13.25pt;width:13.95pt;z-index:251703296;v-text-anchor:middle;mso-width-relative:page;mso-height-relative:page;" fillcolor="#FF0000" filled="t" stroked="t" coordsize="177165,168275" o:gfxdata="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n6enaAAAACwEAAA8AAAAAAAAAAQAgAAAAIgAA&#10;AGRycy9kb3ducmV2LnhtbFBLAQIUABQAAAAIAIdO4kCG1rB0eAIAAPsEAAAOAAAAAAAAAAEAIAAA&#10;ACkBAABkcnMvZTJvRG9jLnhtbFBLBQYAAAAABgAGAFkBAAATBgAAAAA=&#10;" path="m0,64275l67671,64275,88582,0,109493,64275,177164,64275,122417,103999,143329,168274,88582,128549,33835,168274,54747,103999xe">
                <v:path o:connectlocs="88582,0;0,64275;33835,168274;143329,168274;177164,64275" o:connectangles="247,164,82,82,0"/>
                <v:fill on="t" focussize="0,0"/>
                <v:stroke weight="1pt" color="#000000 [3213]"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3969385</wp:posOffset>
                </wp:positionH>
                <wp:positionV relativeFrom="paragraph">
                  <wp:posOffset>3296920</wp:posOffset>
                </wp:positionV>
                <wp:extent cx="1276350" cy="533400"/>
                <wp:effectExtent l="13970" t="13970" r="462280" b="24130"/>
                <wp:wrapNone/>
                <wp:docPr id="336" name="圆角矩形标注 336"/>
                <wp:cNvGraphicFramePr/>
                <a:graphic xmlns:a="http://schemas.openxmlformats.org/drawingml/2006/main">
                  <a:graphicData uri="http://schemas.microsoft.com/office/word/2010/wordprocessingShape">
                    <wps:wsp>
                      <wps:cNvSpPr/>
                      <wps:spPr>
                        <a:xfrm>
                          <a:off x="0" y="0"/>
                          <a:ext cx="1276350" cy="533400"/>
                        </a:xfrm>
                        <a:prstGeom prst="wedgeRoundRectCallout">
                          <a:avLst>
                            <a:gd name="adj1" fmla="val 78557"/>
                            <a:gd name="adj2" fmla="val 11904"/>
                            <a:gd name="adj3" fmla="val 16667"/>
                          </a:avLst>
                        </a:prstGeom>
                        <a:solidFill>
                          <a:schemeClr val="bg1">
                            <a:lumMod val="95000"/>
                          </a:schemeClr>
                        </a:solidFill>
                        <a:ln w="28575">
                          <a:solidFill>
                            <a:schemeClr val="tx1"/>
                          </a:solidFill>
                        </a:ln>
                      </wps:spPr>
                      <wps:style>
                        <a:lnRef idx="3">
                          <a:schemeClr val="accent1"/>
                        </a:lnRef>
                        <a:fillRef idx="0">
                          <a:srgbClr val="FFFFFF"/>
                        </a:fillRef>
                        <a:effectRef idx="0">
                          <a:srgbClr val="FFFFFF"/>
                        </a:effectRef>
                        <a:fontRef idx="minor">
                          <a:schemeClr val="tx1"/>
                        </a:fontRef>
                      </wps:style>
                      <wps:txbx>
                        <w:txbxContent>
                          <w:p w14:paraId="2CFD05AE">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2.55pt;margin-top:259.6pt;height:42pt;width:100.5pt;z-index:251702272;v-text-anchor:middle;mso-width-relative:page;mso-height-relative:page;" fillcolor="#F2F2F2 [3052]" filled="t" stroked="t" coordsize="21600,21600" o:gfxdata="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BuhxT82QAAAAsBAAAPAAAAAAAAAAEAIAAAACIAAABkcnMvZG93bnJldi54bWxQ&#10;SwECFAAUAAAACACHTuJA0NuyUdoCAAC3BQAADgAAAAAAAAABACAAAAAoAQAAZHJzL2Uyb0RvYy54&#10;bWxQSwUGAAAAAAYABgBZAQAAdAYAAAAA&#10;" adj="27768,13371,14400">
                <v:fill on="t" focussize="0,0"/>
                <v:stroke weight="2.25pt" color="#000000 [3213]" miterlimit="8" joinstyle="miter"/>
                <v:imagedata o:title=""/>
                <o:lock v:ext="edit" aspectratio="f"/>
                <v:textbox>
                  <w:txbxContent>
                    <w:p w14:paraId="2CFD05AE">
                      <w:pPr>
                        <w:jc w:val="center"/>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7325360" cy="5222240"/>
            <wp:effectExtent l="28575" t="28575" r="37465" b="45085"/>
            <wp:docPr id="3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2"/>
                    <pic:cNvPicPr>
                      <a:picLocks noChangeAspect="1"/>
                    </pic:cNvPicPr>
                  </pic:nvPicPr>
                  <pic:blipFill>
                    <a:blip r:embed="rId46"/>
                    <a:stretch>
                      <a:fillRect/>
                    </a:stretch>
                  </pic:blipFill>
                  <pic:spPr>
                    <a:xfrm>
                      <a:off x="0" y="0"/>
                      <a:ext cx="7325360" cy="5222240"/>
                    </a:xfrm>
                    <a:prstGeom prst="rect">
                      <a:avLst/>
                    </a:prstGeom>
                    <a:noFill/>
                    <a:ln w="28575">
                      <a:solidFill>
                        <a:schemeClr val="tx1"/>
                      </a:solidFill>
                    </a:ln>
                  </pic:spPr>
                </pic:pic>
              </a:graphicData>
            </a:graphic>
          </wp:inline>
        </w:drawing>
      </w:r>
    </w:p>
    <w:p w14:paraId="26D6882A">
      <w:pPr>
        <w:pStyle w:val="44"/>
        <w:jc w:val="center"/>
        <w:outlineLvl w:val="0"/>
        <w:rPr>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bookmarkStart w:id="210" w:name="_Toc24704"/>
      <w:bookmarkStart w:id="211" w:name="_Toc23970"/>
      <w:r>
        <w:rPr>
          <w:b/>
          <w:bCs/>
          <w:color w:val="000000" w:themeColor="text1"/>
          <w:szCs w:val="22"/>
          <w:highlight w:val="none"/>
          <w14:textFill>
            <w14:solidFill>
              <w14:schemeClr w14:val="tx1"/>
            </w14:solidFill>
          </w14:textFill>
        </w:rPr>
        <w:t>附图1</w:t>
      </w:r>
      <w:r>
        <w:rPr>
          <w:rFonts w:hint="eastAsia"/>
          <w:b/>
          <w:bCs/>
          <w:color w:val="000000" w:themeColor="text1"/>
          <w:szCs w:val="22"/>
          <w:highlight w:val="none"/>
          <w14:textFill>
            <w14:solidFill>
              <w14:schemeClr w14:val="tx1"/>
            </w14:solidFill>
          </w14:textFill>
        </w:rPr>
        <w:t>1</w:t>
      </w:r>
      <w:r>
        <w:rPr>
          <w:b/>
          <w:bCs/>
          <w:color w:val="000000" w:themeColor="text1"/>
          <w:szCs w:val="22"/>
          <w:highlight w:val="none"/>
          <w14:textFill>
            <w14:solidFill>
              <w14:schemeClr w14:val="tx1"/>
            </w14:solidFill>
          </w14:textFill>
        </w:rPr>
        <w:t xml:space="preserve"> </w:t>
      </w:r>
      <w:r>
        <w:rPr>
          <w:rFonts w:hint="eastAsia"/>
          <w:b/>
          <w:bCs/>
          <w:color w:val="000000" w:themeColor="text1"/>
          <w:szCs w:val="22"/>
          <w:highlight w:val="none"/>
          <w14:textFill>
            <w14:solidFill>
              <w14:schemeClr w14:val="tx1"/>
            </w14:solidFill>
          </w14:textFill>
        </w:rPr>
        <w:t>生态管控单元分区图</w:t>
      </w:r>
      <w:bookmarkEnd w:id="210"/>
      <w:bookmarkEnd w:id="211"/>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6"/>
        <w:gridCol w:w="4356"/>
      </w:tblGrid>
      <w:tr w14:paraId="10806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0" w:hRule="atLeast"/>
          <w:jc w:val="center"/>
        </w:trPr>
        <w:tc>
          <w:tcPr>
            <w:tcW w:w="4276" w:type="dxa"/>
            <w:vAlign w:val="center"/>
          </w:tcPr>
          <w:p w14:paraId="33B6A624">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eastAsia="宋体" w:cs="Times New Roman"/>
                <w:b/>
                <w:bCs/>
                <w:color w:val="000000" w:themeColor="text1"/>
                <w:sz w:val="21"/>
                <w:szCs w:val="21"/>
                <w:highlight w:val="none"/>
                <w:lang w:eastAsia="zh-CN"/>
                <w14:textFill>
                  <w14:solidFill>
                    <w14:schemeClr w14:val="tx1"/>
                  </w14:solidFill>
                </w14:textFill>
              </w:rPr>
              <w:drawing>
                <wp:inline distT="0" distB="0" distL="114300" distR="114300">
                  <wp:extent cx="2560320" cy="1440180"/>
                  <wp:effectExtent l="0" t="0" r="11430" b="7620"/>
                  <wp:docPr id="251" name="图片 251"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东"/>
                          <pic:cNvPicPr>
                            <a:picLocks noChangeAspect="1"/>
                          </pic:cNvPicPr>
                        </pic:nvPicPr>
                        <pic:blipFill>
                          <a:blip r:embed="rId47"/>
                          <a:stretch>
                            <a:fillRect/>
                          </a:stretch>
                        </pic:blipFill>
                        <pic:spPr>
                          <a:xfrm>
                            <a:off x="0" y="0"/>
                            <a:ext cx="2560320" cy="1440180"/>
                          </a:xfrm>
                          <a:prstGeom prst="rect">
                            <a:avLst/>
                          </a:prstGeom>
                        </pic:spPr>
                      </pic:pic>
                    </a:graphicData>
                  </a:graphic>
                </wp:inline>
              </w:drawing>
            </w:r>
          </w:p>
        </w:tc>
        <w:tc>
          <w:tcPr>
            <w:tcW w:w="4348" w:type="dxa"/>
            <w:vAlign w:val="center"/>
          </w:tcPr>
          <w:p w14:paraId="07C8AA11">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eastAsia="宋体" w:cs="Times New Roman"/>
                <w:b/>
                <w:bCs/>
                <w:color w:val="000000" w:themeColor="text1"/>
                <w:sz w:val="21"/>
                <w:szCs w:val="21"/>
                <w:highlight w:val="none"/>
                <w:lang w:eastAsia="zh-CN"/>
                <w14:textFill>
                  <w14:solidFill>
                    <w14:schemeClr w14:val="tx1"/>
                  </w14:solidFill>
                </w14:textFill>
              </w:rPr>
              <w:drawing>
                <wp:inline distT="0" distB="0" distL="114300" distR="114300">
                  <wp:extent cx="2614930" cy="1471295"/>
                  <wp:effectExtent l="0" t="0" r="13970" b="14605"/>
                  <wp:docPr id="254" name="图片 254"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南"/>
                          <pic:cNvPicPr>
                            <a:picLocks noChangeAspect="1"/>
                          </pic:cNvPicPr>
                        </pic:nvPicPr>
                        <pic:blipFill>
                          <a:blip r:embed="rId48"/>
                          <a:stretch>
                            <a:fillRect/>
                          </a:stretch>
                        </pic:blipFill>
                        <pic:spPr>
                          <a:xfrm>
                            <a:off x="0" y="0"/>
                            <a:ext cx="2614930" cy="1471295"/>
                          </a:xfrm>
                          <a:prstGeom prst="rect">
                            <a:avLst/>
                          </a:prstGeom>
                        </pic:spPr>
                      </pic:pic>
                    </a:graphicData>
                  </a:graphic>
                </wp:inline>
              </w:drawing>
            </w:r>
          </w:p>
        </w:tc>
      </w:tr>
      <w:tr w14:paraId="0AC45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276" w:type="dxa"/>
            <w:vAlign w:val="center"/>
          </w:tcPr>
          <w:p w14:paraId="4D7A1835">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 xml:space="preserve">项目东面 </w:t>
            </w:r>
            <w:r>
              <w:rPr>
                <w:rFonts w:hint="eastAsia" w:ascii="Times New Roman" w:cs="Times New Roman"/>
                <w:b/>
                <w:bCs/>
                <w:color w:val="000000" w:themeColor="text1"/>
                <w:sz w:val="21"/>
                <w:szCs w:val="21"/>
                <w:highlight w:val="none"/>
                <w:lang w:val="en-US" w:eastAsia="zh-CN"/>
                <w14:textFill>
                  <w14:solidFill>
                    <w14:schemeClr w14:val="tx1"/>
                  </w14:solidFill>
                </w14:textFill>
              </w:rPr>
              <w:t>空地</w:t>
            </w:r>
          </w:p>
        </w:tc>
        <w:tc>
          <w:tcPr>
            <w:tcW w:w="4348" w:type="dxa"/>
            <w:vAlign w:val="center"/>
          </w:tcPr>
          <w:p w14:paraId="6458B9FE">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cs="Times New Roman"/>
                <w:b/>
                <w:bCs/>
                <w:color w:val="000000" w:themeColor="text1"/>
                <w:sz w:val="21"/>
                <w:szCs w:val="21"/>
                <w:highlight w:val="none"/>
                <w14:textFill>
                  <w14:solidFill>
                    <w14:schemeClr w14:val="tx1"/>
                  </w14:solidFill>
                </w14:textFill>
              </w:rPr>
              <w:t>项目</w:t>
            </w:r>
            <w:r>
              <w:rPr>
                <w:rFonts w:hint="eastAsia" w:ascii="Times New Roman" w:cs="Times New Roman"/>
                <w:b/>
                <w:bCs/>
                <w:color w:val="000000" w:themeColor="text1"/>
                <w:sz w:val="21"/>
                <w:szCs w:val="21"/>
                <w:highlight w:val="none"/>
                <w:lang w:val="en-US" w:eastAsia="zh-CN"/>
                <w14:textFill>
                  <w14:solidFill>
                    <w14:schemeClr w14:val="tx1"/>
                  </w14:solidFill>
                </w14:textFill>
              </w:rPr>
              <w:t>南</w:t>
            </w:r>
            <w:r>
              <w:rPr>
                <w:rFonts w:hint="eastAsia" w:ascii="Times New Roman" w:cs="Times New Roman"/>
                <w:b/>
                <w:bCs/>
                <w:color w:val="000000" w:themeColor="text1"/>
                <w:sz w:val="21"/>
                <w:szCs w:val="21"/>
                <w:highlight w:val="none"/>
                <w14:textFill>
                  <w14:solidFill>
                    <w14:schemeClr w14:val="tx1"/>
                  </w14:solidFill>
                </w14:textFill>
              </w:rPr>
              <w:t xml:space="preserve">面 </w:t>
            </w:r>
            <w:r>
              <w:rPr>
                <w:rFonts w:hint="eastAsia" w:ascii="Times New Roman" w:cs="Times New Roman"/>
                <w:b/>
                <w:bCs/>
                <w:color w:val="000000" w:themeColor="text1"/>
                <w:sz w:val="21"/>
                <w:szCs w:val="21"/>
                <w:highlight w:val="none"/>
                <w:lang w:eastAsia="zh-CN"/>
                <w14:textFill>
                  <w14:solidFill>
                    <w14:schemeClr w14:val="tx1"/>
                  </w14:solidFill>
                </w14:textFill>
              </w:rPr>
              <w:t>在建厂房</w:t>
            </w:r>
          </w:p>
        </w:tc>
      </w:tr>
      <w:tr w14:paraId="5466F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4276" w:type="dxa"/>
            <w:vAlign w:val="center"/>
          </w:tcPr>
          <w:p w14:paraId="108FC406">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eastAsia="宋体" w:cs="Times New Roman"/>
                <w:b/>
                <w:bCs/>
                <w:color w:val="000000" w:themeColor="text1"/>
                <w:sz w:val="21"/>
                <w:szCs w:val="21"/>
                <w:highlight w:val="none"/>
                <w:lang w:eastAsia="zh-CN"/>
                <w14:textFill>
                  <w14:solidFill>
                    <w14:schemeClr w14:val="tx1"/>
                  </w14:solidFill>
                </w14:textFill>
              </w:rPr>
              <w:drawing>
                <wp:inline distT="0" distB="0" distL="114300" distR="114300">
                  <wp:extent cx="2560320" cy="1440180"/>
                  <wp:effectExtent l="0" t="0" r="11430" b="7620"/>
                  <wp:docPr id="261" name="图片 261"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西"/>
                          <pic:cNvPicPr>
                            <a:picLocks noChangeAspect="1"/>
                          </pic:cNvPicPr>
                        </pic:nvPicPr>
                        <pic:blipFill>
                          <a:blip r:embed="rId49"/>
                          <a:stretch>
                            <a:fillRect/>
                          </a:stretch>
                        </pic:blipFill>
                        <pic:spPr>
                          <a:xfrm>
                            <a:off x="0" y="0"/>
                            <a:ext cx="2560320" cy="1440180"/>
                          </a:xfrm>
                          <a:prstGeom prst="rect">
                            <a:avLst/>
                          </a:prstGeom>
                        </pic:spPr>
                      </pic:pic>
                    </a:graphicData>
                  </a:graphic>
                </wp:inline>
              </w:drawing>
            </w:r>
          </w:p>
        </w:tc>
        <w:tc>
          <w:tcPr>
            <w:tcW w:w="4348" w:type="dxa"/>
            <w:vAlign w:val="center"/>
          </w:tcPr>
          <w:p w14:paraId="6C02080E">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eastAsia="宋体" w:cs="Times New Roman"/>
                <w:b/>
                <w:bCs/>
                <w:color w:val="000000" w:themeColor="text1"/>
                <w:sz w:val="21"/>
                <w:szCs w:val="21"/>
                <w:highlight w:val="none"/>
                <w:lang w:eastAsia="zh-CN"/>
                <w14:textFill>
                  <w14:solidFill>
                    <w14:schemeClr w14:val="tx1"/>
                  </w14:solidFill>
                </w14:textFill>
              </w:rPr>
              <w:drawing>
                <wp:inline distT="0" distB="0" distL="114300" distR="114300">
                  <wp:extent cx="2614930" cy="1471295"/>
                  <wp:effectExtent l="0" t="0" r="13970" b="14605"/>
                  <wp:docPr id="262" name="图片 26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北"/>
                          <pic:cNvPicPr>
                            <a:picLocks noChangeAspect="1"/>
                          </pic:cNvPicPr>
                        </pic:nvPicPr>
                        <pic:blipFill>
                          <a:blip r:embed="rId50"/>
                          <a:stretch>
                            <a:fillRect/>
                          </a:stretch>
                        </pic:blipFill>
                        <pic:spPr>
                          <a:xfrm>
                            <a:off x="0" y="0"/>
                            <a:ext cx="2614930" cy="1471295"/>
                          </a:xfrm>
                          <a:prstGeom prst="rect">
                            <a:avLst/>
                          </a:prstGeom>
                        </pic:spPr>
                      </pic:pic>
                    </a:graphicData>
                  </a:graphic>
                </wp:inline>
              </w:drawing>
            </w:r>
          </w:p>
        </w:tc>
      </w:tr>
      <w:tr w14:paraId="495F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276" w:type="dxa"/>
            <w:vAlign w:val="center"/>
          </w:tcPr>
          <w:p w14:paraId="1C47C9F3">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default" w:asci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ascii="Times New Roman" w:cs="Times New Roman"/>
                <w:b/>
                <w:bCs/>
                <w:color w:val="000000" w:themeColor="text1"/>
                <w:sz w:val="21"/>
                <w:szCs w:val="21"/>
                <w:highlight w:val="none"/>
                <w14:textFill>
                  <w14:solidFill>
                    <w14:schemeClr w14:val="tx1"/>
                  </w14:solidFill>
                </w14:textFill>
              </w:rPr>
              <w:t>项目</w:t>
            </w:r>
            <w:r>
              <w:rPr>
                <w:rFonts w:hint="eastAsia" w:ascii="Times New Roman" w:cs="Times New Roman"/>
                <w:b/>
                <w:bCs/>
                <w:color w:val="000000" w:themeColor="text1"/>
                <w:sz w:val="21"/>
                <w:szCs w:val="21"/>
                <w:highlight w:val="none"/>
                <w:lang w:val="en-US" w:eastAsia="zh-CN"/>
                <w14:textFill>
                  <w14:solidFill>
                    <w14:schemeClr w14:val="tx1"/>
                  </w14:solidFill>
                </w14:textFill>
              </w:rPr>
              <w:t>西面 空地</w:t>
            </w:r>
          </w:p>
        </w:tc>
        <w:tc>
          <w:tcPr>
            <w:tcW w:w="4348" w:type="dxa"/>
            <w:vAlign w:val="center"/>
          </w:tcPr>
          <w:p w14:paraId="538A9277">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cs="Times New Roman"/>
                <w:b/>
                <w:bCs/>
                <w:color w:val="000000" w:themeColor="text1"/>
                <w:sz w:val="21"/>
                <w:szCs w:val="21"/>
                <w:highlight w:val="none"/>
                <w14:textFill>
                  <w14:solidFill>
                    <w14:schemeClr w14:val="tx1"/>
                  </w14:solidFill>
                </w14:textFill>
              </w:rPr>
              <w:t>项目</w:t>
            </w:r>
            <w:r>
              <w:rPr>
                <w:rFonts w:hint="eastAsia" w:ascii="Times New Roman" w:cs="Times New Roman"/>
                <w:b/>
                <w:bCs/>
                <w:color w:val="000000" w:themeColor="text1"/>
                <w:sz w:val="21"/>
                <w:szCs w:val="21"/>
                <w:highlight w:val="none"/>
                <w:lang w:val="en-US" w:eastAsia="zh-CN"/>
                <w14:textFill>
                  <w14:solidFill>
                    <w14:schemeClr w14:val="tx1"/>
                  </w14:solidFill>
                </w14:textFill>
              </w:rPr>
              <w:t>北</w:t>
            </w:r>
            <w:r>
              <w:rPr>
                <w:rFonts w:hint="eastAsia" w:ascii="Times New Roman" w:cs="Times New Roman"/>
                <w:b/>
                <w:bCs/>
                <w:color w:val="000000" w:themeColor="text1"/>
                <w:sz w:val="21"/>
                <w:szCs w:val="21"/>
                <w:highlight w:val="none"/>
                <w14:textFill>
                  <w14:solidFill>
                    <w14:schemeClr w14:val="tx1"/>
                  </w14:solidFill>
                </w14:textFill>
              </w:rPr>
              <w:t xml:space="preserve">面 </w:t>
            </w:r>
            <w:r>
              <w:rPr>
                <w:rFonts w:hint="eastAsia" w:ascii="Times New Roman" w:cs="Times New Roman"/>
                <w:b/>
                <w:bCs/>
                <w:color w:val="000000" w:themeColor="text1"/>
                <w:sz w:val="21"/>
                <w:szCs w:val="21"/>
                <w:highlight w:val="none"/>
                <w:lang w:eastAsia="zh-CN"/>
                <w14:textFill>
                  <w14:solidFill>
                    <w14:schemeClr w14:val="tx1"/>
                  </w14:solidFill>
                </w14:textFill>
              </w:rPr>
              <w:t>空地</w:t>
            </w:r>
          </w:p>
        </w:tc>
      </w:tr>
      <w:tr w14:paraId="0958C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0" w:type="auto"/>
            <w:gridSpan w:val="2"/>
            <w:vAlign w:val="center"/>
          </w:tcPr>
          <w:p w14:paraId="4E5A56E7">
            <w:pPr>
              <w:pStyle w:val="43"/>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76" w:lineRule="auto"/>
              <w:ind w:left="0" w:right="0"/>
              <w:jc w:val="center"/>
              <w:textAlignment w:val="auto"/>
              <w:rPr>
                <w:rFonts w:hint="eastAsia" w:ascii="Times New Roman" w:cs="Times New Roman"/>
                <w:b/>
                <w:bCs/>
                <w:color w:val="000000" w:themeColor="text1"/>
                <w:sz w:val="21"/>
                <w:szCs w:val="21"/>
                <w:highlight w:val="none"/>
                <w14:textFill>
                  <w14:solidFill>
                    <w14:schemeClr w14:val="tx1"/>
                  </w14:solidFill>
                </w14:textFill>
              </w:rPr>
            </w:pPr>
            <w:bookmarkStart w:id="212" w:name="_Toc20038"/>
            <w:bookmarkStart w:id="213" w:name="_Toc28856"/>
            <w:r>
              <w:rPr>
                <w:rFonts w:hint="eastAsia" w:ascii="Times New Roman" w:cs="Times New Roman"/>
                <w:b/>
                <w:bCs/>
                <w:color w:val="000000" w:themeColor="text1"/>
                <w:sz w:val="21"/>
                <w:szCs w:val="21"/>
                <w:highlight w:val="none"/>
                <w:lang w:val="en-US" w:eastAsia="zh-CN"/>
                <w14:textFill>
                  <w14:solidFill>
                    <w14:schemeClr w14:val="tx1"/>
                  </w14:solidFill>
                </w14:textFill>
              </w:rPr>
              <w:t>项目现状照片</w:t>
            </w:r>
          </w:p>
        </w:tc>
      </w:tr>
    </w:tbl>
    <w:p w14:paraId="31C08156">
      <w:pPr>
        <w:keepNext w:val="0"/>
        <w:keepLines w:val="0"/>
        <w:pageBreakBefore w:val="0"/>
        <w:widowControl w:val="0"/>
        <w:kinsoku w:val="0"/>
        <w:wordWrap/>
        <w:overflowPunct w:val="0"/>
        <w:topLinePunct w:val="0"/>
        <w:autoSpaceDE/>
        <w:autoSpaceDN/>
        <w:bidi w:val="0"/>
        <w:adjustRightInd w:val="0"/>
        <w:snapToGrid w:val="0"/>
        <w:spacing w:before="157" w:beforeLines="50"/>
        <w:ind w:firstLine="482" w:firstLineChars="200"/>
        <w:jc w:val="center"/>
        <w:textAlignment w:val="auto"/>
        <w:outlineLvl w:val="0"/>
        <w:rPr>
          <w:b/>
          <w:bCs/>
          <w:color w:val="000000" w:themeColor="text1"/>
          <w:szCs w:val="22"/>
          <w:highlight w:val="none"/>
          <w14:textFill>
            <w14:solidFill>
              <w14:schemeClr w14:val="tx1"/>
            </w14:solidFill>
          </w14:textFill>
        </w:rPr>
      </w:pPr>
      <w:bookmarkStart w:id="214" w:name="_Toc27849"/>
      <w:r>
        <w:rPr>
          <w:b/>
          <w:bCs/>
          <w:color w:val="000000" w:themeColor="text1"/>
          <w:szCs w:val="22"/>
          <w:highlight w:val="none"/>
          <w14:textFill>
            <w14:solidFill>
              <w14:schemeClr w14:val="tx1"/>
            </w14:solidFill>
          </w14:textFill>
        </w:rPr>
        <w:t>附图</w:t>
      </w:r>
      <w:r>
        <w:rPr>
          <w:rFonts w:hint="eastAsia"/>
          <w:b/>
          <w:bCs/>
          <w:color w:val="000000" w:themeColor="text1"/>
          <w:szCs w:val="22"/>
          <w:highlight w:val="none"/>
          <w14:textFill>
            <w14:solidFill>
              <w14:schemeClr w14:val="tx1"/>
            </w14:solidFill>
          </w14:textFill>
        </w:rPr>
        <w:t>1</w:t>
      </w:r>
      <w:r>
        <w:rPr>
          <w:rFonts w:hint="eastAsia"/>
          <w:b/>
          <w:bCs/>
          <w:color w:val="000000" w:themeColor="text1"/>
          <w:szCs w:val="22"/>
          <w:highlight w:val="none"/>
          <w:lang w:val="en-US" w:eastAsia="zh-CN"/>
          <w14:textFill>
            <w14:solidFill>
              <w14:schemeClr w14:val="tx1"/>
            </w14:solidFill>
          </w14:textFill>
        </w:rPr>
        <w:t>2</w:t>
      </w:r>
      <w:r>
        <w:rPr>
          <w:b/>
          <w:bCs/>
          <w:color w:val="000000" w:themeColor="text1"/>
          <w:szCs w:val="22"/>
          <w:highlight w:val="none"/>
          <w14:textFill>
            <w14:solidFill>
              <w14:schemeClr w14:val="tx1"/>
            </w14:solidFill>
          </w14:textFill>
        </w:rPr>
        <w:t xml:space="preserve"> 项目</w:t>
      </w:r>
      <w:r>
        <w:rPr>
          <w:rFonts w:hint="eastAsia"/>
          <w:b/>
          <w:bCs/>
          <w:color w:val="000000" w:themeColor="text1"/>
          <w:szCs w:val="22"/>
          <w:highlight w:val="none"/>
          <w:lang w:val="en-US" w:eastAsia="zh-CN"/>
          <w14:textFill>
            <w14:solidFill>
              <w14:schemeClr w14:val="tx1"/>
            </w14:solidFill>
          </w14:textFill>
        </w:rPr>
        <w:t>和项目</w:t>
      </w:r>
      <w:r>
        <w:rPr>
          <w:b/>
          <w:bCs/>
          <w:color w:val="000000" w:themeColor="text1"/>
          <w:szCs w:val="22"/>
          <w:highlight w:val="none"/>
          <w14:textFill>
            <w14:solidFill>
              <w14:schemeClr w14:val="tx1"/>
            </w14:solidFill>
          </w14:textFill>
        </w:rPr>
        <w:t>周边现状</w:t>
      </w:r>
      <w:r>
        <w:rPr>
          <w:rFonts w:hint="eastAsia"/>
          <w:b/>
          <w:bCs/>
          <w:color w:val="000000" w:themeColor="text1"/>
          <w:szCs w:val="22"/>
          <w:highlight w:val="none"/>
          <w14:textFill>
            <w14:solidFill>
              <w14:schemeClr w14:val="tx1"/>
            </w14:solidFill>
          </w14:textFill>
        </w:rPr>
        <w:t>图</w:t>
      </w:r>
      <w:bookmarkEnd w:id="212"/>
      <w:bookmarkEnd w:id="213"/>
      <w:bookmarkEnd w:id="214"/>
    </w:p>
    <w:p w14:paraId="0231ABEB">
      <w:pPr>
        <w:pStyle w:val="50"/>
        <w:ind w:right="-120"/>
        <w:rPr>
          <w:color w:val="000000" w:themeColor="text1"/>
          <w:highlight w:val="none"/>
          <w14:textFill>
            <w14:solidFill>
              <w14:schemeClr w14:val="tx1"/>
            </w14:solidFill>
          </w14:textFill>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4B32BB3E">
      <w:pPr>
        <w:jc w:val="center"/>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32992" behindDoc="0" locked="0" layoutInCell="1" allowOverlap="1">
                <wp:simplePos x="0" y="0"/>
                <wp:positionH relativeFrom="column">
                  <wp:posOffset>4082415</wp:posOffset>
                </wp:positionH>
                <wp:positionV relativeFrom="paragraph">
                  <wp:posOffset>2355850</wp:posOffset>
                </wp:positionV>
                <wp:extent cx="1740535" cy="919480"/>
                <wp:effectExtent l="6350" t="6350" r="24765" b="7620"/>
                <wp:wrapNone/>
                <wp:docPr id="264" name="组合 264"/>
                <wp:cNvGraphicFramePr/>
                <a:graphic xmlns:a="http://schemas.openxmlformats.org/drawingml/2006/main">
                  <a:graphicData uri="http://schemas.microsoft.com/office/word/2010/wordprocessingGroup">
                    <wpg:wgp>
                      <wpg:cNvGrpSpPr/>
                      <wpg:grpSpPr>
                        <a:xfrm>
                          <a:off x="0" y="0"/>
                          <a:ext cx="1740535" cy="919480"/>
                          <a:chOff x="8884" y="1801423"/>
                          <a:chExt cx="2741" cy="1448"/>
                        </a:xfrm>
                      </wpg:grpSpPr>
                      <wps:wsp>
                        <wps:cNvPr id="89" name="圆角矩形标注 89"/>
                        <wps:cNvSpPr/>
                        <wps:spPr>
                          <a:xfrm>
                            <a:off x="8884" y="1802037"/>
                            <a:ext cx="1750" cy="834"/>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F261548">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3" name="椭圆 263"/>
                        <wps:cNvSpPr/>
                        <wps:spPr>
                          <a:xfrm>
                            <a:off x="11455" y="1801423"/>
                            <a:ext cx="170" cy="17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21.45pt;margin-top:185.5pt;height:72.4pt;width:137.05pt;z-index:251732992;mso-width-relative:page;mso-height-relative:page;" coordorigin="8884,1801423" coordsize="2741,1448" o:gfxdata="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">
                <o:lock v:ext="edit" aspectratio="f"/>
                <v:shape id="_x0000_s1026" o:spid="_x0000_s1026" o:spt="62" type="#_x0000_t62" style="position:absolute;left:8884;top:1802037;height:834;width:1750;v-text-anchor:middle;" fillcolor="#FFFFFF [3212]" filled="t" stroked="t" coordsize="21600,21600" o:gfxdata="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mKJNvQAA&#10;ANsAAAAPAAAAAAAAAAEAIAAAACIAAABkcnMvZG93bnJldi54bWxQSwECFAAUAAAACACHTuJAMy8F&#10;njsAAAA5AAAAEAAAAAAAAAABACAAAAAMAQAAZHJzL3NoYXBleG1sLnhtbFBLBQYAAAAABgAGAFsB&#10;AAC2AwAAAAA=&#10;" adj="31376,-13597,14400">
                  <v:fill on="t" focussize="0,0"/>
                  <v:stroke weight="1pt" color="#000000 [3213]" miterlimit="8" joinstyle="miter"/>
                  <v:imagedata o:title=""/>
                  <o:lock v:ext="edit" aspectratio="f"/>
                  <v:textbox>
                    <w:txbxContent>
                      <w:p w14:paraId="3F261548">
                        <w:pPr>
                          <w:jc w:val="center"/>
                          <w:rPr>
                            <w:b/>
                            <w:bCs/>
                            <w:sz w:val="28"/>
                            <w:szCs w:val="28"/>
                          </w:rPr>
                        </w:pPr>
                        <w:r>
                          <w:rPr>
                            <w:rFonts w:hint="eastAsia"/>
                            <w:b/>
                            <w:bCs/>
                            <w:sz w:val="28"/>
                            <w:szCs w:val="28"/>
                          </w:rPr>
                          <w:t>项目位置</w:t>
                        </w:r>
                      </w:p>
                    </w:txbxContent>
                  </v:textbox>
                </v:shape>
                <v:shape id="_x0000_s1026" o:spid="_x0000_s1026" o:spt="3" type="#_x0000_t3" style="position:absolute;left:11455;top:1801423;height:170;width:170;v-text-anchor:middle;" fillcolor="#FF0000" filled="t" stroked="t" coordsize="21600,21600" o:gfxdata="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txLrvQAA&#10;ANwAAAAPAAAAAAAAAAEAIAAAACIAAABkcnMvZG93bnJldi54bWxQSwECFAAUAAAACACHTuJAMy8F&#10;njsAAAA5AAAAEAAAAAAAAAABACAAAAAMAQAAZHJzL3NoYXBleG1sLnhtbFBLBQYAAAAABgAGAFsB&#10;AAC2AwAAAAA=&#10;">
                  <v:fill on="t" focussize="0,0"/>
                  <v:stroke weight="1pt" color="#2E75B6 [2404]" miterlimit="8" joinstyle="miter"/>
                  <v:imagedata o:title=""/>
                  <o:lock v:ext="edit" aspectratio="f"/>
                </v:shape>
              </v:group>
            </w:pict>
          </mc:Fallback>
        </mc:AlternateContent>
      </w:r>
      <w:r>
        <w:rPr>
          <w:color w:val="000000" w:themeColor="text1"/>
          <w:highlight w:val="none"/>
          <w14:textFill>
            <w14:solidFill>
              <w14:schemeClr w14:val="tx1"/>
            </w14:solidFill>
          </w14:textFill>
        </w:rPr>
        <w:drawing>
          <wp:inline distT="0" distB="0" distL="114300" distR="114300">
            <wp:extent cx="7818120" cy="5196205"/>
            <wp:effectExtent l="28575" t="9525" r="40005" b="3302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51"/>
                    <a:stretch>
                      <a:fillRect/>
                    </a:stretch>
                  </pic:blipFill>
                  <pic:spPr>
                    <a:xfrm>
                      <a:off x="0" y="0"/>
                      <a:ext cx="7818120" cy="5196205"/>
                    </a:xfrm>
                    <a:prstGeom prst="rect">
                      <a:avLst/>
                    </a:prstGeom>
                    <a:noFill/>
                    <a:ln w="28575">
                      <a:solidFill>
                        <a:schemeClr val="tx1"/>
                      </a:solidFill>
                    </a:ln>
                  </pic:spPr>
                </pic:pic>
              </a:graphicData>
            </a:graphic>
          </wp:inline>
        </w:drawing>
      </w:r>
    </w:p>
    <w:p w14:paraId="476B219F">
      <w:pPr>
        <w:pStyle w:val="43"/>
        <w:jc w:val="center"/>
        <w:outlineLvl w:val="0"/>
        <w:rPr>
          <w:rFonts w:hint="eastAsia" w:ascii="Times New Roman" w:cs="Times New Roman"/>
          <w:b/>
          <w:bCs/>
          <w:color w:val="000000" w:themeColor="text1"/>
          <w:highlight w:val="none"/>
          <w14:textFill>
            <w14:solidFill>
              <w14:schemeClr w14:val="tx1"/>
            </w14:solidFill>
          </w14:textFill>
        </w:rPr>
      </w:pPr>
      <w:bookmarkStart w:id="215" w:name="_Toc13153"/>
      <w:bookmarkStart w:id="216" w:name="_Toc25232"/>
      <w:r>
        <w:rPr>
          <w:rFonts w:hint="eastAsia" w:ascii="Times New Roman" w:cs="Times New Roman"/>
          <w:b/>
          <w:bCs/>
          <w:color w:val="000000" w:themeColor="text1"/>
          <w:highlight w:val="none"/>
          <w14:textFill>
            <w14:solidFill>
              <w14:schemeClr w14:val="tx1"/>
            </w14:solidFill>
          </w14:textFill>
        </w:rPr>
        <w:t>附图1</w:t>
      </w:r>
      <w:r>
        <w:rPr>
          <w:rFonts w:hint="eastAsia" w:ascii="Times New Roman" w:cs="Times New Roman"/>
          <w:b/>
          <w:bCs/>
          <w:color w:val="000000" w:themeColor="text1"/>
          <w:highlight w:val="none"/>
          <w:lang w:val="en-US" w:eastAsia="zh-CN"/>
          <w14:textFill>
            <w14:solidFill>
              <w14:schemeClr w14:val="tx1"/>
            </w14:solidFill>
          </w14:textFill>
        </w:rPr>
        <w:t>3-1</w:t>
      </w:r>
      <w:r>
        <w:rPr>
          <w:rFonts w:hint="eastAsia" w:ascii="Times New Roman" w:cs="Times New Roman"/>
          <w:b/>
          <w:bCs/>
          <w:color w:val="000000" w:themeColor="text1"/>
          <w:highlight w:val="none"/>
          <w14:textFill>
            <w14:solidFill>
              <w14:schemeClr w14:val="tx1"/>
            </w14:solidFill>
          </w14:textFill>
        </w:rPr>
        <w:t xml:space="preserve"> 广东省“三线一单”</w:t>
      </w:r>
      <w:r>
        <w:rPr>
          <w:rFonts w:hint="eastAsia" w:ascii="Times New Roman" w:cs="Times New Roman"/>
          <w:b/>
          <w:bCs/>
          <w:color w:val="000000" w:themeColor="text1"/>
          <w:highlight w:val="none"/>
          <w:lang w:val="en-US" w:eastAsia="zh-CN"/>
          <w14:textFill>
            <w14:solidFill>
              <w14:schemeClr w14:val="tx1"/>
            </w14:solidFill>
          </w14:textFill>
        </w:rPr>
        <w:t>平台陆域环境管控单元</w:t>
      </w:r>
      <w:r>
        <w:rPr>
          <w:rFonts w:hint="eastAsia" w:ascii="Times New Roman" w:cs="Times New Roman"/>
          <w:b/>
          <w:bCs/>
          <w:color w:val="000000" w:themeColor="text1"/>
          <w:highlight w:val="none"/>
          <w14:textFill>
            <w14:solidFill>
              <w14:schemeClr w14:val="tx1"/>
            </w14:solidFill>
          </w14:textFill>
        </w:rPr>
        <w:t>截图</w:t>
      </w:r>
      <w:bookmarkEnd w:id="215"/>
      <w:bookmarkEnd w:id="216"/>
    </w:p>
    <w:p w14:paraId="4B1FFF36">
      <w:pPr>
        <w:rPr>
          <w:rFonts w:hint="eastAsia" w:ascii="Times New Roman" w:cs="Times New Roman"/>
          <w:b/>
          <w:bCs/>
          <w:color w:val="000000" w:themeColor="text1"/>
          <w:highlight w:val="none"/>
          <w14:textFill>
            <w14:solidFill>
              <w14:schemeClr w14:val="tx1"/>
            </w14:solidFill>
          </w14:textFill>
        </w:rPr>
      </w:pPr>
      <w:r>
        <w:rPr>
          <w:rFonts w:hint="eastAsia" w:ascii="Times New Roman" w:cs="Times New Roman"/>
          <w:b/>
          <w:bCs/>
          <w:color w:val="000000" w:themeColor="text1"/>
          <w:highlight w:val="none"/>
          <w14:textFill>
            <w14:solidFill>
              <w14:schemeClr w14:val="tx1"/>
            </w14:solidFill>
          </w14:textFill>
        </w:rPr>
        <w:br w:type="page"/>
      </w:r>
    </w:p>
    <w:p w14:paraId="05B8E80E">
      <w:pPr>
        <w:jc w:val="center"/>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34016" behindDoc="0" locked="0" layoutInCell="1" allowOverlap="1">
                <wp:simplePos x="0" y="0"/>
                <wp:positionH relativeFrom="column">
                  <wp:posOffset>3701415</wp:posOffset>
                </wp:positionH>
                <wp:positionV relativeFrom="paragraph">
                  <wp:posOffset>2336800</wp:posOffset>
                </wp:positionV>
                <wp:extent cx="1740535" cy="919480"/>
                <wp:effectExtent l="6350" t="6350" r="24765" b="7620"/>
                <wp:wrapNone/>
                <wp:docPr id="265" name="组合 265"/>
                <wp:cNvGraphicFramePr/>
                <a:graphic xmlns:a="http://schemas.openxmlformats.org/drawingml/2006/main">
                  <a:graphicData uri="http://schemas.microsoft.com/office/word/2010/wordprocessingGroup">
                    <wpg:wgp>
                      <wpg:cNvGrpSpPr/>
                      <wpg:grpSpPr>
                        <a:xfrm>
                          <a:off x="0" y="0"/>
                          <a:ext cx="1740535" cy="919480"/>
                          <a:chOff x="8884" y="1801423"/>
                          <a:chExt cx="2741" cy="1448"/>
                        </a:xfrm>
                      </wpg:grpSpPr>
                      <wps:wsp>
                        <wps:cNvPr id="266" name="圆角矩形标注 89"/>
                        <wps:cNvSpPr/>
                        <wps:spPr>
                          <a:xfrm>
                            <a:off x="8884" y="1802037"/>
                            <a:ext cx="1750" cy="834"/>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19C28AF9">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7" name="椭圆 263"/>
                        <wps:cNvSpPr/>
                        <wps:spPr>
                          <a:xfrm>
                            <a:off x="11455" y="1801423"/>
                            <a:ext cx="170" cy="17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1.45pt;margin-top:184pt;height:72.4pt;width:137.05pt;z-index:251734016;mso-width-relative:page;mso-height-relative:page;" coordorigin="8884,1801423" coordsize="2741,1448" o:gfxdata="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COUGwfbAAAACwEAAA8AAAAAAAAAAQAgAAAAIgAAAGRycy9kb3ducmV2LnhtbFBL&#10;AQIUABQAAAAIAIdO4kAjChEzuwMAABIKAAAOAAAAAAAAAAEAIAAAACoBAABkcnMvZTJvRG9jLnht&#10;bFBLBQYAAAAABgAGAFkBAABXBwAAAAA=&#10;">
                <o:lock v:ext="edit" aspectratio="f"/>
                <v:shape id="圆角矩形标注 89" o:spid="_x0000_s1026" o:spt="62" type="#_x0000_t62" style="position:absolute;left:8884;top:1802037;height:834;width:1750;v-text-anchor:middle;" fillcolor="#FFFFFF [3212]" filled="t" stroked="t" coordsize="21600,21600" o:gfxdata="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68+L4A&#10;AADcAAAADwAAAAAAAAABACAAAAAiAAAAZHJzL2Rvd25yZXYueG1sUEsBAhQAFAAAAAgAh07iQDMv&#10;BZ47AAAAOQAAABAAAAAAAAAAAQAgAAAADQEAAGRycy9zaGFwZXhtbC54bWxQSwUGAAAAAAYABgBb&#10;AQAAtwMAAAAA&#10;" adj="31376,-13597,14400">
                  <v:fill on="t" focussize="0,0"/>
                  <v:stroke weight="1pt" color="#000000 [3213]" miterlimit="8" joinstyle="miter"/>
                  <v:imagedata o:title=""/>
                  <o:lock v:ext="edit" aspectratio="f"/>
                  <v:textbox>
                    <w:txbxContent>
                      <w:p w14:paraId="19C28AF9">
                        <w:pPr>
                          <w:jc w:val="center"/>
                          <w:rPr>
                            <w:b/>
                            <w:bCs/>
                            <w:sz w:val="28"/>
                            <w:szCs w:val="28"/>
                          </w:rPr>
                        </w:pPr>
                        <w:r>
                          <w:rPr>
                            <w:rFonts w:hint="eastAsia"/>
                            <w:b/>
                            <w:bCs/>
                            <w:sz w:val="28"/>
                            <w:szCs w:val="28"/>
                          </w:rPr>
                          <w:t>项目位置</w:t>
                        </w:r>
                      </w:p>
                    </w:txbxContent>
                  </v:textbox>
                </v:shape>
                <v:shape id="椭圆 263" o:spid="_x0000_s1026" o:spt="3" type="#_x0000_t3" style="position:absolute;left:11455;top:1801423;height:170;width:170;v-text-anchor:middle;" fillcolor="#FF0000" filled="t" stroked="t" coordsize="21600,21600" o:gfxdata="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jBTovQAA&#10;ANwAAAAPAAAAAAAAAAEAIAAAACIAAABkcnMvZG93bnJldi54bWxQSwECFAAUAAAACACHTuJAMy8F&#10;njsAAAA5AAAAEAAAAAAAAAABACAAAAAMAQAAZHJzL3NoYXBleG1sLnhtbFBLBQYAAAAABgAGAFsB&#10;AAC2AwAAAAA=&#10;">
                  <v:fill on="t" focussize="0,0"/>
                  <v:stroke weight="1pt" color="#2E75B6 [2404]" miterlimit="8" joinstyle="miter"/>
                  <v:imagedata o:title=""/>
                  <o:lock v:ext="edit" aspectratio="f"/>
                </v:shape>
              </v:group>
            </w:pict>
          </mc:Fallback>
        </mc:AlternateContent>
      </w:r>
      <w:r>
        <w:rPr>
          <w:color w:val="000000" w:themeColor="text1"/>
          <w:highlight w:val="none"/>
          <w14:textFill>
            <w14:solidFill>
              <w14:schemeClr w14:val="tx1"/>
            </w14:solidFill>
          </w14:textFill>
        </w:rPr>
        <w:drawing>
          <wp:inline distT="0" distB="0" distL="114300" distR="114300">
            <wp:extent cx="8426450" cy="5177155"/>
            <wp:effectExtent l="28575" t="9525" r="41275" b="33020"/>
            <wp:docPr id="2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
                    <pic:cNvPicPr>
                      <a:picLocks noChangeAspect="1"/>
                    </pic:cNvPicPr>
                  </pic:nvPicPr>
                  <pic:blipFill>
                    <a:blip r:embed="rId52"/>
                    <a:stretch>
                      <a:fillRect/>
                    </a:stretch>
                  </pic:blipFill>
                  <pic:spPr>
                    <a:xfrm>
                      <a:off x="0" y="0"/>
                      <a:ext cx="8426450" cy="5177155"/>
                    </a:xfrm>
                    <a:prstGeom prst="rect">
                      <a:avLst/>
                    </a:prstGeom>
                    <a:noFill/>
                    <a:ln w="28575">
                      <a:solidFill>
                        <a:schemeClr val="tx1"/>
                      </a:solidFill>
                    </a:ln>
                  </pic:spPr>
                </pic:pic>
              </a:graphicData>
            </a:graphic>
          </wp:inline>
        </w:drawing>
      </w:r>
    </w:p>
    <w:p w14:paraId="576C180D">
      <w:pPr>
        <w:pStyle w:val="43"/>
        <w:jc w:val="center"/>
        <w:outlineLvl w:val="0"/>
        <w:rPr>
          <w:rFonts w:hint="eastAsia" w:ascii="Times New Roman" w:cs="Times New Roman"/>
          <w:b/>
          <w:bCs/>
          <w:color w:val="000000" w:themeColor="text1"/>
          <w:highlight w:val="none"/>
          <w14:textFill>
            <w14:solidFill>
              <w14:schemeClr w14:val="tx1"/>
            </w14:solidFill>
          </w14:textFill>
        </w:rPr>
      </w:pPr>
      <w:bookmarkStart w:id="217" w:name="_Toc12589"/>
      <w:bookmarkStart w:id="218" w:name="_Toc19902"/>
      <w:r>
        <w:rPr>
          <w:rFonts w:hint="eastAsia" w:ascii="Times New Roman" w:cs="Times New Roman"/>
          <w:b/>
          <w:bCs/>
          <w:color w:val="000000" w:themeColor="text1"/>
          <w:highlight w:val="none"/>
          <w14:textFill>
            <w14:solidFill>
              <w14:schemeClr w14:val="tx1"/>
            </w14:solidFill>
          </w14:textFill>
        </w:rPr>
        <w:t>附图1</w:t>
      </w:r>
      <w:r>
        <w:rPr>
          <w:rFonts w:hint="eastAsia" w:ascii="Times New Roman" w:cs="Times New Roman"/>
          <w:b/>
          <w:bCs/>
          <w:color w:val="000000" w:themeColor="text1"/>
          <w:highlight w:val="none"/>
          <w:lang w:val="en-US" w:eastAsia="zh-CN"/>
          <w14:textFill>
            <w14:solidFill>
              <w14:schemeClr w14:val="tx1"/>
            </w14:solidFill>
          </w14:textFill>
        </w:rPr>
        <w:t>3-2</w:t>
      </w:r>
      <w:r>
        <w:rPr>
          <w:rFonts w:hint="eastAsia" w:ascii="Times New Roman" w:cs="Times New Roman"/>
          <w:b/>
          <w:bCs/>
          <w:color w:val="000000" w:themeColor="text1"/>
          <w:highlight w:val="none"/>
          <w14:textFill>
            <w14:solidFill>
              <w14:schemeClr w14:val="tx1"/>
            </w14:solidFill>
          </w14:textFill>
        </w:rPr>
        <w:t xml:space="preserve"> 广东省“三线一单”</w:t>
      </w:r>
      <w:r>
        <w:rPr>
          <w:rFonts w:hint="eastAsia" w:ascii="Times New Roman" w:cs="Times New Roman"/>
          <w:b/>
          <w:bCs/>
          <w:color w:val="000000" w:themeColor="text1"/>
          <w:highlight w:val="none"/>
          <w:lang w:val="en-US" w:eastAsia="zh-CN"/>
          <w14:textFill>
            <w14:solidFill>
              <w14:schemeClr w14:val="tx1"/>
            </w14:solidFill>
          </w14:textFill>
        </w:rPr>
        <w:t>平台生态空间一般管控区</w:t>
      </w:r>
      <w:r>
        <w:rPr>
          <w:rFonts w:hint="eastAsia" w:ascii="Times New Roman" w:cs="Times New Roman"/>
          <w:b/>
          <w:bCs/>
          <w:color w:val="000000" w:themeColor="text1"/>
          <w:highlight w:val="none"/>
          <w14:textFill>
            <w14:solidFill>
              <w14:schemeClr w14:val="tx1"/>
            </w14:solidFill>
          </w14:textFill>
        </w:rPr>
        <w:t>截图</w:t>
      </w:r>
      <w:bookmarkEnd w:id="217"/>
      <w:bookmarkEnd w:id="218"/>
    </w:p>
    <w:p w14:paraId="59F57C96">
      <w:pPr>
        <w:rPr>
          <w:rFonts w:hint="eastAsia" w:ascii="Times New Roman" w:cs="Times New Roman"/>
          <w:b/>
          <w:bCs/>
          <w:color w:val="000000" w:themeColor="text1"/>
          <w:highlight w:val="none"/>
          <w14:textFill>
            <w14:solidFill>
              <w14:schemeClr w14:val="tx1"/>
            </w14:solidFill>
          </w14:textFill>
        </w:rPr>
      </w:pPr>
      <w:r>
        <w:rPr>
          <w:rFonts w:hint="eastAsia" w:ascii="Times New Roman" w:cs="Times New Roman"/>
          <w:b/>
          <w:bCs/>
          <w:color w:val="000000" w:themeColor="text1"/>
          <w:highlight w:val="none"/>
          <w14:textFill>
            <w14:solidFill>
              <w14:schemeClr w14:val="tx1"/>
            </w14:solidFill>
          </w14:textFill>
        </w:rPr>
        <w:br w:type="page"/>
      </w:r>
    </w:p>
    <w:p w14:paraId="30DDEAF3">
      <w:pPr>
        <w:pStyle w:val="43"/>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9"/>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35040" behindDoc="0" locked="0" layoutInCell="1" allowOverlap="1">
                <wp:simplePos x="0" y="0"/>
                <wp:positionH relativeFrom="column">
                  <wp:posOffset>4349115</wp:posOffset>
                </wp:positionH>
                <wp:positionV relativeFrom="paragraph">
                  <wp:posOffset>2622550</wp:posOffset>
                </wp:positionV>
                <wp:extent cx="1740535" cy="919480"/>
                <wp:effectExtent l="6350" t="6350" r="24765" b="7620"/>
                <wp:wrapNone/>
                <wp:docPr id="268" name="组合 268"/>
                <wp:cNvGraphicFramePr/>
                <a:graphic xmlns:a="http://schemas.openxmlformats.org/drawingml/2006/main">
                  <a:graphicData uri="http://schemas.microsoft.com/office/word/2010/wordprocessingGroup">
                    <wpg:wgp>
                      <wpg:cNvGrpSpPr/>
                      <wpg:grpSpPr>
                        <a:xfrm>
                          <a:off x="0" y="0"/>
                          <a:ext cx="1740535" cy="919480"/>
                          <a:chOff x="8884" y="1801423"/>
                          <a:chExt cx="2741" cy="1448"/>
                        </a:xfrm>
                      </wpg:grpSpPr>
                      <wps:wsp>
                        <wps:cNvPr id="269" name="圆角矩形标注 89"/>
                        <wps:cNvSpPr/>
                        <wps:spPr>
                          <a:xfrm>
                            <a:off x="8884" y="1802037"/>
                            <a:ext cx="1750" cy="834"/>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B7A302F">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0" name="椭圆 263"/>
                        <wps:cNvSpPr/>
                        <wps:spPr>
                          <a:xfrm>
                            <a:off x="11455" y="1801423"/>
                            <a:ext cx="170" cy="17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42.45pt;margin-top:206.5pt;height:72.4pt;width:137.05pt;z-index:251735040;mso-width-relative:page;mso-height-relative:page;" coordorigin="8884,1801423" coordsize="2741,1448" o:gfxdata="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L7KttvcAAAACwEAAA8AAAAAAAAAAQAgAAAAIgAAAGRycy9kb3ducmV2LnhtbFBLAQIU&#10;ABQAAAAIAIdO4kDupQmDtwMAABIKAAAOAAAAAAAAAAEAIAAAACsBAABkcnMvZTJvRG9jLnhtbFBL&#10;BQYAAAAABgAGAFkBAABUBwAAAAA=&#10;">
                <o:lock v:ext="edit" aspectratio="f"/>
                <v:shape id="圆角矩形标注 89" o:spid="_x0000_s1026" o:spt="62" type="#_x0000_t62" style="position:absolute;left:8884;top:1802037;height:834;width:1750;v-text-anchor:middle;" fillcolor="#FFFFFF [3212]" filled="t" stroked="t" coordsize="21600,21600" o:gfxdata="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Eoir4A&#10;AADcAAAADwAAAAAAAAABACAAAAAiAAAAZHJzL2Rvd25yZXYueG1sUEsBAhQAFAAAAAgAh07iQDMv&#10;BZ47AAAAOQAAABAAAAAAAAAAAQAgAAAADQEAAGRycy9zaGFwZXhtbC54bWxQSwUGAAAAAAYABgBb&#10;AQAAtwMAAAAA&#10;" adj="31376,-13597,14400">
                  <v:fill on="t" focussize="0,0"/>
                  <v:stroke weight="1pt" color="#000000 [3213]" miterlimit="8" joinstyle="miter"/>
                  <v:imagedata o:title=""/>
                  <o:lock v:ext="edit" aspectratio="f"/>
                  <v:textbox>
                    <w:txbxContent>
                      <w:p w14:paraId="4B7A302F">
                        <w:pPr>
                          <w:jc w:val="center"/>
                          <w:rPr>
                            <w:b/>
                            <w:bCs/>
                            <w:sz w:val="28"/>
                            <w:szCs w:val="28"/>
                          </w:rPr>
                        </w:pPr>
                        <w:r>
                          <w:rPr>
                            <w:rFonts w:hint="eastAsia"/>
                            <w:b/>
                            <w:bCs/>
                            <w:sz w:val="28"/>
                            <w:szCs w:val="28"/>
                          </w:rPr>
                          <w:t>项目位置</w:t>
                        </w:r>
                      </w:p>
                    </w:txbxContent>
                  </v:textbox>
                </v:shape>
                <v:shape id="椭圆 263" o:spid="_x0000_s1026" o:spt="3" type="#_x0000_t3" style="position:absolute;left:11455;top:1801423;height:170;width:170;v-text-anchor:middle;" fillcolor="#FF0000" filled="t" stroked="t" coordsize="21600,21600" o:gfxdata="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vBpBugAAANwA&#10;AAAPAAAAAAAAAAEAIAAAACIAAABkcnMvZG93bnJldi54bWxQSwECFAAUAAAACACHTuJAMy8FnjsA&#10;AAA5AAAAEAAAAAAAAAABACAAAAAJAQAAZHJzL3NoYXBleG1sLnhtbFBLBQYAAAAABgAGAFsBAACz&#10;AwAAAAA=&#10;">
                  <v:fill on="t" focussize="0,0"/>
                  <v:stroke weight="1pt" color="#2E75B6 [2404]" miterlimit="8" joinstyle="miter"/>
                  <v:imagedata o:title=""/>
                  <o:lock v:ext="edit" aspectratio="f"/>
                </v:shape>
              </v:group>
            </w:pict>
          </mc:Fallback>
        </mc:AlternateContent>
      </w:r>
      <w:r>
        <w:rPr>
          <w:color w:val="000000" w:themeColor="text1"/>
          <w:highlight w:val="none"/>
          <w14:textFill>
            <w14:solidFill>
              <w14:schemeClr w14:val="tx1"/>
            </w14:solidFill>
          </w14:textFill>
        </w:rPr>
        <w:drawing>
          <wp:inline distT="0" distB="0" distL="114300" distR="114300">
            <wp:extent cx="8352155" cy="5339080"/>
            <wp:effectExtent l="28575" t="28575" r="39370" b="42545"/>
            <wp:docPr id="2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1"/>
                    <pic:cNvPicPr>
                      <a:picLocks noChangeAspect="1"/>
                    </pic:cNvPicPr>
                  </pic:nvPicPr>
                  <pic:blipFill>
                    <a:blip r:embed="rId53"/>
                    <a:stretch>
                      <a:fillRect/>
                    </a:stretch>
                  </pic:blipFill>
                  <pic:spPr>
                    <a:xfrm>
                      <a:off x="0" y="0"/>
                      <a:ext cx="8352155" cy="5339080"/>
                    </a:xfrm>
                    <a:prstGeom prst="rect">
                      <a:avLst/>
                    </a:prstGeom>
                    <a:noFill/>
                    <a:ln w="28575">
                      <a:solidFill>
                        <a:schemeClr val="tx1"/>
                      </a:solidFill>
                    </a:ln>
                  </pic:spPr>
                </pic:pic>
              </a:graphicData>
            </a:graphic>
          </wp:inline>
        </w:drawing>
      </w:r>
    </w:p>
    <w:p w14:paraId="0A5B09A4">
      <w:pPr>
        <w:pStyle w:val="43"/>
        <w:keepNext w:val="0"/>
        <w:keepLines w:val="0"/>
        <w:pageBreakBefore w:val="0"/>
        <w:widowControl w:val="0"/>
        <w:kinsoku/>
        <w:wordWrap/>
        <w:overflowPunct/>
        <w:topLinePunct w:val="0"/>
        <w:autoSpaceDE w:val="0"/>
        <w:autoSpaceDN w:val="0"/>
        <w:bidi w:val="0"/>
        <w:adjustRightInd w:val="0"/>
        <w:snapToGrid/>
        <w:spacing w:line="276" w:lineRule="auto"/>
        <w:jc w:val="center"/>
        <w:textAlignment w:val="auto"/>
        <w:outlineLvl w:val="0"/>
        <w:rPr>
          <w:rFonts w:hint="eastAsia" w:ascii="Times New Roman" w:cs="Times New Roman"/>
          <w:b/>
          <w:bCs/>
          <w:color w:val="000000" w:themeColor="text1"/>
          <w:highlight w:val="none"/>
          <w14:textFill>
            <w14:solidFill>
              <w14:schemeClr w14:val="tx1"/>
            </w14:solidFill>
          </w14:textFill>
        </w:rPr>
      </w:pPr>
      <w:bookmarkStart w:id="219" w:name="_Toc18240"/>
      <w:bookmarkStart w:id="220" w:name="_Toc17410"/>
      <w:r>
        <w:rPr>
          <w:rFonts w:hint="eastAsia" w:ascii="Times New Roman" w:cs="Times New Roman"/>
          <w:b/>
          <w:bCs/>
          <w:color w:val="000000" w:themeColor="text1"/>
          <w:highlight w:val="none"/>
          <w14:textFill>
            <w14:solidFill>
              <w14:schemeClr w14:val="tx1"/>
            </w14:solidFill>
          </w14:textFill>
        </w:rPr>
        <w:t>附图1</w:t>
      </w:r>
      <w:r>
        <w:rPr>
          <w:rFonts w:hint="eastAsia" w:ascii="Times New Roman" w:cs="Times New Roman"/>
          <w:b/>
          <w:bCs/>
          <w:color w:val="000000" w:themeColor="text1"/>
          <w:highlight w:val="none"/>
          <w:lang w:val="en-US" w:eastAsia="zh-CN"/>
          <w14:textFill>
            <w14:solidFill>
              <w14:schemeClr w14:val="tx1"/>
            </w14:solidFill>
          </w14:textFill>
        </w:rPr>
        <w:t>3-3</w:t>
      </w:r>
      <w:r>
        <w:rPr>
          <w:rFonts w:hint="eastAsia" w:ascii="Times New Roman" w:cs="Times New Roman"/>
          <w:b/>
          <w:bCs/>
          <w:color w:val="000000" w:themeColor="text1"/>
          <w:highlight w:val="none"/>
          <w14:textFill>
            <w14:solidFill>
              <w14:schemeClr w14:val="tx1"/>
            </w14:solidFill>
          </w14:textFill>
        </w:rPr>
        <w:t xml:space="preserve"> 广东省“三线一单”</w:t>
      </w:r>
      <w:r>
        <w:rPr>
          <w:rFonts w:hint="eastAsia" w:ascii="Times New Roman" w:cs="Times New Roman"/>
          <w:b/>
          <w:bCs/>
          <w:color w:val="000000" w:themeColor="text1"/>
          <w:highlight w:val="none"/>
          <w:lang w:val="en-US" w:eastAsia="zh-CN"/>
          <w14:textFill>
            <w14:solidFill>
              <w14:schemeClr w14:val="tx1"/>
            </w14:solidFill>
          </w14:textFill>
        </w:rPr>
        <w:t>平台水环境管控分区</w:t>
      </w:r>
      <w:r>
        <w:rPr>
          <w:rFonts w:hint="eastAsia" w:ascii="Times New Roman" w:cs="Times New Roman"/>
          <w:b/>
          <w:bCs/>
          <w:color w:val="000000" w:themeColor="text1"/>
          <w:highlight w:val="none"/>
          <w14:textFill>
            <w14:solidFill>
              <w14:schemeClr w14:val="tx1"/>
            </w14:solidFill>
          </w14:textFill>
        </w:rPr>
        <w:t>截图</w:t>
      </w:r>
      <w:bookmarkEnd w:id="219"/>
      <w:bookmarkEnd w:id="220"/>
    </w:p>
    <w:p w14:paraId="42E21437">
      <w:pPr>
        <w:pStyle w:val="13"/>
        <w:keepNext w:val="0"/>
        <w:keepLines w:val="0"/>
        <w:pageBreakBefore w:val="0"/>
        <w:widowControl w:val="0"/>
        <w:kinsoku/>
        <w:wordWrap/>
        <w:overflowPunct/>
        <w:topLinePunct w:val="0"/>
        <w:bidi w:val="0"/>
        <w:snapToGrid/>
        <w:spacing w:line="276" w:lineRule="auto"/>
        <w:jc w:val="center"/>
        <w:textAlignment w:val="auto"/>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36064" behindDoc="0" locked="0" layoutInCell="1" allowOverlap="1">
                <wp:simplePos x="0" y="0"/>
                <wp:positionH relativeFrom="column">
                  <wp:posOffset>4653915</wp:posOffset>
                </wp:positionH>
                <wp:positionV relativeFrom="paragraph">
                  <wp:posOffset>2555875</wp:posOffset>
                </wp:positionV>
                <wp:extent cx="1740535" cy="919480"/>
                <wp:effectExtent l="6350" t="6350" r="24765" b="7620"/>
                <wp:wrapNone/>
                <wp:docPr id="271" name="组合 271"/>
                <wp:cNvGraphicFramePr/>
                <a:graphic xmlns:a="http://schemas.openxmlformats.org/drawingml/2006/main">
                  <a:graphicData uri="http://schemas.microsoft.com/office/word/2010/wordprocessingGroup">
                    <wpg:wgp>
                      <wpg:cNvGrpSpPr/>
                      <wpg:grpSpPr>
                        <a:xfrm>
                          <a:off x="0" y="0"/>
                          <a:ext cx="1740535" cy="919480"/>
                          <a:chOff x="8884" y="1801423"/>
                          <a:chExt cx="2741" cy="1448"/>
                        </a:xfrm>
                      </wpg:grpSpPr>
                      <wps:wsp>
                        <wps:cNvPr id="272" name="圆角矩形标注 89"/>
                        <wps:cNvSpPr/>
                        <wps:spPr>
                          <a:xfrm>
                            <a:off x="8884" y="1802037"/>
                            <a:ext cx="1750" cy="834"/>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DE3D520">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3" name="椭圆 263"/>
                        <wps:cNvSpPr/>
                        <wps:spPr>
                          <a:xfrm>
                            <a:off x="11455" y="1801423"/>
                            <a:ext cx="170" cy="17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66.45pt;margin-top:201.25pt;height:72.4pt;width:137.05pt;z-index:251736064;mso-width-relative:page;mso-height-relative:page;" coordorigin="8884,1801423" coordsize="2741,1448" o:gfxdata="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HNd4JvcAAAADAEAAA8AAAAAAAAAAQAgAAAAIgAAAGRycy9kb3ducmV2Lnht&#10;bFBLAQIUABQAAAAIAIdO4kDtHbokvQMAABIKAAAOAAAAAAAAAAEAIAAAACsBAABkcnMvZTJvRG9j&#10;LnhtbFBLBQYAAAAABgAGAFkBAABaBwAAAAA=&#10;">
                <o:lock v:ext="edit" aspectratio="f"/>
                <v:shape id="圆角矩形标注 89" o:spid="_x0000_s1026" o:spt="62" type="#_x0000_t62" style="position:absolute;left:8884;top:1802037;height:834;width:1750;v-text-anchor:middle;" fillcolor="#FFFFFF [3212]" filled="t" stroked="t" coordsize="21600,21600" o:gfxdata="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wsJr4A&#10;AADcAAAADwAAAAAAAAABACAAAAAiAAAAZHJzL2Rvd25yZXYueG1sUEsBAhQAFAAAAAgAh07iQDMv&#10;BZ47AAAAOQAAABAAAAAAAAAAAQAgAAAADQEAAGRycy9zaGFwZXhtbC54bWxQSwUGAAAAAAYABgBb&#10;AQAAtwMAAAAA&#10;" adj="31376,-13597,14400">
                  <v:fill on="t" focussize="0,0"/>
                  <v:stroke weight="1pt" color="#000000 [3213]" miterlimit="8" joinstyle="miter"/>
                  <v:imagedata o:title=""/>
                  <o:lock v:ext="edit" aspectratio="f"/>
                  <v:textbox>
                    <w:txbxContent>
                      <w:p w14:paraId="0DE3D520">
                        <w:pPr>
                          <w:jc w:val="center"/>
                          <w:rPr>
                            <w:b/>
                            <w:bCs/>
                            <w:sz w:val="28"/>
                            <w:szCs w:val="28"/>
                          </w:rPr>
                        </w:pPr>
                        <w:r>
                          <w:rPr>
                            <w:rFonts w:hint="eastAsia"/>
                            <w:b/>
                            <w:bCs/>
                            <w:sz w:val="28"/>
                            <w:szCs w:val="28"/>
                          </w:rPr>
                          <w:t>项目位置</w:t>
                        </w:r>
                      </w:p>
                    </w:txbxContent>
                  </v:textbox>
                </v:shape>
                <v:shape id="椭圆 263" o:spid="_x0000_s1026" o:spt="3" type="#_x0000_t3" style="position:absolute;left:11455;top:1801423;height:170;width:170;v-text-anchor:middle;" fillcolor="#FF0000" filled="t" stroked="t" coordsize="21600,21600" o:gfxdata="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6ENr4A&#10;AADcAAAADwAAAAAAAAABACAAAAAiAAAAZHJzL2Rvd25yZXYueG1sUEsBAhQAFAAAAAgAh07iQDMv&#10;BZ47AAAAOQAAABAAAAAAAAAAAQAgAAAADQEAAGRycy9zaGFwZXhtbC54bWxQSwUGAAAAAAYABgBb&#10;AQAAtwMAAAAA&#10;">
                  <v:fill on="t" focussize="0,0"/>
                  <v:stroke weight="1pt" color="#2E75B6 [2404]" miterlimit="8" joinstyle="miter"/>
                  <v:imagedata o:title=""/>
                  <o:lock v:ext="edit" aspectratio="f"/>
                </v:shape>
              </v:group>
            </w:pict>
          </mc:Fallback>
        </mc:AlternateContent>
      </w:r>
      <w:r>
        <w:rPr>
          <w:color w:val="000000" w:themeColor="text1"/>
          <w:highlight w:val="none"/>
          <w14:textFill>
            <w14:solidFill>
              <w14:schemeClr w14:val="tx1"/>
            </w14:solidFill>
          </w14:textFill>
        </w:rPr>
        <w:drawing>
          <wp:inline distT="0" distB="0" distL="114300" distR="114300">
            <wp:extent cx="8347075" cy="5318125"/>
            <wp:effectExtent l="28575" t="28575" r="44450" b="44450"/>
            <wp:docPr id="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2"/>
                    <pic:cNvPicPr>
                      <a:picLocks noChangeAspect="1"/>
                    </pic:cNvPicPr>
                  </pic:nvPicPr>
                  <pic:blipFill>
                    <a:blip r:embed="rId54"/>
                    <a:stretch>
                      <a:fillRect/>
                    </a:stretch>
                  </pic:blipFill>
                  <pic:spPr>
                    <a:xfrm>
                      <a:off x="0" y="0"/>
                      <a:ext cx="8347075" cy="5318125"/>
                    </a:xfrm>
                    <a:prstGeom prst="rect">
                      <a:avLst/>
                    </a:prstGeom>
                    <a:noFill/>
                    <a:ln w="28575">
                      <a:solidFill>
                        <a:schemeClr val="tx1"/>
                      </a:solidFill>
                    </a:ln>
                  </pic:spPr>
                </pic:pic>
              </a:graphicData>
            </a:graphic>
          </wp:inline>
        </w:drawing>
      </w:r>
    </w:p>
    <w:p w14:paraId="19F33C11">
      <w:pPr>
        <w:pStyle w:val="43"/>
        <w:keepNext w:val="0"/>
        <w:keepLines w:val="0"/>
        <w:pageBreakBefore w:val="0"/>
        <w:widowControl w:val="0"/>
        <w:kinsoku/>
        <w:wordWrap/>
        <w:overflowPunct/>
        <w:topLinePunct w:val="0"/>
        <w:bidi w:val="0"/>
        <w:snapToGrid/>
        <w:spacing w:line="276" w:lineRule="auto"/>
        <w:jc w:val="center"/>
        <w:textAlignment w:val="auto"/>
        <w:outlineLvl w:val="0"/>
        <w:rPr>
          <w:rFonts w:hint="eastAsia" w:ascii="Times New Roman" w:cs="Times New Roman"/>
          <w:b/>
          <w:bCs/>
          <w:color w:val="000000" w:themeColor="text1"/>
          <w:highlight w:val="none"/>
          <w14:textFill>
            <w14:solidFill>
              <w14:schemeClr w14:val="tx1"/>
            </w14:solidFill>
          </w14:textFill>
        </w:rPr>
      </w:pPr>
      <w:bookmarkStart w:id="221" w:name="_Toc2581"/>
      <w:bookmarkStart w:id="222" w:name="_Toc27132"/>
      <w:r>
        <w:rPr>
          <w:rFonts w:hint="eastAsia" w:ascii="Times New Roman" w:cs="Times New Roman"/>
          <w:b/>
          <w:bCs/>
          <w:color w:val="000000" w:themeColor="text1"/>
          <w:highlight w:val="none"/>
          <w14:textFill>
            <w14:solidFill>
              <w14:schemeClr w14:val="tx1"/>
            </w14:solidFill>
          </w14:textFill>
        </w:rPr>
        <w:t>附图1</w:t>
      </w:r>
      <w:r>
        <w:rPr>
          <w:rFonts w:hint="eastAsia" w:ascii="Times New Roman" w:cs="Times New Roman"/>
          <w:b/>
          <w:bCs/>
          <w:color w:val="000000" w:themeColor="text1"/>
          <w:highlight w:val="none"/>
          <w:lang w:val="en-US" w:eastAsia="zh-CN"/>
          <w14:textFill>
            <w14:solidFill>
              <w14:schemeClr w14:val="tx1"/>
            </w14:solidFill>
          </w14:textFill>
        </w:rPr>
        <w:t>3-4</w:t>
      </w:r>
      <w:r>
        <w:rPr>
          <w:rFonts w:hint="eastAsia" w:ascii="Times New Roman" w:cs="Times New Roman"/>
          <w:b/>
          <w:bCs/>
          <w:color w:val="000000" w:themeColor="text1"/>
          <w:highlight w:val="none"/>
          <w14:textFill>
            <w14:solidFill>
              <w14:schemeClr w14:val="tx1"/>
            </w14:solidFill>
          </w14:textFill>
        </w:rPr>
        <w:t xml:space="preserve"> 广东省“三线一单”</w:t>
      </w:r>
      <w:r>
        <w:rPr>
          <w:rFonts w:hint="eastAsia" w:ascii="Times New Roman" w:cs="Times New Roman"/>
          <w:b/>
          <w:bCs/>
          <w:color w:val="000000" w:themeColor="text1"/>
          <w:highlight w:val="none"/>
          <w:lang w:val="en-US" w:eastAsia="zh-CN"/>
          <w14:textFill>
            <w14:solidFill>
              <w14:schemeClr w14:val="tx1"/>
            </w14:solidFill>
          </w14:textFill>
        </w:rPr>
        <w:t>平台大气环境管控分区</w:t>
      </w:r>
      <w:r>
        <w:rPr>
          <w:rFonts w:hint="eastAsia" w:ascii="Times New Roman" w:cs="Times New Roman"/>
          <w:b/>
          <w:bCs/>
          <w:color w:val="000000" w:themeColor="text1"/>
          <w:highlight w:val="none"/>
          <w14:textFill>
            <w14:solidFill>
              <w14:schemeClr w14:val="tx1"/>
            </w14:solidFill>
          </w14:textFill>
        </w:rPr>
        <w:t>截图</w:t>
      </w:r>
      <w:bookmarkEnd w:id="221"/>
      <w:bookmarkEnd w:id="222"/>
    </w:p>
    <w:p w14:paraId="19E56D86">
      <w:pPr>
        <w:pStyle w:val="13"/>
        <w:keepNext w:val="0"/>
        <w:keepLines w:val="0"/>
        <w:pageBreakBefore w:val="0"/>
        <w:widowControl w:val="0"/>
        <w:kinsoku/>
        <w:wordWrap/>
        <w:overflowPunct/>
        <w:topLinePunct w:val="0"/>
        <w:bidi w:val="0"/>
        <w:snapToGrid/>
        <w:spacing w:line="276" w:lineRule="auto"/>
        <w:jc w:val="center"/>
        <w:textAlignment w:val="auto"/>
        <w:rPr>
          <w:color w:val="000000" w:themeColor="text1"/>
          <w:highlight w:val="none"/>
          <w14:textFill>
            <w14:solidFill>
              <w14:schemeClr w14:val="tx1"/>
            </w14:solidFill>
          </w14:textFill>
        </w:rPr>
      </w:pPr>
      <w:r>
        <w:rPr>
          <w:color w:val="000000" w:themeColor="text1"/>
          <w:sz w:val="24"/>
          <w14:textFill>
            <w14:solidFill>
              <w14:schemeClr w14:val="tx1"/>
            </w14:solidFill>
          </w14:textFill>
        </w:rPr>
        <mc:AlternateContent>
          <mc:Choice Requires="wpg">
            <w:drawing>
              <wp:anchor distT="0" distB="0" distL="114300" distR="114300" simplePos="0" relativeHeight="251737088" behindDoc="0" locked="0" layoutInCell="1" allowOverlap="1">
                <wp:simplePos x="0" y="0"/>
                <wp:positionH relativeFrom="column">
                  <wp:posOffset>4577715</wp:posOffset>
                </wp:positionH>
                <wp:positionV relativeFrom="paragraph">
                  <wp:posOffset>2403475</wp:posOffset>
                </wp:positionV>
                <wp:extent cx="1740535" cy="919480"/>
                <wp:effectExtent l="6350" t="6350" r="24765" b="7620"/>
                <wp:wrapNone/>
                <wp:docPr id="274" name="组合 274"/>
                <wp:cNvGraphicFramePr/>
                <a:graphic xmlns:a="http://schemas.openxmlformats.org/drawingml/2006/main">
                  <a:graphicData uri="http://schemas.microsoft.com/office/word/2010/wordprocessingGroup">
                    <wpg:wgp>
                      <wpg:cNvGrpSpPr/>
                      <wpg:grpSpPr>
                        <a:xfrm>
                          <a:off x="0" y="0"/>
                          <a:ext cx="1740535" cy="919480"/>
                          <a:chOff x="8884" y="1801423"/>
                          <a:chExt cx="2741" cy="1448"/>
                        </a:xfrm>
                      </wpg:grpSpPr>
                      <wps:wsp>
                        <wps:cNvPr id="278" name="圆角矩形标注 89"/>
                        <wps:cNvSpPr/>
                        <wps:spPr>
                          <a:xfrm>
                            <a:off x="8884" y="1802037"/>
                            <a:ext cx="1750" cy="834"/>
                          </a:xfrm>
                          <a:prstGeom prst="wedgeRoundRectCallout">
                            <a:avLst>
                              <a:gd name="adj1" fmla="val 95257"/>
                              <a:gd name="adj2" fmla="val -11294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4B3F2E19">
                              <w:pPr>
                                <w:jc w:val="center"/>
                                <w:rPr>
                                  <w:b/>
                                  <w:bCs/>
                                  <w:sz w:val="28"/>
                                  <w:szCs w:val="28"/>
                                </w:rPr>
                              </w:pPr>
                              <w:r>
                                <w:rPr>
                                  <w:rFonts w:hint="eastAsia"/>
                                  <w:b/>
                                  <w:bCs/>
                                  <w:sz w:val="28"/>
                                  <w:szCs w:val="28"/>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9" name="椭圆 263"/>
                        <wps:cNvSpPr/>
                        <wps:spPr>
                          <a:xfrm>
                            <a:off x="11455" y="1801423"/>
                            <a:ext cx="170" cy="17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60.45pt;margin-top:189.25pt;height:72.4pt;width:137.05pt;z-index:251737088;mso-width-relative:page;mso-height-relative:page;" coordorigin="8884,1801423" coordsize="2741,1448" o:gfxdata="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K/DDEjbAAAACwEAAA8AAAAAAAAAAQAgAAAAIgAAAGRycy9kb3ducmV2LnhtbFBLAQIU&#10;ABQAAAAIAIdO4kCnzTvHuAMAABIKAAAOAAAAAAAAAAEAIAAAACoBAABkcnMvZTJvRG9jLnhtbFBL&#10;BQYAAAAABgAGAFkBAABUBwAAAAA=&#10;">
                <o:lock v:ext="edit" aspectratio="f"/>
                <v:shape id="圆角矩形标注 89" o:spid="_x0000_s1026" o:spt="62" type="#_x0000_t62" style="position:absolute;left:8884;top:1802037;height:834;width:1750;v-text-anchor:middle;" fillcolor="#FFFFFF [3212]" filled="t" stroked="t" coordsize="21600,21600" o:gfxdata="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QbzLsAAADc&#10;AAAADwAAAAAAAAABACAAAAAiAAAAZHJzL2Rvd25yZXYueG1sUEsBAhQAFAAAAAgAh07iQDMvBZ47&#10;AAAAOQAAABAAAAAAAAAAAQAgAAAACgEAAGRycy9zaGFwZXhtbC54bWxQSwUGAAAAAAYABgBbAQAA&#10;tAMAAAAA&#10;" adj="31376,-13597,14400">
                  <v:fill on="t" focussize="0,0"/>
                  <v:stroke weight="1pt" color="#000000 [3213]" miterlimit="8" joinstyle="miter"/>
                  <v:imagedata o:title=""/>
                  <o:lock v:ext="edit" aspectratio="f"/>
                  <v:textbox>
                    <w:txbxContent>
                      <w:p w14:paraId="4B3F2E19">
                        <w:pPr>
                          <w:jc w:val="center"/>
                          <w:rPr>
                            <w:b/>
                            <w:bCs/>
                            <w:sz w:val="28"/>
                            <w:szCs w:val="28"/>
                          </w:rPr>
                        </w:pPr>
                        <w:r>
                          <w:rPr>
                            <w:rFonts w:hint="eastAsia"/>
                            <w:b/>
                            <w:bCs/>
                            <w:sz w:val="28"/>
                            <w:szCs w:val="28"/>
                          </w:rPr>
                          <w:t>项目位置</w:t>
                        </w:r>
                      </w:p>
                    </w:txbxContent>
                  </v:textbox>
                </v:shape>
                <v:shape id="椭圆 263" o:spid="_x0000_s1026" o:spt="3" type="#_x0000_t3" style="position:absolute;left:11455;top:1801423;height:170;width:170;v-text-anchor:middle;" fillcolor="#FF0000" filled="t" stroked="t" coordsize="21600,21600" o:gfxdata="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hrPcvQAA&#10;ANwAAAAPAAAAAAAAAAEAIAAAACIAAABkcnMvZG93bnJldi54bWxQSwECFAAUAAAACACHTuJAMy8F&#10;njsAAAA5AAAAEAAAAAAAAAABACAAAAAMAQAAZHJzL3NoYXBleG1sLnhtbFBLBQYAAAAABgAGAFsB&#10;AAC2AwAAAAA=&#10;">
                  <v:fill on="t" focussize="0,0"/>
                  <v:stroke weight="1pt" color="#2E75B6 [2404]" miterlimit="8" joinstyle="miter"/>
                  <v:imagedata o:title=""/>
                  <o:lock v:ext="edit" aspectratio="f"/>
                </v:shape>
              </v:group>
            </w:pict>
          </mc:Fallback>
        </mc:AlternateContent>
      </w:r>
      <w:r>
        <w:rPr>
          <w:color w:val="000000" w:themeColor="text1"/>
          <w:highlight w:val="none"/>
          <w14:textFill>
            <w14:solidFill>
              <w14:schemeClr w14:val="tx1"/>
            </w14:solidFill>
          </w14:textFill>
        </w:rPr>
        <w:drawing>
          <wp:inline distT="0" distB="0" distL="114300" distR="114300">
            <wp:extent cx="8080375" cy="5347970"/>
            <wp:effectExtent l="28575" t="9525" r="44450" b="33655"/>
            <wp:docPr id="2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
                    <pic:cNvPicPr>
                      <a:picLocks noChangeAspect="1"/>
                    </pic:cNvPicPr>
                  </pic:nvPicPr>
                  <pic:blipFill>
                    <a:blip r:embed="rId55"/>
                    <a:stretch>
                      <a:fillRect/>
                    </a:stretch>
                  </pic:blipFill>
                  <pic:spPr>
                    <a:xfrm>
                      <a:off x="0" y="0"/>
                      <a:ext cx="8080375" cy="5347970"/>
                    </a:xfrm>
                    <a:prstGeom prst="rect">
                      <a:avLst/>
                    </a:prstGeom>
                    <a:noFill/>
                    <a:ln w="28575">
                      <a:solidFill>
                        <a:schemeClr val="tx1"/>
                      </a:solidFill>
                    </a:ln>
                  </pic:spPr>
                </pic:pic>
              </a:graphicData>
            </a:graphic>
          </wp:inline>
        </w:drawing>
      </w:r>
    </w:p>
    <w:p w14:paraId="52FD0223">
      <w:pPr>
        <w:pStyle w:val="43"/>
        <w:keepNext w:val="0"/>
        <w:keepLines w:val="0"/>
        <w:pageBreakBefore w:val="0"/>
        <w:widowControl w:val="0"/>
        <w:kinsoku/>
        <w:wordWrap/>
        <w:overflowPunct/>
        <w:topLinePunct w:val="0"/>
        <w:bidi w:val="0"/>
        <w:snapToGrid/>
        <w:spacing w:line="276" w:lineRule="auto"/>
        <w:jc w:val="center"/>
        <w:textAlignment w:val="auto"/>
        <w:outlineLvl w:val="0"/>
        <w:rPr>
          <w:rFonts w:hint="eastAsia" w:ascii="Times New Roman" w:cs="Times New Roman"/>
          <w:b/>
          <w:bCs/>
          <w:color w:val="000000" w:themeColor="text1"/>
          <w:highlight w:val="none"/>
          <w14:textFill>
            <w14:solidFill>
              <w14:schemeClr w14:val="tx1"/>
            </w14:solidFill>
          </w14:textFill>
        </w:rPr>
      </w:pPr>
      <w:bookmarkStart w:id="223" w:name="_Toc22555"/>
      <w:bookmarkStart w:id="224" w:name="_Toc3375"/>
      <w:r>
        <w:rPr>
          <w:rFonts w:hint="eastAsia" w:ascii="Times New Roman" w:cs="Times New Roman"/>
          <w:b/>
          <w:bCs/>
          <w:color w:val="000000" w:themeColor="text1"/>
          <w:highlight w:val="none"/>
          <w14:textFill>
            <w14:solidFill>
              <w14:schemeClr w14:val="tx1"/>
            </w14:solidFill>
          </w14:textFill>
        </w:rPr>
        <w:t>附图1</w:t>
      </w:r>
      <w:r>
        <w:rPr>
          <w:rFonts w:hint="eastAsia" w:ascii="Times New Roman" w:cs="Times New Roman"/>
          <w:b/>
          <w:bCs/>
          <w:color w:val="000000" w:themeColor="text1"/>
          <w:highlight w:val="none"/>
          <w:lang w:val="en-US" w:eastAsia="zh-CN"/>
          <w14:textFill>
            <w14:solidFill>
              <w14:schemeClr w14:val="tx1"/>
            </w14:solidFill>
          </w14:textFill>
        </w:rPr>
        <w:t>3-5</w:t>
      </w:r>
      <w:r>
        <w:rPr>
          <w:rFonts w:hint="eastAsia" w:ascii="Times New Roman" w:cs="Times New Roman"/>
          <w:b/>
          <w:bCs/>
          <w:color w:val="000000" w:themeColor="text1"/>
          <w:highlight w:val="none"/>
          <w14:textFill>
            <w14:solidFill>
              <w14:schemeClr w14:val="tx1"/>
            </w14:solidFill>
          </w14:textFill>
        </w:rPr>
        <w:t xml:space="preserve"> 广东省“三线一单”</w:t>
      </w:r>
      <w:r>
        <w:rPr>
          <w:rFonts w:hint="eastAsia" w:ascii="Times New Roman" w:cs="Times New Roman"/>
          <w:b/>
          <w:bCs/>
          <w:color w:val="000000" w:themeColor="text1"/>
          <w:highlight w:val="none"/>
          <w:lang w:val="en-US" w:eastAsia="zh-CN"/>
          <w14:textFill>
            <w14:solidFill>
              <w14:schemeClr w14:val="tx1"/>
            </w14:solidFill>
          </w14:textFill>
        </w:rPr>
        <w:t>平台自然资源管控分区</w:t>
      </w:r>
      <w:r>
        <w:rPr>
          <w:rFonts w:hint="eastAsia" w:ascii="Times New Roman" w:cs="Times New Roman"/>
          <w:b/>
          <w:bCs/>
          <w:color w:val="000000" w:themeColor="text1"/>
          <w:highlight w:val="none"/>
          <w14:textFill>
            <w14:solidFill>
              <w14:schemeClr w14:val="tx1"/>
            </w14:solidFill>
          </w14:textFill>
        </w:rPr>
        <w:t>截图</w:t>
      </w:r>
      <w:bookmarkEnd w:id="223"/>
      <w:bookmarkEnd w:id="224"/>
    </w:p>
    <w:p w14:paraId="363A5B3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0895AC10">
      <w:pPr>
        <w:pStyle w:val="45"/>
        <w:ind w:left="0"/>
        <w:jc w:val="center"/>
        <w:rPr>
          <w:rFonts w:ascii="Times New Roman"/>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590CBD59">
      <w:pPr>
        <w:pStyle w:val="45"/>
        <w:ind w:left="0"/>
        <w:jc w:val="center"/>
        <w:rPr>
          <w:rFonts w:ascii="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708416" behindDoc="0" locked="0" layoutInCell="1" allowOverlap="1">
            <wp:simplePos x="0" y="0"/>
            <wp:positionH relativeFrom="column">
              <wp:posOffset>5498465</wp:posOffset>
            </wp:positionH>
            <wp:positionV relativeFrom="paragraph">
              <wp:posOffset>59055</wp:posOffset>
            </wp:positionV>
            <wp:extent cx="782320" cy="805815"/>
            <wp:effectExtent l="0" t="0" r="17780" b="13335"/>
            <wp:wrapNone/>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25"/>
                    <a:stretch>
                      <a:fillRect/>
                    </a:stretch>
                  </pic:blipFill>
                  <pic:spPr>
                    <a:xfrm>
                      <a:off x="0" y="0"/>
                      <a:ext cx="782320" cy="805815"/>
                    </a:xfrm>
                    <a:prstGeom prst="rect">
                      <a:avLst/>
                    </a:prstGeom>
                    <a:noFill/>
                    <a:ln>
                      <a:no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3957320</wp:posOffset>
                </wp:positionH>
                <wp:positionV relativeFrom="paragraph">
                  <wp:posOffset>5842000</wp:posOffset>
                </wp:positionV>
                <wp:extent cx="107950" cy="107950"/>
                <wp:effectExtent l="6350" t="6350" r="19050" b="19050"/>
                <wp:wrapNone/>
                <wp:docPr id="283" name="椭圆 26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3" o:spid="_x0000_s1026" o:spt="3" type="#_x0000_t3" style="position:absolute;left:0pt;margin-left:311.6pt;margin-top:460pt;height:8.5pt;width:8.5pt;z-index:251739136;v-text-anchor:middle;mso-width-relative:page;mso-height-relative:page;" fillcolor="#FF0000" filled="t" stroked="t" coordsize="21600,21600" o:gfxdata="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fnfgDXAAAACwEAAA8AAAAAAAAA&#10;AQAgAAAAIgAAAGRycy9kb3ducmV2LnhtbFBLAQIUABQAAAAIAIdO4kA5zc67hAIAABwFAAAOAAAA&#10;AAAAAAEAIAAAACYBAABkcnMvZTJvRG9jLnhtbFBLBQYAAAAABgAGAFkBAAAcBgAAAAA=&#10;">
                <v:fill on="t" focussize="0,0"/>
                <v:stroke weight="1pt" color="#2E75B6 [24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4186555</wp:posOffset>
                </wp:positionH>
                <wp:positionV relativeFrom="paragraph">
                  <wp:posOffset>5000625</wp:posOffset>
                </wp:positionV>
                <wp:extent cx="1437005" cy="450215"/>
                <wp:effectExtent l="221615" t="6350" r="17780" b="457835"/>
                <wp:wrapNone/>
                <wp:docPr id="23" name="圆角矩形标注 23"/>
                <wp:cNvGraphicFramePr/>
                <a:graphic xmlns:a="http://schemas.openxmlformats.org/drawingml/2006/main">
                  <a:graphicData uri="http://schemas.microsoft.com/office/word/2010/wordprocessingShape">
                    <wps:wsp>
                      <wps:cNvSpPr/>
                      <wps:spPr>
                        <a:xfrm>
                          <a:off x="7258050" y="1727835"/>
                          <a:ext cx="1437005" cy="450215"/>
                        </a:xfrm>
                        <a:prstGeom prst="wedgeRoundRectCallout">
                          <a:avLst>
                            <a:gd name="adj1" fmla="val -62947"/>
                            <a:gd name="adj2" fmla="val 143370"/>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576D5A6">
                            <w:pPr>
                              <w:jc w:val="center"/>
                              <w:rPr>
                                <w:rFonts w:hint="default" w:eastAsia="宋体"/>
                                <w:b/>
                                <w:bCs/>
                                <w:sz w:val="22"/>
                                <w:szCs w:val="22"/>
                                <w:lang w:val="en-US" w:eastAsia="zh-CN"/>
                              </w:rPr>
                            </w:pPr>
                            <w:r>
                              <w:rPr>
                                <w:rFonts w:hint="eastAsia"/>
                                <w:b/>
                                <w:bCs/>
                                <w:sz w:val="22"/>
                                <w:szCs w:val="22"/>
                              </w:rPr>
                              <w:t>大气补充监测点</w:t>
                            </w:r>
                            <w:r>
                              <w:rPr>
                                <w:rFonts w:hint="eastAsia"/>
                                <w:b/>
                                <w:bCs/>
                                <w:sz w:val="22"/>
                                <w:szCs w:val="22"/>
                                <w:lang w:val="en-US" w:eastAsia="zh-CN"/>
                              </w:rPr>
                              <w:t>G1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9.65pt;margin-top:393.75pt;height:35.45pt;width:113.15pt;z-index:251706368;v-text-anchor:middle;mso-width-relative:page;mso-height-relative:page;" fillcolor="#FFFFFF [3212]" filled="t" stroked="t" coordsize="21600,21600" o:gfxdata="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B4mZbLYAAAACwEAAA8AAAAAAAAAAQAgAAAAIgAAAGRycy9kb3ducmV2LnhtbFBLAQIUABQA&#10;AAAIAIdO4kCrjCO+1AIAAKEFAAAOAAAAAAAAAAEAIAAAACcBAABkcnMvZTJvRG9jLnhtbFBLBQYA&#10;AAAABgAGAFkBAABtBgAAAAA=&#10;" adj="-2797,41768,14400">
                <v:fill on="t" focussize="0,0"/>
                <v:stroke weight="1pt" color="#000000 [3213]" miterlimit="8" joinstyle="miter"/>
                <v:imagedata o:title=""/>
                <o:lock v:ext="edit" aspectratio="f"/>
                <v:textbox>
                  <w:txbxContent>
                    <w:p w14:paraId="6576D5A6">
                      <w:pPr>
                        <w:jc w:val="center"/>
                        <w:rPr>
                          <w:rFonts w:hint="default" w:eastAsia="宋体"/>
                          <w:b/>
                          <w:bCs/>
                          <w:sz w:val="22"/>
                          <w:szCs w:val="22"/>
                          <w:lang w:val="en-US" w:eastAsia="zh-CN"/>
                        </w:rPr>
                      </w:pPr>
                      <w:r>
                        <w:rPr>
                          <w:rFonts w:hint="eastAsia"/>
                          <w:b/>
                          <w:bCs/>
                          <w:sz w:val="22"/>
                          <w:szCs w:val="22"/>
                        </w:rPr>
                        <w:t>大气补充监测点</w:t>
                      </w:r>
                      <w:r>
                        <w:rPr>
                          <w:rFonts w:hint="eastAsia"/>
                          <w:b/>
                          <w:bCs/>
                          <w:sz w:val="22"/>
                          <w:szCs w:val="22"/>
                          <w:lang w:val="en-US" w:eastAsia="zh-CN"/>
                        </w:rPr>
                        <w:t>G1</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1833245</wp:posOffset>
                </wp:positionH>
                <wp:positionV relativeFrom="paragraph">
                  <wp:posOffset>2022475</wp:posOffset>
                </wp:positionV>
                <wp:extent cx="107950" cy="107950"/>
                <wp:effectExtent l="6350" t="6350" r="19050" b="19050"/>
                <wp:wrapNone/>
                <wp:docPr id="282" name="椭圆 26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63" o:spid="_x0000_s1026" o:spt="3" type="#_x0000_t3" style="position:absolute;left:0pt;margin-left:144.35pt;margin-top:159.25pt;height:8.5pt;width:8.5pt;z-index:251738112;v-text-anchor:middle;mso-width-relative:page;mso-height-relative:page;" fillcolor="#FF0000" filled="t" stroked="t" coordsize="21600,21600" o:gfxdata="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YNFrh2AAAAAsBAAAPAAAAAAAA&#10;AAEAIAAAACIAAABkcnMvZG93bnJldi54bWxQSwECFAAUAAAACACHTuJATjfWfYQCAAAcBQAADgAA&#10;AAAAAAABACAAAAAnAQAAZHJzL2Uyb0RvYy54bWxQSwUGAAAAAAYABgBZAQAAHQYAAAAA&#10;">
                <v:fill on="t" focussize="0,0"/>
                <v:stroke weight="1pt" color="#2E75B6 [2404]"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585470</wp:posOffset>
                </wp:positionH>
                <wp:positionV relativeFrom="paragraph">
                  <wp:posOffset>1675765</wp:posOffset>
                </wp:positionV>
                <wp:extent cx="943610" cy="450215"/>
                <wp:effectExtent l="6350" t="6350" r="402590" b="19685"/>
                <wp:wrapNone/>
                <wp:docPr id="24" name="圆角矩形标注 24"/>
                <wp:cNvGraphicFramePr/>
                <a:graphic xmlns:a="http://schemas.openxmlformats.org/drawingml/2006/main">
                  <a:graphicData uri="http://schemas.microsoft.com/office/word/2010/wordprocessingShape">
                    <wps:wsp>
                      <wps:cNvSpPr/>
                      <wps:spPr>
                        <a:xfrm>
                          <a:off x="0" y="0"/>
                          <a:ext cx="943610" cy="450215"/>
                        </a:xfrm>
                        <a:prstGeom prst="wedgeRoundRectCallout">
                          <a:avLst>
                            <a:gd name="adj1" fmla="val 86675"/>
                            <a:gd name="adj2" fmla="val 45204"/>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E76A433">
                            <w:pPr>
                              <w:jc w:val="center"/>
                              <w:rPr>
                                <w:b/>
                                <w:bCs/>
                                <w:sz w:val="22"/>
                                <w:szCs w:val="22"/>
                              </w:rPr>
                            </w:pPr>
                            <w:r>
                              <w:rPr>
                                <w:rFonts w:hint="eastAsia"/>
                                <w:b/>
                                <w:bCs/>
                                <w:sz w:val="22"/>
                                <w:szCs w:val="22"/>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6.1pt;margin-top:131.95pt;height:35.45pt;width:74.3pt;z-index:251707392;v-text-anchor:middle;mso-width-relative:page;mso-height-relative:page;" fillcolor="#FFFFFF [3212]" filled="t" stroked="t" coordsize="21600,21600" o:gfxdata="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Y6OXLaAAAA&#10;CgEAAA8AAAAAAAAAAQAgAAAAIgAAAGRycy9kb3ducmV2LnhtbFBLAQIUABQAAAAIAIdO4kDCmMQQ&#10;xgIAAJIFAAAOAAAAAAAAAAEAIAAAACkBAABkcnMvZTJvRG9jLnhtbFBLBQYAAAAABgAGAFkBAABh&#10;BgAAAAA=&#10;" adj="29522,20564,14400">
                <v:fill on="t" focussize="0,0"/>
                <v:stroke weight="1pt" color="#000000 [3213]" miterlimit="8" joinstyle="miter"/>
                <v:imagedata o:title=""/>
                <o:lock v:ext="edit" aspectratio="f"/>
                <v:textbox>
                  <w:txbxContent>
                    <w:p w14:paraId="0E76A433">
                      <w:pPr>
                        <w:jc w:val="center"/>
                        <w:rPr>
                          <w:b/>
                          <w:bCs/>
                          <w:sz w:val="22"/>
                          <w:szCs w:val="22"/>
                        </w:rPr>
                      </w:pPr>
                      <w:r>
                        <w:rPr>
                          <w:rFonts w:hint="eastAsia"/>
                          <w:b/>
                          <w:bCs/>
                          <w:sz w:val="22"/>
                          <w:szCs w:val="22"/>
                        </w:rPr>
                        <w:t>项目位置</w:t>
                      </w:r>
                    </w:p>
                  </w:txbxContent>
                </v:textbox>
              </v:shape>
            </w:pict>
          </mc:Fallback>
        </mc:AlternateContent>
      </w:r>
      <w:r>
        <w:rPr>
          <w:color w:val="000000" w:themeColor="text1"/>
          <w14:textFill>
            <w14:solidFill>
              <w14:schemeClr w14:val="tx1"/>
            </w14:solidFill>
          </w14:textFill>
        </w:rPr>
        <w:drawing>
          <wp:inline distT="0" distB="0" distL="114300" distR="114300">
            <wp:extent cx="5939155" cy="7898130"/>
            <wp:effectExtent l="9525" t="9525" r="13970" b="17145"/>
            <wp:docPr id="2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
                    <pic:cNvPicPr>
                      <a:picLocks noChangeAspect="1"/>
                    </pic:cNvPicPr>
                  </pic:nvPicPr>
                  <pic:blipFill>
                    <a:blip r:embed="rId56"/>
                    <a:stretch>
                      <a:fillRect/>
                    </a:stretch>
                  </pic:blipFill>
                  <pic:spPr>
                    <a:xfrm>
                      <a:off x="0" y="0"/>
                      <a:ext cx="5939155" cy="7898130"/>
                    </a:xfrm>
                    <a:prstGeom prst="rect">
                      <a:avLst/>
                    </a:prstGeom>
                    <a:noFill/>
                    <a:ln>
                      <a:solidFill>
                        <a:schemeClr val="tx1"/>
                      </a:solidFill>
                    </a:ln>
                  </pic:spPr>
                </pic:pic>
              </a:graphicData>
            </a:graphic>
          </wp:inline>
        </w:drawing>
      </w:r>
    </w:p>
    <w:p w14:paraId="197C8FCB">
      <w:pPr>
        <w:jc w:val="center"/>
        <w:outlineLvl w:val="0"/>
        <w:rPr>
          <w:rFonts w:hint="default" w:ascii="Times New Roman" w:hAnsi="Times New Roman" w:cs="Times New Roman"/>
          <w:b/>
          <w:bCs/>
          <w:color w:val="000000" w:themeColor="text1"/>
          <w:highlight w:val="none"/>
          <w:lang w:eastAsia="zh-CN"/>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225" w:name="_Toc5602"/>
      <w:bookmarkStart w:id="226" w:name="_Toc31076"/>
      <w:r>
        <w:rPr>
          <w:rFonts w:hint="eastAsia"/>
          <w:b/>
          <w:bCs/>
          <w:color w:val="000000" w:themeColor="text1"/>
          <w:highlight w:val="none"/>
          <w14:textFill>
            <w14:solidFill>
              <w14:schemeClr w14:val="tx1"/>
            </w14:solidFill>
          </w14:textFill>
        </w:rPr>
        <w:t>附图1</w:t>
      </w:r>
      <w:r>
        <w:rPr>
          <w:rFonts w:hint="eastAsia"/>
          <w:b/>
          <w:bCs/>
          <w:color w:val="000000" w:themeColor="text1"/>
          <w:highlight w:val="none"/>
          <w:lang w:val="en-US" w:eastAsia="zh-CN"/>
          <w14:textFill>
            <w14:solidFill>
              <w14:schemeClr w14:val="tx1"/>
            </w14:solidFill>
          </w14:textFill>
        </w:rPr>
        <w:t>4</w:t>
      </w:r>
      <w:r>
        <w:rPr>
          <w:rFonts w:hint="eastAsia"/>
          <w:b/>
          <w:bCs/>
          <w:color w:val="000000" w:themeColor="text1"/>
          <w:highlight w:val="none"/>
          <w14:textFill>
            <w14:solidFill>
              <w14:schemeClr w14:val="tx1"/>
            </w14:solidFill>
          </w14:textFill>
        </w:rPr>
        <w:t>项目与大气补充监测点位置图</w:t>
      </w:r>
      <w:bookmarkEnd w:id="225"/>
      <w:bookmarkStart w:id="227" w:name="_Toc20433"/>
      <w:r>
        <w:rPr>
          <w:color w:val="000000" w:themeColor="text1"/>
          <w:sz w:val="24"/>
          <w:highlight w:val="none"/>
          <w14:textFill>
            <w14:solidFill>
              <w14:schemeClr w14:val="tx1"/>
            </w14:solidFill>
          </w14:textFill>
        </w:rPr>
        <mc:AlternateContent>
          <mc:Choice Requires="wpg">
            <w:drawing>
              <wp:anchor distT="0" distB="0" distL="114300" distR="114300" simplePos="0" relativeHeight="251740160" behindDoc="0" locked="0" layoutInCell="1" allowOverlap="1">
                <wp:simplePos x="0" y="0"/>
                <wp:positionH relativeFrom="column">
                  <wp:posOffset>5234305</wp:posOffset>
                </wp:positionH>
                <wp:positionV relativeFrom="paragraph">
                  <wp:posOffset>-7998460</wp:posOffset>
                </wp:positionV>
                <wp:extent cx="342900" cy="681990"/>
                <wp:effectExtent l="0" t="0" r="0" b="23495"/>
                <wp:wrapNone/>
                <wp:docPr id="284" name="组合 284"/>
                <wp:cNvGraphicFramePr/>
                <a:graphic xmlns:a="http://schemas.openxmlformats.org/drawingml/2006/main">
                  <a:graphicData uri="http://schemas.microsoft.com/office/word/2010/wordprocessingGroup">
                    <wpg:wgp>
                      <wpg:cNvGrpSpPr/>
                      <wpg:grpSpPr>
                        <a:xfrm rot="0">
                          <a:off x="0" y="0"/>
                          <a:ext cx="342900" cy="681990"/>
                          <a:chOff x="9052" y="1688126"/>
                          <a:chExt cx="540" cy="1074"/>
                        </a:xfrm>
                      </wpg:grpSpPr>
                      <wps:wsp>
                        <wps:cNvPr id="285" name="上箭头 116"/>
                        <wps:cNvSpPr/>
                        <wps:spPr>
                          <a:xfrm>
                            <a:off x="9113" y="1688590"/>
                            <a:ext cx="375" cy="611"/>
                          </a:xfrm>
                          <a:prstGeom prst="upArrow">
                            <a:avLst/>
                          </a:prstGeom>
                          <a:solidFill>
                            <a:srgbClr val="FF00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 name="文本框 117"/>
                        <wps:cNvSpPr txBox="1"/>
                        <wps:spPr>
                          <a:xfrm>
                            <a:off x="9052" y="1688126"/>
                            <a:ext cx="540" cy="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8A0392">
                              <w:pPr>
                                <w:rPr>
                                  <w:rFonts w:hint="eastAsia" w:eastAsia="宋体"/>
                                  <w:b/>
                                  <w:bCs/>
                                  <w:lang w:val="en-US" w:eastAsia="zh-CN"/>
                                </w:rPr>
                              </w:pPr>
                              <w:r>
                                <w:rPr>
                                  <w:rFonts w:hint="eastAsia"/>
                                  <w:b/>
                                  <w:bCs/>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12.15pt;margin-top:-629.8pt;height:53.7pt;width:27pt;z-index:251740160;mso-width-relative:page;mso-height-relative:page;" coordorigin="9052,1688126" coordsize="540,1074" o:gfxdata="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Je0DtXeAAAADwEAAA8AAAAAAAAAAQAg&#10;AAAAIgAAAGRycy9kb3ducmV2LnhtbFBLAQIUABQAAAAIAIdO4kAKcRNVXgMAAMoIAAAOAAAAAAAA&#10;AAEAIAAAAC0BAABkcnMvZTJvRG9jLnhtbFBLBQYAAAAABgAGAFkBAAD9BgAAAAA=&#10;">
                <o:lock v:ext="edit" aspectratio="f"/>
                <v:shape id="上箭头 116" o:spid="_x0000_s1026" o:spt="68" type="#_x0000_t68" style="position:absolute;left:9113;top:1688590;height:611;width:375;v-text-anchor:middle;" fillcolor="#FF0000" filled="t" stroked="t" coordsize="21600,21600" o:gfxdata="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RX5vvQAA&#10;ANwAAAAPAAAAAAAAAAEAIAAAACIAAABkcnMvZG93bnJldi54bWxQSwECFAAUAAAACACHTuJAMy8F&#10;njsAAAA5AAAAEAAAAAAAAAABACAAAAAMAQAAZHJzL3NoYXBleG1sLnhtbFBLBQYAAAAABgAGAFsB&#10;AAC2AwAAAAA=&#10;" adj="6628,5400">
                  <v:fill on="t" focussize="0,0"/>
                  <v:stroke color="#000000 [3213]" miterlimit="8" joinstyle="miter"/>
                  <v:imagedata o:title=""/>
                  <o:lock v:ext="edit" aspectratio="f"/>
                </v:shape>
                <v:shape id="文本框 117" o:spid="_x0000_s1026" o:spt="202" type="#_x0000_t202" style="position:absolute;left:9052;top:1688126;height:605;width:540;" filled="f" stroked="f" coordsize="21600,21600" o:gfxdata="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V99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178A0392">
                        <w:pPr>
                          <w:rPr>
                            <w:rFonts w:hint="eastAsia" w:eastAsia="宋体"/>
                            <w:b/>
                            <w:bCs/>
                            <w:lang w:val="en-US" w:eastAsia="zh-CN"/>
                          </w:rPr>
                        </w:pPr>
                        <w:r>
                          <w:rPr>
                            <w:rFonts w:hint="eastAsia"/>
                            <w:b/>
                            <w:bCs/>
                            <w:lang w:val="en-US" w:eastAsia="zh-CN"/>
                          </w:rPr>
                          <w:t>N</w:t>
                        </w:r>
                      </w:p>
                    </w:txbxContent>
                  </v:textbox>
                </v:shape>
              </v:group>
            </w:pict>
          </mc:Fallback>
        </mc:AlternateContent>
      </w:r>
      <w:bookmarkEnd w:id="226"/>
    </w:p>
    <w:p w14:paraId="74D429C3">
      <w:pPr>
        <w:pStyle w:val="43"/>
        <w:outlineLvl w:val="0"/>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bookmarkStart w:id="228" w:name="_Toc18089"/>
      <w:r>
        <w:rPr>
          <w:rFonts w:hint="default" w:ascii="Times New Roman" w:hAnsi="Times New Roman" w:cs="Times New Roman"/>
          <w:b/>
          <w:bCs/>
          <w:color w:val="000000" w:themeColor="text1"/>
          <w:highlight w:val="none"/>
          <w:lang w:eastAsia="zh-CN"/>
          <w14:textFill>
            <w14:solidFill>
              <w14:schemeClr w14:val="tx1"/>
            </w14:solidFill>
          </w14:textFill>
        </w:rPr>
        <w:t>附图</w:t>
      </w:r>
      <w:r>
        <w:rPr>
          <w:rFonts w:hint="default" w:ascii="Times New Roman" w:hAnsi="Times New Roman" w:cs="Times New Roman"/>
          <w:b/>
          <w:bCs/>
          <w:color w:val="000000" w:themeColor="text1"/>
          <w:highlight w:val="none"/>
          <w:lang w:val="en-US" w:eastAsia="zh-CN"/>
          <w14:textFill>
            <w14:solidFill>
              <w14:schemeClr w14:val="tx1"/>
            </w14:solidFill>
          </w14:textFill>
        </w:rPr>
        <w:t>15 乐昌产业转移工业园管网分布图</w:t>
      </w:r>
      <w:bookmarkEnd w:id="227"/>
      <w:bookmarkEnd w:id="228"/>
    </w:p>
    <w:p w14:paraId="776D909D">
      <w:pPr>
        <w:pStyle w:val="43"/>
        <w:jc w:val="center"/>
        <w:rPr>
          <w:color w:val="000000" w:themeColor="text1"/>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2555240</wp:posOffset>
                </wp:positionH>
                <wp:positionV relativeFrom="paragraph">
                  <wp:posOffset>1729105</wp:posOffset>
                </wp:positionV>
                <wp:extent cx="171450" cy="180975"/>
                <wp:effectExtent l="17780" t="22860" r="20320" b="24765"/>
                <wp:wrapNone/>
                <wp:docPr id="22" name="五角星 22"/>
                <wp:cNvGraphicFramePr/>
                <a:graphic xmlns:a="http://schemas.openxmlformats.org/drawingml/2006/main">
                  <a:graphicData uri="http://schemas.microsoft.com/office/word/2010/wordprocessingShape">
                    <wps:wsp>
                      <wps:cNvSpPr/>
                      <wps:spPr>
                        <a:xfrm>
                          <a:off x="2950845" y="8197215"/>
                          <a:ext cx="171450" cy="18097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1.2pt;margin-top:136.15pt;height:14.25pt;width:13.5pt;z-index:251709440;v-text-anchor:middle;mso-width-relative:page;mso-height-relative:page;" fillcolor="#FF0000" filled="t" stroked="t" coordsize="171450,180975" o:gfxdata="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qK2Rp2gAAAAsBAAAPAAAAAAAA&#10;AAEAIAAAACIAAABkcnMvZG93bnJldi54bWxQSwECFAAUAAAACACHTuJAnd4FNoICAAAFBQAADgAA&#10;AAAAAAABACAAAAApAQAAZHJzL2Uyb0RvYy54bWxQSwUGAAAAAAYABgBZAQAAHQYAAAAA&#10;" path="m0,69126l65488,69126,85725,0,105961,69126,171449,69126,118468,111848,138705,180974,85725,138251,32744,180974,52981,111848xe">
                <v:path o:connectlocs="85725,0;0,69126;32744,180974;138705,180974;171449,69126" o:connectangles="247,164,82,82,0"/>
                <v:fill on="t" focussize="0,0"/>
                <v:stroke weight="1pt" color="#000000 [3213]" miterlimit="8"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1616075</wp:posOffset>
                </wp:positionH>
                <wp:positionV relativeFrom="paragraph">
                  <wp:posOffset>937260</wp:posOffset>
                </wp:positionV>
                <wp:extent cx="1038225" cy="448310"/>
                <wp:effectExtent l="6350" t="6350" r="22225" b="421640"/>
                <wp:wrapNone/>
                <wp:docPr id="26" name="圆角矩形标注 26"/>
                <wp:cNvGraphicFramePr/>
                <a:graphic xmlns:a="http://schemas.openxmlformats.org/drawingml/2006/main">
                  <a:graphicData uri="http://schemas.microsoft.com/office/word/2010/wordprocessingShape">
                    <wps:wsp>
                      <wps:cNvSpPr/>
                      <wps:spPr>
                        <a:xfrm>
                          <a:off x="3569970" y="8168640"/>
                          <a:ext cx="1038225" cy="448310"/>
                        </a:xfrm>
                        <a:prstGeom prst="wedgeRoundRectCallout">
                          <a:avLst>
                            <a:gd name="adj1" fmla="val 45596"/>
                            <a:gd name="adj2" fmla="val 136827"/>
                            <a:gd name="adj3" fmla="val 16667"/>
                          </a:avLst>
                        </a:prstGeom>
                        <a:solidFill>
                          <a:schemeClr val="bg1">
                            <a:lumMod val="85000"/>
                          </a:schemeClr>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53981DE3">
                            <w:pPr>
                              <w:jc w:val="center"/>
                              <w:rPr>
                                <w:rFonts w:hint="eastAsia" w:eastAsia="宋体"/>
                                <w:b/>
                                <w:bCs/>
                                <w:highlight w:val="none"/>
                                <w:lang w:eastAsia="zh-CN"/>
                              </w:rPr>
                            </w:pPr>
                            <w:r>
                              <w:rPr>
                                <w:rFonts w:hint="eastAsia"/>
                                <w:b/>
                                <w:bCs/>
                                <w:highlight w:val="none"/>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7.25pt;margin-top:73.8pt;height:35.3pt;width:81.75pt;z-index:251710464;v-text-anchor:middle;mso-width-relative:page;mso-height-relative:page;" fillcolor="#D9D9D9 [2732]" filled="t" stroked="t" coordsize="21600,21600" o:gfxdata="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&#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C5EvM2wAAAAsBAAAPAAAAAAAAAAEAIAAAACIAAABk&#10;cnMvZG93bnJldi54bWxQSwECFAAUAAAACACHTuJA+fpjUecCAADCBQAADgAAAAAAAAABACAAAAAq&#10;AQAAZHJzL2Uyb0RvYy54bWxQSwUGAAAAAAYABgBZAQAAgwYAAAAA&#10;" adj="20649,40355,14400">
                <v:fill on="t" focussize="0,0"/>
                <v:stroke weight="1pt" color="#000000 [3213]" miterlimit="8" joinstyle="miter"/>
                <v:imagedata o:title=""/>
                <o:lock v:ext="edit" aspectratio="f"/>
                <v:textbox>
                  <w:txbxContent>
                    <w:p w14:paraId="53981DE3">
                      <w:pPr>
                        <w:jc w:val="center"/>
                        <w:rPr>
                          <w:rFonts w:hint="eastAsia" w:eastAsia="宋体"/>
                          <w:b/>
                          <w:bCs/>
                          <w:highlight w:val="none"/>
                          <w:lang w:eastAsia="zh-CN"/>
                        </w:rPr>
                      </w:pPr>
                      <w:r>
                        <w:rPr>
                          <w:rFonts w:hint="eastAsia"/>
                          <w:b/>
                          <w:bCs/>
                          <w:highlight w:val="none"/>
                          <w:lang w:eastAsia="zh-CN"/>
                        </w:rPr>
                        <w:t>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5361305" cy="7717790"/>
            <wp:effectExtent l="19050" t="19050" r="29845" b="3556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7"/>
                    <a:stretch>
                      <a:fillRect/>
                    </a:stretch>
                  </pic:blipFill>
                  <pic:spPr>
                    <a:xfrm>
                      <a:off x="0" y="0"/>
                      <a:ext cx="5361305" cy="7717790"/>
                    </a:xfrm>
                    <a:prstGeom prst="rect">
                      <a:avLst/>
                    </a:prstGeom>
                    <a:noFill/>
                    <a:ln w="19050">
                      <a:solidFill>
                        <a:schemeClr val="tx1"/>
                      </a:solidFill>
                    </a:ln>
                  </pic:spPr>
                </pic:pic>
              </a:graphicData>
            </a:graphic>
          </wp:inline>
        </w:drawing>
      </w:r>
    </w:p>
    <w:p w14:paraId="6B8CDFF9">
      <w:pPr>
        <w:pStyle w:val="45"/>
        <w:ind w:left="0"/>
        <w:outlineLvl w:val="0"/>
        <w:rPr>
          <w:rFonts w:ascii="Times New Roman"/>
          <w:b/>
          <w:bCs/>
          <w:color w:val="000000" w:themeColor="text1"/>
          <w:highlight w:val="none"/>
          <w14:textFill>
            <w14:solidFill>
              <w14:schemeClr w14:val="tx1"/>
            </w14:solidFill>
          </w14:textFill>
        </w:rPr>
      </w:pPr>
      <w:bookmarkStart w:id="229" w:name="_Toc4590"/>
      <w:bookmarkStart w:id="230" w:name="_Toc22104"/>
      <w:bookmarkStart w:id="231" w:name="_Toc25890"/>
      <w:r>
        <w:rPr>
          <w:rFonts w:ascii="Times New Roman"/>
          <w:b/>
          <w:bCs/>
          <w:color w:val="000000" w:themeColor="text1"/>
          <w:sz w:val="24"/>
          <w:szCs w:val="24"/>
          <w:highlight w:val="none"/>
          <w14:textFill>
            <w14:solidFill>
              <w14:schemeClr w14:val="tx1"/>
            </w14:solidFill>
          </w14:textFill>
        </w:rPr>
        <w:t>附件1营业执照</w:t>
      </w:r>
      <w:bookmarkEnd w:id="229"/>
      <w:bookmarkEnd w:id="230"/>
      <w:bookmarkEnd w:id="231"/>
    </w:p>
    <w:p w14:paraId="4F276AC2">
      <w:pPr>
        <w:jc w:val="center"/>
        <w:rPr>
          <w:rFonts w:hint="eastAsia" w:eastAsia="宋体"/>
          <w:color w:val="000000" w:themeColor="text1"/>
          <w:highlight w:val="none"/>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7137400" cy="5147310"/>
            <wp:effectExtent l="0" t="0" r="6350" b="15240"/>
            <wp:docPr id="28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9"/>
                    <pic:cNvPicPr>
                      <a:picLocks noChangeAspect="1"/>
                    </pic:cNvPicPr>
                  </pic:nvPicPr>
                  <pic:blipFill>
                    <a:blip r:embed="rId58"/>
                    <a:stretch>
                      <a:fillRect/>
                    </a:stretch>
                  </pic:blipFill>
                  <pic:spPr>
                    <a:xfrm>
                      <a:off x="0" y="0"/>
                      <a:ext cx="7137400" cy="5147310"/>
                    </a:xfrm>
                    <a:prstGeom prst="rect">
                      <a:avLst/>
                    </a:prstGeom>
                    <a:noFill/>
                    <a:ln>
                      <a:noFill/>
                    </a:ln>
                  </pic:spPr>
                </pic:pic>
              </a:graphicData>
            </a:graphic>
          </wp:inline>
        </w:drawing>
      </w:r>
    </w:p>
    <w:p w14:paraId="3BD69244">
      <w:pPr>
        <w:pStyle w:val="4"/>
        <w:rPr>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74D26297">
      <w:pPr>
        <w:jc w:val="left"/>
        <w:outlineLvl w:val="0"/>
        <w:rPr>
          <w:b/>
          <w:bCs/>
          <w:color w:val="000000" w:themeColor="text1"/>
          <w:highlight w:val="none"/>
          <w14:textFill>
            <w14:solidFill>
              <w14:schemeClr w14:val="tx1"/>
            </w14:solidFill>
          </w14:textFill>
        </w:rPr>
      </w:pPr>
      <w:bookmarkStart w:id="232" w:name="_Toc918"/>
      <w:bookmarkStart w:id="233" w:name="_Toc24134"/>
      <w:bookmarkStart w:id="234" w:name="_Toc18937"/>
      <w:r>
        <w:rPr>
          <w:b/>
          <w:bCs/>
          <w:color w:val="000000" w:themeColor="text1"/>
          <w:highlight w:val="none"/>
          <w14:textFill>
            <w14:solidFill>
              <w14:schemeClr w14:val="tx1"/>
            </w14:solidFill>
          </w14:textFill>
        </w:rPr>
        <w:t>附件2 法人身份证复印件</w:t>
      </w:r>
      <w:bookmarkEnd w:id="232"/>
      <w:bookmarkEnd w:id="233"/>
      <w:bookmarkEnd w:id="234"/>
    </w:p>
    <w:p w14:paraId="226C9B58">
      <w:pPr>
        <w:pStyle w:val="43"/>
        <w:rPr>
          <w:rFonts w:hint="eastAsia" w:eastAsia="宋体"/>
          <w:b/>
          <w:bCs/>
          <w:color w:val="000000" w:themeColor="text1"/>
          <w:highlight w:val="none"/>
          <w:lang w:eastAsia="zh-CN"/>
          <w14:textFill>
            <w14:solidFill>
              <w14:schemeClr w14:val="tx1"/>
            </w14:solidFill>
          </w14:textFill>
        </w:rPr>
      </w:pPr>
      <w:r>
        <w:rPr>
          <w:rFonts w:hint="eastAsia" w:eastAsia="宋体"/>
          <w:b/>
          <w:bCs/>
          <w:color w:val="000000" w:themeColor="text1"/>
          <w:highlight w:val="none"/>
          <w:lang w:eastAsia="zh-CN"/>
          <w14:textFill>
            <w14:solidFill>
              <w14:schemeClr w14:val="tx1"/>
            </w14:solidFill>
          </w14:textFill>
        </w:rPr>
        <w:drawing>
          <wp:inline distT="0" distB="0" distL="114300" distR="114300">
            <wp:extent cx="5936615" cy="3415665"/>
            <wp:effectExtent l="0" t="0" r="0" b="0"/>
            <wp:docPr id="33" name="图片 33" descr="fd989d78246a9493404e11eedac81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d989d78246a9493404e11eedac81ec"/>
                    <pic:cNvPicPr>
                      <a:picLocks noChangeAspect="1"/>
                    </pic:cNvPicPr>
                  </pic:nvPicPr>
                  <pic:blipFill>
                    <a:blip r:embed="rId59"/>
                    <a:srcRect t="31794" b="25074"/>
                    <a:stretch>
                      <a:fillRect/>
                    </a:stretch>
                  </pic:blipFill>
                  <pic:spPr>
                    <a:xfrm>
                      <a:off x="0" y="0"/>
                      <a:ext cx="5936615" cy="3415665"/>
                    </a:xfrm>
                    <a:prstGeom prst="rect">
                      <a:avLst/>
                    </a:prstGeom>
                  </pic:spPr>
                </pic:pic>
              </a:graphicData>
            </a:graphic>
          </wp:inline>
        </w:drawing>
      </w:r>
    </w:p>
    <w:p w14:paraId="1FF80EC4">
      <w:pPr>
        <w:outlineLvl w:val="0"/>
        <w:rPr>
          <w:rFonts w:hint="eastAsia" w:eastAsia="宋体"/>
          <w:b/>
          <w:bCs/>
          <w:color w:val="000000" w:themeColor="text1"/>
          <w:highlight w:val="none"/>
          <w:lang w:eastAsia="zh-CN" w:bidi="ar"/>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bookmarkStart w:id="235" w:name="_Toc5170"/>
      <w:bookmarkStart w:id="236" w:name="_Toc11820"/>
      <w:bookmarkStart w:id="237" w:name="_Toc20998"/>
      <w:r>
        <w:rPr>
          <w:rFonts w:hint="eastAsia" w:eastAsia="宋体"/>
          <w:b/>
          <w:bCs/>
          <w:color w:val="000000" w:themeColor="text1"/>
          <w:highlight w:val="none"/>
          <w:lang w:eastAsia="zh-CN" w:bidi="ar"/>
          <w14:textFill>
            <w14:solidFill>
              <w14:schemeClr w14:val="tx1"/>
            </w14:solidFill>
          </w14:textFill>
        </w:rPr>
        <w:drawing>
          <wp:inline distT="0" distB="0" distL="114300" distR="114300">
            <wp:extent cx="5936615" cy="3716655"/>
            <wp:effectExtent l="0" t="0" r="0" b="0"/>
            <wp:docPr id="34" name="图片 34" descr="29b0de853ea88eb0a8dc53a85ac42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9b0de853ea88eb0a8dc53a85ac42a4"/>
                    <pic:cNvPicPr>
                      <a:picLocks noChangeAspect="1"/>
                    </pic:cNvPicPr>
                  </pic:nvPicPr>
                  <pic:blipFill>
                    <a:blip r:embed="rId60"/>
                    <a:srcRect t="37768" b="15299"/>
                    <a:stretch>
                      <a:fillRect/>
                    </a:stretch>
                  </pic:blipFill>
                  <pic:spPr>
                    <a:xfrm>
                      <a:off x="0" y="0"/>
                      <a:ext cx="5936615" cy="3716655"/>
                    </a:xfrm>
                    <a:prstGeom prst="rect">
                      <a:avLst/>
                    </a:prstGeom>
                  </pic:spPr>
                </pic:pic>
              </a:graphicData>
            </a:graphic>
          </wp:inline>
        </w:drawing>
      </w:r>
      <w:bookmarkEnd w:id="235"/>
      <w:bookmarkEnd w:id="236"/>
    </w:p>
    <w:p w14:paraId="06D482F1">
      <w:pPr>
        <w:outlineLvl w:val="0"/>
        <w:rPr>
          <w:rFonts w:hint="eastAsia" w:eastAsia="宋体"/>
          <w:b/>
          <w:bCs/>
          <w:color w:val="000000" w:themeColor="text1"/>
          <w:highlight w:val="none"/>
          <w:lang w:eastAsia="zh-CN" w:bidi="ar"/>
          <w14:textFill>
            <w14:solidFill>
              <w14:schemeClr w14:val="tx1"/>
            </w14:solidFill>
          </w14:textFill>
        </w:rPr>
      </w:pPr>
      <w:bookmarkStart w:id="238" w:name="_Toc69"/>
      <w:bookmarkStart w:id="239" w:name="_Toc492"/>
      <w:r>
        <w:rPr>
          <w:b/>
          <w:bCs/>
          <w:color w:val="000000" w:themeColor="text1"/>
          <w:highlight w:val="none"/>
          <w:lang w:bidi="ar"/>
          <w14:textFill>
            <w14:solidFill>
              <w14:schemeClr w14:val="tx1"/>
            </w14:solidFill>
          </w14:textFill>
        </w:rPr>
        <w:t>附件3</w:t>
      </w:r>
      <w:r>
        <w:rPr>
          <w:b/>
          <w:bCs/>
          <w:color w:val="000000" w:themeColor="text1"/>
          <w:sz w:val="28"/>
          <w:szCs w:val="28"/>
          <w:highlight w:val="none"/>
          <w14:textFill>
            <w14:solidFill>
              <w14:schemeClr w14:val="tx1"/>
            </w14:solidFill>
          </w14:textFill>
        </w:rPr>
        <w:t xml:space="preserve"> </w:t>
      </w:r>
      <w:bookmarkEnd w:id="237"/>
      <w:bookmarkEnd w:id="238"/>
      <w:r>
        <w:rPr>
          <w:rFonts w:hint="eastAsia"/>
          <w:b/>
          <w:bCs/>
          <w:color w:val="000000" w:themeColor="text1"/>
          <w:highlight w:val="none"/>
          <w:lang w:eastAsia="zh-CN" w:bidi="ar"/>
          <w14:textFill>
            <w14:solidFill>
              <w14:schemeClr w14:val="tx1"/>
            </w14:solidFill>
          </w14:textFill>
        </w:rPr>
        <w:t>建设用地规划许可证</w:t>
      </w:r>
      <w:bookmarkEnd w:id="239"/>
    </w:p>
    <w:p w14:paraId="63F4EE97">
      <w:pPr>
        <w:pStyle w:val="43"/>
        <w:jc w:val="center"/>
        <w:rPr>
          <w:color w:val="000000" w:themeColor="text1"/>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7735570" cy="5354955"/>
            <wp:effectExtent l="0" t="0" r="17780" b="17145"/>
            <wp:docPr id="2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1"/>
                    <pic:cNvPicPr>
                      <a:picLocks noChangeAspect="1"/>
                    </pic:cNvPicPr>
                  </pic:nvPicPr>
                  <pic:blipFill>
                    <a:blip r:embed="rId61"/>
                    <a:stretch>
                      <a:fillRect/>
                    </a:stretch>
                  </pic:blipFill>
                  <pic:spPr>
                    <a:xfrm>
                      <a:off x="0" y="0"/>
                      <a:ext cx="7735570" cy="5354955"/>
                    </a:xfrm>
                    <a:prstGeom prst="rect">
                      <a:avLst/>
                    </a:prstGeom>
                    <a:noFill/>
                    <a:ln>
                      <a:noFill/>
                    </a:ln>
                  </pic:spPr>
                </pic:pic>
              </a:graphicData>
            </a:graphic>
          </wp:inline>
        </w:drawing>
      </w:r>
    </w:p>
    <w:p w14:paraId="04F2209E">
      <w:pPr>
        <w:rPr>
          <w:color w:val="000000" w:themeColor="text1"/>
          <w:highlight w:val="none"/>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rtlGutter w:val="0"/>
          <w:docGrid w:type="lines" w:linePitch="334" w:charSpace="0"/>
        </w:sectPr>
      </w:pPr>
    </w:p>
    <w:p w14:paraId="48947E64">
      <w:pPr>
        <w:pStyle w:val="45"/>
        <w:outlineLvl w:val="0"/>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bookmarkStart w:id="240" w:name="_Toc21905"/>
      <w:bookmarkStart w:id="241" w:name="_Toc2034"/>
      <w:r>
        <w:rPr>
          <w:rFonts w:hint="default" w:ascii="Times New Roman" w:hAnsi="Times New Roman" w:cs="Times New Roman"/>
          <w:color w:val="000000" w:themeColor="text1"/>
          <w:sz w:val="24"/>
          <w:szCs w:val="24"/>
          <w:highlight w:val="none"/>
          <w:lang w:eastAsia="zh-CN"/>
          <w14:textFill>
            <w14:solidFill>
              <w14:schemeClr w14:val="tx1"/>
            </w14:solidFill>
          </w14:textFill>
        </w:rPr>
        <w:t>附件</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 备案证</w:t>
      </w:r>
      <w:bookmarkEnd w:id="240"/>
      <w:bookmarkEnd w:id="241"/>
    </w:p>
    <w:p w14:paraId="46B9F97D">
      <w:pPr>
        <w:jc w:val="center"/>
        <w:rPr>
          <w:rFonts w:hint="eastAsia"/>
          <w:color w:val="000000" w:themeColor="text1"/>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8051165" cy="5348605"/>
            <wp:effectExtent l="0" t="0" r="6985" b="4445"/>
            <wp:docPr id="2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2"/>
                    <pic:cNvPicPr>
                      <a:picLocks noChangeAspect="1"/>
                    </pic:cNvPicPr>
                  </pic:nvPicPr>
                  <pic:blipFill>
                    <a:blip r:embed="rId62"/>
                    <a:stretch>
                      <a:fillRect/>
                    </a:stretch>
                  </pic:blipFill>
                  <pic:spPr>
                    <a:xfrm>
                      <a:off x="0" y="0"/>
                      <a:ext cx="8051165" cy="5348605"/>
                    </a:xfrm>
                    <a:prstGeom prst="rect">
                      <a:avLst/>
                    </a:prstGeom>
                    <a:noFill/>
                    <a:ln>
                      <a:noFill/>
                    </a:ln>
                  </pic:spPr>
                </pic:pic>
              </a:graphicData>
            </a:graphic>
          </wp:inline>
        </w:drawing>
      </w:r>
    </w:p>
    <w:p w14:paraId="6EED3AEE">
      <w:pPr>
        <w:pStyle w:val="43"/>
        <w:jc w:val="center"/>
        <w:rPr>
          <w:rFonts w:hint="default"/>
          <w:color w:val="000000" w:themeColor="text1"/>
          <w:highlight w:val="none"/>
          <w:lang w:val="en-US" w:eastAsia="zh-CN"/>
          <w14:textFill>
            <w14:solidFill>
              <w14:schemeClr w14:val="tx1"/>
            </w14:solidFill>
          </w14:textFill>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619A1971">
      <w:pPr>
        <w:outlineLvl w:val="0"/>
        <w:rPr>
          <w:b/>
          <w:bCs/>
          <w:color w:val="000000" w:themeColor="text1"/>
          <w:sz w:val="24"/>
          <w:szCs w:val="24"/>
          <w:highlight w:val="none"/>
          <w:lang w:bidi="ar"/>
          <w14:textFill>
            <w14:solidFill>
              <w14:schemeClr w14:val="tx1"/>
            </w14:solidFill>
          </w14:textFill>
        </w:rPr>
      </w:pPr>
      <w:bookmarkStart w:id="242" w:name="_Toc9757"/>
      <w:bookmarkStart w:id="243" w:name="_Toc20900"/>
      <w:r>
        <w:rPr>
          <w:b/>
          <w:bCs/>
          <w:color w:val="000000" w:themeColor="text1"/>
          <w:sz w:val="24"/>
          <w:szCs w:val="24"/>
          <w:highlight w:val="none"/>
          <w:lang w:bidi="ar"/>
          <w14:textFill>
            <w14:solidFill>
              <w14:schemeClr w14:val="tx1"/>
            </w14:solidFill>
          </w14:textFill>
        </w:rPr>
        <w:t>附件</w:t>
      </w:r>
      <w:r>
        <w:rPr>
          <w:rFonts w:hint="eastAsia"/>
          <w:b/>
          <w:bCs/>
          <w:color w:val="000000" w:themeColor="text1"/>
          <w:sz w:val="24"/>
          <w:szCs w:val="24"/>
          <w:highlight w:val="none"/>
          <w:lang w:val="en-US" w:eastAsia="zh-CN" w:bidi="ar"/>
          <w14:textFill>
            <w14:solidFill>
              <w14:schemeClr w14:val="tx1"/>
            </w14:solidFill>
          </w14:textFill>
        </w:rPr>
        <w:t>5-1</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14:textFill>
            <w14:solidFill>
              <w14:schemeClr w14:val="tx1"/>
            </w14:solidFill>
          </w14:textFill>
        </w:rPr>
        <w:t>除油剂</w:t>
      </w:r>
      <w:r>
        <w:rPr>
          <w:b/>
          <w:bCs/>
          <w:color w:val="000000" w:themeColor="text1"/>
          <w:sz w:val="24"/>
          <w:szCs w:val="24"/>
          <w:highlight w:val="none"/>
          <w:lang w:bidi="ar"/>
          <w14:textFill>
            <w14:solidFill>
              <w14:schemeClr w14:val="tx1"/>
            </w14:solidFill>
          </w14:textFill>
        </w:rPr>
        <w:t>MSDS报告</w:t>
      </w:r>
      <w:bookmarkEnd w:id="242"/>
      <w:bookmarkEnd w:id="243"/>
    </w:p>
    <w:p w14:paraId="792D7D76">
      <w:pPr>
        <w:pStyle w:val="45"/>
        <w:jc w:val="center"/>
        <w:rPr>
          <w:rFonts w:ascii="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390515" cy="7585075"/>
            <wp:effectExtent l="0" t="0" r="635" b="1587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63"/>
                    <a:stretch>
                      <a:fillRect/>
                    </a:stretch>
                  </pic:blipFill>
                  <pic:spPr>
                    <a:xfrm>
                      <a:off x="0" y="0"/>
                      <a:ext cx="5390515" cy="75850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33085" cy="7920355"/>
            <wp:effectExtent l="0" t="0" r="5715" b="4445"/>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64"/>
                    <a:stretch>
                      <a:fillRect/>
                    </a:stretch>
                  </pic:blipFill>
                  <pic:spPr>
                    <a:xfrm>
                      <a:off x="0" y="0"/>
                      <a:ext cx="5633085" cy="792035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30825" cy="7533640"/>
            <wp:effectExtent l="0" t="0" r="3175" b="1016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65"/>
                    <a:stretch>
                      <a:fillRect/>
                    </a:stretch>
                  </pic:blipFill>
                  <pic:spPr>
                    <a:xfrm>
                      <a:off x="0" y="0"/>
                      <a:ext cx="5330825" cy="753364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381625" cy="7631430"/>
            <wp:effectExtent l="0" t="0" r="9525" b="762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66"/>
                    <a:stretch>
                      <a:fillRect/>
                    </a:stretch>
                  </pic:blipFill>
                  <pic:spPr>
                    <a:xfrm>
                      <a:off x="0" y="0"/>
                      <a:ext cx="5381625" cy="763143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46725" cy="7790815"/>
            <wp:effectExtent l="0" t="0" r="15875" b="63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67"/>
                    <a:stretch>
                      <a:fillRect/>
                    </a:stretch>
                  </pic:blipFill>
                  <pic:spPr>
                    <a:xfrm>
                      <a:off x="0" y="0"/>
                      <a:ext cx="5546725" cy="779081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71490" cy="7850505"/>
            <wp:effectExtent l="0" t="0" r="10160" b="17145"/>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68"/>
                    <a:stretch>
                      <a:fillRect/>
                    </a:stretch>
                  </pic:blipFill>
                  <pic:spPr>
                    <a:xfrm>
                      <a:off x="0" y="0"/>
                      <a:ext cx="5571490" cy="785050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42585" cy="7648575"/>
            <wp:effectExtent l="0" t="0" r="5715" b="9525"/>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69"/>
                    <a:stretch>
                      <a:fillRect/>
                    </a:stretch>
                  </pic:blipFill>
                  <pic:spPr>
                    <a:xfrm>
                      <a:off x="0" y="0"/>
                      <a:ext cx="5442585" cy="7648575"/>
                    </a:xfrm>
                    <a:prstGeom prst="rect">
                      <a:avLst/>
                    </a:prstGeom>
                    <a:noFill/>
                    <a:ln>
                      <a:noFill/>
                    </a:ln>
                  </pic:spPr>
                </pic:pic>
              </a:graphicData>
            </a:graphic>
          </wp:inline>
        </w:drawing>
      </w:r>
    </w:p>
    <w:p w14:paraId="525525B2">
      <w:pPr>
        <w:pStyle w:val="43"/>
        <w:rPr>
          <w:rFonts w:ascii="Times New Roman" w:cs="Times New Roman"/>
          <w:color w:val="000000" w:themeColor="text1"/>
          <w:highlight w:val="none"/>
          <w14:textFill>
            <w14:solidFill>
              <w14:schemeClr w14:val="tx1"/>
            </w14:solidFill>
          </w14:textFill>
        </w:rPr>
      </w:pPr>
    </w:p>
    <w:p w14:paraId="55C49C3F">
      <w:pPr>
        <w:jc w:val="left"/>
        <w:outlineLvl w:val="0"/>
        <w:rPr>
          <w:color w:val="000000" w:themeColor="text1"/>
          <w:highlight w:val="none"/>
          <w14:textFill>
            <w14:solidFill>
              <w14:schemeClr w14:val="tx1"/>
            </w14:solidFill>
          </w14:textFill>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77EF2ED6">
      <w:pPr>
        <w:outlineLvl w:val="0"/>
        <w:rPr>
          <w:b/>
          <w:bCs/>
          <w:color w:val="000000" w:themeColor="text1"/>
          <w:highlight w:val="none"/>
          <w:lang w:bidi="ar"/>
          <w14:textFill>
            <w14:solidFill>
              <w14:schemeClr w14:val="tx1"/>
            </w14:solidFill>
          </w14:textFill>
        </w:rPr>
      </w:pPr>
      <w:bookmarkStart w:id="244" w:name="_Toc3417"/>
      <w:bookmarkStart w:id="245" w:name="_Toc15075"/>
      <w:bookmarkStart w:id="246" w:name="_Toc29044"/>
      <w:r>
        <w:rPr>
          <w:b/>
          <w:bCs/>
          <w:color w:val="000000" w:themeColor="text1"/>
          <w:highlight w:val="none"/>
          <w:lang w:bidi="ar"/>
          <w14:textFill>
            <w14:solidFill>
              <w14:schemeClr w14:val="tx1"/>
            </w14:solidFill>
          </w14:textFill>
        </w:rPr>
        <w:t>附件</w:t>
      </w:r>
      <w:r>
        <w:rPr>
          <w:rFonts w:hint="eastAsia"/>
          <w:b/>
          <w:bCs/>
          <w:color w:val="000000" w:themeColor="text1"/>
          <w:highlight w:val="none"/>
          <w:lang w:val="en-US" w:eastAsia="zh-CN" w:bidi="ar"/>
          <w14:textFill>
            <w14:solidFill>
              <w14:schemeClr w14:val="tx1"/>
            </w14:solidFill>
          </w14:textFill>
        </w:rPr>
        <w:t>5-2</w:t>
      </w:r>
      <w:r>
        <w:rPr>
          <w:b/>
          <w:bCs/>
          <w:color w:val="000000" w:themeColor="text1"/>
          <w:highlight w:val="none"/>
          <w14:textFill>
            <w14:solidFill>
              <w14:schemeClr w14:val="tx1"/>
            </w14:solidFill>
          </w14:textFill>
        </w:rPr>
        <w:t xml:space="preserve"> </w:t>
      </w:r>
      <w:r>
        <w:rPr>
          <w:rFonts w:hint="eastAsia"/>
          <w:b/>
          <w:bCs/>
          <w:color w:val="000000" w:themeColor="text1"/>
          <w:highlight w:val="none"/>
          <w14:textFill>
            <w14:solidFill>
              <w14:schemeClr w14:val="tx1"/>
            </w14:solidFill>
          </w14:textFill>
        </w:rPr>
        <w:t>无铬钝化剂</w:t>
      </w:r>
      <w:r>
        <w:rPr>
          <w:b/>
          <w:bCs/>
          <w:color w:val="000000" w:themeColor="text1"/>
          <w:highlight w:val="none"/>
          <w:lang w:bidi="ar"/>
          <w14:textFill>
            <w14:solidFill>
              <w14:schemeClr w14:val="tx1"/>
            </w14:solidFill>
          </w14:textFill>
        </w:rPr>
        <w:t>MSDS报告</w:t>
      </w:r>
      <w:bookmarkEnd w:id="244"/>
      <w:bookmarkEnd w:id="245"/>
      <w:bookmarkEnd w:id="246"/>
    </w:p>
    <w:p w14:paraId="2A3DD5F9">
      <w:pPr>
        <w:pStyle w:val="72"/>
        <w:jc w:val="center"/>
        <w:outlineLvl w:val="9"/>
        <w:rPr>
          <w:color w:val="000000" w:themeColor="text1"/>
          <w:highlight w:val="none"/>
          <w14:textFill>
            <w14:solidFill>
              <w14:schemeClr w14:val="tx1"/>
            </w14:solidFill>
          </w14:textFill>
        </w:rPr>
      </w:pPr>
      <w:bookmarkStart w:id="247" w:name="_Toc5947"/>
      <w:bookmarkStart w:id="248" w:name="_Toc18564"/>
      <w:bookmarkStart w:id="249" w:name="_Toc31382"/>
      <w:r>
        <w:rPr>
          <w:color w:val="000000" w:themeColor="text1"/>
          <w:highlight w:val="none"/>
          <w14:textFill>
            <w14:solidFill>
              <w14:schemeClr w14:val="tx1"/>
            </w14:solidFill>
          </w14:textFill>
        </w:rPr>
        <w:drawing>
          <wp:inline distT="0" distB="0" distL="114300" distR="114300">
            <wp:extent cx="5716270" cy="8124190"/>
            <wp:effectExtent l="0" t="0" r="17780" b="1016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70"/>
                    <a:stretch>
                      <a:fillRect/>
                    </a:stretch>
                  </pic:blipFill>
                  <pic:spPr>
                    <a:xfrm>
                      <a:off x="0" y="0"/>
                      <a:ext cx="5716270" cy="812419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24500" cy="7772400"/>
            <wp:effectExtent l="0" t="0" r="0" b="0"/>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71"/>
                    <a:stretch>
                      <a:fillRect/>
                    </a:stretch>
                  </pic:blipFill>
                  <pic:spPr>
                    <a:xfrm>
                      <a:off x="0" y="0"/>
                      <a:ext cx="5524500" cy="77724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67350" cy="7762875"/>
            <wp:effectExtent l="0" t="0" r="0" b="9525"/>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pic:cNvPicPr>
                  </pic:nvPicPr>
                  <pic:blipFill>
                    <a:blip r:embed="rId72"/>
                    <a:stretch>
                      <a:fillRect/>
                    </a:stretch>
                  </pic:blipFill>
                  <pic:spPr>
                    <a:xfrm>
                      <a:off x="0" y="0"/>
                      <a:ext cx="5467350" cy="776287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057775" cy="7143750"/>
            <wp:effectExtent l="0" t="0" r="9525" b="0"/>
            <wp:docPr id="9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pic:cNvPicPr>
                      <a:picLocks noChangeAspect="1"/>
                    </pic:cNvPicPr>
                  </pic:nvPicPr>
                  <pic:blipFill>
                    <a:blip r:embed="rId73"/>
                    <a:stretch>
                      <a:fillRect/>
                    </a:stretch>
                  </pic:blipFill>
                  <pic:spPr>
                    <a:xfrm>
                      <a:off x="0" y="0"/>
                      <a:ext cx="5057775" cy="71437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076825" cy="7124700"/>
            <wp:effectExtent l="0" t="0" r="9525" b="0"/>
            <wp:docPr id="9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
                    <pic:cNvPicPr>
                      <a:picLocks noChangeAspect="1"/>
                    </pic:cNvPicPr>
                  </pic:nvPicPr>
                  <pic:blipFill>
                    <a:blip r:embed="rId74"/>
                    <a:stretch>
                      <a:fillRect/>
                    </a:stretch>
                  </pic:blipFill>
                  <pic:spPr>
                    <a:xfrm>
                      <a:off x="0" y="0"/>
                      <a:ext cx="5076825" cy="712470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69280" cy="8009255"/>
            <wp:effectExtent l="0" t="0" r="7620" b="10795"/>
            <wp:docPr id="1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4"/>
                    <pic:cNvPicPr>
                      <a:picLocks noChangeAspect="1"/>
                    </pic:cNvPicPr>
                  </pic:nvPicPr>
                  <pic:blipFill>
                    <a:blip r:embed="rId75"/>
                    <a:stretch>
                      <a:fillRect/>
                    </a:stretch>
                  </pic:blipFill>
                  <pic:spPr>
                    <a:xfrm>
                      <a:off x="0" y="0"/>
                      <a:ext cx="5669280" cy="800925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404485" cy="7614920"/>
            <wp:effectExtent l="0" t="0" r="5715" b="5080"/>
            <wp:docPr id="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pic:cNvPicPr>
                      <a:picLocks noChangeAspect="1"/>
                    </pic:cNvPicPr>
                  </pic:nvPicPr>
                  <pic:blipFill>
                    <a:blip r:embed="rId76"/>
                    <a:stretch>
                      <a:fillRect/>
                    </a:stretch>
                  </pic:blipFill>
                  <pic:spPr>
                    <a:xfrm>
                      <a:off x="0" y="0"/>
                      <a:ext cx="5404485" cy="7614920"/>
                    </a:xfrm>
                    <a:prstGeom prst="rect">
                      <a:avLst/>
                    </a:prstGeom>
                    <a:noFill/>
                    <a:ln>
                      <a:noFill/>
                    </a:ln>
                  </pic:spPr>
                </pic:pic>
              </a:graphicData>
            </a:graphic>
          </wp:inline>
        </w:drawing>
      </w:r>
      <w:bookmarkEnd w:id="247"/>
      <w:bookmarkEnd w:id="248"/>
      <w:bookmarkEnd w:id="249"/>
    </w:p>
    <w:p w14:paraId="2F627AFA">
      <w:pPr>
        <w:pStyle w:val="72"/>
        <w:jc w:val="left"/>
        <w:outlineLvl w:val="9"/>
        <w:rPr>
          <w:color w:val="000000" w:themeColor="text1"/>
          <w:highlight w:val="none"/>
          <w14:textFill>
            <w14:solidFill>
              <w14:schemeClr w14:val="tx1"/>
            </w14:solidFill>
          </w14:textFill>
        </w:rPr>
      </w:pPr>
    </w:p>
    <w:p w14:paraId="7538903A">
      <w:pPr>
        <w:pStyle w:val="72"/>
        <w:jc w:val="left"/>
        <w:outlineLvl w:val="9"/>
        <w:rPr>
          <w:color w:val="000000" w:themeColor="text1"/>
          <w:highlight w:val="none"/>
          <w14:textFill>
            <w14:solidFill>
              <w14:schemeClr w14:val="tx1"/>
            </w14:solidFill>
          </w14:textFill>
        </w:rPr>
      </w:pPr>
    </w:p>
    <w:p w14:paraId="7C26E968">
      <w:pPr>
        <w:pStyle w:val="72"/>
        <w:jc w:val="left"/>
        <w:outlineLvl w:val="9"/>
        <w:rPr>
          <w:color w:val="000000" w:themeColor="text1"/>
          <w:highlight w:val="none"/>
          <w14:textFill>
            <w14:solidFill>
              <w14:schemeClr w14:val="tx1"/>
            </w14:solidFill>
          </w14:textFill>
        </w:rPr>
      </w:pPr>
    </w:p>
    <w:p w14:paraId="77A11BF0">
      <w:pPr>
        <w:pStyle w:val="72"/>
        <w:jc w:val="left"/>
        <w:outlineLvl w:val="9"/>
        <w:rPr>
          <w:color w:val="000000" w:themeColor="text1"/>
          <w:highlight w:val="none"/>
          <w14:textFill>
            <w14:solidFill>
              <w14:schemeClr w14:val="tx1"/>
            </w14:solidFill>
          </w14:textFill>
        </w:rPr>
      </w:pPr>
    </w:p>
    <w:p w14:paraId="392AAD34">
      <w:pPr>
        <w:rPr>
          <w:rFonts w:hint="eastAsia"/>
          <w:b/>
          <w:bCs/>
          <w:color w:val="000000" w:themeColor="text1"/>
          <w:highlight w:val="none"/>
          <w:lang w:eastAsia="zh-CN" w:bidi="ar"/>
          <w14:textFill>
            <w14:solidFill>
              <w14:schemeClr w14:val="tx1"/>
            </w14:solidFill>
          </w14:textFill>
        </w:rPr>
      </w:pPr>
      <w:bookmarkStart w:id="250" w:name="_Toc3481"/>
      <w:r>
        <w:rPr>
          <w:rFonts w:hint="eastAsia"/>
          <w:b/>
          <w:bCs/>
          <w:color w:val="000000" w:themeColor="text1"/>
          <w:highlight w:val="none"/>
          <w:lang w:eastAsia="zh-CN" w:bidi="ar"/>
          <w14:textFill>
            <w14:solidFill>
              <w14:schemeClr w14:val="tx1"/>
            </w14:solidFill>
          </w14:textFill>
        </w:rPr>
        <w:br w:type="page"/>
      </w:r>
    </w:p>
    <w:p w14:paraId="3E04D2CA">
      <w:pPr>
        <w:pStyle w:val="72"/>
        <w:jc w:val="left"/>
        <w:outlineLvl w:val="0"/>
        <w:rPr>
          <w:rFonts w:hint="default" w:eastAsia="宋体"/>
          <w:b/>
          <w:bCs/>
          <w:color w:val="000000" w:themeColor="text1"/>
          <w:highlight w:val="none"/>
          <w:lang w:val="en-US" w:eastAsia="zh-CN" w:bidi="ar"/>
          <w14:textFill>
            <w14:solidFill>
              <w14:schemeClr w14:val="tx1"/>
            </w14:solidFill>
          </w14:textFill>
        </w:rPr>
      </w:pPr>
      <w:bookmarkStart w:id="251" w:name="_Toc19358"/>
      <w:r>
        <w:rPr>
          <w:rFonts w:hint="eastAsia"/>
          <w:b/>
          <w:bCs/>
          <w:color w:val="000000" w:themeColor="text1"/>
          <w:highlight w:val="none"/>
          <w:lang w:eastAsia="zh-CN" w:bidi="ar"/>
          <w14:textFill>
            <w14:solidFill>
              <w14:schemeClr w14:val="tx1"/>
            </w14:solidFill>
          </w14:textFill>
        </w:rPr>
        <w:t>附件</w:t>
      </w:r>
      <w:r>
        <w:rPr>
          <w:rFonts w:hint="eastAsia"/>
          <w:b/>
          <w:bCs/>
          <w:color w:val="000000" w:themeColor="text1"/>
          <w:highlight w:val="none"/>
          <w:lang w:val="en-US" w:eastAsia="zh-CN" w:bidi="ar"/>
          <w14:textFill>
            <w14:solidFill>
              <w14:schemeClr w14:val="tx1"/>
            </w14:solidFill>
          </w14:textFill>
        </w:rPr>
        <w:t>6 环境质量现状监测报告（摘录部分）</w:t>
      </w:r>
      <w:bookmarkEnd w:id="250"/>
      <w:bookmarkEnd w:id="251"/>
    </w:p>
    <w:p w14:paraId="3598AB4F">
      <w:pPr>
        <w:pStyle w:val="45"/>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44845" cy="8114665"/>
            <wp:effectExtent l="0" t="0" r="8255" b="63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77"/>
                    <a:stretch>
                      <a:fillRect/>
                    </a:stretch>
                  </pic:blipFill>
                  <pic:spPr>
                    <a:xfrm>
                      <a:off x="0" y="0"/>
                      <a:ext cx="5744845" cy="81146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44845" cy="8114665"/>
            <wp:effectExtent l="0" t="0" r="8255" b="6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78"/>
                    <a:stretch>
                      <a:fillRect/>
                    </a:stretch>
                  </pic:blipFill>
                  <pic:spPr>
                    <a:xfrm>
                      <a:off x="0" y="0"/>
                      <a:ext cx="5744845" cy="81146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44845" cy="8114665"/>
            <wp:effectExtent l="0" t="0" r="8255" b="63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79"/>
                    <a:stretch>
                      <a:fillRect/>
                    </a:stretch>
                  </pic:blipFill>
                  <pic:spPr>
                    <a:xfrm>
                      <a:off x="0" y="0"/>
                      <a:ext cx="5744845" cy="811466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744845" cy="8114665"/>
            <wp:effectExtent l="0" t="0" r="8255" b="63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80"/>
                    <a:stretch>
                      <a:fillRect/>
                    </a:stretch>
                  </pic:blipFill>
                  <pic:spPr>
                    <a:xfrm>
                      <a:off x="0" y="0"/>
                      <a:ext cx="5744845" cy="8114665"/>
                    </a:xfrm>
                    <a:prstGeom prst="rect">
                      <a:avLst/>
                    </a:prstGeom>
                    <a:noFill/>
                    <a:ln>
                      <a:noFill/>
                    </a:ln>
                  </pic:spPr>
                </pic:pic>
              </a:graphicData>
            </a:graphic>
          </wp:inline>
        </w:drawing>
      </w:r>
    </w:p>
    <w:p w14:paraId="1426896E">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350D330F">
      <w:pPr>
        <w:outlineLvl w:val="0"/>
        <w:rPr>
          <w:rFonts w:hint="default" w:eastAsia="宋体"/>
          <w:b/>
          <w:bCs/>
          <w:color w:val="000000" w:themeColor="text1"/>
          <w:highlight w:val="none"/>
          <w:lang w:val="en-US" w:eastAsia="zh-CN"/>
          <w14:textFill>
            <w14:solidFill>
              <w14:schemeClr w14:val="tx1"/>
            </w14:solidFill>
          </w14:textFill>
        </w:rPr>
      </w:pPr>
      <w:bookmarkStart w:id="252" w:name="_Toc30993"/>
      <w:r>
        <w:rPr>
          <w:rFonts w:hint="eastAsia"/>
          <w:b/>
          <w:bCs/>
          <w:color w:val="000000" w:themeColor="text1"/>
          <w:highlight w:val="none"/>
          <w:lang w:val="en-US" w:eastAsia="zh-CN"/>
          <w14:textFill>
            <w14:solidFill>
              <w14:schemeClr w14:val="tx1"/>
            </w14:solidFill>
          </w14:textFill>
        </w:rPr>
        <w:t>附件7 废水水质监测报告（引用摘录）</w:t>
      </w:r>
      <w:bookmarkEnd w:id="252"/>
    </w:p>
    <w:p w14:paraId="32BF4E47">
      <w:pPr>
        <w:rPr>
          <w:color w:val="000000" w:themeColor="text1"/>
          <w:highlight w:val="none"/>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bookmarkStart w:id="253" w:name="_Toc7215"/>
      <w:r>
        <w:rPr>
          <w:color w:val="000000" w:themeColor="text1"/>
          <w:highlight w:val="none"/>
          <w14:textFill>
            <w14:solidFill>
              <w14:schemeClr w14:val="tx1"/>
            </w14:solidFill>
          </w14:textFill>
        </w:rPr>
        <w:drawing>
          <wp:inline distT="0" distB="0" distL="114300" distR="114300">
            <wp:extent cx="5617845" cy="8113395"/>
            <wp:effectExtent l="0" t="0" r="8255" b="190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81"/>
                    <a:stretch>
                      <a:fillRect/>
                    </a:stretch>
                  </pic:blipFill>
                  <pic:spPr>
                    <a:xfrm>
                      <a:off x="0" y="0"/>
                      <a:ext cx="5617845" cy="8113395"/>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651500" cy="7992110"/>
            <wp:effectExtent l="0" t="0" r="0" b="8890"/>
            <wp:docPr id="1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
                    <pic:cNvPicPr>
                      <a:picLocks noChangeAspect="1"/>
                    </pic:cNvPicPr>
                  </pic:nvPicPr>
                  <pic:blipFill>
                    <a:blip r:embed="rId82"/>
                    <a:stretch>
                      <a:fillRect/>
                    </a:stretch>
                  </pic:blipFill>
                  <pic:spPr>
                    <a:xfrm>
                      <a:off x="0" y="0"/>
                      <a:ext cx="5651500" cy="799211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5570220" cy="8430260"/>
            <wp:effectExtent l="0" t="0" r="5080" b="2540"/>
            <wp:docPr id="1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
                    <pic:cNvPicPr>
                      <a:picLocks noChangeAspect="1"/>
                    </pic:cNvPicPr>
                  </pic:nvPicPr>
                  <pic:blipFill>
                    <a:blip r:embed="rId83"/>
                    <a:stretch>
                      <a:fillRect/>
                    </a:stretch>
                  </pic:blipFill>
                  <pic:spPr>
                    <a:xfrm>
                      <a:off x="0" y="0"/>
                      <a:ext cx="5570220" cy="8430260"/>
                    </a:xfrm>
                    <a:prstGeom prst="rect">
                      <a:avLst/>
                    </a:prstGeom>
                    <a:noFill/>
                    <a:ln>
                      <a:noFill/>
                    </a:ln>
                  </pic:spPr>
                </pic:pic>
              </a:graphicData>
            </a:graphic>
          </wp:inline>
        </w:drawing>
      </w:r>
    </w:p>
    <w:p w14:paraId="60EE6CBF">
      <w:pPr>
        <w:outlineLvl w:val="0"/>
        <w:rPr>
          <w:rFonts w:hint="eastAsia"/>
          <w:b/>
          <w:bCs/>
          <w:color w:val="000000" w:themeColor="text1"/>
          <w:highlight w:val="none"/>
          <w:lang w:val="en-US" w:eastAsia="zh-CN"/>
          <w14:textFill>
            <w14:solidFill>
              <w14:schemeClr w14:val="tx1"/>
            </w14:solidFill>
          </w14:textFill>
        </w:rPr>
      </w:pPr>
      <w:bookmarkStart w:id="254" w:name="_Toc17057"/>
      <w:r>
        <w:rPr>
          <w:rFonts w:hint="eastAsia"/>
          <w:b/>
          <w:bCs/>
          <w:color w:val="000000" w:themeColor="text1"/>
          <w:highlight w:val="none"/>
          <w:lang w:val="en-US" w:eastAsia="zh-CN"/>
          <w14:textFill>
            <w14:solidFill>
              <w14:schemeClr w14:val="tx1"/>
            </w14:solidFill>
          </w14:textFill>
        </w:rPr>
        <w:t>附件8 武江中钛的监测数据（引用摘录）</w:t>
      </w:r>
      <w:bookmarkEnd w:id="254"/>
    </w:p>
    <w:p w14:paraId="3F85464F">
      <w:pPr>
        <w:outlineLvl w:val="9"/>
        <w:rPr>
          <w:rFonts w:hint="eastAsia"/>
          <w:b/>
          <w:bCs/>
          <w:color w:val="000000" w:themeColor="text1"/>
          <w:highlight w:val="none"/>
          <w:lang w:val="en-US" w:eastAsia="zh-CN"/>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r>
        <w:rPr>
          <w:rFonts w:hint="eastAsia"/>
          <w:b/>
          <w:bCs/>
          <w:color w:val="000000" w:themeColor="text1"/>
          <w:highlight w:val="none"/>
          <w:lang w:val="en-US" w:eastAsia="zh-CN"/>
          <w14:textFill>
            <w14:solidFill>
              <w14:schemeClr w14:val="tx1"/>
            </w14:solidFill>
          </w14:textFill>
        </w:rPr>
        <w:drawing>
          <wp:inline distT="0" distB="0" distL="114300" distR="114300">
            <wp:extent cx="5749925" cy="8134985"/>
            <wp:effectExtent l="0" t="0" r="13970" b="4445"/>
            <wp:docPr id="2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1"/>
                    <pic:cNvPicPr>
                      <a:picLocks noChangeAspect="1"/>
                    </pic:cNvPicPr>
                  </pic:nvPicPr>
                  <pic:blipFill>
                    <a:blip r:embed="rId84"/>
                    <a:stretch>
                      <a:fillRect/>
                    </a:stretch>
                  </pic:blipFill>
                  <pic:spPr>
                    <a:xfrm>
                      <a:off x="0" y="0"/>
                      <a:ext cx="5749925" cy="8134985"/>
                    </a:xfrm>
                    <a:prstGeom prst="rect">
                      <a:avLst/>
                    </a:prstGeom>
                    <a:noFill/>
                    <a:ln>
                      <a:noFill/>
                    </a:ln>
                  </pic:spPr>
                </pic:pic>
              </a:graphicData>
            </a:graphic>
          </wp:inline>
        </w:drawing>
      </w:r>
      <w:r>
        <w:rPr>
          <w:rFonts w:hint="eastAsia"/>
          <w:b/>
          <w:bCs/>
          <w:color w:val="000000" w:themeColor="text1"/>
          <w:highlight w:val="none"/>
          <w:lang w:val="en-US" w:eastAsia="zh-CN"/>
          <w14:textFill>
            <w14:solidFill>
              <w14:schemeClr w14:val="tx1"/>
            </w14:solidFill>
          </w14:textFill>
        </w:rPr>
        <w:drawing>
          <wp:inline distT="0" distB="0" distL="114300" distR="114300">
            <wp:extent cx="5749925" cy="8134985"/>
            <wp:effectExtent l="0" t="0" r="13970" b="4445"/>
            <wp:docPr id="2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2"/>
                    <pic:cNvPicPr>
                      <a:picLocks noChangeAspect="1"/>
                    </pic:cNvPicPr>
                  </pic:nvPicPr>
                  <pic:blipFill>
                    <a:blip r:embed="rId85"/>
                    <a:stretch>
                      <a:fillRect/>
                    </a:stretch>
                  </pic:blipFill>
                  <pic:spPr>
                    <a:xfrm>
                      <a:off x="0" y="0"/>
                      <a:ext cx="5749925" cy="8134985"/>
                    </a:xfrm>
                    <a:prstGeom prst="rect">
                      <a:avLst/>
                    </a:prstGeom>
                    <a:noFill/>
                    <a:ln>
                      <a:noFill/>
                    </a:ln>
                  </pic:spPr>
                </pic:pic>
              </a:graphicData>
            </a:graphic>
          </wp:inline>
        </w:drawing>
      </w:r>
      <w:r>
        <w:rPr>
          <w:rFonts w:hint="eastAsia"/>
          <w:b/>
          <w:bCs/>
          <w:color w:val="000000" w:themeColor="text1"/>
          <w:highlight w:val="none"/>
          <w:lang w:val="en-US" w:eastAsia="zh-CN"/>
          <w14:textFill>
            <w14:solidFill>
              <w14:schemeClr w14:val="tx1"/>
            </w14:solidFill>
          </w14:textFill>
        </w:rPr>
        <w:drawing>
          <wp:inline distT="0" distB="0" distL="114300" distR="114300">
            <wp:extent cx="5749925" cy="8134985"/>
            <wp:effectExtent l="0" t="0" r="13970" b="4445"/>
            <wp:docPr id="25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
                    <pic:cNvPicPr>
                      <a:picLocks noChangeAspect="1"/>
                    </pic:cNvPicPr>
                  </pic:nvPicPr>
                  <pic:blipFill>
                    <a:blip r:embed="rId86"/>
                    <a:stretch>
                      <a:fillRect/>
                    </a:stretch>
                  </pic:blipFill>
                  <pic:spPr>
                    <a:xfrm>
                      <a:off x="0" y="0"/>
                      <a:ext cx="5749925" cy="8134985"/>
                    </a:xfrm>
                    <a:prstGeom prst="rect">
                      <a:avLst/>
                    </a:prstGeom>
                    <a:noFill/>
                    <a:ln>
                      <a:noFill/>
                    </a:ln>
                  </pic:spPr>
                </pic:pic>
              </a:graphicData>
            </a:graphic>
          </wp:inline>
        </w:drawing>
      </w:r>
      <w:r>
        <w:rPr>
          <w:rFonts w:hint="eastAsia"/>
          <w:b/>
          <w:bCs/>
          <w:color w:val="000000" w:themeColor="text1"/>
          <w:highlight w:val="none"/>
          <w:lang w:val="en-US" w:eastAsia="zh-CN"/>
          <w14:textFill>
            <w14:solidFill>
              <w14:schemeClr w14:val="tx1"/>
            </w14:solidFill>
          </w14:textFill>
        </w:rPr>
        <w:drawing>
          <wp:inline distT="0" distB="0" distL="114300" distR="114300">
            <wp:extent cx="5749925" cy="8134985"/>
            <wp:effectExtent l="0" t="0" r="13970" b="4445"/>
            <wp:docPr id="2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4"/>
                    <pic:cNvPicPr>
                      <a:picLocks noChangeAspect="1"/>
                    </pic:cNvPicPr>
                  </pic:nvPicPr>
                  <pic:blipFill>
                    <a:blip r:embed="rId87"/>
                    <a:stretch>
                      <a:fillRect/>
                    </a:stretch>
                  </pic:blipFill>
                  <pic:spPr>
                    <a:xfrm>
                      <a:off x="0" y="0"/>
                      <a:ext cx="5749925" cy="8134985"/>
                    </a:xfrm>
                    <a:prstGeom prst="rect">
                      <a:avLst/>
                    </a:prstGeom>
                    <a:noFill/>
                    <a:ln>
                      <a:noFill/>
                    </a:ln>
                  </pic:spPr>
                </pic:pic>
              </a:graphicData>
            </a:graphic>
          </wp:inline>
        </w:drawing>
      </w:r>
      <w:r>
        <w:rPr>
          <w:rFonts w:hint="eastAsia"/>
          <w:b/>
          <w:bCs/>
          <w:color w:val="000000" w:themeColor="text1"/>
          <w:highlight w:val="none"/>
          <w:lang w:val="en-US" w:eastAsia="zh-CN"/>
          <w14:textFill>
            <w14:solidFill>
              <w14:schemeClr w14:val="tx1"/>
            </w14:solidFill>
          </w14:textFill>
        </w:rPr>
        <w:drawing>
          <wp:inline distT="0" distB="0" distL="114300" distR="114300">
            <wp:extent cx="5749925" cy="8134985"/>
            <wp:effectExtent l="0" t="0" r="13970" b="4445"/>
            <wp:docPr id="2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5"/>
                    <pic:cNvPicPr>
                      <a:picLocks noChangeAspect="1"/>
                    </pic:cNvPicPr>
                  </pic:nvPicPr>
                  <pic:blipFill>
                    <a:blip r:embed="rId88"/>
                    <a:stretch>
                      <a:fillRect/>
                    </a:stretch>
                  </pic:blipFill>
                  <pic:spPr>
                    <a:xfrm>
                      <a:off x="0" y="0"/>
                      <a:ext cx="5749925" cy="8134985"/>
                    </a:xfrm>
                    <a:prstGeom prst="rect">
                      <a:avLst/>
                    </a:prstGeom>
                    <a:noFill/>
                    <a:ln>
                      <a:noFill/>
                    </a:ln>
                  </pic:spPr>
                </pic:pic>
              </a:graphicData>
            </a:graphic>
          </wp:inline>
        </w:drawing>
      </w:r>
    </w:p>
    <w:p w14:paraId="6D036133">
      <w:pPr>
        <w:outlineLvl w:val="0"/>
        <w:rPr>
          <w:rFonts w:hint="eastAsia"/>
          <w:b/>
          <w:bCs/>
          <w:color w:val="000000" w:themeColor="text1"/>
          <w:highlight w:val="none"/>
          <w:lang w:val="en-US" w:eastAsia="zh-CN"/>
          <w14:textFill>
            <w14:solidFill>
              <w14:schemeClr w14:val="tx1"/>
            </w14:solidFill>
          </w14:textFill>
        </w:rPr>
      </w:pPr>
      <w:bookmarkStart w:id="255" w:name="_Toc4140"/>
      <w:r>
        <w:rPr>
          <w:rFonts w:hint="eastAsia"/>
          <w:b/>
          <w:bCs/>
          <w:color w:val="000000" w:themeColor="text1"/>
          <w:highlight w:val="none"/>
          <w:lang w:val="en-US" w:eastAsia="zh-CN"/>
          <w14:textFill>
            <w14:solidFill>
              <w14:schemeClr w14:val="tx1"/>
            </w14:solidFill>
          </w14:textFill>
        </w:rPr>
        <w:t>附件9废水接纳协议</w:t>
      </w:r>
      <w:bookmarkEnd w:id="255"/>
    </w:p>
    <w:p w14:paraId="7D352652">
      <w:pPr>
        <w:pStyle w:val="43"/>
        <w:rPr>
          <w:rFonts w:hint="default"/>
          <w:color w:val="000000" w:themeColor="text1"/>
          <w:lang w:val="en-US" w:eastAsia="zh-CN"/>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r>
        <w:rPr>
          <w:rFonts w:hint="default"/>
          <w:color w:val="000000" w:themeColor="text1"/>
          <w:lang w:val="en-US" w:eastAsia="zh-CN"/>
          <w14:textFill>
            <w14:solidFill>
              <w14:schemeClr w14:val="tx1"/>
            </w14:solidFill>
          </w14:textFill>
        </w:rPr>
        <w:drawing>
          <wp:inline distT="0" distB="0" distL="114300" distR="114300">
            <wp:extent cx="5758180" cy="8135620"/>
            <wp:effectExtent l="0" t="0" r="7620" b="5080"/>
            <wp:docPr id="70" name="图片 70" descr="关于广东润昕新材料有限公司前处理废水(含锆、钛重金属)处理能力的论证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关于广东润昕新材料有限公司前处理废水(含锆、钛重金属)处理能力的论证意见_01"/>
                    <pic:cNvPicPr>
                      <a:picLocks noChangeAspect="1"/>
                    </pic:cNvPicPr>
                  </pic:nvPicPr>
                  <pic:blipFill>
                    <a:blip r:embed="rId89"/>
                    <a:stretch>
                      <a:fillRect/>
                    </a:stretch>
                  </pic:blipFill>
                  <pic:spPr>
                    <a:xfrm>
                      <a:off x="0" y="0"/>
                      <a:ext cx="5758180" cy="8135620"/>
                    </a:xfrm>
                    <a:prstGeom prst="rect">
                      <a:avLst/>
                    </a:prstGeom>
                  </pic:spPr>
                </pic:pic>
              </a:graphicData>
            </a:graphic>
          </wp:inline>
        </w:drawing>
      </w:r>
    </w:p>
    <w:p w14:paraId="73DE007E">
      <w:pPr>
        <w:outlineLvl w:val="9"/>
        <w:rPr>
          <w:rFonts w:hint="eastAsia" w:eastAsia="宋体"/>
          <w:color w:val="000000" w:themeColor="text1"/>
          <w:lang w:eastAsia="zh-CN"/>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r>
        <w:rPr>
          <w:rFonts w:hint="eastAsia" w:eastAsia="宋体"/>
          <w:color w:val="000000" w:themeColor="text1"/>
          <w:lang w:eastAsia="zh-CN"/>
          <w14:textFill>
            <w14:solidFill>
              <w14:schemeClr w14:val="tx1"/>
            </w14:solidFill>
          </w14:textFill>
        </w:rPr>
        <w:drawing>
          <wp:inline distT="0" distB="0" distL="114300" distR="114300">
            <wp:extent cx="5758180" cy="8135620"/>
            <wp:effectExtent l="0" t="0" r="7620" b="5080"/>
            <wp:docPr id="71" name="图片 71" descr="关于广东润昕新材料有限公司前处理废水(含锆、钛重金属)处理能力的论证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关于广东润昕新材料有限公司前处理废水(含锆、钛重金属)处理能力的论证意见_02"/>
                    <pic:cNvPicPr>
                      <a:picLocks noChangeAspect="1"/>
                    </pic:cNvPicPr>
                  </pic:nvPicPr>
                  <pic:blipFill>
                    <a:blip r:embed="rId90"/>
                    <a:stretch>
                      <a:fillRect/>
                    </a:stretch>
                  </pic:blipFill>
                  <pic:spPr>
                    <a:xfrm>
                      <a:off x="0" y="0"/>
                      <a:ext cx="5758180" cy="8135620"/>
                    </a:xfrm>
                    <a:prstGeom prst="rect">
                      <a:avLst/>
                    </a:prstGeom>
                  </pic:spPr>
                </pic:pic>
              </a:graphicData>
            </a:graphic>
          </wp:inline>
        </w:drawing>
      </w:r>
    </w:p>
    <w:p w14:paraId="60D7DFBA">
      <w:pPr>
        <w:outlineLvl w:val="0"/>
        <w:rPr>
          <w:rFonts w:hint="eastAsia"/>
          <w:b/>
          <w:bCs/>
          <w:color w:val="000000" w:themeColor="text1"/>
          <w:highlight w:val="none"/>
          <w:lang w:val="en-US" w:eastAsia="zh-CN"/>
          <w14:textFill>
            <w14:solidFill>
              <w14:schemeClr w14:val="tx1"/>
            </w14:solidFill>
          </w14:textFill>
        </w:rPr>
      </w:pPr>
      <w:bookmarkStart w:id="256" w:name="_Toc2316"/>
      <w:r>
        <w:rPr>
          <w:rFonts w:hint="eastAsia"/>
          <w:b/>
          <w:bCs/>
          <w:color w:val="000000" w:themeColor="text1"/>
          <w:highlight w:val="none"/>
          <w:lang w:val="en-US" w:eastAsia="zh-CN"/>
          <w14:textFill>
            <w14:solidFill>
              <w14:schemeClr w14:val="tx1"/>
            </w14:solidFill>
          </w14:textFill>
        </w:rPr>
        <w:t>附件10专家评审意见及修改索引</w:t>
      </w:r>
      <w:bookmarkEnd w:id="256"/>
    </w:p>
    <w:p w14:paraId="27B7F28B">
      <w:pPr>
        <w:rPr>
          <w:rFonts w:hint="default"/>
          <w:color w:val="000000" w:themeColor="text1"/>
          <w:lang w:val="en-US" w:eastAsia="zh-CN"/>
          <w14:textFill>
            <w14:solidFill>
              <w14:schemeClr w14:val="tx1"/>
            </w14:solidFill>
          </w14:textFill>
        </w:rPr>
      </w:pPr>
      <w:r>
        <w:drawing>
          <wp:inline distT="0" distB="0" distL="114300" distR="114300">
            <wp:extent cx="5754370" cy="7980680"/>
            <wp:effectExtent l="9525" t="9525" r="11430" b="1968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91"/>
                    <a:stretch>
                      <a:fillRect/>
                    </a:stretch>
                  </pic:blipFill>
                  <pic:spPr>
                    <a:xfrm>
                      <a:off x="0" y="0"/>
                      <a:ext cx="5754370" cy="7980680"/>
                    </a:xfrm>
                    <a:prstGeom prst="rect">
                      <a:avLst/>
                    </a:prstGeom>
                    <a:noFill/>
                    <a:ln>
                      <a:solidFill>
                        <a:schemeClr val="tx1"/>
                      </a:solidFill>
                    </a:ln>
                  </pic:spPr>
                </pic:pic>
              </a:graphicData>
            </a:graphic>
          </wp:inline>
        </w:drawing>
      </w:r>
    </w:p>
    <w:p w14:paraId="3D3EEA21">
      <w:pPr>
        <w:bidi w:val="0"/>
        <w:rPr>
          <w:rFonts w:hint="default"/>
          <w:color w:val="000000" w:themeColor="text1"/>
          <w:lang w:val="en-US" w:eastAsia="zh-CN"/>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r>
        <w:rPr>
          <w:color w:val="000000" w:themeColor="text1"/>
          <w14:textFill>
            <w14:solidFill>
              <w14:schemeClr w14:val="tx1"/>
            </w14:solidFill>
          </w14:textFill>
        </w:rPr>
        <w:drawing>
          <wp:inline distT="0" distB="0" distL="114300" distR="114300">
            <wp:extent cx="5720715" cy="8030210"/>
            <wp:effectExtent l="9525" t="9525" r="12700" b="1333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92"/>
                    <a:stretch>
                      <a:fillRect/>
                    </a:stretch>
                  </pic:blipFill>
                  <pic:spPr>
                    <a:xfrm>
                      <a:off x="0" y="0"/>
                      <a:ext cx="5720715" cy="8030210"/>
                    </a:xfrm>
                    <a:prstGeom prst="rect">
                      <a:avLst/>
                    </a:prstGeom>
                    <a:noFill/>
                    <a:ln>
                      <a:solidFill>
                        <a:schemeClr val="tx1"/>
                      </a:solidFill>
                    </a:ln>
                  </pic:spPr>
                </pic:pic>
              </a:graphicData>
            </a:graphic>
          </wp:inline>
        </w:drawing>
      </w:r>
    </w:p>
    <w:p w14:paraId="211F9BB1">
      <w:pPr>
        <w:jc w:val="cente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广东润昕新材料有限公司《乐昌致远新材料项目环境影响报告表》</w:t>
      </w:r>
    </w:p>
    <w:p w14:paraId="226F8C84">
      <w:pPr>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专家评审意见</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修改索引：</w:t>
      </w:r>
    </w:p>
    <w:tbl>
      <w:tblPr>
        <w:tblStyle w:val="39"/>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
        <w:gridCol w:w="2933"/>
        <w:gridCol w:w="3521"/>
        <w:gridCol w:w="2298"/>
      </w:tblGrid>
      <w:tr w14:paraId="4023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2EA3FB15">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t>序号</w:t>
            </w:r>
          </w:p>
        </w:tc>
        <w:tc>
          <w:tcPr>
            <w:tcW w:w="1580" w:type="pct"/>
            <w:vAlign w:val="center"/>
          </w:tcPr>
          <w:p w14:paraId="64620D49">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t>评审意见</w:t>
            </w:r>
          </w:p>
        </w:tc>
        <w:tc>
          <w:tcPr>
            <w:tcW w:w="1897" w:type="pct"/>
            <w:vAlign w:val="center"/>
          </w:tcPr>
          <w:p w14:paraId="71CD3027">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t>修改内容</w:t>
            </w:r>
          </w:p>
        </w:tc>
        <w:tc>
          <w:tcPr>
            <w:tcW w:w="1238" w:type="pct"/>
            <w:vAlign w:val="center"/>
          </w:tcPr>
          <w:p w14:paraId="2D01C9FE">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b/>
                <w:bCs/>
                <w:strike w:val="0"/>
                <w:dstrike w:val="0"/>
                <w:color w:val="000000" w:themeColor="text1"/>
                <w:kern w:val="2"/>
                <w:sz w:val="24"/>
                <w:szCs w:val="24"/>
                <w:u w:val="none"/>
                <w:vertAlign w:val="baseline"/>
                <w:lang w:val="en-US" w:eastAsia="zh-CN" w:bidi="ar-SA"/>
                <w14:textFill>
                  <w14:solidFill>
                    <w14:schemeClr w14:val="tx1"/>
                  </w14:solidFill>
                </w14:textFill>
              </w:rPr>
              <w:t>对应章节、页码</w:t>
            </w:r>
          </w:p>
        </w:tc>
      </w:tr>
      <w:tr w14:paraId="55C67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0" w:hRule="atLeast"/>
        </w:trPr>
        <w:tc>
          <w:tcPr>
            <w:tcW w:w="283" w:type="pct"/>
            <w:vMerge w:val="restart"/>
            <w:vAlign w:val="center"/>
          </w:tcPr>
          <w:p w14:paraId="3659408F">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Merge w:val="restart"/>
            <w:vAlign w:val="center"/>
          </w:tcPr>
          <w:p w14:paraId="40DABD63">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进一步核实项目水平衡图：核实图中循环水量</w:t>
            </w:r>
          </w:p>
        </w:tc>
        <w:tc>
          <w:tcPr>
            <w:tcW w:w="1897" w:type="pct"/>
            <w:vAlign w:val="center"/>
          </w:tcPr>
          <w:p w14:paraId="4C3294DF">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本项目槽液循环量为</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fldChar w:fldCharType="begin"/>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instrText xml:space="preserve"> = sum(F2:F8) \* MERGEFORMAT </w:instrTex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fldChar w:fldCharType="separate"/>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1433.6</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fldChar w:fldCharType="end"/>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m</w:t>
            </w:r>
            <w:r>
              <w:rPr>
                <w:rFonts w:hint="default" w:ascii="Times New Roman" w:hAnsi="Times New Roman" w:eastAsia="仿宋" w:cs="Times New Roman"/>
                <w:b w:val="0"/>
                <w:bCs w:val="0"/>
                <w:i w:val="0"/>
                <w:iCs w:val="0"/>
                <w:color w:val="000000" w:themeColor="text1"/>
                <w:kern w:val="0"/>
                <w:sz w:val="24"/>
                <w:szCs w:val="24"/>
                <w:highlight w:val="none"/>
                <w:u w:val="none"/>
                <w:vertAlign w:val="superscript"/>
                <w:lang w:val="en-US" w:eastAsia="zh-CN" w:bidi="ar"/>
                <w14:textFill>
                  <w14:solidFill>
                    <w14:schemeClr w14:val="tx1"/>
                  </w14:solidFill>
                </w14:textFill>
              </w:rPr>
              <w:t>3</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/d，</w:t>
            </w:r>
            <w:r>
              <w:rPr>
                <w:rFonts w:hint="default" w:ascii="Times New Roman" w:hAnsi="Times New Roman" w:eastAsia="仿宋" w:cs="Times New Roman"/>
                <w:b w:val="0"/>
                <w:bCs w:val="0"/>
                <w:color w:val="000000" w:themeColor="text1"/>
                <w:sz w:val="24"/>
                <w:szCs w:val="24"/>
                <w:highlight w:val="none"/>
                <w14:textFill>
                  <w14:solidFill>
                    <w14:schemeClr w14:val="tx1"/>
                  </w14:solidFill>
                </w14:textFill>
              </w:rPr>
              <w:t>年工作时间为300天</w:t>
            </w:r>
            <w:r>
              <w:rPr>
                <w:rFonts w:hint="default" w:ascii="Times New Roman" w:hAnsi="Times New Roman" w:eastAsia="仿宋" w:cs="Times New Roman"/>
                <w:b w:val="0"/>
                <w:bCs w:val="0"/>
                <w:color w:val="000000" w:themeColor="text1"/>
                <w:sz w:val="24"/>
                <w:szCs w:val="24"/>
                <w:highlight w:val="none"/>
                <w:lang w:eastAsia="zh-CN"/>
                <w14:textFill>
                  <w14:solidFill>
                    <w14:schemeClr w14:val="tx1"/>
                  </w14:solidFill>
                </w14:textFill>
              </w:rPr>
              <w:t>，</w:t>
            </w:r>
            <w:r>
              <w:rPr>
                <w:rFonts w:hint="default" w:ascii="Times New Roman" w:hAnsi="Times New Roman" w:eastAsia="仿宋" w:cs="Times New Roman"/>
                <w:b w:val="0"/>
                <w:bCs w:val="0"/>
                <w:color w:val="000000" w:themeColor="text1"/>
                <w:sz w:val="24"/>
                <w:szCs w:val="24"/>
                <w:highlight w:val="none"/>
                <w:lang w:val="en-US" w:eastAsia="zh-CN"/>
                <w14:textFill>
                  <w14:solidFill>
                    <w14:schemeClr w14:val="tx1"/>
                  </w14:solidFill>
                </w14:textFill>
              </w:rPr>
              <w:t>合计430080</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m</w:t>
            </w:r>
            <w:r>
              <w:rPr>
                <w:rFonts w:hint="default" w:ascii="Times New Roman" w:hAnsi="Times New Roman" w:eastAsia="仿宋" w:cs="Times New Roman"/>
                <w:b w:val="0"/>
                <w:bCs w:val="0"/>
                <w:i w:val="0"/>
                <w:iCs w:val="0"/>
                <w:color w:val="000000" w:themeColor="text1"/>
                <w:kern w:val="0"/>
                <w:sz w:val="24"/>
                <w:szCs w:val="24"/>
                <w:highlight w:val="none"/>
                <w:u w:val="none"/>
                <w:vertAlign w:val="superscript"/>
                <w:lang w:val="en-US" w:eastAsia="zh-CN" w:bidi="ar"/>
                <w14:textFill>
                  <w14:solidFill>
                    <w14:schemeClr w14:val="tx1"/>
                  </w14:solidFill>
                </w14:textFill>
              </w:rPr>
              <w:t>3</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/a；减去槽液中添加的碱性除油剂38.4t/a，无铬钝化剂7.2t/a后，最终核算循环水量=430034.4m</w:t>
            </w:r>
            <w:r>
              <w:rPr>
                <w:rFonts w:hint="default" w:ascii="Times New Roman" w:hAnsi="Times New Roman" w:eastAsia="仿宋" w:cs="Times New Roman"/>
                <w:b w:val="0"/>
                <w:bCs w:val="0"/>
                <w:i w:val="0"/>
                <w:iCs w:val="0"/>
                <w:color w:val="000000" w:themeColor="text1"/>
                <w:kern w:val="0"/>
                <w:sz w:val="24"/>
                <w:szCs w:val="24"/>
                <w:highlight w:val="none"/>
                <w:u w:val="none"/>
                <w:vertAlign w:val="superscript"/>
                <w:lang w:val="en-US" w:eastAsia="zh-CN" w:bidi="ar"/>
                <w14:textFill>
                  <w14:solidFill>
                    <w14:schemeClr w14:val="tx1"/>
                  </w14:solidFill>
                </w14:textFill>
              </w:rPr>
              <w:t>3</w:t>
            </w:r>
            <w:r>
              <w:rPr>
                <w:rFonts w:hint="default" w:ascii="Times New Roman" w:hAnsi="Times New Roman" w:eastAsia="仿宋" w:cs="Times New Roman"/>
                <w:b w:val="0"/>
                <w:bCs w:val="0"/>
                <w:i w:val="0"/>
                <w:iCs w:val="0"/>
                <w:color w:val="000000" w:themeColor="text1"/>
                <w:kern w:val="0"/>
                <w:sz w:val="24"/>
                <w:szCs w:val="24"/>
                <w:highlight w:val="none"/>
                <w:u w:val="none"/>
                <w:lang w:val="en-US" w:eastAsia="zh-CN" w:bidi="ar"/>
                <w14:textFill>
                  <w14:solidFill>
                    <w14:schemeClr w14:val="tx1"/>
                  </w14:solidFill>
                </w14:textFill>
              </w:rPr>
              <w:t>/a</w:t>
            </w:r>
          </w:p>
        </w:tc>
        <w:tc>
          <w:tcPr>
            <w:tcW w:w="1238" w:type="pct"/>
            <w:vAlign w:val="center"/>
          </w:tcPr>
          <w:p w14:paraId="319883D4">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二、建设项目工程分析：P29 图2-1本项目水平衡图</w:t>
            </w:r>
          </w:p>
        </w:tc>
      </w:tr>
      <w:tr w14:paraId="7DD7E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179F087B">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Align w:val="center"/>
          </w:tcPr>
          <w:p w14:paraId="2A85F88C">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建议打磨、抛光废气采用的旋风+滤芯式二级回收系统处理后的废气采用有组织排放</w:t>
            </w:r>
          </w:p>
        </w:tc>
        <w:tc>
          <w:tcPr>
            <w:tcW w:w="1897" w:type="pct"/>
            <w:vAlign w:val="center"/>
          </w:tcPr>
          <w:p w14:paraId="67DA3ECF">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已对打磨、抛光废气采用的旋风+滤芯式二级回收系统处理后的废气采用有组织排放，废气经15m高排气筒DA003排放，对应修改全文相关内容</w:t>
            </w:r>
          </w:p>
        </w:tc>
        <w:tc>
          <w:tcPr>
            <w:tcW w:w="1238" w:type="pct"/>
            <w:vAlign w:val="center"/>
          </w:tcPr>
          <w:p w14:paraId="2F2B01E9">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二、建设项目工程分析：P21 表2-2工程组成一览表、P31 工艺流程说明；</w:t>
            </w:r>
          </w:p>
          <w:p w14:paraId="6F9BAC1B">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三、区域环境质量现状、环境保护目标及评价标准：P45 表3-8生产废气中颗粒物排放限值标准；</w:t>
            </w:r>
          </w:p>
          <w:p w14:paraId="6D94B38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四、主要环境影响和保护措施：P57~58、P61~65；</w:t>
            </w:r>
          </w:p>
          <w:p w14:paraId="7EE1272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建设项目污染物排放量汇总表：P166~167</w:t>
            </w:r>
          </w:p>
        </w:tc>
      </w:tr>
      <w:tr w14:paraId="0C92D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488D0D14">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Align w:val="center"/>
          </w:tcPr>
          <w:p w14:paraId="104D9640">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P32生活污水污染因子应增加总磷</w:t>
            </w:r>
          </w:p>
        </w:tc>
        <w:tc>
          <w:tcPr>
            <w:tcW w:w="1897" w:type="pct"/>
            <w:vAlign w:val="center"/>
          </w:tcPr>
          <w:p w14:paraId="2DA06B4A">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已在“表2-12主要污染节点分析一览表”生活污水污染因子中增加“总磷”</w:t>
            </w:r>
          </w:p>
        </w:tc>
        <w:tc>
          <w:tcPr>
            <w:tcW w:w="1238" w:type="pct"/>
            <w:vAlign w:val="center"/>
          </w:tcPr>
          <w:p w14:paraId="6EEE1E4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二、建设项目工程分析：P32 表2-12主要污染节点一览表</w:t>
            </w:r>
          </w:p>
        </w:tc>
      </w:tr>
      <w:tr w14:paraId="465EC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6E9D6965">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Align w:val="center"/>
          </w:tcPr>
          <w:p w14:paraId="577C509B">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P43核实表3-6THC的标准来源</w:t>
            </w:r>
          </w:p>
        </w:tc>
        <w:tc>
          <w:tcPr>
            <w:tcW w:w="1897" w:type="pct"/>
            <w:vAlign w:val="center"/>
          </w:tcPr>
          <w:p w14:paraId="3602CDAB">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已替换THC标准为林格曼烟度，执行标准更改为《非道路移动柴油机械排气烟度限值及测量方法》（GB 36886-2018），通过烟度间接控制THC</w:t>
            </w:r>
          </w:p>
        </w:tc>
        <w:tc>
          <w:tcPr>
            <w:tcW w:w="1238" w:type="pct"/>
            <w:vAlign w:val="center"/>
          </w:tcPr>
          <w:p w14:paraId="02F3DF5F">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三、区域环境质量现状、环境保护目标及评价标准：P44 表3-6施工期大气污染物排放限值</w:t>
            </w:r>
          </w:p>
        </w:tc>
      </w:tr>
      <w:tr w14:paraId="5D0BA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756626E3">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Align w:val="center"/>
          </w:tcPr>
          <w:p w14:paraId="34F05009">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P61核实表4-12中产污环节打磨、抛光的污染防治设施工艺是否为袋式除尘还是旋风+滤芯除尘</w:t>
            </w:r>
          </w:p>
        </w:tc>
        <w:tc>
          <w:tcPr>
            <w:tcW w:w="1897" w:type="pct"/>
            <w:vAlign w:val="center"/>
          </w:tcPr>
          <w:p w14:paraId="2F2D41E9">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已核实更正“表4-12项目废气产排污节点、污染物及污染治理设施情况一览表”中产污环节打磨、抛光的污染防治设施工艺是为旋风+滤芯除尘</w:t>
            </w:r>
          </w:p>
        </w:tc>
        <w:tc>
          <w:tcPr>
            <w:tcW w:w="1238" w:type="pct"/>
            <w:vAlign w:val="center"/>
          </w:tcPr>
          <w:p w14:paraId="599D438C">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四、主要环境影响和保护措施：P62</w:t>
            </w:r>
          </w:p>
        </w:tc>
      </w:tr>
      <w:tr w14:paraId="1D9FF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00C57FB1">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shd w:val="clear" w:color="auto" w:fill="auto"/>
            <w:vAlign w:val="center"/>
          </w:tcPr>
          <w:p w14:paraId="7E0B83BC">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P61表4-13 DA001与DA002地理坐标一致，核实</w:t>
            </w:r>
          </w:p>
        </w:tc>
        <w:tc>
          <w:tcPr>
            <w:tcW w:w="1897" w:type="pct"/>
            <w:vAlign w:val="center"/>
          </w:tcPr>
          <w:p w14:paraId="75EB12F4">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已核实更正DA001、DA002地理坐标</w:t>
            </w:r>
          </w:p>
        </w:tc>
        <w:tc>
          <w:tcPr>
            <w:tcW w:w="1238" w:type="pct"/>
            <w:vAlign w:val="center"/>
          </w:tcPr>
          <w:p w14:paraId="595EC67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四、主要环境影响和保护措施：P62</w:t>
            </w:r>
          </w:p>
        </w:tc>
      </w:tr>
      <w:tr w14:paraId="23644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83" w:type="pct"/>
            <w:vAlign w:val="center"/>
          </w:tcPr>
          <w:p w14:paraId="41336E32">
            <w:pPr>
              <w:pStyle w:val="43"/>
              <w:keepNext w:val="0"/>
              <w:keepLines w:val="0"/>
              <w:pageBreakBefore w:val="0"/>
              <w:widowControl w:val="0"/>
              <w:numPr>
                <w:ilvl w:val="0"/>
                <w:numId w:val="11"/>
              </w:numPr>
              <w:suppressLineNumbers w:val="0"/>
              <w:kinsoku/>
              <w:wordWrap w:val="0"/>
              <w:overflowPunct/>
              <w:topLinePunct w:val="0"/>
              <w:autoSpaceDE w:val="0"/>
              <w:autoSpaceDN w:val="0"/>
              <w:bidi w:val="0"/>
              <w:adjustRightInd w:val="0"/>
              <w:snapToGrid/>
              <w:spacing w:before="0" w:beforeAutospacing="0" w:after="0" w:afterAutospacing="0" w:line="240" w:lineRule="auto"/>
              <w:ind w:left="425" w:leftChars="0" w:right="0" w:hanging="425"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p>
        </w:tc>
        <w:tc>
          <w:tcPr>
            <w:tcW w:w="1580" w:type="pct"/>
            <w:vAlign w:val="center"/>
          </w:tcPr>
          <w:p w14:paraId="755685CF">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P67表4-18 备注“④铬钝化工艺”应是“④无铬钝化工艺”</w:t>
            </w:r>
          </w:p>
        </w:tc>
        <w:tc>
          <w:tcPr>
            <w:tcW w:w="1897" w:type="pct"/>
            <w:vAlign w:val="center"/>
          </w:tcPr>
          <w:p w14:paraId="37467C42">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已更正文字描述</w:t>
            </w:r>
          </w:p>
        </w:tc>
        <w:tc>
          <w:tcPr>
            <w:tcW w:w="1238" w:type="pct"/>
            <w:vAlign w:val="center"/>
          </w:tcPr>
          <w:p w14:paraId="66606D4C">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四、主要环境影响和保护措施：P68</w:t>
            </w:r>
          </w:p>
        </w:tc>
      </w:tr>
      <w:tr w14:paraId="6805B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0" w:type="auto"/>
            <w:vAlign w:val="center"/>
          </w:tcPr>
          <w:p w14:paraId="31DE022F">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8</w:t>
            </w:r>
          </w:p>
        </w:tc>
        <w:tc>
          <w:tcPr>
            <w:tcW w:w="0" w:type="auto"/>
            <w:shd w:val="clear" w:color="auto" w:fill="auto"/>
            <w:vAlign w:val="center"/>
          </w:tcPr>
          <w:p w14:paraId="3D6D8484">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P82表4-30监测要求中不建议锆、钛纳入监测指标，无评价标准</w:t>
            </w:r>
          </w:p>
        </w:tc>
        <w:tc>
          <w:tcPr>
            <w:tcW w:w="0" w:type="auto"/>
            <w:vAlign w:val="center"/>
          </w:tcPr>
          <w:p w14:paraId="1C79066D">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已删去“表4-30监测要求-监测指标”中锆、钛污染物因子</w:t>
            </w:r>
          </w:p>
        </w:tc>
        <w:tc>
          <w:tcPr>
            <w:tcW w:w="0" w:type="auto"/>
            <w:vAlign w:val="center"/>
          </w:tcPr>
          <w:p w14:paraId="5E033B02">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四、主要环境影响和保护措施：P79</w:t>
            </w:r>
          </w:p>
        </w:tc>
      </w:tr>
      <w:tr w14:paraId="28328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0" w:type="auto"/>
            <w:vAlign w:val="center"/>
          </w:tcPr>
          <w:p w14:paraId="1D20266A">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9</w:t>
            </w:r>
          </w:p>
        </w:tc>
        <w:tc>
          <w:tcPr>
            <w:tcW w:w="0" w:type="auto"/>
            <w:shd w:val="clear" w:color="auto" w:fill="auto"/>
            <w:vAlign w:val="center"/>
          </w:tcPr>
          <w:p w14:paraId="2D925715">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P102在表4-44项目环境保护“三同时”验收一览表及P22表2-2中增加风险防范措施（事故应急池）</w:t>
            </w:r>
          </w:p>
        </w:tc>
        <w:tc>
          <w:tcPr>
            <w:tcW w:w="0" w:type="auto"/>
            <w:vAlign w:val="center"/>
          </w:tcPr>
          <w:p w14:paraId="0251F76A">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已在“表2-2工程组成一览表”及“表4-44项目环境保护“三同时”验收一览表”中补充风险防范措施：事故应急池等相关内容</w:t>
            </w:r>
          </w:p>
        </w:tc>
        <w:tc>
          <w:tcPr>
            <w:tcW w:w="0" w:type="auto"/>
            <w:vAlign w:val="center"/>
          </w:tcPr>
          <w:p w14:paraId="0458C549">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二、建设项目工程分析：P21 表2-2工程组成一览表；四、主要环境影响和保护措施：P104~105</w:t>
            </w:r>
          </w:p>
        </w:tc>
      </w:tr>
      <w:tr w14:paraId="15A57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0" w:type="auto"/>
            <w:vAlign w:val="center"/>
          </w:tcPr>
          <w:p w14:paraId="59E2FC7F">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10</w:t>
            </w:r>
          </w:p>
        </w:tc>
        <w:tc>
          <w:tcPr>
            <w:tcW w:w="0" w:type="auto"/>
            <w:shd w:val="clear" w:color="auto" w:fill="auto"/>
            <w:vAlign w:val="center"/>
          </w:tcPr>
          <w:p w14:paraId="1E8656AC">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leftChars="0" w:right="0" w:firstLine="0" w:firstLineChars="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完善各类图表：如雨污管网图</w:t>
            </w:r>
          </w:p>
        </w:tc>
        <w:tc>
          <w:tcPr>
            <w:tcW w:w="0" w:type="auto"/>
            <w:vAlign w:val="center"/>
          </w:tcPr>
          <w:p w14:paraId="6333D257">
            <w:pPr>
              <w:pStyle w:val="43"/>
              <w:keepNext w:val="0"/>
              <w:keepLines w:val="0"/>
              <w:pageBreakBefore w:val="0"/>
              <w:widowControl w:val="0"/>
              <w:numPr>
                <w:ilvl w:val="0"/>
                <w:numId w:val="0"/>
              </w:numPr>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已补充厂区雨污管网图至附图3-2</w:t>
            </w:r>
          </w:p>
        </w:tc>
        <w:tc>
          <w:tcPr>
            <w:tcW w:w="0" w:type="auto"/>
            <w:vAlign w:val="center"/>
          </w:tcPr>
          <w:p w14:paraId="2396C5F8">
            <w:pPr>
              <w:pStyle w:val="43"/>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jc w:val="center"/>
              <w:textAlignment w:val="baseline"/>
              <w:rPr>
                <w:rFonts w:hint="default"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pPr>
            <w:r>
              <w:rPr>
                <w:rFonts w:hint="eastAsia" w:ascii="Times New Roman" w:hAnsi="Times New Roman" w:eastAsia="仿宋" w:cs="Times New Roman"/>
                <w:strike w:val="0"/>
                <w:dstrike w:val="0"/>
                <w:color w:val="000000" w:themeColor="text1"/>
                <w:kern w:val="2"/>
                <w:sz w:val="24"/>
                <w:szCs w:val="24"/>
                <w:u w:val="none"/>
                <w:vertAlign w:val="baseline"/>
                <w:lang w:val="en-US" w:eastAsia="zh-CN" w:bidi="ar-SA"/>
                <w14:textFill>
                  <w14:solidFill>
                    <w14:schemeClr w14:val="tx1"/>
                  </w14:solidFill>
                </w14:textFill>
              </w:rPr>
              <w:t>附图3-2：P113</w:t>
            </w:r>
          </w:p>
        </w:tc>
      </w:tr>
    </w:tbl>
    <w:p w14:paraId="5F7CE859">
      <w:pPr>
        <w:rPr>
          <w:rFonts w:hint="default"/>
          <w:color w:val="000000" w:themeColor="text1"/>
          <w:lang w:val="en-US" w:eastAsia="zh-CN"/>
          <w14:textFill>
            <w14:solidFill>
              <w14:schemeClr w14:val="tx1"/>
            </w14:solidFill>
          </w14:textFill>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253"/>
    <w:p w14:paraId="0CF37C6A">
      <w:pPr>
        <w:jc w:val="center"/>
        <w:outlineLvl w:val="0"/>
        <w:rPr>
          <w:rFonts w:eastAsia="黑体"/>
          <w:b/>
          <w:bCs/>
          <w:color w:val="000000" w:themeColor="text1"/>
          <w:sz w:val="40"/>
          <w:szCs w:val="40"/>
          <w:highlight w:val="none"/>
          <w14:textFill>
            <w14:solidFill>
              <w14:schemeClr w14:val="tx1"/>
            </w14:solidFill>
          </w14:textFill>
        </w:rPr>
      </w:pPr>
      <w:bookmarkStart w:id="257" w:name="_Toc12194"/>
      <w:bookmarkStart w:id="258" w:name="_Toc19831"/>
      <w:bookmarkStart w:id="259" w:name="_Toc6487"/>
      <w:r>
        <w:rPr>
          <w:rFonts w:eastAsia="黑体"/>
          <w:b/>
          <w:bCs/>
          <w:color w:val="000000" w:themeColor="text1"/>
          <w:sz w:val="40"/>
          <w:szCs w:val="40"/>
          <w:highlight w:val="none"/>
          <w14:textFill>
            <w14:solidFill>
              <w14:schemeClr w14:val="tx1"/>
            </w14:solidFill>
          </w14:textFill>
        </w:rPr>
        <w:t>建设项目污染物排放量汇总表</w:t>
      </w:r>
      <w:bookmarkEnd w:id="257"/>
      <w:bookmarkEnd w:id="258"/>
      <w:bookmarkEnd w:id="259"/>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2203"/>
        <w:gridCol w:w="1386"/>
        <w:gridCol w:w="1562"/>
        <w:gridCol w:w="1479"/>
        <w:gridCol w:w="1651"/>
        <w:gridCol w:w="1564"/>
        <w:gridCol w:w="1720"/>
        <w:gridCol w:w="1407"/>
      </w:tblGrid>
      <w:tr w14:paraId="55006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tcBorders>
              <w:tl2br w:val="single" w:color="auto" w:sz="4" w:space="0"/>
            </w:tcBorders>
            <w:vAlign w:val="center"/>
          </w:tcPr>
          <w:p w14:paraId="2A0D69AE">
            <w:pPr>
              <w:keepNext w:val="0"/>
              <w:keepLines w:val="0"/>
              <w:suppressLineNumbers w:val="0"/>
              <w:spacing w:before="0" w:beforeAutospacing="0" w:after="0" w:afterAutospacing="0" w:line="240" w:lineRule="auto"/>
              <w:ind w:left="0" w:right="0"/>
              <w:jc w:val="right"/>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项目</w:t>
            </w:r>
          </w:p>
          <w:p w14:paraId="3B4796FE">
            <w:pPr>
              <w:keepNext w:val="0"/>
              <w:keepLines w:val="0"/>
              <w:suppressLineNumbers w:val="0"/>
              <w:spacing w:before="0" w:beforeAutospacing="0" w:after="0" w:afterAutospacing="0" w:line="240" w:lineRule="auto"/>
              <w:ind w:left="0" w:right="0"/>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分类</w:t>
            </w:r>
          </w:p>
        </w:tc>
        <w:tc>
          <w:tcPr>
            <w:tcW w:w="2203" w:type="dxa"/>
            <w:vAlign w:val="center"/>
          </w:tcPr>
          <w:p w14:paraId="6423A7E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污染物名称</w:t>
            </w:r>
          </w:p>
        </w:tc>
        <w:tc>
          <w:tcPr>
            <w:tcW w:w="1386" w:type="dxa"/>
            <w:vAlign w:val="center"/>
          </w:tcPr>
          <w:p w14:paraId="425D6DDE">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现有工程排放量（固体废物产生量）①</w:t>
            </w:r>
          </w:p>
        </w:tc>
        <w:tc>
          <w:tcPr>
            <w:tcW w:w="1562" w:type="dxa"/>
            <w:vAlign w:val="center"/>
          </w:tcPr>
          <w:p w14:paraId="0B9F3B58">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现有工程排污许可排放量②</w:t>
            </w:r>
          </w:p>
        </w:tc>
        <w:tc>
          <w:tcPr>
            <w:tcW w:w="1479" w:type="dxa"/>
            <w:vAlign w:val="center"/>
          </w:tcPr>
          <w:p w14:paraId="1F3901ED">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在建工程排放量（固体废物产生量）③</w:t>
            </w:r>
          </w:p>
        </w:tc>
        <w:tc>
          <w:tcPr>
            <w:tcW w:w="1651" w:type="dxa"/>
            <w:vAlign w:val="center"/>
          </w:tcPr>
          <w:p w14:paraId="010EC833">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本项目排放量（固体废物产生量）④</w:t>
            </w:r>
          </w:p>
        </w:tc>
        <w:tc>
          <w:tcPr>
            <w:tcW w:w="1564" w:type="dxa"/>
            <w:vAlign w:val="center"/>
          </w:tcPr>
          <w:p w14:paraId="0460A84F">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以新带老削减量（新建项目不填）⑤</w:t>
            </w:r>
          </w:p>
        </w:tc>
        <w:tc>
          <w:tcPr>
            <w:tcW w:w="1720" w:type="dxa"/>
            <w:vAlign w:val="center"/>
          </w:tcPr>
          <w:p w14:paraId="0303B524">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本项目建成后全厂排放量（固体废物产生量）⑥</w:t>
            </w:r>
          </w:p>
        </w:tc>
        <w:tc>
          <w:tcPr>
            <w:tcW w:w="1407" w:type="dxa"/>
            <w:vAlign w:val="center"/>
          </w:tcPr>
          <w:p w14:paraId="207794A6">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b/>
                <w:bCs/>
                <w:color w:val="000000" w:themeColor="text1"/>
                <w:sz w:val="21"/>
                <w:szCs w:val="21"/>
                <w:highlight w:val="none"/>
                <w14:textFill>
                  <w14:solidFill>
                    <w14:schemeClr w14:val="tx1"/>
                  </w14:solidFill>
                </w14:textFill>
              </w:rPr>
            </w:pPr>
            <w:r>
              <w:rPr>
                <w:rFonts w:hint="default" w:ascii="Times New Roman" w:hAnsi="Times New Roman" w:eastAsia="黑体" w:cs="Times New Roman"/>
                <w:b/>
                <w:bCs/>
                <w:color w:val="000000" w:themeColor="text1"/>
                <w:sz w:val="21"/>
                <w:szCs w:val="21"/>
                <w:highlight w:val="none"/>
                <w14:textFill>
                  <w14:solidFill>
                    <w14:schemeClr w14:val="tx1"/>
                  </w14:solidFill>
                </w14:textFill>
              </w:rPr>
              <w:t>变化量⑦</w:t>
            </w:r>
          </w:p>
        </w:tc>
      </w:tr>
      <w:tr w14:paraId="3E44F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106" w:type="dxa"/>
            <w:vMerge w:val="restart"/>
            <w:vAlign w:val="center"/>
          </w:tcPr>
          <w:p w14:paraId="52D0162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2203" w:type="dxa"/>
            <w:vAlign w:val="center"/>
          </w:tcPr>
          <w:p w14:paraId="0F9823F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废水量</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（万t/a）</w:t>
            </w:r>
          </w:p>
        </w:tc>
        <w:tc>
          <w:tcPr>
            <w:tcW w:w="1386" w:type="dxa"/>
            <w:vAlign w:val="center"/>
          </w:tcPr>
          <w:p w14:paraId="308923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2732D9F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40798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7B6F2B4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1.00986</w:t>
            </w:r>
          </w:p>
        </w:tc>
        <w:tc>
          <w:tcPr>
            <w:tcW w:w="1564" w:type="dxa"/>
            <w:vAlign w:val="center"/>
          </w:tcPr>
          <w:p w14:paraId="4C865E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06EFDF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1.00986</w:t>
            </w:r>
          </w:p>
        </w:tc>
        <w:tc>
          <w:tcPr>
            <w:tcW w:w="1407" w:type="dxa"/>
            <w:shd w:val="clear" w:color="auto" w:fill="auto"/>
            <w:vAlign w:val="center"/>
          </w:tcPr>
          <w:p w14:paraId="46F085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1.00986</w:t>
            </w:r>
          </w:p>
        </w:tc>
      </w:tr>
      <w:tr w14:paraId="74DD1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2AEEBC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3FE39793">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COD</w:t>
            </w:r>
            <w:r>
              <w:rPr>
                <w:rFonts w:hint="default" w:ascii="Times New Roman" w:hAnsi="Times New Roman" w:cs="Times New Roman"/>
                <w:color w:val="000000" w:themeColor="text1"/>
                <w:kern w:val="0"/>
                <w:sz w:val="21"/>
                <w:szCs w:val="21"/>
                <w:highlight w:val="none"/>
                <w:vertAlign w:val="subscript"/>
                <w:lang w:bidi="ar"/>
                <w14:textFill>
                  <w14:solidFill>
                    <w14:schemeClr w14:val="tx1"/>
                  </w14:solidFill>
                </w14:textFill>
              </w:rPr>
              <w:t>Cr</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（t/a）</w:t>
            </w:r>
          </w:p>
        </w:tc>
        <w:tc>
          <w:tcPr>
            <w:tcW w:w="1386" w:type="dxa"/>
            <w:vAlign w:val="center"/>
          </w:tcPr>
          <w:p w14:paraId="683A20A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242B4A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017E16D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42FC54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cs="Times New Roman"/>
                <w:i w:val="0"/>
                <w:iCs w:val="0"/>
                <w:color w:val="FF0000"/>
                <w:kern w:val="0"/>
                <w:sz w:val="21"/>
                <w:szCs w:val="21"/>
                <w:highlight w:val="none"/>
                <w:u w:val="none"/>
                <w:lang w:val="en-US" w:eastAsia="zh-CN" w:bidi="ar"/>
              </w:rPr>
              <w:t>0.768</w:t>
            </w:r>
          </w:p>
        </w:tc>
        <w:tc>
          <w:tcPr>
            <w:tcW w:w="1564" w:type="dxa"/>
            <w:vAlign w:val="center"/>
          </w:tcPr>
          <w:p w14:paraId="609B898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FF0000"/>
                <w:kern w:val="2"/>
                <w:sz w:val="21"/>
                <w:szCs w:val="21"/>
                <w:highlight w:val="none"/>
              </w:rPr>
            </w:pPr>
            <w:r>
              <w:rPr>
                <w:rFonts w:hint="default" w:ascii="Times New Roman" w:hAnsi="Times New Roman" w:eastAsia="宋体" w:cs="Times New Roman"/>
                <w:i w:val="0"/>
                <w:iCs w:val="0"/>
                <w:color w:val="FF0000"/>
                <w:kern w:val="0"/>
                <w:sz w:val="21"/>
                <w:szCs w:val="21"/>
                <w:highlight w:val="none"/>
                <w:u w:val="none"/>
                <w:lang w:val="en-US" w:eastAsia="zh-CN" w:bidi="ar"/>
              </w:rPr>
              <w:t>0</w:t>
            </w:r>
          </w:p>
        </w:tc>
        <w:tc>
          <w:tcPr>
            <w:tcW w:w="1720" w:type="dxa"/>
            <w:vAlign w:val="center"/>
          </w:tcPr>
          <w:p w14:paraId="6D011A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eastAsia" w:cs="Times New Roman"/>
                <w:i w:val="0"/>
                <w:iCs w:val="0"/>
                <w:color w:val="FF0000"/>
                <w:kern w:val="0"/>
                <w:sz w:val="21"/>
                <w:szCs w:val="21"/>
                <w:highlight w:val="none"/>
                <w:u w:val="none"/>
                <w:lang w:val="en-US" w:eastAsia="zh-CN" w:bidi="ar"/>
              </w:rPr>
              <w:t>0.768</w:t>
            </w:r>
          </w:p>
        </w:tc>
        <w:tc>
          <w:tcPr>
            <w:tcW w:w="1407" w:type="dxa"/>
            <w:shd w:val="clear" w:color="auto" w:fill="auto"/>
            <w:vAlign w:val="center"/>
          </w:tcPr>
          <w:p w14:paraId="1DBB6D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0"/>
                <w:sz w:val="21"/>
                <w:szCs w:val="21"/>
                <w:highlight w:val="none"/>
                <w:u w:val="none"/>
                <w:lang w:val="en-US" w:eastAsia="zh-CN" w:bidi="ar"/>
              </w:rPr>
            </w:pPr>
            <w:r>
              <w:rPr>
                <w:rFonts w:hint="default" w:ascii="Times New Roman" w:hAnsi="Times New Roman" w:cs="Times New Roman"/>
                <w:i w:val="0"/>
                <w:iCs w:val="0"/>
                <w:color w:val="FF0000"/>
                <w:kern w:val="0"/>
                <w:sz w:val="21"/>
                <w:szCs w:val="21"/>
                <w:highlight w:val="none"/>
                <w:u w:val="none"/>
                <w:lang w:val="en-US" w:eastAsia="zh-CN" w:bidi="ar"/>
              </w:rPr>
              <w:t>+</w:t>
            </w:r>
            <w:r>
              <w:rPr>
                <w:rFonts w:hint="eastAsia" w:cs="Times New Roman"/>
                <w:i w:val="0"/>
                <w:iCs w:val="0"/>
                <w:color w:val="FF0000"/>
                <w:kern w:val="0"/>
                <w:sz w:val="21"/>
                <w:szCs w:val="21"/>
                <w:highlight w:val="none"/>
                <w:u w:val="none"/>
                <w:lang w:val="en-US" w:eastAsia="zh-CN" w:bidi="ar"/>
              </w:rPr>
              <w:t>0.768</w:t>
            </w:r>
          </w:p>
        </w:tc>
      </w:tr>
      <w:tr w14:paraId="362B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39EE1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7E7AC53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BOD</w:t>
            </w:r>
            <w:r>
              <w:rPr>
                <w:rFonts w:hint="default" w:ascii="Times New Roman" w:hAnsi="Times New Roman" w:cs="Times New Roman"/>
                <w:color w:val="000000" w:themeColor="text1"/>
                <w:kern w:val="0"/>
                <w:sz w:val="21"/>
                <w:szCs w:val="21"/>
                <w:highlight w:val="none"/>
                <w:vertAlign w:val="subscript"/>
                <w:lang w:bidi="ar"/>
                <w14:textFill>
                  <w14:solidFill>
                    <w14:schemeClr w14:val="tx1"/>
                  </w14:solidFill>
                </w14:textFill>
              </w:rPr>
              <w:t>5</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（t/a）</w:t>
            </w:r>
          </w:p>
        </w:tc>
        <w:tc>
          <w:tcPr>
            <w:tcW w:w="1386" w:type="dxa"/>
            <w:vAlign w:val="center"/>
          </w:tcPr>
          <w:p w14:paraId="062A2F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6310ECD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01B332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68A299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0.2888</w:t>
            </w:r>
          </w:p>
        </w:tc>
        <w:tc>
          <w:tcPr>
            <w:tcW w:w="1564" w:type="dxa"/>
            <w:vAlign w:val="center"/>
          </w:tcPr>
          <w:p w14:paraId="7EAD44B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66F78A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0.2888</w:t>
            </w:r>
          </w:p>
        </w:tc>
        <w:tc>
          <w:tcPr>
            <w:tcW w:w="1407" w:type="dxa"/>
            <w:shd w:val="clear" w:color="auto" w:fill="auto"/>
            <w:vAlign w:val="center"/>
          </w:tcPr>
          <w:p w14:paraId="531E6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0.2888</w:t>
            </w:r>
          </w:p>
        </w:tc>
      </w:tr>
      <w:tr w14:paraId="35A9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77007E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45FDD89E">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SS（t/a）</w:t>
            </w:r>
          </w:p>
        </w:tc>
        <w:tc>
          <w:tcPr>
            <w:tcW w:w="1386" w:type="dxa"/>
            <w:vAlign w:val="center"/>
          </w:tcPr>
          <w:p w14:paraId="49B8C5B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11017ED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307583B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31FAD7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0.2848</w:t>
            </w:r>
          </w:p>
        </w:tc>
        <w:tc>
          <w:tcPr>
            <w:tcW w:w="1564" w:type="dxa"/>
            <w:vAlign w:val="center"/>
          </w:tcPr>
          <w:p w14:paraId="4CCF971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40B7CE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0.2848</w:t>
            </w:r>
          </w:p>
        </w:tc>
        <w:tc>
          <w:tcPr>
            <w:tcW w:w="1407" w:type="dxa"/>
            <w:shd w:val="clear" w:color="auto" w:fill="auto"/>
            <w:vAlign w:val="center"/>
          </w:tcPr>
          <w:p w14:paraId="0145B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0.2848</w:t>
            </w:r>
          </w:p>
        </w:tc>
      </w:tr>
      <w:tr w14:paraId="2F2B3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106" w:type="dxa"/>
            <w:vMerge w:val="continue"/>
            <w:vAlign w:val="center"/>
          </w:tcPr>
          <w:p w14:paraId="0432E776">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0ADEB2C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氨氮（t/a）</w:t>
            </w:r>
          </w:p>
        </w:tc>
        <w:tc>
          <w:tcPr>
            <w:tcW w:w="1386" w:type="dxa"/>
            <w:vAlign w:val="center"/>
          </w:tcPr>
          <w:p w14:paraId="59E2175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314399B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7D0031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53EDE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0.061</w:t>
            </w:r>
          </w:p>
        </w:tc>
        <w:tc>
          <w:tcPr>
            <w:tcW w:w="1564" w:type="dxa"/>
            <w:vAlign w:val="center"/>
          </w:tcPr>
          <w:p w14:paraId="6B00311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6302AF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0.061</w:t>
            </w:r>
          </w:p>
        </w:tc>
        <w:tc>
          <w:tcPr>
            <w:tcW w:w="1407" w:type="dxa"/>
            <w:shd w:val="clear" w:color="auto" w:fill="auto"/>
            <w:vAlign w:val="center"/>
          </w:tcPr>
          <w:p w14:paraId="52EAC5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w:t>
            </w: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0.061</w:t>
            </w:r>
          </w:p>
        </w:tc>
      </w:tr>
      <w:tr w14:paraId="6652B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FFDB1F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183EFE1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总磷</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（t/a）</w:t>
            </w:r>
          </w:p>
        </w:tc>
        <w:tc>
          <w:tcPr>
            <w:tcW w:w="1386" w:type="dxa"/>
            <w:vAlign w:val="center"/>
          </w:tcPr>
          <w:p w14:paraId="2702B8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39C979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0EC25B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140AD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w:t>
            </w: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08</w:t>
            </w:r>
          </w:p>
        </w:tc>
        <w:tc>
          <w:tcPr>
            <w:tcW w:w="1564" w:type="dxa"/>
            <w:vAlign w:val="center"/>
          </w:tcPr>
          <w:p w14:paraId="56BC9B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4FBE9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w:t>
            </w: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08</w:t>
            </w:r>
          </w:p>
        </w:tc>
        <w:tc>
          <w:tcPr>
            <w:tcW w:w="1407" w:type="dxa"/>
            <w:shd w:val="clear" w:color="auto" w:fill="auto"/>
            <w:vAlign w:val="center"/>
          </w:tcPr>
          <w:p w14:paraId="616793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w:t>
            </w: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08</w:t>
            </w:r>
          </w:p>
        </w:tc>
      </w:tr>
      <w:tr w14:paraId="28716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24CE635">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0D2C35A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LAS（t/a）</w:t>
            </w:r>
          </w:p>
        </w:tc>
        <w:tc>
          <w:tcPr>
            <w:tcW w:w="1386" w:type="dxa"/>
            <w:vAlign w:val="center"/>
          </w:tcPr>
          <w:p w14:paraId="6D66B03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60A2F27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3E6AF66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7C85AF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0.008</w:t>
            </w:r>
          </w:p>
        </w:tc>
        <w:tc>
          <w:tcPr>
            <w:tcW w:w="1564" w:type="dxa"/>
            <w:vAlign w:val="center"/>
          </w:tcPr>
          <w:p w14:paraId="1580A39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45CEA8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0.008</w:t>
            </w:r>
          </w:p>
        </w:tc>
        <w:tc>
          <w:tcPr>
            <w:tcW w:w="1407" w:type="dxa"/>
            <w:shd w:val="clear" w:color="auto" w:fill="auto"/>
            <w:vAlign w:val="center"/>
          </w:tcPr>
          <w:p w14:paraId="0247BC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t>+0.008</w:t>
            </w:r>
          </w:p>
        </w:tc>
      </w:tr>
      <w:tr w14:paraId="18988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9AAE4C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17C7B81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氟化物（t/a）</w:t>
            </w:r>
          </w:p>
        </w:tc>
        <w:tc>
          <w:tcPr>
            <w:tcW w:w="1386" w:type="dxa"/>
            <w:vAlign w:val="center"/>
          </w:tcPr>
          <w:p w14:paraId="4A5AC5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7BE87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29B8BD5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BF39F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0.0</w:t>
            </w:r>
            <w:r>
              <w:rPr>
                <w:rFonts w:hint="eastAsia" w:cs="Times New Roman"/>
                <w:i w:val="0"/>
                <w:iCs w:val="0"/>
                <w:color w:val="FF0000"/>
                <w:kern w:val="0"/>
                <w:sz w:val="21"/>
                <w:szCs w:val="21"/>
                <w:u w:val="none"/>
                <w:lang w:val="en-US" w:eastAsia="zh-CN" w:bidi="ar"/>
              </w:rPr>
              <w:t>27</w:t>
            </w:r>
          </w:p>
        </w:tc>
        <w:tc>
          <w:tcPr>
            <w:tcW w:w="1564" w:type="dxa"/>
            <w:vAlign w:val="center"/>
          </w:tcPr>
          <w:p w14:paraId="12D6EDC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FF0000"/>
                <w:kern w:val="2"/>
                <w:sz w:val="21"/>
                <w:szCs w:val="21"/>
                <w:highlight w:val="none"/>
              </w:rPr>
            </w:pPr>
            <w:r>
              <w:rPr>
                <w:rFonts w:hint="default" w:ascii="Times New Roman" w:hAnsi="Times New Roman" w:eastAsia="宋体" w:cs="Times New Roman"/>
                <w:i w:val="0"/>
                <w:iCs w:val="0"/>
                <w:color w:val="FF0000"/>
                <w:kern w:val="0"/>
                <w:sz w:val="21"/>
                <w:szCs w:val="21"/>
                <w:highlight w:val="none"/>
                <w:u w:val="none"/>
                <w:lang w:val="en-US" w:eastAsia="zh-CN" w:bidi="ar"/>
              </w:rPr>
              <w:t>0</w:t>
            </w:r>
          </w:p>
        </w:tc>
        <w:tc>
          <w:tcPr>
            <w:tcW w:w="1720" w:type="dxa"/>
            <w:vAlign w:val="center"/>
          </w:tcPr>
          <w:p w14:paraId="6F5DAB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0.0</w:t>
            </w:r>
            <w:r>
              <w:rPr>
                <w:rFonts w:hint="eastAsia" w:cs="Times New Roman"/>
                <w:i w:val="0"/>
                <w:iCs w:val="0"/>
                <w:color w:val="FF0000"/>
                <w:kern w:val="0"/>
                <w:sz w:val="21"/>
                <w:szCs w:val="21"/>
                <w:u w:val="none"/>
                <w:lang w:val="en-US" w:eastAsia="zh-CN" w:bidi="ar"/>
              </w:rPr>
              <w:t>27</w:t>
            </w:r>
          </w:p>
        </w:tc>
        <w:tc>
          <w:tcPr>
            <w:tcW w:w="1407" w:type="dxa"/>
            <w:shd w:val="clear" w:color="auto" w:fill="auto"/>
            <w:vAlign w:val="center"/>
          </w:tcPr>
          <w:p w14:paraId="6FBAA9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default" w:ascii="Times New Roman" w:hAnsi="Times New Roman" w:cs="Times New Roman"/>
                <w:i w:val="0"/>
                <w:iCs w:val="0"/>
                <w:color w:val="FF0000"/>
                <w:kern w:val="2"/>
                <w:sz w:val="21"/>
                <w:szCs w:val="21"/>
                <w:highlight w:val="none"/>
                <w:u w:val="none"/>
                <w:lang w:val="en-US" w:eastAsia="zh-CN" w:bidi="ar-SA"/>
              </w:rPr>
              <w:t>+</w:t>
            </w:r>
            <w:r>
              <w:rPr>
                <w:rFonts w:hint="default" w:ascii="Times New Roman" w:hAnsi="Times New Roman" w:eastAsia="宋体" w:cs="Times New Roman"/>
                <w:i w:val="0"/>
                <w:iCs w:val="0"/>
                <w:color w:val="FF0000"/>
                <w:kern w:val="0"/>
                <w:sz w:val="21"/>
                <w:szCs w:val="21"/>
                <w:u w:val="none"/>
                <w:lang w:val="en-US" w:eastAsia="zh-CN" w:bidi="ar"/>
              </w:rPr>
              <w:t>0.0</w:t>
            </w:r>
            <w:r>
              <w:rPr>
                <w:rFonts w:hint="eastAsia" w:cs="Times New Roman"/>
                <w:i w:val="0"/>
                <w:iCs w:val="0"/>
                <w:color w:val="FF0000"/>
                <w:kern w:val="0"/>
                <w:sz w:val="21"/>
                <w:szCs w:val="21"/>
                <w:u w:val="none"/>
                <w:lang w:val="en-US" w:eastAsia="zh-CN" w:bidi="ar"/>
              </w:rPr>
              <w:t>27</w:t>
            </w:r>
          </w:p>
        </w:tc>
      </w:tr>
      <w:tr w14:paraId="20235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4D4C1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25C15C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动植物油（t/a)</w:t>
            </w:r>
          </w:p>
        </w:tc>
        <w:tc>
          <w:tcPr>
            <w:tcW w:w="1386" w:type="dxa"/>
            <w:shd w:val="clear" w:color="auto" w:fill="auto"/>
            <w:vAlign w:val="center"/>
          </w:tcPr>
          <w:p w14:paraId="19EC53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shd w:val="clear" w:color="auto" w:fill="auto"/>
            <w:vAlign w:val="center"/>
          </w:tcPr>
          <w:p w14:paraId="097B1C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shd w:val="clear" w:color="auto" w:fill="auto"/>
            <w:vAlign w:val="center"/>
          </w:tcPr>
          <w:p w14:paraId="45448B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7A25AC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0.0406</w:t>
            </w:r>
          </w:p>
        </w:tc>
        <w:tc>
          <w:tcPr>
            <w:tcW w:w="1564" w:type="dxa"/>
            <w:vAlign w:val="center"/>
          </w:tcPr>
          <w:p w14:paraId="650F8F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33E540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0.0406</w:t>
            </w:r>
          </w:p>
        </w:tc>
        <w:tc>
          <w:tcPr>
            <w:tcW w:w="1407" w:type="dxa"/>
            <w:shd w:val="clear" w:color="auto" w:fill="auto"/>
            <w:vAlign w:val="center"/>
          </w:tcPr>
          <w:p w14:paraId="46025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2"/>
                <w:sz w:val="21"/>
                <w:szCs w:val="21"/>
                <w:highlight w:val="none"/>
                <w:u w:val="none"/>
                <w:lang w:val="en-US" w:eastAsia="zh-CN" w:bidi="ar-SA"/>
                <w14:textFill>
                  <w14:solidFill>
                    <w14:schemeClr w14:val="tx1"/>
                  </w14:solidFill>
                </w14:textFill>
              </w:rPr>
              <w:t>+0.0406</w:t>
            </w:r>
          </w:p>
        </w:tc>
      </w:tr>
      <w:tr w14:paraId="2C3F0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1D44E8C">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5BB1DE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0"/>
                <w:sz w:val="21"/>
                <w:szCs w:val="21"/>
                <w:highlight w:val="none"/>
                <w:lang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石油类（t/a）</w:t>
            </w:r>
          </w:p>
        </w:tc>
        <w:tc>
          <w:tcPr>
            <w:tcW w:w="1386" w:type="dxa"/>
            <w:vAlign w:val="center"/>
          </w:tcPr>
          <w:p w14:paraId="5401CE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CD534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26F733A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0D3B5F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eastAsia" w:cs="Times New Roman"/>
                <w:i w:val="0"/>
                <w:iCs w:val="0"/>
                <w:color w:val="FF0000"/>
                <w:kern w:val="2"/>
                <w:sz w:val="21"/>
                <w:szCs w:val="21"/>
                <w:highlight w:val="none"/>
                <w:u w:val="none"/>
                <w:lang w:val="en-US" w:eastAsia="zh-CN" w:bidi="ar-SA"/>
              </w:rPr>
              <w:t>0.016</w:t>
            </w:r>
          </w:p>
        </w:tc>
        <w:tc>
          <w:tcPr>
            <w:tcW w:w="1564" w:type="dxa"/>
            <w:vAlign w:val="center"/>
          </w:tcPr>
          <w:p w14:paraId="46BBA86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FF0000"/>
                <w:kern w:val="2"/>
                <w:sz w:val="21"/>
                <w:szCs w:val="21"/>
                <w:highlight w:val="none"/>
              </w:rPr>
            </w:pPr>
            <w:r>
              <w:rPr>
                <w:rFonts w:hint="default" w:ascii="Times New Roman" w:hAnsi="Times New Roman" w:eastAsia="宋体" w:cs="Times New Roman"/>
                <w:i w:val="0"/>
                <w:iCs w:val="0"/>
                <w:color w:val="FF0000"/>
                <w:kern w:val="0"/>
                <w:sz w:val="21"/>
                <w:szCs w:val="21"/>
                <w:highlight w:val="none"/>
                <w:u w:val="none"/>
                <w:lang w:val="en-US" w:eastAsia="zh-CN" w:bidi="ar"/>
              </w:rPr>
              <w:t>0</w:t>
            </w:r>
          </w:p>
        </w:tc>
        <w:tc>
          <w:tcPr>
            <w:tcW w:w="1720" w:type="dxa"/>
            <w:vAlign w:val="center"/>
          </w:tcPr>
          <w:p w14:paraId="1DD92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eastAsia" w:cs="Times New Roman"/>
                <w:i w:val="0"/>
                <w:iCs w:val="0"/>
                <w:color w:val="FF0000"/>
                <w:kern w:val="2"/>
                <w:sz w:val="21"/>
                <w:szCs w:val="21"/>
                <w:highlight w:val="none"/>
                <w:u w:val="none"/>
                <w:lang w:val="en-US" w:eastAsia="zh-CN" w:bidi="ar-SA"/>
              </w:rPr>
              <w:t>0.016</w:t>
            </w:r>
          </w:p>
        </w:tc>
        <w:tc>
          <w:tcPr>
            <w:tcW w:w="1407" w:type="dxa"/>
            <w:shd w:val="clear" w:color="auto" w:fill="auto"/>
            <w:vAlign w:val="center"/>
          </w:tcPr>
          <w:p w14:paraId="02899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eastAsia="宋体" w:cs="Times New Roman"/>
                <w:i w:val="0"/>
                <w:iCs w:val="0"/>
                <w:color w:val="FF0000"/>
                <w:kern w:val="2"/>
                <w:sz w:val="21"/>
                <w:szCs w:val="21"/>
                <w:highlight w:val="none"/>
                <w:u w:val="none"/>
                <w:lang w:val="en-US" w:eastAsia="zh-CN" w:bidi="ar-SA"/>
              </w:rPr>
            </w:pPr>
            <w:r>
              <w:rPr>
                <w:rFonts w:hint="default" w:ascii="Times New Roman" w:hAnsi="Times New Roman" w:cs="Times New Roman"/>
                <w:i w:val="0"/>
                <w:iCs w:val="0"/>
                <w:color w:val="FF0000"/>
                <w:kern w:val="2"/>
                <w:sz w:val="21"/>
                <w:szCs w:val="21"/>
                <w:highlight w:val="none"/>
                <w:u w:val="none"/>
                <w:lang w:val="en-US" w:eastAsia="zh-CN" w:bidi="ar-SA"/>
              </w:rPr>
              <w:t>+</w:t>
            </w:r>
            <w:r>
              <w:rPr>
                <w:rFonts w:hint="eastAsia" w:cs="Times New Roman"/>
                <w:i w:val="0"/>
                <w:iCs w:val="0"/>
                <w:color w:val="FF0000"/>
                <w:kern w:val="2"/>
                <w:sz w:val="21"/>
                <w:szCs w:val="21"/>
                <w:highlight w:val="none"/>
                <w:u w:val="none"/>
                <w:lang w:val="en-US" w:eastAsia="zh-CN" w:bidi="ar-SA"/>
              </w:rPr>
              <w:t>0.016</w:t>
            </w:r>
          </w:p>
        </w:tc>
      </w:tr>
      <w:tr w14:paraId="58D04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40105E0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w:t>
            </w:r>
          </w:p>
        </w:tc>
        <w:tc>
          <w:tcPr>
            <w:tcW w:w="2203" w:type="dxa"/>
            <w:vAlign w:val="center"/>
          </w:tcPr>
          <w:p w14:paraId="5272214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bidi="ar"/>
                <w14:textFill>
                  <w14:solidFill>
                    <w14:schemeClr w14:val="tx1"/>
                  </w14:solidFill>
                </w14:textFill>
              </w:rPr>
              <w:t>废气量（万m</w:t>
            </w:r>
            <w:r>
              <w:rPr>
                <w:rFonts w:hint="default" w:ascii="Times New Roman" w:hAnsi="Times New Roman" w:cs="Times New Roman"/>
                <w:color w:val="000000" w:themeColor="text1"/>
                <w:kern w:val="0"/>
                <w:sz w:val="21"/>
                <w:szCs w:val="21"/>
                <w:highlight w:val="none"/>
                <w:vertAlign w:val="superscript"/>
                <w:lang w:bidi="ar"/>
                <w14:textFill>
                  <w14:solidFill>
                    <w14:schemeClr w14:val="tx1"/>
                  </w14:solidFill>
                </w14:textFill>
              </w:rPr>
              <w:t>3</w:t>
            </w:r>
            <w:r>
              <w:rPr>
                <w:rFonts w:hint="default" w:ascii="Times New Roman" w:hAnsi="Times New Roman" w:cs="Times New Roman"/>
                <w:color w:val="000000" w:themeColor="text1"/>
                <w:kern w:val="0"/>
                <w:sz w:val="21"/>
                <w:szCs w:val="21"/>
                <w:highlight w:val="none"/>
                <w:lang w:bidi="ar"/>
                <w14:textFill>
                  <w14:solidFill>
                    <w14:schemeClr w14:val="tx1"/>
                  </w14:solidFill>
                </w14:textFill>
              </w:rPr>
              <w:t>/a）</w:t>
            </w:r>
          </w:p>
        </w:tc>
        <w:tc>
          <w:tcPr>
            <w:tcW w:w="1386" w:type="dxa"/>
            <w:vAlign w:val="center"/>
          </w:tcPr>
          <w:p w14:paraId="791FDA3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739EDE9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0E947E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1B6048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7440</w:t>
            </w:r>
          </w:p>
        </w:tc>
        <w:tc>
          <w:tcPr>
            <w:tcW w:w="1564" w:type="dxa"/>
            <w:vAlign w:val="center"/>
          </w:tcPr>
          <w:p w14:paraId="3345C6B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5C4CD6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7440</w:t>
            </w:r>
          </w:p>
        </w:tc>
        <w:tc>
          <w:tcPr>
            <w:tcW w:w="1407" w:type="dxa"/>
            <w:shd w:val="clear" w:color="auto" w:fill="auto"/>
            <w:vAlign w:val="center"/>
          </w:tcPr>
          <w:p w14:paraId="1B7B8C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7440</w:t>
            </w:r>
          </w:p>
        </w:tc>
      </w:tr>
      <w:tr w14:paraId="26EC0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DD2A56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14E9BBDB">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氮氧化物（t/a）</w:t>
            </w:r>
          </w:p>
        </w:tc>
        <w:tc>
          <w:tcPr>
            <w:tcW w:w="1386" w:type="dxa"/>
            <w:vAlign w:val="center"/>
          </w:tcPr>
          <w:p w14:paraId="2F232E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7A5694E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6F29DDA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7695860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0.111</w:t>
            </w:r>
          </w:p>
        </w:tc>
        <w:tc>
          <w:tcPr>
            <w:tcW w:w="1564" w:type="dxa"/>
            <w:vAlign w:val="center"/>
          </w:tcPr>
          <w:p w14:paraId="78BE845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3AB094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0.111</w:t>
            </w:r>
          </w:p>
        </w:tc>
        <w:tc>
          <w:tcPr>
            <w:tcW w:w="1407" w:type="dxa"/>
            <w:shd w:val="clear" w:color="auto" w:fill="auto"/>
            <w:vAlign w:val="center"/>
          </w:tcPr>
          <w:p w14:paraId="6C65B4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0.111</w:t>
            </w:r>
          </w:p>
        </w:tc>
      </w:tr>
      <w:tr w14:paraId="2E13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51D740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3802E9CC">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二氧化硫（t/a）</w:t>
            </w:r>
          </w:p>
        </w:tc>
        <w:tc>
          <w:tcPr>
            <w:tcW w:w="1386" w:type="dxa"/>
            <w:vAlign w:val="center"/>
          </w:tcPr>
          <w:p w14:paraId="55C4576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0CAE862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123AA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AE3AFC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0.012</w:t>
            </w:r>
          </w:p>
        </w:tc>
        <w:tc>
          <w:tcPr>
            <w:tcW w:w="1564" w:type="dxa"/>
            <w:vAlign w:val="center"/>
          </w:tcPr>
          <w:p w14:paraId="7D4323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76B0E8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0.012</w:t>
            </w:r>
          </w:p>
        </w:tc>
        <w:tc>
          <w:tcPr>
            <w:tcW w:w="1407" w:type="dxa"/>
            <w:shd w:val="clear" w:color="auto" w:fill="auto"/>
            <w:vAlign w:val="center"/>
          </w:tcPr>
          <w:p w14:paraId="1CF873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0.012</w:t>
            </w:r>
          </w:p>
        </w:tc>
      </w:tr>
      <w:tr w14:paraId="1E306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351862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bookmarkStart w:id="260" w:name="OLE_LINK58" w:colFirst="1" w:colLast="4"/>
          </w:p>
        </w:tc>
        <w:tc>
          <w:tcPr>
            <w:tcW w:w="2203" w:type="dxa"/>
            <w:vAlign w:val="center"/>
          </w:tcPr>
          <w:p w14:paraId="2CF6881F">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颗粒物（t/a）</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有组织</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1386" w:type="dxa"/>
            <w:vAlign w:val="center"/>
          </w:tcPr>
          <w:p w14:paraId="4666AC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1929BC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40A52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5AC8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i w:val="0"/>
                <w:iCs w:val="0"/>
                <w:color w:val="FF0000"/>
                <w:kern w:val="0"/>
                <w:sz w:val="21"/>
                <w:szCs w:val="21"/>
                <w:highlight w:val="none"/>
                <w:u w:val="none"/>
                <w:lang w:val="en-US" w:eastAsia="zh-CN" w:bidi="ar"/>
              </w:rPr>
              <w:t>0.186</w:t>
            </w:r>
          </w:p>
        </w:tc>
        <w:tc>
          <w:tcPr>
            <w:tcW w:w="1564" w:type="dxa"/>
            <w:vAlign w:val="center"/>
          </w:tcPr>
          <w:p w14:paraId="3DA0E8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391FDA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i w:val="0"/>
                <w:iCs w:val="0"/>
                <w:color w:val="FF0000"/>
                <w:kern w:val="0"/>
                <w:sz w:val="21"/>
                <w:szCs w:val="21"/>
                <w:highlight w:val="none"/>
                <w:u w:val="none"/>
                <w:lang w:val="en-US" w:eastAsia="zh-CN" w:bidi="ar"/>
              </w:rPr>
              <w:t>0.186</w:t>
            </w:r>
          </w:p>
        </w:tc>
        <w:tc>
          <w:tcPr>
            <w:tcW w:w="1407" w:type="dxa"/>
            <w:vAlign w:val="center"/>
          </w:tcPr>
          <w:p w14:paraId="3D46B2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w:t>
            </w:r>
            <w:r>
              <w:rPr>
                <w:rFonts w:hint="eastAsia" w:cs="Times New Roman"/>
                <w:i w:val="0"/>
                <w:iCs w:val="0"/>
                <w:color w:val="FF0000"/>
                <w:kern w:val="0"/>
                <w:sz w:val="21"/>
                <w:szCs w:val="21"/>
                <w:highlight w:val="none"/>
                <w:u w:val="none"/>
                <w:lang w:val="en-US" w:eastAsia="zh-CN" w:bidi="ar"/>
              </w:rPr>
              <w:t>0.186</w:t>
            </w:r>
          </w:p>
        </w:tc>
      </w:tr>
      <w:bookmarkEnd w:id="260"/>
      <w:tr w14:paraId="464A7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F7CFE7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4CD8CABD">
            <w:pPr>
              <w:keepNext w:val="0"/>
              <w:keepLines w:val="0"/>
              <w:widowControl/>
              <w:suppressLineNumbers w:val="0"/>
              <w:spacing w:before="0" w:beforeAutospacing="0" w:after="0" w:afterAutospacing="0" w:line="240" w:lineRule="auto"/>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颗粒物（t/a）</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无组织</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1386" w:type="dxa"/>
            <w:vAlign w:val="center"/>
          </w:tcPr>
          <w:p w14:paraId="57CC5A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858D5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4EB4ED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37B3B2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cs="Times New Roman"/>
                <w:color w:val="000000" w:themeColor="text1"/>
                <w:kern w:val="2"/>
                <w:sz w:val="21"/>
                <w:szCs w:val="21"/>
                <w:highlight w:val="none"/>
                <w:lang w:val="en-US" w:eastAsia="zh-CN"/>
                <w14:textFill>
                  <w14:solidFill>
                    <w14:schemeClr w14:val="tx1"/>
                  </w14:solidFill>
                </w14:textFill>
              </w:rPr>
              <w:t>0.4625</w:t>
            </w:r>
          </w:p>
        </w:tc>
        <w:tc>
          <w:tcPr>
            <w:tcW w:w="1564" w:type="dxa"/>
            <w:vAlign w:val="center"/>
          </w:tcPr>
          <w:p w14:paraId="7FFF5F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0</w:t>
            </w:r>
          </w:p>
        </w:tc>
        <w:tc>
          <w:tcPr>
            <w:tcW w:w="1720" w:type="dxa"/>
            <w:vAlign w:val="center"/>
          </w:tcPr>
          <w:p w14:paraId="5CC467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0.4</w:t>
            </w:r>
            <w:r>
              <w:rPr>
                <w:rFonts w:hint="eastAsia" w:cs="Times New Roman"/>
                <w:color w:val="000000" w:themeColor="text1"/>
                <w:kern w:val="2"/>
                <w:sz w:val="21"/>
                <w:szCs w:val="21"/>
                <w:highlight w:val="none"/>
                <w:lang w:val="en-US" w:eastAsia="zh-CN"/>
                <w14:textFill>
                  <w14:solidFill>
                    <w14:schemeClr w14:val="tx1"/>
                  </w14:solidFill>
                </w14:textFill>
              </w:rPr>
              <w:t>62</w:t>
            </w: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5</w:t>
            </w:r>
          </w:p>
        </w:tc>
        <w:tc>
          <w:tcPr>
            <w:tcW w:w="1407" w:type="dxa"/>
            <w:vAlign w:val="center"/>
          </w:tcPr>
          <w:p w14:paraId="45F5DA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+0.4</w:t>
            </w:r>
            <w:r>
              <w:rPr>
                <w:rFonts w:hint="eastAsia" w:cs="Times New Roman"/>
                <w:color w:val="000000" w:themeColor="text1"/>
                <w:kern w:val="2"/>
                <w:sz w:val="21"/>
                <w:szCs w:val="21"/>
                <w:highlight w:val="none"/>
                <w:lang w:val="en-US" w:eastAsia="zh-CN"/>
                <w14:textFill>
                  <w14:solidFill>
                    <w14:schemeClr w14:val="tx1"/>
                  </w14:solidFill>
                </w14:textFill>
              </w:rPr>
              <w:t>62</w:t>
            </w: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5</w:t>
            </w:r>
          </w:p>
        </w:tc>
      </w:tr>
      <w:tr w14:paraId="2279B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0C1B4F0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一般工业固体废物（t/a）</w:t>
            </w:r>
          </w:p>
        </w:tc>
        <w:tc>
          <w:tcPr>
            <w:tcW w:w="2203" w:type="dxa"/>
            <w:vAlign w:val="center"/>
          </w:tcPr>
          <w:p w14:paraId="67C00130">
            <w:pPr>
              <w:pStyle w:val="56"/>
              <w:keepNext w:val="0"/>
              <w:keepLines w:val="0"/>
              <w:widowControl/>
              <w:suppressLineNumbers w:val="0"/>
              <w:snapToGrid w:val="0"/>
              <w:spacing w:before="0" w:beforeAutospacing="0" w:after="0" w:afterAutospacing="0"/>
              <w:ind w:left="0" w:leftChars="0" w:right="0" w:rightChars="0"/>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包装废料</w:t>
            </w:r>
          </w:p>
        </w:tc>
        <w:tc>
          <w:tcPr>
            <w:tcW w:w="1386" w:type="dxa"/>
            <w:vAlign w:val="center"/>
          </w:tcPr>
          <w:p w14:paraId="0BFFA2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632CE1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4E6ECC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1CAE57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564" w:type="dxa"/>
            <w:vAlign w:val="center"/>
          </w:tcPr>
          <w:p w14:paraId="7ECC86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457BD7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1407" w:type="dxa"/>
            <w:vAlign w:val="center"/>
          </w:tcPr>
          <w:p w14:paraId="10429B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1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position w:val="-10"/>
                <w:sz w:val="21"/>
                <w:szCs w:val="21"/>
                <w:highlight w:val="none"/>
                <w:lang w:val="en-US" w:eastAsia="zh-CN" w:bidi="ar-SA"/>
                <w14:textFill>
                  <w14:solidFill>
                    <w14:schemeClr w14:val="tx1"/>
                  </w14:solidFill>
                </w14:textFill>
              </w:rPr>
              <w:t>+2</w:t>
            </w:r>
          </w:p>
        </w:tc>
      </w:tr>
      <w:tr w14:paraId="08966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86B1B2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4972F733">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废滤芯</w:t>
            </w:r>
          </w:p>
        </w:tc>
        <w:tc>
          <w:tcPr>
            <w:tcW w:w="1386" w:type="dxa"/>
            <w:vAlign w:val="center"/>
          </w:tcPr>
          <w:p w14:paraId="62269DD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4282A14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638F86A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7DD28A0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564" w:type="dxa"/>
            <w:vAlign w:val="center"/>
          </w:tcPr>
          <w:p w14:paraId="701C823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1811D9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407" w:type="dxa"/>
            <w:vAlign w:val="center"/>
          </w:tcPr>
          <w:p w14:paraId="6F218A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+0.05</w:t>
            </w:r>
          </w:p>
        </w:tc>
      </w:tr>
      <w:tr w14:paraId="6DEB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03AA3B3">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5F276C2E">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机加工边角料</w:t>
            </w:r>
          </w:p>
        </w:tc>
        <w:tc>
          <w:tcPr>
            <w:tcW w:w="1386" w:type="dxa"/>
            <w:vAlign w:val="center"/>
          </w:tcPr>
          <w:p w14:paraId="2029CCE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68849AA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FCC593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6C95C9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lang w:val="en-US"/>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209.22</w:t>
            </w:r>
          </w:p>
        </w:tc>
        <w:tc>
          <w:tcPr>
            <w:tcW w:w="1564" w:type="dxa"/>
            <w:vAlign w:val="center"/>
          </w:tcPr>
          <w:p w14:paraId="13746C5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3B04D8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209.22</w:t>
            </w:r>
          </w:p>
        </w:tc>
        <w:tc>
          <w:tcPr>
            <w:tcW w:w="1407" w:type="dxa"/>
            <w:vAlign w:val="center"/>
          </w:tcPr>
          <w:p w14:paraId="3CE53C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position w:val="0"/>
                <w:sz w:val="21"/>
                <w:szCs w:val="21"/>
                <w:highlight w:val="none"/>
                <w:lang w:val="en-US" w:eastAsia="zh-CN"/>
                <w14:textFill>
                  <w14:solidFill>
                    <w14:schemeClr w14:val="tx1"/>
                  </w14:solidFill>
                </w14:textFill>
              </w:rPr>
              <w:t>+209.22</w:t>
            </w:r>
          </w:p>
        </w:tc>
      </w:tr>
      <w:tr w14:paraId="5C05C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DAD688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58CC4E6F">
            <w:pPr>
              <w:pStyle w:val="56"/>
              <w:keepNext w:val="0"/>
              <w:keepLines w:val="0"/>
              <w:widowControl/>
              <w:suppressLineNumbers w:val="0"/>
              <w:snapToGrid w:val="0"/>
              <w:spacing w:before="0" w:beforeAutospacing="0" w:after="0" w:afterAutospacing="0"/>
              <w:ind w:left="0" w:right="0"/>
              <w:rPr>
                <w:rFonts w:hint="default" w:ascii="Times New Roman" w:hAnsi="Times New Roman" w:eastAsia="宋体" w:cs="Times New Roman"/>
                <w:color w:val="000000" w:themeColor="text1"/>
                <w:kern w:val="2"/>
                <w:positio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lang w:val="en-US" w:eastAsia="zh-CN"/>
                <w14:textFill>
                  <w14:solidFill>
                    <w14:schemeClr w14:val="tx1"/>
                  </w14:solidFill>
                </w14:textFill>
              </w:rPr>
              <w:t>沉降金属粉尘和除尘器收集粉尘</w:t>
            </w:r>
          </w:p>
        </w:tc>
        <w:tc>
          <w:tcPr>
            <w:tcW w:w="1386" w:type="dxa"/>
            <w:vAlign w:val="center"/>
          </w:tcPr>
          <w:p w14:paraId="03FB12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FB38F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3FE2AF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0A29F02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FF0000"/>
                <w:kern w:val="0"/>
                <w:sz w:val="21"/>
                <w:szCs w:val="21"/>
                <w:highlight w:val="none"/>
                <w:u w:val="none"/>
                <w:lang w:val="en-US" w:eastAsia="zh-CN" w:bidi="ar"/>
              </w:rPr>
              <w:t>18.332</w:t>
            </w:r>
          </w:p>
        </w:tc>
        <w:tc>
          <w:tcPr>
            <w:tcW w:w="1564" w:type="dxa"/>
            <w:vAlign w:val="center"/>
          </w:tcPr>
          <w:p w14:paraId="674E2B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7A9405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FF0000"/>
                <w:kern w:val="0"/>
                <w:sz w:val="21"/>
                <w:szCs w:val="21"/>
                <w:highlight w:val="none"/>
                <w:u w:val="none"/>
                <w:lang w:val="en-US" w:eastAsia="zh-CN" w:bidi="ar"/>
              </w:rPr>
              <w:t>18.332</w:t>
            </w:r>
          </w:p>
        </w:tc>
        <w:tc>
          <w:tcPr>
            <w:tcW w:w="1407" w:type="dxa"/>
            <w:vAlign w:val="center"/>
          </w:tcPr>
          <w:p w14:paraId="307F170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FF0000"/>
                <w:kern w:val="0"/>
                <w:sz w:val="21"/>
                <w:szCs w:val="21"/>
                <w:highlight w:val="none"/>
                <w:u w:val="none"/>
                <w:lang w:val="en-US" w:eastAsia="zh-CN" w:bidi="ar"/>
              </w:rPr>
              <w:t>18.332</w:t>
            </w:r>
          </w:p>
        </w:tc>
      </w:tr>
      <w:tr w14:paraId="4B4DD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61EEED9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危险废物（t/a）</w:t>
            </w:r>
          </w:p>
        </w:tc>
        <w:tc>
          <w:tcPr>
            <w:tcW w:w="2203" w:type="dxa"/>
            <w:vAlign w:val="center"/>
          </w:tcPr>
          <w:p w14:paraId="663C3643">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废表面处理剂包装桶</w:t>
            </w:r>
          </w:p>
        </w:tc>
        <w:tc>
          <w:tcPr>
            <w:tcW w:w="1386" w:type="dxa"/>
            <w:vAlign w:val="center"/>
          </w:tcPr>
          <w:p w14:paraId="33318B4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2DA20F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1A9A62E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670036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0.46</w:t>
            </w:r>
          </w:p>
        </w:tc>
        <w:tc>
          <w:tcPr>
            <w:tcW w:w="1564" w:type="dxa"/>
            <w:vAlign w:val="center"/>
          </w:tcPr>
          <w:p w14:paraId="0CFF1DF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5DCAC8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lang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0.46</w:t>
            </w:r>
          </w:p>
        </w:tc>
        <w:tc>
          <w:tcPr>
            <w:tcW w:w="1407" w:type="dxa"/>
            <w:vAlign w:val="center"/>
          </w:tcPr>
          <w:p w14:paraId="47D4EDA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position w:val="0"/>
                <w:sz w:val="21"/>
                <w:szCs w:val="21"/>
                <w:highlight w:val="none"/>
                <w:lang w:val="en-US" w:eastAsia="zh-CN"/>
                <w14:textFill>
                  <w14:solidFill>
                    <w14:schemeClr w14:val="tx1"/>
                  </w14:solidFill>
                </w14:textFill>
              </w:rPr>
              <w:t>+0.46</w:t>
            </w:r>
          </w:p>
        </w:tc>
      </w:tr>
      <w:tr w14:paraId="41808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8245BD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0CED4CB5">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pH调整剂包装桶</w:t>
            </w:r>
          </w:p>
        </w:tc>
        <w:tc>
          <w:tcPr>
            <w:tcW w:w="1386" w:type="dxa"/>
            <w:vAlign w:val="center"/>
          </w:tcPr>
          <w:p w14:paraId="4E0D5F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269D5B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53DDC2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3D328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564" w:type="dxa"/>
            <w:vAlign w:val="center"/>
          </w:tcPr>
          <w:p w14:paraId="08032D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6EDA8E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1407" w:type="dxa"/>
            <w:vAlign w:val="center"/>
          </w:tcPr>
          <w:p w14:paraId="7FD23A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+0.004</w:t>
            </w:r>
          </w:p>
        </w:tc>
      </w:tr>
      <w:tr w14:paraId="6451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858136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51D0B1CE">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预处理池泥渣</w:t>
            </w:r>
          </w:p>
        </w:tc>
        <w:tc>
          <w:tcPr>
            <w:tcW w:w="1386" w:type="dxa"/>
            <w:vAlign w:val="center"/>
          </w:tcPr>
          <w:p w14:paraId="61B093E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D4016B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4D6E85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3193D1D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1564" w:type="dxa"/>
            <w:vAlign w:val="center"/>
          </w:tcPr>
          <w:p w14:paraId="098CE3D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751D39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1407" w:type="dxa"/>
            <w:vAlign w:val="center"/>
          </w:tcPr>
          <w:p w14:paraId="01FA29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+0.5</w:t>
            </w:r>
          </w:p>
        </w:tc>
      </w:tr>
      <w:tr w14:paraId="1E493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4645C4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422A1DBA">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t>无铬钝化池废槽液</w:t>
            </w:r>
          </w:p>
        </w:tc>
        <w:tc>
          <w:tcPr>
            <w:tcW w:w="1386" w:type="dxa"/>
            <w:shd w:val="clear" w:color="auto" w:fill="auto"/>
            <w:vAlign w:val="center"/>
          </w:tcPr>
          <w:p w14:paraId="300DE7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shd w:val="clear" w:color="auto" w:fill="auto"/>
            <w:vAlign w:val="center"/>
          </w:tcPr>
          <w:p w14:paraId="28A0A1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shd w:val="clear" w:color="auto" w:fill="auto"/>
            <w:vAlign w:val="center"/>
          </w:tcPr>
          <w:p w14:paraId="1D5BBC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shd w:val="clear" w:color="auto" w:fill="auto"/>
            <w:vAlign w:val="center"/>
          </w:tcPr>
          <w:p w14:paraId="7C0EAB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28.8</w:t>
            </w:r>
          </w:p>
        </w:tc>
        <w:tc>
          <w:tcPr>
            <w:tcW w:w="1564" w:type="dxa"/>
            <w:shd w:val="clear" w:color="auto" w:fill="auto"/>
            <w:vAlign w:val="center"/>
          </w:tcPr>
          <w:p w14:paraId="32FF5E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shd w:val="clear" w:color="auto" w:fill="auto"/>
            <w:vAlign w:val="center"/>
          </w:tcPr>
          <w:p w14:paraId="4B896B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28.8</w:t>
            </w:r>
          </w:p>
        </w:tc>
        <w:tc>
          <w:tcPr>
            <w:tcW w:w="1407" w:type="dxa"/>
            <w:shd w:val="clear" w:color="auto" w:fill="auto"/>
            <w:vAlign w:val="center"/>
          </w:tcPr>
          <w:p w14:paraId="1FE5A8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+28.8</w:t>
            </w:r>
          </w:p>
        </w:tc>
      </w:tr>
      <w:tr w14:paraId="71D18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2CF632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3C8B7A68">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000000" w:themeColor="text1"/>
                <w:kern w:val="2"/>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废水处理站污泥</w:t>
            </w:r>
          </w:p>
        </w:tc>
        <w:tc>
          <w:tcPr>
            <w:tcW w:w="1386" w:type="dxa"/>
            <w:vAlign w:val="center"/>
          </w:tcPr>
          <w:p w14:paraId="14667AC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8C8A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3D88D00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0FC5557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1564" w:type="dxa"/>
            <w:vAlign w:val="center"/>
          </w:tcPr>
          <w:p w14:paraId="3347B2D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57FF7A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1.6</w:t>
            </w:r>
          </w:p>
        </w:tc>
        <w:tc>
          <w:tcPr>
            <w:tcW w:w="1407" w:type="dxa"/>
            <w:shd w:val="clear" w:color="auto" w:fill="auto"/>
            <w:vAlign w:val="center"/>
          </w:tcPr>
          <w:p w14:paraId="1485C8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1.6</w:t>
            </w:r>
          </w:p>
        </w:tc>
      </w:tr>
      <w:tr w14:paraId="08796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5C68D3E">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7033D8A7">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废机油桶</w:t>
            </w:r>
          </w:p>
        </w:tc>
        <w:tc>
          <w:tcPr>
            <w:tcW w:w="1386" w:type="dxa"/>
            <w:vAlign w:val="center"/>
          </w:tcPr>
          <w:p w14:paraId="725EE17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DE956D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3475D52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515ED6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564" w:type="dxa"/>
            <w:vAlign w:val="center"/>
          </w:tcPr>
          <w:p w14:paraId="3E4523C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017F9E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407" w:type="dxa"/>
            <w:shd w:val="clear" w:color="auto" w:fill="auto"/>
            <w:vAlign w:val="center"/>
          </w:tcPr>
          <w:p w14:paraId="0ACCC7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r w14:paraId="733E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F332CA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4159E66F">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b/>
                <w:bCs/>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废机油</w:t>
            </w:r>
          </w:p>
        </w:tc>
        <w:tc>
          <w:tcPr>
            <w:tcW w:w="1386" w:type="dxa"/>
            <w:vAlign w:val="center"/>
          </w:tcPr>
          <w:p w14:paraId="59FD263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782857C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7CABE6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46592E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4" w:type="dxa"/>
            <w:vAlign w:val="center"/>
          </w:tcPr>
          <w:p w14:paraId="078E95F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205040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07" w:type="dxa"/>
            <w:shd w:val="clear" w:color="auto" w:fill="auto"/>
            <w:vAlign w:val="center"/>
          </w:tcPr>
          <w:p w14:paraId="261483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45B17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328EBBB">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7299CE86">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废液压油桶</w:t>
            </w:r>
          </w:p>
        </w:tc>
        <w:tc>
          <w:tcPr>
            <w:tcW w:w="1386" w:type="dxa"/>
            <w:vAlign w:val="center"/>
          </w:tcPr>
          <w:p w14:paraId="4ADC7A0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0C7E962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7F1DEB0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2B61342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position w:val="0"/>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564" w:type="dxa"/>
            <w:vAlign w:val="center"/>
          </w:tcPr>
          <w:p w14:paraId="4E231D9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1BE478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407" w:type="dxa"/>
            <w:shd w:val="clear" w:color="auto" w:fill="auto"/>
            <w:vAlign w:val="center"/>
          </w:tcPr>
          <w:p w14:paraId="5D9A28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r w14:paraId="430B7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47E15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6AAE623B">
            <w:pPr>
              <w:pStyle w:val="56"/>
              <w:keepNext w:val="0"/>
              <w:keepLines w:val="0"/>
              <w:widowControl/>
              <w:suppressLineNumbers w:val="0"/>
              <w:snapToGrid w:val="0"/>
              <w:spacing w:before="0" w:beforeAutospacing="0" w:after="0" w:afterAutospacing="0"/>
              <w:ind w:left="0" w:right="0"/>
              <w:rPr>
                <w:rFonts w:hint="eastAsia" w:ascii="Times New Roman" w:hAnsi="Times New Roman" w:eastAsia="宋体" w:cs="Times New Roman"/>
                <w:color w:val="000000" w:themeColor="text1"/>
                <w:kern w:val="2"/>
                <w:position w:val="0"/>
                <w:sz w:val="21"/>
                <w:szCs w:val="21"/>
                <w:highlight w:val="none"/>
                <w:lang w:val="en-US" w:eastAsia="zh-CN"/>
                <w14:textFill>
                  <w14:solidFill>
                    <w14:schemeClr w14:val="tx1"/>
                  </w14:solidFill>
                </w14:textFill>
              </w:rPr>
            </w:pPr>
            <w:r>
              <w:rPr>
                <w:rFonts w:hint="eastAsia" w:cs="Times New Roman"/>
                <w:color w:val="000000" w:themeColor="text1"/>
                <w:kern w:val="2"/>
                <w:position w:val="0"/>
                <w:sz w:val="21"/>
                <w:szCs w:val="21"/>
                <w:highlight w:val="none"/>
                <w:lang w:val="en-US" w:eastAsia="zh-CN"/>
                <w14:textFill>
                  <w14:solidFill>
                    <w14:schemeClr w14:val="tx1"/>
                  </w14:solidFill>
                </w14:textFill>
              </w:rPr>
              <w:t>含油废抹布</w:t>
            </w:r>
          </w:p>
        </w:tc>
        <w:tc>
          <w:tcPr>
            <w:tcW w:w="1386" w:type="dxa"/>
            <w:vAlign w:val="center"/>
          </w:tcPr>
          <w:p w14:paraId="1D679B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561227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171368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60A348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0.05</w:t>
            </w:r>
          </w:p>
        </w:tc>
        <w:tc>
          <w:tcPr>
            <w:tcW w:w="1564" w:type="dxa"/>
            <w:vAlign w:val="center"/>
          </w:tcPr>
          <w:p w14:paraId="3DF9B1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1C5639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0.05</w:t>
            </w:r>
          </w:p>
        </w:tc>
        <w:tc>
          <w:tcPr>
            <w:tcW w:w="1407" w:type="dxa"/>
            <w:shd w:val="clear" w:color="auto" w:fill="auto"/>
            <w:vAlign w:val="center"/>
          </w:tcPr>
          <w:p w14:paraId="60AE47C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+0.05</w:t>
            </w:r>
          </w:p>
        </w:tc>
      </w:tr>
      <w:tr w14:paraId="3EC4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C810D9A">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203" w:type="dxa"/>
            <w:vAlign w:val="center"/>
          </w:tcPr>
          <w:p w14:paraId="6DB290D0">
            <w:pPr>
              <w:pStyle w:val="56"/>
              <w:keepNext w:val="0"/>
              <w:keepLines w:val="0"/>
              <w:widowControl/>
              <w:suppressLineNumbers w:val="0"/>
              <w:snapToGrid w:val="0"/>
              <w:spacing w:before="0" w:beforeAutospacing="0" w:after="0" w:afterAutospacing="0"/>
              <w:ind w:left="0" w:right="0"/>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cs="Times New Roman"/>
                <w:color w:val="000000" w:themeColor="text1"/>
                <w:kern w:val="2"/>
                <w:position w:val="0"/>
                <w:sz w:val="21"/>
                <w:szCs w:val="21"/>
                <w:highlight w:val="none"/>
                <w14:textFill>
                  <w14:solidFill>
                    <w14:schemeClr w14:val="tx1"/>
                  </w14:solidFill>
                </w14:textFill>
              </w:rPr>
              <w:t>废液压油</w:t>
            </w:r>
          </w:p>
        </w:tc>
        <w:tc>
          <w:tcPr>
            <w:tcW w:w="1386" w:type="dxa"/>
            <w:vAlign w:val="center"/>
          </w:tcPr>
          <w:p w14:paraId="27AF854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562" w:type="dxa"/>
            <w:vAlign w:val="center"/>
          </w:tcPr>
          <w:p w14:paraId="300C931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479" w:type="dxa"/>
            <w:vAlign w:val="center"/>
          </w:tcPr>
          <w:p w14:paraId="1AC9450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651" w:type="dxa"/>
            <w:vAlign w:val="center"/>
          </w:tcPr>
          <w:p w14:paraId="604CB6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8</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564" w:type="dxa"/>
            <w:vAlign w:val="center"/>
          </w:tcPr>
          <w:p w14:paraId="050B8A8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olor w:val="000000" w:themeColor="text1"/>
                <w:kern w:val="2"/>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720" w:type="dxa"/>
            <w:vAlign w:val="center"/>
          </w:tcPr>
          <w:p w14:paraId="2CD53B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000000" w:themeColor="text1"/>
                <w:kern w:val="2"/>
                <w:position w:val="0"/>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8</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c>
          <w:tcPr>
            <w:tcW w:w="1407" w:type="dxa"/>
            <w:shd w:val="clear" w:color="auto" w:fill="auto"/>
            <w:vAlign w:val="center"/>
          </w:tcPr>
          <w:p w14:paraId="6DD1E7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000000" w:themeColor="text1"/>
                <w:kern w:val="2"/>
                <w:positio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8</w:t>
            </w:r>
            <w:r>
              <w:rPr>
                <w:rFonts w:hint="eastAsia"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5</w:t>
            </w:r>
          </w:p>
        </w:tc>
      </w:tr>
    </w:tbl>
    <w:p w14:paraId="1D0A6205">
      <w:pPr>
        <w:spacing w:line="240" w:lineRule="auto"/>
        <w:jc w:val="left"/>
        <w:rPr>
          <w:color w:val="000000" w:themeColor="text1"/>
          <w:highlight w:val="none"/>
          <w14:textFill>
            <w14:solidFill>
              <w14:schemeClr w14:val="tx1"/>
            </w14:solidFill>
          </w14:textFill>
        </w:rPr>
      </w:pPr>
      <w:r>
        <w:rPr>
          <w:rFonts w:eastAsia="黑体"/>
          <w:color w:val="000000" w:themeColor="text1"/>
          <w:sz w:val="21"/>
          <w:szCs w:val="21"/>
          <w:highlight w:val="none"/>
          <w14:textFill>
            <w14:solidFill>
              <w14:schemeClr w14:val="tx1"/>
            </w14:solidFill>
          </w14:textFill>
        </w:rPr>
        <w:t>注：⑥=①+③+④-⑤；⑦=⑥-①。</w:t>
      </w:r>
    </w:p>
    <w:p w14:paraId="4CF140FA">
      <w:pPr>
        <w:rPr>
          <w:color w:val="000000" w:themeColor="text1"/>
          <w:highlight w:val="none"/>
          <w14:textFill>
            <w14:solidFill>
              <w14:schemeClr w14:val="tx1"/>
            </w14:solidFill>
          </w14:textFill>
        </w:rPr>
      </w:pPr>
    </w:p>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0D8C1DE-9119-4757-972C-162F6721E5A2}"/>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D5B0EDE1-C8D2-49EE-B808-93B7A715927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3" w:fontKey="{9E9CF394-C0B6-405F-AC97-E1B38C34A1EB}"/>
  </w:font>
  <w:font w:name="楷体_GB2312">
    <w:panose1 w:val="02010609030101010101"/>
    <w:charset w:val="86"/>
    <w:family w:val="modern"/>
    <w:pitch w:val="default"/>
    <w:sig w:usb0="00000001" w:usb1="080E0000" w:usb2="00000000" w:usb3="00000000" w:csb0="00040000" w:csb1="00000000"/>
    <w:embedRegular r:id="rId4" w:fontKey="{27D51C91-725B-4994-AB76-32CEC7CDA996}"/>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embedRegular r:id="rId5" w:fontKey="{DFEF8869-A8C2-4E16-8FD3-14B6BD874FA9}"/>
  </w:font>
  <w:font w:name="仿宋">
    <w:panose1 w:val="02010609060101010101"/>
    <w:charset w:val="86"/>
    <w:family w:val="auto"/>
    <w:pitch w:val="default"/>
    <w:sig w:usb0="800002BF" w:usb1="38CF7CFA" w:usb2="00000016" w:usb3="00000000" w:csb0="00040001" w:csb1="00000000"/>
    <w:embedRegular r:id="rId6" w:fontKey="{1DE6DCE9-8EAB-4D25-B7FA-CC53DE14C887}"/>
  </w:font>
  <w:font w:name="仿宋_GB2312">
    <w:panose1 w:val="02010609030101010101"/>
    <w:charset w:val="86"/>
    <w:family w:val="modern"/>
    <w:pitch w:val="default"/>
    <w:sig w:usb0="00000001" w:usb1="080E0000" w:usb2="00000000" w:usb3="00000000" w:csb0="00040000" w:csb1="00000000"/>
    <w:embedRegular r:id="rId7" w:fontKey="{0C312AC9-B535-46F7-9A57-BEFF6FF536D1}"/>
  </w:font>
  <w:font w:name="Segoe UI">
    <w:panose1 w:val="020B0502040204020203"/>
    <w:charset w:val="00"/>
    <w:family w:val="auto"/>
    <w:pitch w:val="default"/>
    <w:sig w:usb0="E4002EFF" w:usb1="C000E47F" w:usb2="00000009" w:usb3="00000000" w:csb0="200001FF" w:csb1="00000000"/>
    <w:embedRegular r:id="rId8" w:fontKey="{5C222CD1-5EF9-42CC-9FFA-11D16DA3923B}"/>
  </w:font>
  <w:font w:name="Wingdings 2">
    <w:panose1 w:val="05020102010507070707"/>
    <w:charset w:val="02"/>
    <w:family w:val="roman"/>
    <w:pitch w:val="default"/>
    <w:sig w:usb0="00000000" w:usb1="00000000" w:usb2="00000000" w:usb3="00000000" w:csb0="80000000" w:csb1="00000000"/>
    <w:embedRegular r:id="rId9" w:fontKey="{836801B1-29C3-46D4-9575-5A84C1D937F2}"/>
  </w:font>
  <w:font w:name="Cambria Math">
    <w:panose1 w:val="02040503050406030204"/>
    <w:charset w:val="00"/>
    <w:family w:val="auto"/>
    <w:pitch w:val="default"/>
    <w:sig w:usb0="E00006FF" w:usb1="420024FF" w:usb2="02000000" w:usb3="00000000" w:csb0="2000019F" w:csb1="00000000"/>
    <w:embedRegular r:id="rId10" w:fontKey="{3D71AA8A-B11C-4CEA-86A5-CB9061106F0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6A592">
    <w:pPr>
      <w:pStyle w:val="2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7EB215">
                          <w:pPr>
                            <w:pStyle w:val="2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E7EB215">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75817">
    <w:pPr>
      <w:tabs>
        <w:tab w:val="center" w:pos="4153"/>
        <w:tab w:val="right" w:pos="8306"/>
      </w:tabs>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78F746">
                          <w:pPr>
                            <w:pStyle w:val="2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378F746">
                    <w:pPr>
                      <w:pStyle w:val="2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EE55CE"/>
    <w:multiLevelType w:val="singleLevel"/>
    <w:tmpl w:val="A0EE55CE"/>
    <w:lvl w:ilvl="0" w:tentative="0">
      <w:start w:val="1"/>
      <w:numFmt w:val="decimal"/>
      <w:suff w:val="nothing"/>
      <w:lvlText w:val="%1"/>
      <w:lvlJc w:val="left"/>
      <w:pPr>
        <w:tabs>
          <w:tab w:val="left" w:pos="0"/>
        </w:tabs>
        <w:ind w:left="425" w:hanging="425"/>
      </w:pPr>
      <w:rPr>
        <w:rFonts w:hint="default" w:ascii="Times New Roman" w:hAnsi="Times New Roman" w:cs="Times New Roman"/>
        <w:color w:val="auto"/>
        <w:sz w:val="21"/>
        <w:szCs w:val="21"/>
      </w:rPr>
    </w:lvl>
  </w:abstractNum>
  <w:abstractNum w:abstractNumId="1">
    <w:nsid w:val="BB00E9B5"/>
    <w:multiLevelType w:val="singleLevel"/>
    <w:tmpl w:val="BB00E9B5"/>
    <w:lvl w:ilvl="0" w:tentative="0">
      <w:start w:val="1"/>
      <w:numFmt w:val="decimal"/>
      <w:pStyle w:val="103"/>
      <w:suff w:val="space"/>
      <w:lvlText w:val="表2-%1"/>
      <w:lvlJc w:val="center"/>
      <w:pPr>
        <w:tabs>
          <w:tab w:val="left" w:pos="0"/>
        </w:tabs>
        <w:ind w:left="0" w:leftChars="0" w:firstLine="0" w:firstLineChars="0"/>
      </w:pPr>
      <w:rPr>
        <w:rFonts w:hint="default" w:ascii="Times New Roman" w:hAnsi="Times New Roman"/>
        <w:b/>
        <w:bCs/>
        <w:snapToGrid w:val="0"/>
        <w:color w:val="00B050"/>
        <w:sz w:val="21"/>
        <w:szCs w:val="21"/>
      </w:rPr>
    </w:lvl>
  </w:abstractNum>
  <w:abstractNum w:abstractNumId="2">
    <w:nsid w:val="C0095D60"/>
    <w:multiLevelType w:val="singleLevel"/>
    <w:tmpl w:val="C0095D60"/>
    <w:lvl w:ilvl="0" w:tentative="0">
      <w:start w:val="1"/>
      <w:numFmt w:val="bullet"/>
      <w:pStyle w:val="21"/>
      <w:lvlText w:val=""/>
      <w:lvlJc w:val="left"/>
      <w:pPr>
        <w:tabs>
          <w:tab w:val="left" w:pos="780"/>
        </w:tabs>
        <w:ind w:left="840" w:hanging="360"/>
      </w:pPr>
      <w:rPr>
        <w:rFonts w:hint="default" w:ascii="Wingdings" w:hAnsi="Wingdings"/>
      </w:rPr>
    </w:lvl>
  </w:abstractNum>
  <w:abstractNum w:abstractNumId="3">
    <w:nsid w:val="C7FA74B9"/>
    <w:multiLevelType w:val="singleLevel"/>
    <w:tmpl w:val="C7FA74B9"/>
    <w:lvl w:ilvl="0" w:tentative="0">
      <w:start w:val="4"/>
      <w:numFmt w:val="decimal"/>
      <w:suff w:val="nothing"/>
      <w:lvlText w:val="%1、"/>
      <w:lvlJc w:val="left"/>
    </w:lvl>
  </w:abstractNum>
  <w:abstractNum w:abstractNumId="4">
    <w:nsid w:val="D0FA49B2"/>
    <w:multiLevelType w:val="multilevel"/>
    <w:tmpl w:val="D0FA49B2"/>
    <w:lvl w:ilvl="0" w:tentative="0">
      <w:start w:val="1"/>
      <w:numFmt w:val="decimal"/>
      <w:pStyle w:val="100"/>
      <w:suff w:val="space"/>
      <w:lvlText w:val="%1."/>
      <w:lvlJc w:val="left"/>
      <w:pPr>
        <w:tabs>
          <w:tab w:val="left" w:pos="0"/>
        </w:tabs>
        <w:ind w:left="0" w:firstLine="482"/>
      </w:pPr>
      <w:rPr>
        <w:rFonts w:hint="default"/>
        <w:b/>
        <w:bCs/>
        <w:color w:val="000000" w:themeColor="text1"/>
        <w:sz w:val="24"/>
        <w:szCs w:val="24"/>
        <w14:textFill>
          <w14:solidFill>
            <w14:schemeClr w14:val="tx1"/>
          </w14:solidFill>
        </w14:textFill>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5">
    <w:nsid w:val="E6BFA822"/>
    <w:multiLevelType w:val="singleLevel"/>
    <w:tmpl w:val="E6BFA822"/>
    <w:lvl w:ilvl="0" w:tentative="0">
      <w:start w:val="1"/>
      <w:numFmt w:val="decimal"/>
      <w:suff w:val="space"/>
      <w:lvlText w:val="图2-%1"/>
      <w:lvlJc w:val="left"/>
      <w:pPr>
        <w:tabs>
          <w:tab w:val="left" w:pos="420"/>
        </w:tabs>
        <w:ind w:left="0" w:firstLine="0"/>
      </w:pPr>
      <w:rPr>
        <w:rFonts w:hint="default"/>
        <w:b/>
        <w:sz w:val="21"/>
        <w:szCs w:val="21"/>
      </w:rPr>
    </w:lvl>
  </w:abstractNum>
  <w:abstractNum w:abstractNumId="6">
    <w:nsid w:val="F0F6E087"/>
    <w:multiLevelType w:val="singleLevel"/>
    <w:tmpl w:val="F0F6E087"/>
    <w:lvl w:ilvl="0" w:tentative="0">
      <w:start w:val="5"/>
      <w:numFmt w:val="decimal"/>
      <w:suff w:val="nothing"/>
      <w:lvlText w:val="（%1）"/>
      <w:lvlJc w:val="left"/>
    </w:lvl>
  </w:abstractNum>
  <w:abstractNum w:abstractNumId="7">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3"/>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4"/>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5"/>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6"/>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7"/>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8">
    <w:nsid w:val="45D0DA85"/>
    <w:multiLevelType w:val="singleLevel"/>
    <w:tmpl w:val="45D0DA85"/>
    <w:lvl w:ilvl="0" w:tentative="0">
      <w:start w:val="1"/>
      <w:numFmt w:val="chineseCounting"/>
      <w:pStyle w:val="2"/>
      <w:suff w:val="nothing"/>
      <w:lvlText w:val="%1、"/>
      <w:lvlJc w:val="left"/>
      <w:pPr>
        <w:tabs>
          <w:tab w:val="left" w:pos="0"/>
        </w:tabs>
        <w:ind w:left="0" w:firstLine="0"/>
      </w:pPr>
      <w:rPr>
        <w:rFonts w:hint="eastAsia" w:ascii="黑体" w:hAnsi="黑体" w:eastAsia="黑体" w:cs="黑体"/>
        <w:sz w:val="30"/>
        <w:szCs w:val="30"/>
      </w:rPr>
    </w:lvl>
  </w:abstractNum>
  <w:abstractNum w:abstractNumId="9">
    <w:nsid w:val="71E5EBCC"/>
    <w:multiLevelType w:val="singleLevel"/>
    <w:tmpl w:val="71E5EBCC"/>
    <w:lvl w:ilvl="0" w:tentative="0">
      <w:start w:val="1"/>
      <w:numFmt w:val="decimal"/>
      <w:suff w:val="space"/>
      <w:lvlText w:val="图4-%1"/>
      <w:lvlJc w:val="left"/>
      <w:pPr>
        <w:tabs>
          <w:tab w:val="left" w:pos="0"/>
        </w:tabs>
        <w:ind w:left="0" w:firstLine="0"/>
      </w:pPr>
      <w:rPr>
        <w:rFonts w:hint="default"/>
        <w:b/>
        <w:sz w:val="21"/>
        <w:szCs w:val="21"/>
      </w:rPr>
    </w:lvl>
  </w:abstractNum>
  <w:abstractNum w:abstractNumId="10">
    <w:nsid w:val="7E84E819"/>
    <w:multiLevelType w:val="singleLevel"/>
    <w:tmpl w:val="7E84E819"/>
    <w:lvl w:ilvl="0" w:tentative="0">
      <w:start w:val="1"/>
      <w:numFmt w:val="decimal"/>
      <w:pStyle w:val="98"/>
      <w:suff w:val="space"/>
      <w:lvlText w:val="表1-%1"/>
      <w:lvlJc w:val="center"/>
      <w:pPr>
        <w:tabs>
          <w:tab w:val="left" w:pos="0"/>
        </w:tabs>
        <w:ind w:left="0" w:leftChars="0" w:firstLine="0" w:firstLineChars="0"/>
      </w:pPr>
      <w:rPr>
        <w:rFonts w:hint="default" w:ascii="Times New Roman" w:hAnsi="Times New Roman"/>
        <w:b/>
        <w:bCs/>
        <w:sz w:val="21"/>
        <w:szCs w:val="21"/>
      </w:rPr>
    </w:lvl>
  </w:abstractNum>
  <w:num w:numId="1">
    <w:abstractNumId w:val="8"/>
  </w:num>
  <w:num w:numId="2">
    <w:abstractNumId w:val="7"/>
  </w:num>
  <w:num w:numId="3">
    <w:abstractNumId w:val="2"/>
  </w:num>
  <w:num w:numId="4">
    <w:abstractNumId w:val="10"/>
  </w:num>
  <w:num w:numId="5">
    <w:abstractNumId w:val="4"/>
  </w:num>
  <w:num w:numId="6">
    <w:abstractNumId w:val="1"/>
  </w:num>
  <w:num w:numId="7">
    <w:abstractNumId w:val="5"/>
  </w:num>
  <w:num w:numId="8">
    <w:abstractNumId w:val="9"/>
  </w:num>
  <w:num w:numId="9">
    <w:abstractNumId w:val="6"/>
  </w:num>
  <w:num w:numId="10">
    <w:abstractNumId w:val="3"/>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UyNDcyZGYxNTIwMTQzNTc1ZDc3ZDQ4NzdiYTc5YzYifQ=="/>
  </w:docVars>
  <w:rsids>
    <w:rsidRoot w:val="391A40A5"/>
    <w:rsid w:val="000942B7"/>
    <w:rsid w:val="00123FAB"/>
    <w:rsid w:val="00167DCA"/>
    <w:rsid w:val="001A451A"/>
    <w:rsid w:val="002E52BE"/>
    <w:rsid w:val="00335488"/>
    <w:rsid w:val="004444F8"/>
    <w:rsid w:val="00550A0D"/>
    <w:rsid w:val="005815DD"/>
    <w:rsid w:val="005E746A"/>
    <w:rsid w:val="006102F2"/>
    <w:rsid w:val="006836D3"/>
    <w:rsid w:val="006B31FD"/>
    <w:rsid w:val="00757F6A"/>
    <w:rsid w:val="00770CC3"/>
    <w:rsid w:val="008775D9"/>
    <w:rsid w:val="00A0320F"/>
    <w:rsid w:val="00A25BBC"/>
    <w:rsid w:val="00B2002E"/>
    <w:rsid w:val="00BE3286"/>
    <w:rsid w:val="00ED4F6A"/>
    <w:rsid w:val="00F22E95"/>
    <w:rsid w:val="01267257"/>
    <w:rsid w:val="012D0A79"/>
    <w:rsid w:val="016A6FD7"/>
    <w:rsid w:val="01747E56"/>
    <w:rsid w:val="019A5999"/>
    <w:rsid w:val="019F7A72"/>
    <w:rsid w:val="01A43617"/>
    <w:rsid w:val="01FE5D1A"/>
    <w:rsid w:val="020C4532"/>
    <w:rsid w:val="02113D54"/>
    <w:rsid w:val="021358C1"/>
    <w:rsid w:val="02360531"/>
    <w:rsid w:val="024D36FC"/>
    <w:rsid w:val="024E4271"/>
    <w:rsid w:val="02667C85"/>
    <w:rsid w:val="029861A6"/>
    <w:rsid w:val="02A3122C"/>
    <w:rsid w:val="02F474A0"/>
    <w:rsid w:val="032E03C1"/>
    <w:rsid w:val="03353615"/>
    <w:rsid w:val="03465822"/>
    <w:rsid w:val="034A5312"/>
    <w:rsid w:val="03546191"/>
    <w:rsid w:val="03716D43"/>
    <w:rsid w:val="03851643"/>
    <w:rsid w:val="03911568"/>
    <w:rsid w:val="03976126"/>
    <w:rsid w:val="03AD10F9"/>
    <w:rsid w:val="03AF56AE"/>
    <w:rsid w:val="03F43164"/>
    <w:rsid w:val="03F84D6E"/>
    <w:rsid w:val="0401532F"/>
    <w:rsid w:val="04170318"/>
    <w:rsid w:val="042F62B6"/>
    <w:rsid w:val="043D09D3"/>
    <w:rsid w:val="04503AA7"/>
    <w:rsid w:val="04531FA4"/>
    <w:rsid w:val="04670A0E"/>
    <w:rsid w:val="046F132D"/>
    <w:rsid w:val="0477576C"/>
    <w:rsid w:val="047A792A"/>
    <w:rsid w:val="047F2D99"/>
    <w:rsid w:val="0483579F"/>
    <w:rsid w:val="04A86794"/>
    <w:rsid w:val="04B8233A"/>
    <w:rsid w:val="04BD38C2"/>
    <w:rsid w:val="04DA0DE4"/>
    <w:rsid w:val="04F03C97"/>
    <w:rsid w:val="05247BA4"/>
    <w:rsid w:val="052D4EEB"/>
    <w:rsid w:val="05412745"/>
    <w:rsid w:val="05791EDF"/>
    <w:rsid w:val="05E67351"/>
    <w:rsid w:val="05F0475E"/>
    <w:rsid w:val="0609596A"/>
    <w:rsid w:val="062E0F1B"/>
    <w:rsid w:val="06314567"/>
    <w:rsid w:val="066E1C4D"/>
    <w:rsid w:val="06C757C6"/>
    <w:rsid w:val="06D9134C"/>
    <w:rsid w:val="06F753B6"/>
    <w:rsid w:val="07091BE6"/>
    <w:rsid w:val="071C0D73"/>
    <w:rsid w:val="0737795B"/>
    <w:rsid w:val="07474999"/>
    <w:rsid w:val="076253D7"/>
    <w:rsid w:val="07804B61"/>
    <w:rsid w:val="07B21F10"/>
    <w:rsid w:val="07D7113E"/>
    <w:rsid w:val="07E15B19"/>
    <w:rsid w:val="080878C8"/>
    <w:rsid w:val="081D0886"/>
    <w:rsid w:val="082767DD"/>
    <w:rsid w:val="08330E19"/>
    <w:rsid w:val="08496777"/>
    <w:rsid w:val="0863550D"/>
    <w:rsid w:val="088F549F"/>
    <w:rsid w:val="08A40A51"/>
    <w:rsid w:val="08B65A85"/>
    <w:rsid w:val="08B73F0A"/>
    <w:rsid w:val="08F03922"/>
    <w:rsid w:val="09291221"/>
    <w:rsid w:val="09300B22"/>
    <w:rsid w:val="09425A0C"/>
    <w:rsid w:val="09442C49"/>
    <w:rsid w:val="0944508B"/>
    <w:rsid w:val="096C38BB"/>
    <w:rsid w:val="09837DC3"/>
    <w:rsid w:val="099F36E6"/>
    <w:rsid w:val="09D9119E"/>
    <w:rsid w:val="0A3763AF"/>
    <w:rsid w:val="0A7113D6"/>
    <w:rsid w:val="0A825391"/>
    <w:rsid w:val="0AA74C7A"/>
    <w:rsid w:val="0AE918B4"/>
    <w:rsid w:val="0B3111E4"/>
    <w:rsid w:val="0B574A70"/>
    <w:rsid w:val="0B723658"/>
    <w:rsid w:val="0B8F5C8E"/>
    <w:rsid w:val="0B941820"/>
    <w:rsid w:val="0B9E6666"/>
    <w:rsid w:val="0BA143EE"/>
    <w:rsid w:val="0BAB2C6B"/>
    <w:rsid w:val="0BE43E2A"/>
    <w:rsid w:val="0BF26547"/>
    <w:rsid w:val="0C0B585A"/>
    <w:rsid w:val="0C220F90"/>
    <w:rsid w:val="0C2319D0"/>
    <w:rsid w:val="0C272694"/>
    <w:rsid w:val="0C38197A"/>
    <w:rsid w:val="0C41302A"/>
    <w:rsid w:val="0C5262F1"/>
    <w:rsid w:val="0CCC5E6B"/>
    <w:rsid w:val="0CD86EBA"/>
    <w:rsid w:val="0CFE3B46"/>
    <w:rsid w:val="0D01243A"/>
    <w:rsid w:val="0D166265"/>
    <w:rsid w:val="0D3D5EE8"/>
    <w:rsid w:val="0D5F5E5E"/>
    <w:rsid w:val="0D9755F8"/>
    <w:rsid w:val="0DA83733"/>
    <w:rsid w:val="0DAF0B93"/>
    <w:rsid w:val="0DBE178D"/>
    <w:rsid w:val="0DCB71B5"/>
    <w:rsid w:val="0E0C355A"/>
    <w:rsid w:val="0E1327A4"/>
    <w:rsid w:val="0E2C6CD5"/>
    <w:rsid w:val="0E39220B"/>
    <w:rsid w:val="0E3A41D5"/>
    <w:rsid w:val="0E4D7808"/>
    <w:rsid w:val="0E6108C5"/>
    <w:rsid w:val="0EB83A78"/>
    <w:rsid w:val="0EB85E3C"/>
    <w:rsid w:val="0ED15C06"/>
    <w:rsid w:val="0ED516DB"/>
    <w:rsid w:val="0EE20AF5"/>
    <w:rsid w:val="0EE80660"/>
    <w:rsid w:val="0EF56D77"/>
    <w:rsid w:val="0F0C3C6F"/>
    <w:rsid w:val="0F1574E5"/>
    <w:rsid w:val="0F1669F0"/>
    <w:rsid w:val="0F271D42"/>
    <w:rsid w:val="0F3E56E9"/>
    <w:rsid w:val="0F4075C9"/>
    <w:rsid w:val="0F4E618A"/>
    <w:rsid w:val="0F653515"/>
    <w:rsid w:val="0F9242C9"/>
    <w:rsid w:val="0FA8775E"/>
    <w:rsid w:val="0FBA2891"/>
    <w:rsid w:val="0FC71A98"/>
    <w:rsid w:val="0FD2721B"/>
    <w:rsid w:val="0FE02DA7"/>
    <w:rsid w:val="0FF26B15"/>
    <w:rsid w:val="0FF5697A"/>
    <w:rsid w:val="0FF860F6"/>
    <w:rsid w:val="0FF94348"/>
    <w:rsid w:val="102B64CB"/>
    <w:rsid w:val="10377407"/>
    <w:rsid w:val="104F0330"/>
    <w:rsid w:val="10611EED"/>
    <w:rsid w:val="108E7685"/>
    <w:rsid w:val="10A6309A"/>
    <w:rsid w:val="10B84804"/>
    <w:rsid w:val="10BE66B4"/>
    <w:rsid w:val="10CB6DDE"/>
    <w:rsid w:val="10CF433D"/>
    <w:rsid w:val="10ED6D2A"/>
    <w:rsid w:val="11005262"/>
    <w:rsid w:val="11112840"/>
    <w:rsid w:val="111B3BF8"/>
    <w:rsid w:val="112F78F5"/>
    <w:rsid w:val="11362E92"/>
    <w:rsid w:val="11513D10"/>
    <w:rsid w:val="11592BC4"/>
    <w:rsid w:val="115B4679"/>
    <w:rsid w:val="118F65E6"/>
    <w:rsid w:val="11967974"/>
    <w:rsid w:val="11A26379"/>
    <w:rsid w:val="11BD1AE3"/>
    <w:rsid w:val="11C83328"/>
    <w:rsid w:val="12117501"/>
    <w:rsid w:val="121B0BF2"/>
    <w:rsid w:val="121D7571"/>
    <w:rsid w:val="126D23C0"/>
    <w:rsid w:val="127203E1"/>
    <w:rsid w:val="127F128E"/>
    <w:rsid w:val="1292334A"/>
    <w:rsid w:val="129D78DE"/>
    <w:rsid w:val="129E6F9D"/>
    <w:rsid w:val="12B94205"/>
    <w:rsid w:val="12E1396E"/>
    <w:rsid w:val="12E22309"/>
    <w:rsid w:val="12E37DDF"/>
    <w:rsid w:val="12E60488"/>
    <w:rsid w:val="12F0630A"/>
    <w:rsid w:val="130942CF"/>
    <w:rsid w:val="13185401"/>
    <w:rsid w:val="132B2E00"/>
    <w:rsid w:val="13493ED5"/>
    <w:rsid w:val="134D2B55"/>
    <w:rsid w:val="13781A27"/>
    <w:rsid w:val="1384741B"/>
    <w:rsid w:val="13961EAE"/>
    <w:rsid w:val="13C7650B"/>
    <w:rsid w:val="141C5ABA"/>
    <w:rsid w:val="143F42F3"/>
    <w:rsid w:val="14587163"/>
    <w:rsid w:val="146B333A"/>
    <w:rsid w:val="146E4B79"/>
    <w:rsid w:val="14B96283"/>
    <w:rsid w:val="14C319DD"/>
    <w:rsid w:val="151B001E"/>
    <w:rsid w:val="151C682B"/>
    <w:rsid w:val="1537350F"/>
    <w:rsid w:val="155F3E95"/>
    <w:rsid w:val="15612513"/>
    <w:rsid w:val="15B74558"/>
    <w:rsid w:val="15CD77EF"/>
    <w:rsid w:val="15E01ADC"/>
    <w:rsid w:val="15FA2BC8"/>
    <w:rsid w:val="160752E5"/>
    <w:rsid w:val="16117F11"/>
    <w:rsid w:val="16573B76"/>
    <w:rsid w:val="16B014D8"/>
    <w:rsid w:val="16E6314C"/>
    <w:rsid w:val="16F21CD6"/>
    <w:rsid w:val="172B4B3F"/>
    <w:rsid w:val="17563E2E"/>
    <w:rsid w:val="17681DB3"/>
    <w:rsid w:val="176F4EEF"/>
    <w:rsid w:val="17A76529"/>
    <w:rsid w:val="17BC5E6D"/>
    <w:rsid w:val="17C70888"/>
    <w:rsid w:val="17CB22C5"/>
    <w:rsid w:val="17D21747"/>
    <w:rsid w:val="17D60FD0"/>
    <w:rsid w:val="17EE050A"/>
    <w:rsid w:val="17FF3F7F"/>
    <w:rsid w:val="180D7024"/>
    <w:rsid w:val="181635BD"/>
    <w:rsid w:val="183A304A"/>
    <w:rsid w:val="1869680E"/>
    <w:rsid w:val="186D2D55"/>
    <w:rsid w:val="186D58D3"/>
    <w:rsid w:val="18B3705E"/>
    <w:rsid w:val="18B708FC"/>
    <w:rsid w:val="18C33A94"/>
    <w:rsid w:val="18C60819"/>
    <w:rsid w:val="18D624C5"/>
    <w:rsid w:val="18DB187A"/>
    <w:rsid w:val="18E7733B"/>
    <w:rsid w:val="18EE0096"/>
    <w:rsid w:val="19073506"/>
    <w:rsid w:val="19137AFC"/>
    <w:rsid w:val="197100DD"/>
    <w:rsid w:val="197900D4"/>
    <w:rsid w:val="19817796"/>
    <w:rsid w:val="19832C36"/>
    <w:rsid w:val="19836A30"/>
    <w:rsid w:val="199210FF"/>
    <w:rsid w:val="19A30E80"/>
    <w:rsid w:val="19B35414"/>
    <w:rsid w:val="19BF2B8F"/>
    <w:rsid w:val="19D674A8"/>
    <w:rsid w:val="19E641DE"/>
    <w:rsid w:val="19EB7B6F"/>
    <w:rsid w:val="1A2A4B9C"/>
    <w:rsid w:val="1A2E0F1B"/>
    <w:rsid w:val="1A420E51"/>
    <w:rsid w:val="1A5372F5"/>
    <w:rsid w:val="1A58610F"/>
    <w:rsid w:val="1A6E76E0"/>
    <w:rsid w:val="1A954C6D"/>
    <w:rsid w:val="1A9C4D38"/>
    <w:rsid w:val="1AA53898"/>
    <w:rsid w:val="1AE41750"/>
    <w:rsid w:val="1AE9320B"/>
    <w:rsid w:val="1AF30CD1"/>
    <w:rsid w:val="1B311082"/>
    <w:rsid w:val="1B4622BD"/>
    <w:rsid w:val="1B516EFF"/>
    <w:rsid w:val="1B600D30"/>
    <w:rsid w:val="1B6238C2"/>
    <w:rsid w:val="1B633EB5"/>
    <w:rsid w:val="1B6D1746"/>
    <w:rsid w:val="1B903135"/>
    <w:rsid w:val="1BB966A3"/>
    <w:rsid w:val="1BBE0513"/>
    <w:rsid w:val="1BC44E2B"/>
    <w:rsid w:val="1BF16E10"/>
    <w:rsid w:val="1BFB28A1"/>
    <w:rsid w:val="1BFB31F6"/>
    <w:rsid w:val="1C2C1601"/>
    <w:rsid w:val="1C4E5A88"/>
    <w:rsid w:val="1C541E1C"/>
    <w:rsid w:val="1C812C8B"/>
    <w:rsid w:val="1C843139"/>
    <w:rsid w:val="1C8A5463"/>
    <w:rsid w:val="1C8E406A"/>
    <w:rsid w:val="1C9571A6"/>
    <w:rsid w:val="1C984EE8"/>
    <w:rsid w:val="1CEC6D05"/>
    <w:rsid w:val="1D0A1D1B"/>
    <w:rsid w:val="1D1C0494"/>
    <w:rsid w:val="1D292E7F"/>
    <w:rsid w:val="1D5030CD"/>
    <w:rsid w:val="1D542BD8"/>
    <w:rsid w:val="1D792911"/>
    <w:rsid w:val="1D7E3FDB"/>
    <w:rsid w:val="1D9A4E1B"/>
    <w:rsid w:val="1DC73AF7"/>
    <w:rsid w:val="1DC93DD6"/>
    <w:rsid w:val="1E0D4B76"/>
    <w:rsid w:val="1E333CD3"/>
    <w:rsid w:val="1E901B40"/>
    <w:rsid w:val="1EBF050A"/>
    <w:rsid w:val="1ECE4BF1"/>
    <w:rsid w:val="1F0D47FF"/>
    <w:rsid w:val="1F163E32"/>
    <w:rsid w:val="1F6115C2"/>
    <w:rsid w:val="1F680139"/>
    <w:rsid w:val="1F8B663F"/>
    <w:rsid w:val="1FBF3557"/>
    <w:rsid w:val="1FDD2182"/>
    <w:rsid w:val="1FEA7809"/>
    <w:rsid w:val="1FFB1133"/>
    <w:rsid w:val="1FFD0BB3"/>
    <w:rsid w:val="20146634"/>
    <w:rsid w:val="201B48BE"/>
    <w:rsid w:val="201E3957"/>
    <w:rsid w:val="202A5E57"/>
    <w:rsid w:val="20375FA9"/>
    <w:rsid w:val="207B6D66"/>
    <w:rsid w:val="20C958AB"/>
    <w:rsid w:val="20E701EC"/>
    <w:rsid w:val="20F535C1"/>
    <w:rsid w:val="20FD10C7"/>
    <w:rsid w:val="2107010B"/>
    <w:rsid w:val="21302F42"/>
    <w:rsid w:val="21BF0821"/>
    <w:rsid w:val="221053AC"/>
    <w:rsid w:val="221D3573"/>
    <w:rsid w:val="226E709F"/>
    <w:rsid w:val="227855A0"/>
    <w:rsid w:val="2292474D"/>
    <w:rsid w:val="2298548A"/>
    <w:rsid w:val="22A2261D"/>
    <w:rsid w:val="22B041C1"/>
    <w:rsid w:val="22BC2F77"/>
    <w:rsid w:val="22D64075"/>
    <w:rsid w:val="22DD4093"/>
    <w:rsid w:val="22E04EF3"/>
    <w:rsid w:val="231828DF"/>
    <w:rsid w:val="232E686C"/>
    <w:rsid w:val="23307C29"/>
    <w:rsid w:val="2345037B"/>
    <w:rsid w:val="236F447F"/>
    <w:rsid w:val="237567D0"/>
    <w:rsid w:val="237B69CA"/>
    <w:rsid w:val="2398757C"/>
    <w:rsid w:val="23A55DBB"/>
    <w:rsid w:val="23D1047F"/>
    <w:rsid w:val="23E97DD8"/>
    <w:rsid w:val="24030E99"/>
    <w:rsid w:val="2427584A"/>
    <w:rsid w:val="244B0A92"/>
    <w:rsid w:val="24621713"/>
    <w:rsid w:val="2463402E"/>
    <w:rsid w:val="24677D51"/>
    <w:rsid w:val="24704055"/>
    <w:rsid w:val="249C309C"/>
    <w:rsid w:val="25422D55"/>
    <w:rsid w:val="25457290"/>
    <w:rsid w:val="254A4791"/>
    <w:rsid w:val="257F11D4"/>
    <w:rsid w:val="25CB61FB"/>
    <w:rsid w:val="25D16D75"/>
    <w:rsid w:val="25E34648"/>
    <w:rsid w:val="2611258E"/>
    <w:rsid w:val="263F0183"/>
    <w:rsid w:val="26577050"/>
    <w:rsid w:val="265E4AAD"/>
    <w:rsid w:val="266B541C"/>
    <w:rsid w:val="267D46FE"/>
    <w:rsid w:val="26BB5A5B"/>
    <w:rsid w:val="26D46B1D"/>
    <w:rsid w:val="26D575C9"/>
    <w:rsid w:val="26FB5289"/>
    <w:rsid w:val="27183439"/>
    <w:rsid w:val="27604855"/>
    <w:rsid w:val="277F117F"/>
    <w:rsid w:val="27A5065C"/>
    <w:rsid w:val="27C55836"/>
    <w:rsid w:val="27C837A9"/>
    <w:rsid w:val="27E06649"/>
    <w:rsid w:val="27E2603F"/>
    <w:rsid w:val="27F10124"/>
    <w:rsid w:val="281A4A03"/>
    <w:rsid w:val="28332823"/>
    <w:rsid w:val="2852419D"/>
    <w:rsid w:val="28711C86"/>
    <w:rsid w:val="287319DF"/>
    <w:rsid w:val="288F2A2D"/>
    <w:rsid w:val="28991DCC"/>
    <w:rsid w:val="28A101C9"/>
    <w:rsid w:val="28BE142A"/>
    <w:rsid w:val="28C97878"/>
    <w:rsid w:val="28DD1D90"/>
    <w:rsid w:val="28E54EB5"/>
    <w:rsid w:val="28E646FA"/>
    <w:rsid w:val="291467FA"/>
    <w:rsid w:val="291D29FD"/>
    <w:rsid w:val="292A511A"/>
    <w:rsid w:val="29502D0C"/>
    <w:rsid w:val="29585ED1"/>
    <w:rsid w:val="295F4BB8"/>
    <w:rsid w:val="29A21154"/>
    <w:rsid w:val="29BB2216"/>
    <w:rsid w:val="29C63095"/>
    <w:rsid w:val="29CB2BAE"/>
    <w:rsid w:val="29EB48A9"/>
    <w:rsid w:val="2A035680"/>
    <w:rsid w:val="2A201DF5"/>
    <w:rsid w:val="2A2B114A"/>
    <w:rsid w:val="2A3155E4"/>
    <w:rsid w:val="2A4B359A"/>
    <w:rsid w:val="2A4F7A8C"/>
    <w:rsid w:val="2A7E2798"/>
    <w:rsid w:val="2A866380"/>
    <w:rsid w:val="2A9A7E65"/>
    <w:rsid w:val="2AA208E8"/>
    <w:rsid w:val="2AA902C1"/>
    <w:rsid w:val="2AB23619"/>
    <w:rsid w:val="2AB47391"/>
    <w:rsid w:val="2AC21BC1"/>
    <w:rsid w:val="2AFA11D3"/>
    <w:rsid w:val="2AFD45BE"/>
    <w:rsid w:val="2B597F39"/>
    <w:rsid w:val="2B7A6C11"/>
    <w:rsid w:val="2B876854"/>
    <w:rsid w:val="2BA618C3"/>
    <w:rsid w:val="2BDE43AD"/>
    <w:rsid w:val="2BFB2D9E"/>
    <w:rsid w:val="2C1B13EE"/>
    <w:rsid w:val="2C8C39F6"/>
    <w:rsid w:val="2C956D4E"/>
    <w:rsid w:val="2CB00D1E"/>
    <w:rsid w:val="2CBF201D"/>
    <w:rsid w:val="2CD258AD"/>
    <w:rsid w:val="2CD930DF"/>
    <w:rsid w:val="2CE51A84"/>
    <w:rsid w:val="2CE5342A"/>
    <w:rsid w:val="2CE907D5"/>
    <w:rsid w:val="2D0A0B9F"/>
    <w:rsid w:val="2D1B478D"/>
    <w:rsid w:val="2D2D6F87"/>
    <w:rsid w:val="2D3C2738"/>
    <w:rsid w:val="2D401748"/>
    <w:rsid w:val="2D5269EE"/>
    <w:rsid w:val="2D5704A8"/>
    <w:rsid w:val="2D71156A"/>
    <w:rsid w:val="2DB609C9"/>
    <w:rsid w:val="2DBD030B"/>
    <w:rsid w:val="2DFB0E33"/>
    <w:rsid w:val="2E0C3040"/>
    <w:rsid w:val="2E1E2153"/>
    <w:rsid w:val="2E2B796A"/>
    <w:rsid w:val="2E304F81"/>
    <w:rsid w:val="2E3634BD"/>
    <w:rsid w:val="2E734E6D"/>
    <w:rsid w:val="2E864E16"/>
    <w:rsid w:val="2E920333"/>
    <w:rsid w:val="2EB321FC"/>
    <w:rsid w:val="2EC632FB"/>
    <w:rsid w:val="2EC93975"/>
    <w:rsid w:val="2F097580"/>
    <w:rsid w:val="2F195EC1"/>
    <w:rsid w:val="2F1B7A9D"/>
    <w:rsid w:val="2F2063E4"/>
    <w:rsid w:val="2F464330"/>
    <w:rsid w:val="2F4A02C4"/>
    <w:rsid w:val="2F526E66"/>
    <w:rsid w:val="2F847166"/>
    <w:rsid w:val="2F8A06C1"/>
    <w:rsid w:val="2F8F783F"/>
    <w:rsid w:val="2FA35CEE"/>
    <w:rsid w:val="2FAC7B0F"/>
    <w:rsid w:val="2FB41BE1"/>
    <w:rsid w:val="2FC82F97"/>
    <w:rsid w:val="2FDC4EC6"/>
    <w:rsid w:val="2FE70FA2"/>
    <w:rsid w:val="300466C5"/>
    <w:rsid w:val="300A1337"/>
    <w:rsid w:val="302400EF"/>
    <w:rsid w:val="302F3016"/>
    <w:rsid w:val="303C2CDA"/>
    <w:rsid w:val="30492C32"/>
    <w:rsid w:val="304A7E50"/>
    <w:rsid w:val="305F3444"/>
    <w:rsid w:val="307A6CB2"/>
    <w:rsid w:val="3091782D"/>
    <w:rsid w:val="30D80A5D"/>
    <w:rsid w:val="30E83758"/>
    <w:rsid w:val="30ED7159"/>
    <w:rsid w:val="311B07AD"/>
    <w:rsid w:val="311C4A14"/>
    <w:rsid w:val="318E3FE1"/>
    <w:rsid w:val="31A041CB"/>
    <w:rsid w:val="31AC5437"/>
    <w:rsid w:val="31B8634B"/>
    <w:rsid w:val="31C1569F"/>
    <w:rsid w:val="31CB5EF9"/>
    <w:rsid w:val="31D76D41"/>
    <w:rsid w:val="31EA1348"/>
    <w:rsid w:val="31FA233C"/>
    <w:rsid w:val="32144BB9"/>
    <w:rsid w:val="32167667"/>
    <w:rsid w:val="3220530C"/>
    <w:rsid w:val="323D5EBE"/>
    <w:rsid w:val="32445502"/>
    <w:rsid w:val="324469ED"/>
    <w:rsid w:val="32544D32"/>
    <w:rsid w:val="32590C8E"/>
    <w:rsid w:val="3277356E"/>
    <w:rsid w:val="327D7571"/>
    <w:rsid w:val="328A6803"/>
    <w:rsid w:val="32C21506"/>
    <w:rsid w:val="32C6424F"/>
    <w:rsid w:val="32CB34CA"/>
    <w:rsid w:val="32D57EA5"/>
    <w:rsid w:val="33062C5A"/>
    <w:rsid w:val="33095DA0"/>
    <w:rsid w:val="33121AF3"/>
    <w:rsid w:val="33323549"/>
    <w:rsid w:val="3333739F"/>
    <w:rsid w:val="333A56AF"/>
    <w:rsid w:val="335E433E"/>
    <w:rsid w:val="33863895"/>
    <w:rsid w:val="33A855B9"/>
    <w:rsid w:val="33B3571B"/>
    <w:rsid w:val="33B65581"/>
    <w:rsid w:val="33CA73DC"/>
    <w:rsid w:val="33CC574C"/>
    <w:rsid w:val="33F00D0E"/>
    <w:rsid w:val="340A0022"/>
    <w:rsid w:val="34390DE3"/>
    <w:rsid w:val="3442239D"/>
    <w:rsid w:val="34466147"/>
    <w:rsid w:val="345E1F05"/>
    <w:rsid w:val="34A12FF3"/>
    <w:rsid w:val="34DA5C46"/>
    <w:rsid w:val="34FF0346"/>
    <w:rsid w:val="35083E8E"/>
    <w:rsid w:val="350B5E00"/>
    <w:rsid w:val="352E1369"/>
    <w:rsid w:val="35321B26"/>
    <w:rsid w:val="353335A8"/>
    <w:rsid w:val="35431A3E"/>
    <w:rsid w:val="35843E04"/>
    <w:rsid w:val="358E07DF"/>
    <w:rsid w:val="35AB1391"/>
    <w:rsid w:val="35B13E3D"/>
    <w:rsid w:val="35CB7BAE"/>
    <w:rsid w:val="35D635DD"/>
    <w:rsid w:val="35DC59EE"/>
    <w:rsid w:val="35E84393"/>
    <w:rsid w:val="363B429B"/>
    <w:rsid w:val="36487D7F"/>
    <w:rsid w:val="364A6DFC"/>
    <w:rsid w:val="365778E0"/>
    <w:rsid w:val="36965B9D"/>
    <w:rsid w:val="36F01751"/>
    <w:rsid w:val="371E1103"/>
    <w:rsid w:val="3724003C"/>
    <w:rsid w:val="37417B60"/>
    <w:rsid w:val="379F0593"/>
    <w:rsid w:val="37CA234D"/>
    <w:rsid w:val="37E6658A"/>
    <w:rsid w:val="3839001F"/>
    <w:rsid w:val="383F746B"/>
    <w:rsid w:val="386E62D1"/>
    <w:rsid w:val="388C54AA"/>
    <w:rsid w:val="38A66E8B"/>
    <w:rsid w:val="38B43E7B"/>
    <w:rsid w:val="38B844F1"/>
    <w:rsid w:val="38D96215"/>
    <w:rsid w:val="38E52E0C"/>
    <w:rsid w:val="39131727"/>
    <w:rsid w:val="391A40A5"/>
    <w:rsid w:val="391D37C1"/>
    <w:rsid w:val="39207610"/>
    <w:rsid w:val="392579FF"/>
    <w:rsid w:val="39272B6C"/>
    <w:rsid w:val="39496480"/>
    <w:rsid w:val="39544AFE"/>
    <w:rsid w:val="39730417"/>
    <w:rsid w:val="397D063B"/>
    <w:rsid w:val="39845342"/>
    <w:rsid w:val="398A1872"/>
    <w:rsid w:val="39AE065F"/>
    <w:rsid w:val="39D52E82"/>
    <w:rsid w:val="39D56C17"/>
    <w:rsid w:val="39EA588E"/>
    <w:rsid w:val="39F378C2"/>
    <w:rsid w:val="3A173B31"/>
    <w:rsid w:val="3A4848AA"/>
    <w:rsid w:val="3A4D6952"/>
    <w:rsid w:val="3A4D7391"/>
    <w:rsid w:val="3A5244D1"/>
    <w:rsid w:val="3A71475D"/>
    <w:rsid w:val="3A886145"/>
    <w:rsid w:val="3AB16C4D"/>
    <w:rsid w:val="3AB807D8"/>
    <w:rsid w:val="3AF61605"/>
    <w:rsid w:val="3B3836C7"/>
    <w:rsid w:val="3B4A3BB0"/>
    <w:rsid w:val="3B530501"/>
    <w:rsid w:val="3B685AA3"/>
    <w:rsid w:val="3B7B381F"/>
    <w:rsid w:val="3B827442"/>
    <w:rsid w:val="3B8B7C9A"/>
    <w:rsid w:val="3B9C0DEA"/>
    <w:rsid w:val="3BB56AC5"/>
    <w:rsid w:val="3BBC42F8"/>
    <w:rsid w:val="3C154B1E"/>
    <w:rsid w:val="3C1934F8"/>
    <w:rsid w:val="3C244E8B"/>
    <w:rsid w:val="3C3814A4"/>
    <w:rsid w:val="3C692EE7"/>
    <w:rsid w:val="3C8A7F52"/>
    <w:rsid w:val="3CC571DC"/>
    <w:rsid w:val="3CD25455"/>
    <w:rsid w:val="3CD40BCB"/>
    <w:rsid w:val="3D274BF7"/>
    <w:rsid w:val="3D3F33B2"/>
    <w:rsid w:val="3D467345"/>
    <w:rsid w:val="3D4A1A37"/>
    <w:rsid w:val="3D5256BC"/>
    <w:rsid w:val="3D595233"/>
    <w:rsid w:val="3D5B369C"/>
    <w:rsid w:val="3D8E3A72"/>
    <w:rsid w:val="3DDB658B"/>
    <w:rsid w:val="3DE31F88"/>
    <w:rsid w:val="3DED3207"/>
    <w:rsid w:val="3E071210"/>
    <w:rsid w:val="3E097385"/>
    <w:rsid w:val="3E0B6453"/>
    <w:rsid w:val="3E1D4DF6"/>
    <w:rsid w:val="3E3F6B1A"/>
    <w:rsid w:val="3E42660A"/>
    <w:rsid w:val="3E4F267D"/>
    <w:rsid w:val="3E500D27"/>
    <w:rsid w:val="3E7A6209"/>
    <w:rsid w:val="3E804F93"/>
    <w:rsid w:val="3E9F19CB"/>
    <w:rsid w:val="3EB72B54"/>
    <w:rsid w:val="3F0F1ACA"/>
    <w:rsid w:val="3F285800"/>
    <w:rsid w:val="3F676329"/>
    <w:rsid w:val="3F6C393F"/>
    <w:rsid w:val="3F854A01"/>
    <w:rsid w:val="3F8F3AD1"/>
    <w:rsid w:val="3FAE2C6A"/>
    <w:rsid w:val="3FB362C2"/>
    <w:rsid w:val="3FC64394"/>
    <w:rsid w:val="3FC90E32"/>
    <w:rsid w:val="3FCA57DD"/>
    <w:rsid w:val="3FCA6750"/>
    <w:rsid w:val="3FF676AC"/>
    <w:rsid w:val="4004036D"/>
    <w:rsid w:val="402442C4"/>
    <w:rsid w:val="40353870"/>
    <w:rsid w:val="403C5A07"/>
    <w:rsid w:val="40844CB8"/>
    <w:rsid w:val="408D6263"/>
    <w:rsid w:val="40B36E67"/>
    <w:rsid w:val="40D4005D"/>
    <w:rsid w:val="40D7128C"/>
    <w:rsid w:val="40E1035D"/>
    <w:rsid w:val="41110C42"/>
    <w:rsid w:val="41B475E0"/>
    <w:rsid w:val="41B94E35"/>
    <w:rsid w:val="41C31810"/>
    <w:rsid w:val="41CC4B69"/>
    <w:rsid w:val="41DA2951"/>
    <w:rsid w:val="41DD6D76"/>
    <w:rsid w:val="41FC49D1"/>
    <w:rsid w:val="42084A4B"/>
    <w:rsid w:val="42172365"/>
    <w:rsid w:val="425C2C71"/>
    <w:rsid w:val="42760694"/>
    <w:rsid w:val="42915828"/>
    <w:rsid w:val="429A2DFF"/>
    <w:rsid w:val="42CB6BCE"/>
    <w:rsid w:val="43153F94"/>
    <w:rsid w:val="43234C5C"/>
    <w:rsid w:val="432B2D3F"/>
    <w:rsid w:val="432C2862"/>
    <w:rsid w:val="432F7FAB"/>
    <w:rsid w:val="43461A6B"/>
    <w:rsid w:val="437159C8"/>
    <w:rsid w:val="43AB2B46"/>
    <w:rsid w:val="43D63A7D"/>
    <w:rsid w:val="44230989"/>
    <w:rsid w:val="44246EDE"/>
    <w:rsid w:val="442F5AEF"/>
    <w:rsid w:val="44476729"/>
    <w:rsid w:val="44623562"/>
    <w:rsid w:val="44733B26"/>
    <w:rsid w:val="447F2F5B"/>
    <w:rsid w:val="44884175"/>
    <w:rsid w:val="449443B9"/>
    <w:rsid w:val="44A0330C"/>
    <w:rsid w:val="44A57259"/>
    <w:rsid w:val="45196317"/>
    <w:rsid w:val="453F38A4"/>
    <w:rsid w:val="454D4F05"/>
    <w:rsid w:val="455F7CF5"/>
    <w:rsid w:val="45725A27"/>
    <w:rsid w:val="457C68A6"/>
    <w:rsid w:val="458F6DEB"/>
    <w:rsid w:val="45B46040"/>
    <w:rsid w:val="45CC15DB"/>
    <w:rsid w:val="45D75E6B"/>
    <w:rsid w:val="45EF7078"/>
    <w:rsid w:val="45F224BA"/>
    <w:rsid w:val="4621408E"/>
    <w:rsid w:val="462C7068"/>
    <w:rsid w:val="46342CDD"/>
    <w:rsid w:val="464D2ADC"/>
    <w:rsid w:val="465A2DA4"/>
    <w:rsid w:val="465E7D59"/>
    <w:rsid w:val="466179D0"/>
    <w:rsid w:val="4662631D"/>
    <w:rsid w:val="46B533FC"/>
    <w:rsid w:val="46F8339D"/>
    <w:rsid w:val="47094169"/>
    <w:rsid w:val="47394A4E"/>
    <w:rsid w:val="473D3B5C"/>
    <w:rsid w:val="47447AD2"/>
    <w:rsid w:val="474D07FF"/>
    <w:rsid w:val="476F5D7C"/>
    <w:rsid w:val="479F4165"/>
    <w:rsid w:val="47AB41DF"/>
    <w:rsid w:val="48341C04"/>
    <w:rsid w:val="483F42E6"/>
    <w:rsid w:val="48541414"/>
    <w:rsid w:val="4858239D"/>
    <w:rsid w:val="48606163"/>
    <w:rsid w:val="486755EB"/>
    <w:rsid w:val="4882498D"/>
    <w:rsid w:val="489817AA"/>
    <w:rsid w:val="48BF5427"/>
    <w:rsid w:val="48BF71D5"/>
    <w:rsid w:val="48DA454E"/>
    <w:rsid w:val="49133F46"/>
    <w:rsid w:val="49276CAA"/>
    <w:rsid w:val="495101E2"/>
    <w:rsid w:val="495F5768"/>
    <w:rsid w:val="497A134E"/>
    <w:rsid w:val="497E2BEC"/>
    <w:rsid w:val="498068AB"/>
    <w:rsid w:val="49A10689"/>
    <w:rsid w:val="49AD041B"/>
    <w:rsid w:val="49B4143D"/>
    <w:rsid w:val="49E62C53"/>
    <w:rsid w:val="4A093D8A"/>
    <w:rsid w:val="4A0B0F5A"/>
    <w:rsid w:val="4A243E2C"/>
    <w:rsid w:val="4A3D4856"/>
    <w:rsid w:val="4A434EE7"/>
    <w:rsid w:val="4A592B0D"/>
    <w:rsid w:val="4A5C3F6F"/>
    <w:rsid w:val="4A600544"/>
    <w:rsid w:val="4A6A3171"/>
    <w:rsid w:val="4A8A0E48"/>
    <w:rsid w:val="4A9E2E1A"/>
    <w:rsid w:val="4AA36000"/>
    <w:rsid w:val="4AD056CA"/>
    <w:rsid w:val="4AD552B6"/>
    <w:rsid w:val="4AD8632C"/>
    <w:rsid w:val="4B0B4954"/>
    <w:rsid w:val="4B124AD8"/>
    <w:rsid w:val="4B1C7BD0"/>
    <w:rsid w:val="4B3A39A2"/>
    <w:rsid w:val="4B427C4A"/>
    <w:rsid w:val="4B681E97"/>
    <w:rsid w:val="4B6C434D"/>
    <w:rsid w:val="4B8706DA"/>
    <w:rsid w:val="4B8A01B9"/>
    <w:rsid w:val="4B8D3A4C"/>
    <w:rsid w:val="4BE156B5"/>
    <w:rsid w:val="4BED7B41"/>
    <w:rsid w:val="4BF0061D"/>
    <w:rsid w:val="4C0A2396"/>
    <w:rsid w:val="4C39729F"/>
    <w:rsid w:val="4C3C28EB"/>
    <w:rsid w:val="4C603BE5"/>
    <w:rsid w:val="4C763353"/>
    <w:rsid w:val="4C856A81"/>
    <w:rsid w:val="4C8E50CB"/>
    <w:rsid w:val="4C9716F3"/>
    <w:rsid w:val="4C9E5354"/>
    <w:rsid w:val="4CCF19B1"/>
    <w:rsid w:val="4CD6689C"/>
    <w:rsid w:val="4CDC3C81"/>
    <w:rsid w:val="4CEC10F7"/>
    <w:rsid w:val="4CEE62DB"/>
    <w:rsid w:val="4CEF5BAF"/>
    <w:rsid w:val="4D221AE1"/>
    <w:rsid w:val="4D241CFD"/>
    <w:rsid w:val="4D283CA5"/>
    <w:rsid w:val="4D536CE8"/>
    <w:rsid w:val="4DB902D0"/>
    <w:rsid w:val="4DBB197A"/>
    <w:rsid w:val="4DF02264"/>
    <w:rsid w:val="4DF07E31"/>
    <w:rsid w:val="4EA01857"/>
    <w:rsid w:val="4EA50C1B"/>
    <w:rsid w:val="4EB40E5E"/>
    <w:rsid w:val="4EB66985"/>
    <w:rsid w:val="4EC05A55"/>
    <w:rsid w:val="4EF13E61"/>
    <w:rsid w:val="4EF70D4B"/>
    <w:rsid w:val="4F17220C"/>
    <w:rsid w:val="4F192763"/>
    <w:rsid w:val="4F2F1C34"/>
    <w:rsid w:val="4F781E8C"/>
    <w:rsid w:val="4FD32C53"/>
    <w:rsid w:val="50091750"/>
    <w:rsid w:val="50120532"/>
    <w:rsid w:val="50245F5C"/>
    <w:rsid w:val="50684475"/>
    <w:rsid w:val="508664AB"/>
    <w:rsid w:val="5091511F"/>
    <w:rsid w:val="50A2139C"/>
    <w:rsid w:val="50A6547F"/>
    <w:rsid w:val="50B415EA"/>
    <w:rsid w:val="50F61F27"/>
    <w:rsid w:val="510C4F82"/>
    <w:rsid w:val="514C35D0"/>
    <w:rsid w:val="51523CAA"/>
    <w:rsid w:val="5176004E"/>
    <w:rsid w:val="51A11B6E"/>
    <w:rsid w:val="51BD0A18"/>
    <w:rsid w:val="51D5601F"/>
    <w:rsid w:val="51DE7DB3"/>
    <w:rsid w:val="51FC6DA4"/>
    <w:rsid w:val="52065E75"/>
    <w:rsid w:val="521C6D4F"/>
    <w:rsid w:val="521D6D1B"/>
    <w:rsid w:val="523F3135"/>
    <w:rsid w:val="525212DD"/>
    <w:rsid w:val="52645155"/>
    <w:rsid w:val="526C033D"/>
    <w:rsid w:val="527D1264"/>
    <w:rsid w:val="527E5A0B"/>
    <w:rsid w:val="529D29A6"/>
    <w:rsid w:val="52E02222"/>
    <w:rsid w:val="52E777CE"/>
    <w:rsid w:val="52F42171"/>
    <w:rsid w:val="52FF3466"/>
    <w:rsid w:val="53232908"/>
    <w:rsid w:val="534A1D91"/>
    <w:rsid w:val="534E04B0"/>
    <w:rsid w:val="53746E0E"/>
    <w:rsid w:val="538A03E0"/>
    <w:rsid w:val="53AC6661"/>
    <w:rsid w:val="53DC4391"/>
    <w:rsid w:val="53DD0E57"/>
    <w:rsid w:val="53EE096F"/>
    <w:rsid w:val="541936B2"/>
    <w:rsid w:val="54240834"/>
    <w:rsid w:val="54442C85"/>
    <w:rsid w:val="546E2285"/>
    <w:rsid w:val="546F4F00"/>
    <w:rsid w:val="54A24C16"/>
    <w:rsid w:val="54C839F4"/>
    <w:rsid w:val="54D1276A"/>
    <w:rsid w:val="54F12DE9"/>
    <w:rsid w:val="54F151A4"/>
    <w:rsid w:val="55046EB5"/>
    <w:rsid w:val="55195EBF"/>
    <w:rsid w:val="55211D09"/>
    <w:rsid w:val="552C3F3B"/>
    <w:rsid w:val="55394261"/>
    <w:rsid w:val="55654C60"/>
    <w:rsid w:val="55677C9A"/>
    <w:rsid w:val="55684518"/>
    <w:rsid w:val="55771633"/>
    <w:rsid w:val="55885A03"/>
    <w:rsid w:val="55A1776B"/>
    <w:rsid w:val="55EF2B39"/>
    <w:rsid w:val="55F34962"/>
    <w:rsid w:val="55FB0EDC"/>
    <w:rsid w:val="56177A73"/>
    <w:rsid w:val="567E2BB9"/>
    <w:rsid w:val="56982E14"/>
    <w:rsid w:val="56A32924"/>
    <w:rsid w:val="56AA4A7C"/>
    <w:rsid w:val="56C500AD"/>
    <w:rsid w:val="56EB4AB4"/>
    <w:rsid w:val="571B7CCD"/>
    <w:rsid w:val="57324409"/>
    <w:rsid w:val="57327F9E"/>
    <w:rsid w:val="574309DA"/>
    <w:rsid w:val="57453BDE"/>
    <w:rsid w:val="574F7976"/>
    <w:rsid w:val="575907F5"/>
    <w:rsid w:val="578704B2"/>
    <w:rsid w:val="578E252E"/>
    <w:rsid w:val="57A0784B"/>
    <w:rsid w:val="57A84056"/>
    <w:rsid w:val="57BB500C"/>
    <w:rsid w:val="57D04DD9"/>
    <w:rsid w:val="57E5527E"/>
    <w:rsid w:val="58116B2F"/>
    <w:rsid w:val="58136BF6"/>
    <w:rsid w:val="581A61D6"/>
    <w:rsid w:val="58363918"/>
    <w:rsid w:val="58496ABB"/>
    <w:rsid w:val="58524D95"/>
    <w:rsid w:val="58630DA9"/>
    <w:rsid w:val="586C24F3"/>
    <w:rsid w:val="586C319D"/>
    <w:rsid w:val="588B37E2"/>
    <w:rsid w:val="58CE0D6F"/>
    <w:rsid w:val="58E660B8"/>
    <w:rsid w:val="59101387"/>
    <w:rsid w:val="593212FE"/>
    <w:rsid w:val="5936075F"/>
    <w:rsid w:val="595C637A"/>
    <w:rsid w:val="59626DCE"/>
    <w:rsid w:val="599C0E6D"/>
    <w:rsid w:val="599E2E37"/>
    <w:rsid w:val="59A321FB"/>
    <w:rsid w:val="59DE1485"/>
    <w:rsid w:val="59E953E5"/>
    <w:rsid w:val="59ED3476"/>
    <w:rsid w:val="5A223A07"/>
    <w:rsid w:val="5A471E28"/>
    <w:rsid w:val="5A8976A0"/>
    <w:rsid w:val="5AA54FE8"/>
    <w:rsid w:val="5ADD3120"/>
    <w:rsid w:val="5AE558E9"/>
    <w:rsid w:val="5B002DED"/>
    <w:rsid w:val="5B0E4BA8"/>
    <w:rsid w:val="5B0F37D2"/>
    <w:rsid w:val="5B1E1AA7"/>
    <w:rsid w:val="5B6F7C82"/>
    <w:rsid w:val="5B8F7761"/>
    <w:rsid w:val="5BAD3FE4"/>
    <w:rsid w:val="5BBB1A7E"/>
    <w:rsid w:val="5BE54D4D"/>
    <w:rsid w:val="5C0B2A0A"/>
    <w:rsid w:val="5C3B7C73"/>
    <w:rsid w:val="5C606182"/>
    <w:rsid w:val="5C664EE6"/>
    <w:rsid w:val="5C6829A1"/>
    <w:rsid w:val="5C806824"/>
    <w:rsid w:val="5CB00D05"/>
    <w:rsid w:val="5CBA3AE4"/>
    <w:rsid w:val="5CC44962"/>
    <w:rsid w:val="5CCE4F16"/>
    <w:rsid w:val="5CD327FE"/>
    <w:rsid w:val="5CFA0A1C"/>
    <w:rsid w:val="5D0511EC"/>
    <w:rsid w:val="5D100066"/>
    <w:rsid w:val="5D172CE4"/>
    <w:rsid w:val="5D284EF1"/>
    <w:rsid w:val="5D475893"/>
    <w:rsid w:val="5D573A29"/>
    <w:rsid w:val="5D6E48CE"/>
    <w:rsid w:val="5D752101"/>
    <w:rsid w:val="5D844AB1"/>
    <w:rsid w:val="5D8D36EA"/>
    <w:rsid w:val="5D985248"/>
    <w:rsid w:val="5DA4554F"/>
    <w:rsid w:val="5DC7176B"/>
    <w:rsid w:val="5DC87FA4"/>
    <w:rsid w:val="5DD57F6E"/>
    <w:rsid w:val="5DE60909"/>
    <w:rsid w:val="5DF063E2"/>
    <w:rsid w:val="5DF97045"/>
    <w:rsid w:val="5E2E5E7A"/>
    <w:rsid w:val="5E62059E"/>
    <w:rsid w:val="5E79177D"/>
    <w:rsid w:val="5EEC492F"/>
    <w:rsid w:val="5F076F03"/>
    <w:rsid w:val="5F2D4A41"/>
    <w:rsid w:val="5F3C2ED6"/>
    <w:rsid w:val="5F41673E"/>
    <w:rsid w:val="5F4B3119"/>
    <w:rsid w:val="5F622211"/>
    <w:rsid w:val="5F680408"/>
    <w:rsid w:val="5F6C57AD"/>
    <w:rsid w:val="5FC35A1D"/>
    <w:rsid w:val="5FC74C48"/>
    <w:rsid w:val="5FD9539D"/>
    <w:rsid w:val="60914033"/>
    <w:rsid w:val="609F196E"/>
    <w:rsid w:val="60A2320D"/>
    <w:rsid w:val="60DF25A4"/>
    <w:rsid w:val="60E71463"/>
    <w:rsid w:val="60EF77D0"/>
    <w:rsid w:val="60FA4DF7"/>
    <w:rsid w:val="616D3EC0"/>
    <w:rsid w:val="61893525"/>
    <w:rsid w:val="618A5C53"/>
    <w:rsid w:val="618C466C"/>
    <w:rsid w:val="61914510"/>
    <w:rsid w:val="61BD0199"/>
    <w:rsid w:val="61EE2926"/>
    <w:rsid w:val="61EF05A4"/>
    <w:rsid w:val="61F33A2B"/>
    <w:rsid w:val="61F41846"/>
    <w:rsid w:val="62045801"/>
    <w:rsid w:val="6208709F"/>
    <w:rsid w:val="621044CB"/>
    <w:rsid w:val="62515468"/>
    <w:rsid w:val="626F35C2"/>
    <w:rsid w:val="626F5370"/>
    <w:rsid w:val="62793FA6"/>
    <w:rsid w:val="627A376C"/>
    <w:rsid w:val="62C80DBD"/>
    <w:rsid w:val="62CA29CF"/>
    <w:rsid w:val="62E27B34"/>
    <w:rsid w:val="62FB2ADE"/>
    <w:rsid w:val="63021D41"/>
    <w:rsid w:val="63116428"/>
    <w:rsid w:val="63155E00"/>
    <w:rsid w:val="63277939"/>
    <w:rsid w:val="6329146D"/>
    <w:rsid w:val="632B573B"/>
    <w:rsid w:val="63472F4F"/>
    <w:rsid w:val="63855608"/>
    <w:rsid w:val="63984453"/>
    <w:rsid w:val="639E0CCD"/>
    <w:rsid w:val="63AB062A"/>
    <w:rsid w:val="63C143B7"/>
    <w:rsid w:val="63C32ADB"/>
    <w:rsid w:val="63C4273E"/>
    <w:rsid w:val="63D47B81"/>
    <w:rsid w:val="63DB4420"/>
    <w:rsid w:val="641F17EC"/>
    <w:rsid w:val="64410FBC"/>
    <w:rsid w:val="64607DB3"/>
    <w:rsid w:val="649B324A"/>
    <w:rsid w:val="64B917F4"/>
    <w:rsid w:val="64E76601"/>
    <w:rsid w:val="6562419C"/>
    <w:rsid w:val="6579238E"/>
    <w:rsid w:val="65962C14"/>
    <w:rsid w:val="65990F30"/>
    <w:rsid w:val="65A45A69"/>
    <w:rsid w:val="65A92947"/>
    <w:rsid w:val="65AC2372"/>
    <w:rsid w:val="65B52B1D"/>
    <w:rsid w:val="65BD0EA1"/>
    <w:rsid w:val="65C35D98"/>
    <w:rsid w:val="65EF3725"/>
    <w:rsid w:val="660B2E29"/>
    <w:rsid w:val="662F2BA8"/>
    <w:rsid w:val="66365C06"/>
    <w:rsid w:val="664679F8"/>
    <w:rsid w:val="664B39FF"/>
    <w:rsid w:val="66560D21"/>
    <w:rsid w:val="66A44903"/>
    <w:rsid w:val="66F422E8"/>
    <w:rsid w:val="672E09CB"/>
    <w:rsid w:val="67481369"/>
    <w:rsid w:val="674D7B77"/>
    <w:rsid w:val="676641F4"/>
    <w:rsid w:val="67AA12FD"/>
    <w:rsid w:val="67BA0E3C"/>
    <w:rsid w:val="67F6635C"/>
    <w:rsid w:val="67FA5D46"/>
    <w:rsid w:val="67FC2F18"/>
    <w:rsid w:val="68030801"/>
    <w:rsid w:val="68053884"/>
    <w:rsid w:val="68077DF9"/>
    <w:rsid w:val="680909F1"/>
    <w:rsid w:val="681064FA"/>
    <w:rsid w:val="68410BD2"/>
    <w:rsid w:val="684A068B"/>
    <w:rsid w:val="686A4FD7"/>
    <w:rsid w:val="686E00FC"/>
    <w:rsid w:val="6881195A"/>
    <w:rsid w:val="6885769C"/>
    <w:rsid w:val="68BA0012"/>
    <w:rsid w:val="68BF1C67"/>
    <w:rsid w:val="68D76768"/>
    <w:rsid w:val="68DA068B"/>
    <w:rsid w:val="68E85E7D"/>
    <w:rsid w:val="69000A2F"/>
    <w:rsid w:val="69674FF3"/>
    <w:rsid w:val="699056CE"/>
    <w:rsid w:val="69931944"/>
    <w:rsid w:val="69A2427D"/>
    <w:rsid w:val="69B95C57"/>
    <w:rsid w:val="69C935B8"/>
    <w:rsid w:val="69E421A0"/>
    <w:rsid w:val="69F131DA"/>
    <w:rsid w:val="6A254A46"/>
    <w:rsid w:val="6A773014"/>
    <w:rsid w:val="6A9D3289"/>
    <w:rsid w:val="6AC42060"/>
    <w:rsid w:val="6ACB15B2"/>
    <w:rsid w:val="6ACB7804"/>
    <w:rsid w:val="6ADD4AF9"/>
    <w:rsid w:val="6AFB1E97"/>
    <w:rsid w:val="6B1B2081"/>
    <w:rsid w:val="6B4D1384"/>
    <w:rsid w:val="6B6A3D52"/>
    <w:rsid w:val="6B6C069F"/>
    <w:rsid w:val="6B77103C"/>
    <w:rsid w:val="6B7E4876"/>
    <w:rsid w:val="6B870C51"/>
    <w:rsid w:val="6B96052B"/>
    <w:rsid w:val="6BBB46AB"/>
    <w:rsid w:val="6BC77FCB"/>
    <w:rsid w:val="6BD83F86"/>
    <w:rsid w:val="6C297CF9"/>
    <w:rsid w:val="6C3B62C3"/>
    <w:rsid w:val="6C5C43F7"/>
    <w:rsid w:val="6C5E1E63"/>
    <w:rsid w:val="6C6E48EB"/>
    <w:rsid w:val="6C885CAA"/>
    <w:rsid w:val="6C8D4598"/>
    <w:rsid w:val="6C8D4A2B"/>
    <w:rsid w:val="6C975BF0"/>
    <w:rsid w:val="6C9F4238"/>
    <w:rsid w:val="6CC813DD"/>
    <w:rsid w:val="6CDB7813"/>
    <w:rsid w:val="6D08089B"/>
    <w:rsid w:val="6D1952E8"/>
    <w:rsid w:val="6D213D5C"/>
    <w:rsid w:val="6D2A25C0"/>
    <w:rsid w:val="6D2C532A"/>
    <w:rsid w:val="6D3C6806"/>
    <w:rsid w:val="6D3E606B"/>
    <w:rsid w:val="6D4C4AD9"/>
    <w:rsid w:val="6D6339E6"/>
    <w:rsid w:val="6D643FD6"/>
    <w:rsid w:val="6D7E290C"/>
    <w:rsid w:val="6DFB7EE8"/>
    <w:rsid w:val="6E105C5A"/>
    <w:rsid w:val="6E134541"/>
    <w:rsid w:val="6E594C74"/>
    <w:rsid w:val="6E615816"/>
    <w:rsid w:val="6E711791"/>
    <w:rsid w:val="6E7C3808"/>
    <w:rsid w:val="6EE45642"/>
    <w:rsid w:val="6EF15D17"/>
    <w:rsid w:val="6F0B2965"/>
    <w:rsid w:val="6F0C0C04"/>
    <w:rsid w:val="6F121998"/>
    <w:rsid w:val="6F14514B"/>
    <w:rsid w:val="6F1801F4"/>
    <w:rsid w:val="6F255735"/>
    <w:rsid w:val="6F6E2AD8"/>
    <w:rsid w:val="6F8D2AC6"/>
    <w:rsid w:val="6F947E22"/>
    <w:rsid w:val="6F9D279C"/>
    <w:rsid w:val="6FAA57E4"/>
    <w:rsid w:val="6FAC3760"/>
    <w:rsid w:val="6FB739FF"/>
    <w:rsid w:val="6FC30AAA"/>
    <w:rsid w:val="701B004E"/>
    <w:rsid w:val="70221C74"/>
    <w:rsid w:val="70271038"/>
    <w:rsid w:val="702A0EB9"/>
    <w:rsid w:val="702C237C"/>
    <w:rsid w:val="703B4AE4"/>
    <w:rsid w:val="704240C4"/>
    <w:rsid w:val="705175B1"/>
    <w:rsid w:val="70542F87"/>
    <w:rsid w:val="705E2EF7"/>
    <w:rsid w:val="706F0B3B"/>
    <w:rsid w:val="70781B62"/>
    <w:rsid w:val="70877D29"/>
    <w:rsid w:val="70A20D6C"/>
    <w:rsid w:val="70AE5F6F"/>
    <w:rsid w:val="70B825D8"/>
    <w:rsid w:val="70BB0F08"/>
    <w:rsid w:val="70D82890"/>
    <w:rsid w:val="7105736C"/>
    <w:rsid w:val="713804B8"/>
    <w:rsid w:val="717621F9"/>
    <w:rsid w:val="71883563"/>
    <w:rsid w:val="71A36DE5"/>
    <w:rsid w:val="71B613C7"/>
    <w:rsid w:val="71D074AE"/>
    <w:rsid w:val="71D512D4"/>
    <w:rsid w:val="720876E6"/>
    <w:rsid w:val="72100205"/>
    <w:rsid w:val="721A3A60"/>
    <w:rsid w:val="721F4D23"/>
    <w:rsid w:val="72323CC5"/>
    <w:rsid w:val="72376FAB"/>
    <w:rsid w:val="723916E9"/>
    <w:rsid w:val="7242215A"/>
    <w:rsid w:val="72820361"/>
    <w:rsid w:val="72AA7EA5"/>
    <w:rsid w:val="72CC236B"/>
    <w:rsid w:val="72D80665"/>
    <w:rsid w:val="73094987"/>
    <w:rsid w:val="731D4F44"/>
    <w:rsid w:val="73364510"/>
    <w:rsid w:val="73521EC3"/>
    <w:rsid w:val="7352573A"/>
    <w:rsid w:val="73612B31"/>
    <w:rsid w:val="737352F5"/>
    <w:rsid w:val="73B726D3"/>
    <w:rsid w:val="73CD462B"/>
    <w:rsid w:val="74064A66"/>
    <w:rsid w:val="744877CF"/>
    <w:rsid w:val="7449020E"/>
    <w:rsid w:val="744F4E88"/>
    <w:rsid w:val="745D4E9F"/>
    <w:rsid w:val="74644B99"/>
    <w:rsid w:val="74670EB0"/>
    <w:rsid w:val="749D7B1B"/>
    <w:rsid w:val="74A92964"/>
    <w:rsid w:val="74B83751"/>
    <w:rsid w:val="74BC5C96"/>
    <w:rsid w:val="74EE65C9"/>
    <w:rsid w:val="74FB14A6"/>
    <w:rsid w:val="751F6782"/>
    <w:rsid w:val="758354B2"/>
    <w:rsid w:val="75866801"/>
    <w:rsid w:val="75954C96"/>
    <w:rsid w:val="75CE71AC"/>
    <w:rsid w:val="75D532E5"/>
    <w:rsid w:val="75D86488"/>
    <w:rsid w:val="75FB0F9D"/>
    <w:rsid w:val="763E1311"/>
    <w:rsid w:val="76726D86"/>
    <w:rsid w:val="767D4639"/>
    <w:rsid w:val="76854D0B"/>
    <w:rsid w:val="768B6247"/>
    <w:rsid w:val="769B452E"/>
    <w:rsid w:val="76B455F0"/>
    <w:rsid w:val="76BD44A5"/>
    <w:rsid w:val="76C006F9"/>
    <w:rsid w:val="76E94298"/>
    <w:rsid w:val="76EC2057"/>
    <w:rsid w:val="77063F95"/>
    <w:rsid w:val="770E45B2"/>
    <w:rsid w:val="772817CF"/>
    <w:rsid w:val="7741250B"/>
    <w:rsid w:val="77551E61"/>
    <w:rsid w:val="777C610E"/>
    <w:rsid w:val="77884C6E"/>
    <w:rsid w:val="7789082B"/>
    <w:rsid w:val="778B5F6B"/>
    <w:rsid w:val="77971C54"/>
    <w:rsid w:val="77B43556"/>
    <w:rsid w:val="77B92EBE"/>
    <w:rsid w:val="77C33D3D"/>
    <w:rsid w:val="77C70FE5"/>
    <w:rsid w:val="77C74EAF"/>
    <w:rsid w:val="77CA4BA6"/>
    <w:rsid w:val="77D176B6"/>
    <w:rsid w:val="77E13575"/>
    <w:rsid w:val="77FF0DFC"/>
    <w:rsid w:val="78126A72"/>
    <w:rsid w:val="782D11B6"/>
    <w:rsid w:val="784F7A00"/>
    <w:rsid w:val="786123C0"/>
    <w:rsid w:val="78782D79"/>
    <w:rsid w:val="787A23EB"/>
    <w:rsid w:val="78B127B9"/>
    <w:rsid w:val="78E16C76"/>
    <w:rsid w:val="78FB7506"/>
    <w:rsid w:val="79051B29"/>
    <w:rsid w:val="79075EAB"/>
    <w:rsid w:val="79142376"/>
    <w:rsid w:val="79183C14"/>
    <w:rsid w:val="79252168"/>
    <w:rsid w:val="79287E44"/>
    <w:rsid w:val="79444A09"/>
    <w:rsid w:val="794A0E2F"/>
    <w:rsid w:val="7956473D"/>
    <w:rsid w:val="79935991"/>
    <w:rsid w:val="79AE2B3C"/>
    <w:rsid w:val="79B55E6A"/>
    <w:rsid w:val="79F857F4"/>
    <w:rsid w:val="7A1F75C9"/>
    <w:rsid w:val="7A3244F9"/>
    <w:rsid w:val="7A4C2D3A"/>
    <w:rsid w:val="7A5073DE"/>
    <w:rsid w:val="7A704705"/>
    <w:rsid w:val="7A7D2C49"/>
    <w:rsid w:val="7A8721A0"/>
    <w:rsid w:val="7A925A18"/>
    <w:rsid w:val="7AA11552"/>
    <w:rsid w:val="7AB636E5"/>
    <w:rsid w:val="7AF34939"/>
    <w:rsid w:val="7AFB6175"/>
    <w:rsid w:val="7B01324C"/>
    <w:rsid w:val="7B0A28DC"/>
    <w:rsid w:val="7B1915E2"/>
    <w:rsid w:val="7B4A4882"/>
    <w:rsid w:val="7B545CDA"/>
    <w:rsid w:val="7B5B603A"/>
    <w:rsid w:val="7B8865EA"/>
    <w:rsid w:val="7B9559F0"/>
    <w:rsid w:val="7B966B02"/>
    <w:rsid w:val="7BAD444C"/>
    <w:rsid w:val="7BB310BF"/>
    <w:rsid w:val="7BFF10BB"/>
    <w:rsid w:val="7C0D1A2A"/>
    <w:rsid w:val="7C0E12FE"/>
    <w:rsid w:val="7C1903CF"/>
    <w:rsid w:val="7C1D0CB7"/>
    <w:rsid w:val="7C2B0102"/>
    <w:rsid w:val="7C4A7F45"/>
    <w:rsid w:val="7C532EB1"/>
    <w:rsid w:val="7C6A0C2B"/>
    <w:rsid w:val="7C7E0732"/>
    <w:rsid w:val="7C80386D"/>
    <w:rsid w:val="7C813187"/>
    <w:rsid w:val="7C907F65"/>
    <w:rsid w:val="7C9178F5"/>
    <w:rsid w:val="7C943EDF"/>
    <w:rsid w:val="7CA3413D"/>
    <w:rsid w:val="7CCF4F32"/>
    <w:rsid w:val="7CE2345C"/>
    <w:rsid w:val="7CF6767B"/>
    <w:rsid w:val="7D056BA5"/>
    <w:rsid w:val="7D06585B"/>
    <w:rsid w:val="7D0E5925"/>
    <w:rsid w:val="7D6B000B"/>
    <w:rsid w:val="7D740CD0"/>
    <w:rsid w:val="7D8325AD"/>
    <w:rsid w:val="7D890A67"/>
    <w:rsid w:val="7D965A4F"/>
    <w:rsid w:val="7DB3106F"/>
    <w:rsid w:val="7DBA5F0E"/>
    <w:rsid w:val="7DBE123A"/>
    <w:rsid w:val="7DBF7A4F"/>
    <w:rsid w:val="7DF74740"/>
    <w:rsid w:val="7DF84014"/>
    <w:rsid w:val="7E33504C"/>
    <w:rsid w:val="7E411CAA"/>
    <w:rsid w:val="7E483EB6"/>
    <w:rsid w:val="7E4E4495"/>
    <w:rsid w:val="7E6D2106"/>
    <w:rsid w:val="7E6D67B0"/>
    <w:rsid w:val="7E7545AA"/>
    <w:rsid w:val="7E7E47DE"/>
    <w:rsid w:val="7E7F4FB9"/>
    <w:rsid w:val="7E881B0E"/>
    <w:rsid w:val="7E8C4207"/>
    <w:rsid w:val="7E9A50CB"/>
    <w:rsid w:val="7EAA45DE"/>
    <w:rsid w:val="7EAC1277"/>
    <w:rsid w:val="7ECD386E"/>
    <w:rsid w:val="7EE77B11"/>
    <w:rsid w:val="7F34107C"/>
    <w:rsid w:val="7F343224"/>
    <w:rsid w:val="7F421587"/>
    <w:rsid w:val="7F453845"/>
    <w:rsid w:val="7F576B30"/>
    <w:rsid w:val="7F6A7194"/>
    <w:rsid w:val="7F956BD5"/>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3">
    <w:name w:val="heading 2"/>
    <w:next w:val="1"/>
    <w:autoRedefine/>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4">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5">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6">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7">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40">
    <w:name w:val="Default Paragraph Font"/>
    <w:autoRedefine/>
    <w:semiHidden/>
    <w:unhideWhenUsed/>
    <w:qFormat/>
    <w:uiPriority w:val="1"/>
  </w:style>
  <w:style w:type="table" w:default="1" w:styleId="38">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1"/>
    </w:rPr>
    <w:tblPr>
      <w:tblCellMar>
        <w:top w:w="0" w:type="dxa"/>
        <w:left w:w="108" w:type="dxa"/>
        <w:bottom w:w="0" w:type="dxa"/>
        <w:right w:w="108" w:type="dxa"/>
      </w:tblCellMar>
    </w:tblPr>
  </w:style>
  <w:style w:type="paragraph" w:styleId="8">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9">
    <w:name w:val="E-mail Signature"/>
    <w:basedOn w:val="1"/>
    <w:next w:val="10"/>
    <w:autoRedefine/>
    <w:qFormat/>
    <w:uiPriority w:val="0"/>
    <w:pPr>
      <w:spacing w:line="460" w:lineRule="exact"/>
      <w:ind w:firstLine="200"/>
    </w:pPr>
  </w:style>
  <w:style w:type="paragraph" w:customStyle="1" w:styleId="10">
    <w:name w:val="文章"/>
    <w:basedOn w:val="11"/>
    <w:next w:val="13"/>
    <w:autoRedefine/>
    <w:qFormat/>
    <w:uiPriority w:val="0"/>
    <w:pPr>
      <w:widowControl/>
      <w:ind w:firstLine="480"/>
      <w:jc w:val="center"/>
    </w:pPr>
    <w:rPr>
      <w:sz w:val="26"/>
    </w:rPr>
  </w:style>
  <w:style w:type="paragraph" w:styleId="11">
    <w:name w:val="Body Text Indent"/>
    <w:basedOn w:val="1"/>
    <w:next w:val="12"/>
    <w:autoRedefine/>
    <w:qFormat/>
    <w:uiPriority w:val="0"/>
    <w:pPr>
      <w:adjustRightInd w:val="0"/>
      <w:spacing w:after="120"/>
      <w:ind w:left="420" w:leftChars="200"/>
      <w:textAlignment w:val="baseline"/>
    </w:pPr>
    <w:rPr>
      <w:sz w:val="21"/>
      <w:szCs w:val="21"/>
    </w:rPr>
  </w:style>
  <w:style w:type="paragraph" w:styleId="12">
    <w:name w:val="Body Text"/>
    <w:basedOn w:val="1"/>
    <w:autoRedefine/>
    <w:qFormat/>
    <w:uiPriority w:val="0"/>
    <w:pPr>
      <w:wordWrap w:val="0"/>
      <w:ind w:firstLine="1440" w:firstLineChars="200"/>
    </w:pPr>
    <w:rPr>
      <w:color w:val="000000"/>
    </w:rPr>
  </w:style>
  <w:style w:type="paragraph" w:styleId="13">
    <w:name w:val="List"/>
    <w:basedOn w:val="1"/>
    <w:next w:val="1"/>
    <w:autoRedefine/>
    <w:qFormat/>
    <w:uiPriority w:val="0"/>
    <w:pPr>
      <w:ind w:left="200" w:hanging="200" w:hangingChars="200"/>
      <w:contextualSpacing/>
    </w:pPr>
  </w:style>
  <w:style w:type="paragraph" w:styleId="14">
    <w:name w:val="Normal Indent"/>
    <w:basedOn w:val="1"/>
    <w:next w:val="5"/>
    <w:autoRedefine/>
    <w:qFormat/>
    <w:uiPriority w:val="0"/>
    <w:pPr>
      <w:ind w:firstLine="200" w:firstLineChars="200"/>
    </w:pPr>
    <w:rPr>
      <w:sz w:val="21"/>
    </w:rPr>
  </w:style>
  <w:style w:type="paragraph" w:styleId="15">
    <w:name w:val="caption"/>
    <w:basedOn w:val="16"/>
    <w:next w:val="18"/>
    <w:link w:val="57"/>
    <w:autoRedefine/>
    <w:unhideWhenUsed/>
    <w:qFormat/>
    <w:uiPriority w:val="0"/>
    <w:pPr>
      <w:tabs>
        <w:tab w:val="left" w:pos="628"/>
        <w:tab w:val="left" w:pos="993"/>
        <w:tab w:val="left" w:pos="1884"/>
      </w:tabs>
      <w:jc w:val="center"/>
    </w:pPr>
    <w:rPr>
      <w:color w:val="000000"/>
      <w:sz w:val="21"/>
      <w:szCs w:val="21"/>
    </w:rPr>
  </w:style>
  <w:style w:type="paragraph" w:customStyle="1" w:styleId="16">
    <w:name w:val="图表名称"/>
    <w:basedOn w:val="17"/>
    <w:next w:val="18"/>
    <w:autoRedefine/>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styleId="17">
    <w:name w:val="Body Text First Indent"/>
    <w:basedOn w:val="12"/>
    <w:autoRedefine/>
    <w:qFormat/>
    <w:uiPriority w:val="0"/>
    <w:pPr>
      <w:spacing w:after="120" w:afterLines="0"/>
      <w:ind w:firstLine="420" w:firstLineChars="100"/>
      <w:jc w:val="both"/>
    </w:pPr>
    <w:rPr>
      <w:rFonts w:ascii="Times New Roman" w:hAnsi="Times New Roman" w:eastAsia="宋体" w:cs="Times New Roman"/>
    </w:rPr>
  </w:style>
  <w:style w:type="paragraph" w:customStyle="1" w:styleId="18">
    <w:name w:val="报告正文"/>
    <w:basedOn w:val="1"/>
    <w:autoRedefine/>
    <w:qFormat/>
    <w:uiPriority w:val="0"/>
    <w:pPr>
      <w:ind w:firstLine="480" w:firstLineChars="200"/>
    </w:pPr>
  </w:style>
  <w:style w:type="paragraph" w:styleId="19">
    <w:name w:val="annotation text"/>
    <w:basedOn w:val="1"/>
    <w:next w:val="1"/>
    <w:link w:val="84"/>
    <w:autoRedefine/>
    <w:semiHidden/>
    <w:qFormat/>
    <w:uiPriority w:val="0"/>
    <w:pPr>
      <w:jc w:val="left"/>
    </w:pPr>
    <w:rPr>
      <w:kern w:val="0"/>
      <w:szCs w:val="20"/>
    </w:rPr>
  </w:style>
  <w:style w:type="paragraph" w:styleId="20">
    <w:name w:val="List 2"/>
    <w:basedOn w:val="1"/>
    <w:autoRedefine/>
    <w:qFormat/>
    <w:uiPriority w:val="0"/>
    <w:rPr>
      <w:rFonts w:ascii="楷体_GB2312" w:hAnsi="宋体" w:eastAsia="楷体_GB2312"/>
      <w:color w:val="000000"/>
      <w:szCs w:val="28"/>
    </w:rPr>
  </w:style>
  <w:style w:type="paragraph" w:styleId="21">
    <w:name w:val="List Bullet 2"/>
    <w:basedOn w:val="1"/>
    <w:next w:val="22"/>
    <w:autoRedefine/>
    <w:qFormat/>
    <w:uiPriority w:val="0"/>
    <w:pPr>
      <w:numPr>
        <w:ilvl w:val="0"/>
        <w:numId w:val="3"/>
      </w:numPr>
    </w:pPr>
  </w:style>
  <w:style w:type="paragraph" w:customStyle="1" w:styleId="22">
    <w:name w:val="xl70"/>
    <w:basedOn w:val="1"/>
    <w:next w:val="23"/>
    <w:autoRedefine/>
    <w:qFormat/>
    <w:uiPriority w:val="0"/>
    <w:pPr>
      <w:widowControl/>
      <w:spacing w:before="280" w:after="280" w:line="240" w:lineRule="auto"/>
    </w:pPr>
    <w:rPr>
      <w:rFonts w:ascii="宋体"/>
    </w:rPr>
  </w:style>
  <w:style w:type="paragraph" w:customStyle="1" w:styleId="23">
    <w:name w:val="正文缩进1"/>
    <w:basedOn w:val="1"/>
    <w:next w:val="24"/>
    <w:autoRedefine/>
    <w:qFormat/>
    <w:uiPriority w:val="0"/>
    <w:pPr>
      <w:spacing w:line="312" w:lineRule="atLeast"/>
      <w:textAlignment w:val="baseline"/>
    </w:pPr>
    <w:rPr>
      <w:kern w:val="0"/>
      <w:sz w:val="28"/>
      <w:szCs w:val="20"/>
    </w:rPr>
  </w:style>
  <w:style w:type="paragraph" w:customStyle="1" w:styleId="24">
    <w:name w:val="td1"/>
    <w:basedOn w:val="1"/>
    <w:next w:val="1"/>
    <w:autoRedefine/>
    <w:qFormat/>
    <w:uiPriority w:val="0"/>
    <w:pPr>
      <w:widowControl/>
      <w:spacing w:before="280" w:after="280" w:line="300" w:lineRule="atLeast"/>
      <w:ind w:firstLine="200"/>
    </w:pPr>
    <w:rPr>
      <w:color w:val="000000"/>
      <w:sz w:val="18"/>
    </w:rPr>
  </w:style>
  <w:style w:type="paragraph" w:styleId="25">
    <w:name w:val="Plain Text"/>
    <w:basedOn w:val="1"/>
    <w:autoRedefine/>
    <w:qFormat/>
    <w:uiPriority w:val="0"/>
    <w:rPr>
      <w:rFonts w:ascii="宋体" w:hAnsi="Courier New"/>
      <w:sz w:val="20"/>
      <w:szCs w:val="20"/>
    </w:rPr>
  </w:style>
  <w:style w:type="paragraph" w:styleId="26">
    <w:name w:val="Body Text Indent 2"/>
    <w:basedOn w:val="1"/>
    <w:autoRedefine/>
    <w:qFormat/>
    <w:uiPriority w:val="0"/>
    <w:pPr>
      <w:spacing w:after="120" w:line="480" w:lineRule="auto"/>
      <w:ind w:left="420" w:leftChars="200"/>
    </w:pPr>
  </w:style>
  <w:style w:type="paragraph" w:styleId="27">
    <w:name w:val="Balloon Text"/>
    <w:basedOn w:val="1"/>
    <w:autoRedefine/>
    <w:semiHidden/>
    <w:qFormat/>
    <w:uiPriority w:val="0"/>
    <w:rPr>
      <w:kern w:val="0"/>
      <w:sz w:val="18"/>
      <w:szCs w:val="20"/>
    </w:rPr>
  </w:style>
  <w:style w:type="paragraph" w:styleId="28">
    <w:name w:val="footer"/>
    <w:basedOn w:val="1"/>
    <w:autoRedefine/>
    <w:qFormat/>
    <w:uiPriority w:val="0"/>
    <w:pPr>
      <w:tabs>
        <w:tab w:val="center" w:pos="4153"/>
        <w:tab w:val="right" w:pos="8306"/>
      </w:tabs>
      <w:snapToGrid w:val="0"/>
      <w:jc w:val="left"/>
    </w:pPr>
    <w:rPr>
      <w:sz w:val="18"/>
    </w:rPr>
  </w:style>
  <w:style w:type="paragraph" w:styleId="2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0">
    <w:name w:val="toc 1"/>
    <w:basedOn w:val="1"/>
    <w:next w:val="1"/>
    <w:autoRedefine/>
    <w:qFormat/>
    <w:uiPriority w:val="0"/>
  </w:style>
  <w:style w:type="paragraph" w:styleId="31">
    <w:name w:val="Subtitle"/>
    <w:basedOn w:val="1"/>
    <w:next w:val="1"/>
    <w:autoRedefine/>
    <w:qFormat/>
    <w:uiPriority w:val="0"/>
    <w:pPr>
      <w:ind w:firstLine="200" w:firstLineChars="200"/>
      <w:outlineLvl w:val="1"/>
    </w:pPr>
    <w:rPr>
      <w:bCs/>
      <w:kern w:val="28"/>
      <w:szCs w:val="32"/>
    </w:rPr>
  </w:style>
  <w:style w:type="paragraph" w:styleId="32">
    <w:name w:val="Body Text Indent 3"/>
    <w:basedOn w:val="1"/>
    <w:autoRedefine/>
    <w:qFormat/>
    <w:uiPriority w:val="99"/>
    <w:pPr>
      <w:snapToGrid w:val="0"/>
      <w:spacing w:line="480" w:lineRule="exact"/>
      <w:ind w:firstLine="535" w:firstLineChars="191"/>
    </w:pPr>
    <w:rPr>
      <w:sz w:val="28"/>
    </w:rPr>
  </w:style>
  <w:style w:type="paragraph" w:styleId="33">
    <w:name w:val="table of figures"/>
    <w:basedOn w:val="1"/>
    <w:next w:val="1"/>
    <w:autoRedefine/>
    <w:qFormat/>
    <w:uiPriority w:val="0"/>
    <w:pPr>
      <w:ind w:left="200" w:leftChars="200" w:hanging="200" w:hangingChars="200"/>
    </w:pPr>
  </w:style>
  <w:style w:type="paragraph" w:styleId="34">
    <w:name w:val="toc 2"/>
    <w:basedOn w:val="1"/>
    <w:next w:val="9"/>
    <w:autoRedefine/>
    <w:qFormat/>
    <w:uiPriority w:val="0"/>
    <w:pPr>
      <w:ind w:left="420" w:leftChars="200"/>
    </w:pPr>
  </w:style>
  <w:style w:type="paragraph" w:styleId="35">
    <w:name w:val="Normal (Web)"/>
    <w:basedOn w:val="1"/>
    <w:autoRedefine/>
    <w:qFormat/>
    <w:uiPriority w:val="0"/>
    <w:pPr>
      <w:spacing w:before="100" w:beforeAutospacing="1" w:after="100" w:afterAutospacing="1"/>
      <w:jc w:val="left"/>
    </w:pPr>
    <w:rPr>
      <w:kern w:val="0"/>
    </w:rPr>
  </w:style>
  <w:style w:type="paragraph" w:styleId="36">
    <w:name w:val="annotation subject"/>
    <w:basedOn w:val="19"/>
    <w:next w:val="19"/>
    <w:link w:val="85"/>
    <w:autoRedefine/>
    <w:qFormat/>
    <w:uiPriority w:val="0"/>
    <w:rPr>
      <w:b/>
      <w:bCs/>
      <w:kern w:val="2"/>
      <w:szCs w:val="24"/>
    </w:rPr>
  </w:style>
  <w:style w:type="paragraph" w:styleId="37">
    <w:name w:val="Body Text First Indent 2"/>
    <w:basedOn w:val="11"/>
    <w:autoRedefine/>
    <w:qFormat/>
    <w:uiPriority w:val="0"/>
    <w:pPr>
      <w:widowControl/>
      <w:adjustRightInd/>
      <w:ind w:firstLine="420"/>
      <w:jc w:val="left"/>
      <w:textAlignment w:val="auto"/>
    </w:pPr>
    <w:rPr>
      <w:kern w:val="0"/>
      <w:sz w:val="28"/>
      <w:szCs w:val="20"/>
    </w:rPr>
  </w:style>
  <w:style w:type="table" w:styleId="39">
    <w:name w:val="Table Grid"/>
    <w:basedOn w:val="38"/>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1">
    <w:name w:val="Strong"/>
    <w:basedOn w:val="40"/>
    <w:autoRedefine/>
    <w:qFormat/>
    <w:uiPriority w:val="0"/>
    <w:rPr>
      <w:b/>
    </w:rPr>
  </w:style>
  <w:style w:type="character" w:styleId="42">
    <w:name w:val="annotation reference"/>
    <w:basedOn w:val="40"/>
    <w:autoRedefine/>
    <w:qFormat/>
    <w:uiPriority w:val="0"/>
    <w:rPr>
      <w:sz w:val="21"/>
      <w:szCs w:val="21"/>
    </w:rPr>
  </w:style>
  <w:style w:type="paragraph" w:customStyle="1" w:styleId="43">
    <w:name w:val="Default"/>
    <w:basedOn w:val="44"/>
    <w:next w:val="45"/>
    <w:autoRedefine/>
    <w:qFormat/>
    <w:uiPriority w:val="0"/>
    <w:pPr>
      <w:autoSpaceDE w:val="0"/>
      <w:autoSpaceDN w:val="0"/>
    </w:pPr>
    <w:rPr>
      <w:rFonts w:hAnsi="Times New Roman" w:cs="宋体"/>
      <w:color w:val="000000"/>
    </w:rPr>
  </w:style>
  <w:style w:type="paragraph" w:customStyle="1" w:styleId="44">
    <w:name w:val="纯文本1"/>
    <w:basedOn w:val="1"/>
    <w:next w:val="1"/>
    <w:autoRedefine/>
    <w:qFormat/>
    <w:uiPriority w:val="0"/>
    <w:pPr>
      <w:adjustRightInd w:val="0"/>
    </w:pPr>
    <w:rPr>
      <w:rFonts w:ascii="宋体" w:hAnsi="Courier New"/>
    </w:rPr>
  </w:style>
  <w:style w:type="paragraph" w:customStyle="1" w:styleId="45">
    <w:name w:val="正文文字 6"/>
    <w:basedOn w:val="46"/>
    <w:next w:val="1"/>
    <w:autoRedefine/>
    <w:qFormat/>
    <w:uiPriority w:val="0"/>
    <w:pPr>
      <w:widowControl w:val="0"/>
      <w:ind w:left="240"/>
      <w:jc w:val="both"/>
    </w:pPr>
    <w:rPr>
      <w:rFonts w:ascii="宋体"/>
      <w:bCs/>
      <w:sz w:val="32"/>
      <w:szCs w:val="32"/>
    </w:rPr>
  </w:style>
  <w:style w:type="paragraph" w:customStyle="1" w:styleId="46">
    <w:name w:val="TT标题"/>
    <w:basedOn w:val="1"/>
    <w:autoRedefine/>
    <w:qFormat/>
    <w:uiPriority w:val="0"/>
    <w:pPr>
      <w:jc w:val="center"/>
    </w:pPr>
    <w:rPr>
      <w:rFonts w:cs="宋体"/>
      <w:b/>
      <w:szCs w:val="20"/>
    </w:rPr>
  </w:style>
  <w:style w:type="paragraph" w:customStyle="1" w:styleId="47">
    <w:name w:val="6-正文"/>
    <w:basedOn w:val="1"/>
    <w:link w:val="88"/>
    <w:autoRedefine/>
    <w:qFormat/>
    <w:uiPriority w:val="0"/>
    <w:rPr>
      <w:szCs w:val="28"/>
    </w:rPr>
  </w:style>
  <w:style w:type="paragraph" w:customStyle="1" w:styleId="48">
    <w:name w:val="图位置"/>
    <w:next w:val="49"/>
    <w:autoRedefine/>
    <w:qFormat/>
    <w:uiPriority w:val="0"/>
    <w:pPr>
      <w:jc w:val="center"/>
    </w:pPr>
    <w:rPr>
      <w:rFonts w:ascii="Times New Roman" w:hAnsi="Times New Roman" w:eastAsia="宋体" w:cs="Times New Roman"/>
      <w:kern w:val="2"/>
      <w:sz w:val="24"/>
      <w:szCs w:val="21"/>
      <w:lang w:val="en-US" w:eastAsia="zh-CN" w:bidi="ar-SA"/>
    </w:rPr>
  </w:style>
  <w:style w:type="paragraph" w:customStyle="1" w:styleId="49">
    <w:name w:val="图题"/>
    <w:basedOn w:val="1"/>
    <w:next w:val="1"/>
    <w:autoRedefine/>
    <w:qFormat/>
    <w:uiPriority w:val="0"/>
    <w:pPr>
      <w:jc w:val="center"/>
    </w:pPr>
    <w:rPr>
      <w:rFonts w:ascii="宋体" w:hAnsi="宋体" w:eastAsia="黑体"/>
      <w:b/>
    </w:rPr>
  </w:style>
  <w:style w:type="paragraph" w:customStyle="1" w:styleId="50">
    <w:name w:val="样式35"/>
    <w:basedOn w:val="51"/>
    <w:next w:val="55"/>
    <w:autoRedefine/>
    <w:qFormat/>
    <w:uiPriority w:val="0"/>
    <w:pPr>
      <w:tabs>
        <w:tab w:val="left" w:pos="0"/>
        <w:tab w:val="left" w:pos="360"/>
        <w:tab w:val="left" w:pos="540"/>
        <w:tab w:val="left" w:pos="567"/>
      </w:tabs>
      <w:spacing w:line="312" w:lineRule="auto"/>
      <w:ind w:firstLine="567"/>
    </w:pPr>
  </w:style>
  <w:style w:type="paragraph" w:customStyle="1" w:styleId="51">
    <w:name w:val="样式26"/>
    <w:basedOn w:val="52"/>
    <w:autoRedefine/>
    <w:qFormat/>
    <w:uiPriority w:val="0"/>
    <w:pPr>
      <w:tabs>
        <w:tab w:val="left" w:pos="0"/>
        <w:tab w:val="left" w:pos="360"/>
        <w:tab w:val="left" w:pos="540"/>
        <w:tab w:val="left" w:pos="567"/>
      </w:tabs>
    </w:pPr>
  </w:style>
  <w:style w:type="paragraph" w:customStyle="1" w:styleId="52">
    <w:name w:val="样式21"/>
    <w:basedOn w:val="53"/>
    <w:autoRedefine/>
    <w:qFormat/>
    <w:uiPriority w:val="0"/>
    <w:pPr>
      <w:tabs>
        <w:tab w:val="left" w:pos="360"/>
        <w:tab w:val="left" w:pos="567"/>
      </w:tabs>
      <w:spacing w:beforeLines="0" w:afterLines="0"/>
      <w:ind w:hanging="992"/>
    </w:pPr>
  </w:style>
  <w:style w:type="paragraph" w:customStyle="1" w:styleId="53">
    <w:name w:val="样式5"/>
    <w:basedOn w:val="54"/>
    <w:autoRedefine/>
    <w:qFormat/>
    <w:uiPriority w:val="0"/>
    <w:pPr>
      <w:tabs>
        <w:tab w:val="left" w:pos="360"/>
      </w:tabs>
      <w:ind w:right="-105" w:rightChars="-50"/>
      <w:jc w:val="center"/>
    </w:pPr>
    <w:rPr>
      <w:rFonts w:ascii="宋体"/>
      <w:sz w:val="21"/>
    </w:rPr>
  </w:style>
  <w:style w:type="paragraph" w:customStyle="1" w:styleId="54">
    <w:name w:val="样式12"/>
    <w:basedOn w:val="1"/>
    <w:autoRedefine/>
    <w:qFormat/>
    <w:uiPriority w:val="0"/>
    <w:pPr>
      <w:keepNext/>
      <w:keepLines/>
      <w:tabs>
        <w:tab w:val="left" w:pos="360"/>
      </w:tabs>
      <w:spacing w:beforeLines="50" w:afterLines="50"/>
      <w:ind w:left="567" w:hanging="567"/>
      <w:outlineLvl w:val="1"/>
    </w:pPr>
    <w:rPr>
      <w:rFonts w:eastAsia="MS Mincho"/>
      <w:kern w:val="0"/>
      <w:sz w:val="28"/>
      <w:szCs w:val="28"/>
    </w:rPr>
  </w:style>
  <w:style w:type="paragraph" w:customStyle="1" w:styleId="55">
    <w:name w:val="font6"/>
    <w:basedOn w:val="1"/>
    <w:next w:val="34"/>
    <w:autoRedefine/>
    <w:qFormat/>
    <w:uiPriority w:val="0"/>
    <w:pPr>
      <w:widowControl/>
      <w:spacing w:before="280" w:after="280"/>
    </w:pPr>
    <w:rPr>
      <w:sz w:val="21"/>
    </w:rPr>
  </w:style>
  <w:style w:type="paragraph" w:customStyle="1" w:styleId="56">
    <w:name w:val="表格文字"/>
    <w:autoRedefine/>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57">
    <w:name w:val="题注 字符"/>
    <w:link w:val="15"/>
    <w:autoRedefine/>
    <w:qFormat/>
    <w:uiPriority w:val="0"/>
    <w:rPr>
      <w:rFonts w:ascii="Times New Roman" w:hAnsi="Times New Roman"/>
      <w:b/>
      <w:bCs/>
      <w:color w:val="000000"/>
      <w:sz w:val="21"/>
      <w:szCs w:val="21"/>
    </w:rPr>
  </w:style>
  <w:style w:type="paragraph" w:customStyle="1" w:styleId="58">
    <w:name w:val="括号标题"/>
    <w:basedOn w:val="44"/>
    <w:next w:val="45"/>
    <w:autoRedefine/>
    <w:qFormat/>
    <w:uiPriority w:val="0"/>
    <w:pPr>
      <w:autoSpaceDE w:val="0"/>
      <w:autoSpaceDN w:val="0"/>
    </w:pPr>
    <w:rPr>
      <w:rFonts w:hAnsi="宋体"/>
      <w:color w:val="000000"/>
    </w:rPr>
  </w:style>
  <w:style w:type="paragraph" w:customStyle="1" w:styleId="59">
    <w:name w:val="J-表格内容（5号+居中）"/>
    <w:basedOn w:val="1"/>
    <w:autoRedefine/>
    <w:qFormat/>
    <w:uiPriority w:val="0"/>
    <w:pPr>
      <w:spacing w:line="240" w:lineRule="auto"/>
      <w:jc w:val="center"/>
    </w:pPr>
    <w:rPr>
      <w:sz w:val="21"/>
      <w:szCs w:val="21"/>
    </w:rPr>
  </w:style>
  <w:style w:type="paragraph" w:customStyle="1" w:styleId="60">
    <w:name w:val="表 内容"/>
    <w:basedOn w:val="1"/>
    <w:autoRedefine/>
    <w:qFormat/>
    <w:uiPriority w:val="0"/>
    <w:pPr>
      <w:adjustRightInd w:val="0"/>
      <w:snapToGrid w:val="0"/>
      <w:spacing w:beforeLines="15"/>
      <w:jc w:val="center"/>
    </w:pPr>
    <w:rPr>
      <w:kern w:val="0"/>
      <w:sz w:val="20"/>
      <w:szCs w:val="21"/>
    </w:rPr>
  </w:style>
  <w:style w:type="paragraph" w:customStyle="1" w:styleId="61">
    <w:name w:val="表内字"/>
    <w:basedOn w:val="62"/>
    <w:autoRedefine/>
    <w:qFormat/>
    <w:uiPriority w:val="0"/>
    <w:pPr>
      <w:autoSpaceDE w:val="0"/>
      <w:autoSpaceDN w:val="0"/>
      <w:spacing w:line="320" w:lineRule="exact"/>
    </w:pPr>
    <w:rPr>
      <w:rFonts w:hAnsi="宋体"/>
      <w:kern w:val="2"/>
      <w:sz w:val="21"/>
      <w:szCs w:val="21"/>
    </w:rPr>
  </w:style>
  <w:style w:type="paragraph" w:customStyle="1" w:styleId="62">
    <w:name w:val="表格"/>
    <w:basedOn w:val="1"/>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3">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4">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5">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6">
    <w:name w:val="font61"/>
    <w:basedOn w:val="40"/>
    <w:autoRedefine/>
    <w:qFormat/>
    <w:uiPriority w:val="0"/>
    <w:rPr>
      <w:rFonts w:hint="default" w:ascii="Times New Roman" w:hAnsi="Times New Roman" w:cs="Times New Roman"/>
      <w:b/>
      <w:color w:val="000000"/>
      <w:sz w:val="18"/>
      <w:szCs w:val="18"/>
      <w:u w:val="none"/>
    </w:rPr>
  </w:style>
  <w:style w:type="character" w:customStyle="1" w:styleId="67">
    <w:name w:val="font81"/>
    <w:basedOn w:val="40"/>
    <w:autoRedefine/>
    <w:qFormat/>
    <w:uiPriority w:val="0"/>
    <w:rPr>
      <w:rFonts w:hint="default" w:ascii="Times New Roman" w:hAnsi="Times New Roman" w:cs="Times New Roman"/>
      <w:b/>
      <w:color w:val="000000"/>
      <w:sz w:val="18"/>
      <w:szCs w:val="18"/>
      <w:u w:val="none"/>
    </w:rPr>
  </w:style>
  <w:style w:type="character" w:customStyle="1" w:styleId="68">
    <w:name w:val="font51"/>
    <w:basedOn w:val="40"/>
    <w:autoRedefine/>
    <w:qFormat/>
    <w:uiPriority w:val="0"/>
    <w:rPr>
      <w:rFonts w:hint="eastAsia" w:ascii="宋体" w:hAnsi="宋体" w:eastAsia="宋体" w:cs="宋体"/>
      <w:b/>
      <w:color w:val="000000"/>
      <w:sz w:val="18"/>
      <w:szCs w:val="18"/>
      <w:u w:val="none"/>
    </w:rPr>
  </w:style>
  <w:style w:type="character" w:customStyle="1" w:styleId="69">
    <w:name w:val="font91"/>
    <w:basedOn w:val="40"/>
    <w:autoRedefine/>
    <w:qFormat/>
    <w:uiPriority w:val="0"/>
    <w:rPr>
      <w:rFonts w:ascii="Calibri" w:hAnsi="Calibri" w:cs="Calibri"/>
      <w:color w:val="auto"/>
      <w:sz w:val="21"/>
      <w:szCs w:val="21"/>
      <w:u w:val="none"/>
    </w:rPr>
  </w:style>
  <w:style w:type="character" w:customStyle="1" w:styleId="70">
    <w:name w:val="font111"/>
    <w:basedOn w:val="40"/>
    <w:autoRedefine/>
    <w:qFormat/>
    <w:uiPriority w:val="0"/>
    <w:rPr>
      <w:rFonts w:hint="default" w:ascii="Times New Roman" w:hAnsi="Times New Roman" w:cs="Times New Roman"/>
      <w:b/>
      <w:color w:val="000000"/>
      <w:sz w:val="18"/>
      <w:szCs w:val="18"/>
      <w:u w:val="none"/>
    </w:rPr>
  </w:style>
  <w:style w:type="character" w:customStyle="1" w:styleId="71">
    <w:name w:val="font101"/>
    <w:basedOn w:val="40"/>
    <w:autoRedefine/>
    <w:qFormat/>
    <w:uiPriority w:val="0"/>
    <w:rPr>
      <w:rFonts w:hint="eastAsia" w:ascii="宋体" w:hAnsi="宋体" w:eastAsia="宋体" w:cs="宋体"/>
      <w:b/>
      <w:color w:val="000000"/>
      <w:sz w:val="18"/>
      <w:szCs w:val="18"/>
      <w:u w:val="none"/>
    </w:rPr>
  </w:style>
  <w:style w:type="paragraph" w:customStyle="1" w:styleId="72">
    <w:name w:val="附图附件"/>
    <w:basedOn w:val="1"/>
    <w:autoRedefine/>
    <w:qFormat/>
    <w:uiPriority w:val="0"/>
    <w:pPr>
      <w:spacing w:line="240" w:lineRule="auto"/>
      <w:jc w:val="center"/>
      <w:outlineLvl w:val="0"/>
    </w:pPr>
  </w:style>
  <w:style w:type="paragraph" w:customStyle="1" w:styleId="73">
    <w:name w:val="J-表格标题+图片标题（5号+居中）"/>
    <w:basedOn w:val="1"/>
    <w:autoRedefine/>
    <w:qFormat/>
    <w:uiPriority w:val="0"/>
    <w:pPr>
      <w:spacing w:line="240" w:lineRule="auto"/>
      <w:jc w:val="center"/>
    </w:pPr>
    <w:rPr>
      <w:b/>
      <w:sz w:val="21"/>
      <w:szCs w:val="21"/>
    </w:rPr>
  </w:style>
  <w:style w:type="paragraph" w:customStyle="1" w:styleId="74">
    <w:name w:val="报告表小标题"/>
    <w:basedOn w:val="1"/>
    <w:autoRedefine/>
    <w:qFormat/>
    <w:uiPriority w:val="0"/>
    <w:pPr>
      <w:spacing w:before="100" w:beforeAutospacing="1"/>
    </w:pPr>
    <w:rPr>
      <w:b/>
    </w:rPr>
  </w:style>
  <w:style w:type="character" w:customStyle="1" w:styleId="75">
    <w:name w:val="font21"/>
    <w:basedOn w:val="40"/>
    <w:autoRedefine/>
    <w:qFormat/>
    <w:uiPriority w:val="0"/>
    <w:rPr>
      <w:rFonts w:hint="eastAsia" w:ascii="宋体" w:hAnsi="宋体" w:eastAsia="宋体" w:cs="宋体"/>
      <w:b/>
      <w:bCs/>
      <w:color w:val="000000"/>
      <w:sz w:val="21"/>
      <w:szCs w:val="21"/>
      <w:u w:val="none"/>
    </w:rPr>
  </w:style>
  <w:style w:type="character" w:customStyle="1" w:styleId="76">
    <w:name w:val="font11"/>
    <w:basedOn w:val="40"/>
    <w:autoRedefine/>
    <w:qFormat/>
    <w:uiPriority w:val="0"/>
    <w:rPr>
      <w:rFonts w:hint="eastAsia" w:ascii="宋体" w:hAnsi="宋体" w:eastAsia="宋体" w:cs="宋体"/>
      <w:color w:val="000000"/>
      <w:sz w:val="21"/>
      <w:szCs w:val="21"/>
      <w:u w:val="none"/>
    </w:rPr>
  </w:style>
  <w:style w:type="character" w:customStyle="1" w:styleId="77">
    <w:name w:val="font41"/>
    <w:basedOn w:val="40"/>
    <w:autoRedefine/>
    <w:qFormat/>
    <w:uiPriority w:val="0"/>
    <w:rPr>
      <w:rFonts w:hint="eastAsia" w:ascii="宋体" w:hAnsi="宋体" w:eastAsia="宋体" w:cs="宋体"/>
      <w:color w:val="000000"/>
      <w:sz w:val="21"/>
      <w:szCs w:val="21"/>
      <w:u w:val="none"/>
    </w:rPr>
  </w:style>
  <w:style w:type="paragraph" w:customStyle="1" w:styleId="78">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79">
    <w:name w:val="List Paragraph"/>
    <w:basedOn w:val="1"/>
    <w:autoRedefine/>
    <w:qFormat/>
    <w:uiPriority w:val="99"/>
    <w:pPr>
      <w:ind w:firstLine="420" w:firstLineChars="200"/>
    </w:pPr>
  </w:style>
  <w:style w:type="character" w:customStyle="1" w:styleId="80">
    <w:name w:val="fontstyle01"/>
    <w:basedOn w:val="40"/>
    <w:autoRedefine/>
    <w:qFormat/>
    <w:uiPriority w:val="0"/>
    <w:rPr>
      <w:rFonts w:hint="eastAsia" w:ascii="宋体" w:hAnsi="宋体" w:eastAsia="宋体"/>
      <w:color w:val="000000"/>
      <w:sz w:val="24"/>
      <w:szCs w:val="24"/>
    </w:rPr>
  </w:style>
  <w:style w:type="paragraph" w:customStyle="1" w:styleId="81">
    <w:name w:val="HJ-正文"/>
    <w:basedOn w:val="1"/>
    <w:autoRedefine/>
    <w:qFormat/>
    <w:uiPriority w:val="0"/>
    <w:pPr>
      <w:ind w:firstLine="480" w:firstLineChars="200"/>
    </w:pPr>
  </w:style>
  <w:style w:type="paragraph" w:customStyle="1" w:styleId="82">
    <w:name w:val="WPSOffice手动目录 1"/>
    <w:autoRedefine/>
    <w:qFormat/>
    <w:uiPriority w:val="0"/>
    <w:rPr>
      <w:rFonts w:ascii="Times New Roman" w:hAnsi="Times New Roman" w:eastAsia="宋体" w:cs="Times New Roman"/>
      <w:lang w:val="en-US" w:eastAsia="zh-CN" w:bidi="ar-SA"/>
    </w:rPr>
  </w:style>
  <w:style w:type="paragraph" w:customStyle="1" w:styleId="83">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4">
    <w:name w:val="批注文字 字符"/>
    <w:basedOn w:val="40"/>
    <w:link w:val="19"/>
    <w:autoRedefine/>
    <w:semiHidden/>
    <w:qFormat/>
    <w:uiPriority w:val="0"/>
    <w:rPr>
      <w:sz w:val="24"/>
    </w:rPr>
  </w:style>
  <w:style w:type="character" w:customStyle="1" w:styleId="85">
    <w:name w:val="批注主题 字符"/>
    <w:basedOn w:val="84"/>
    <w:link w:val="36"/>
    <w:autoRedefine/>
    <w:qFormat/>
    <w:uiPriority w:val="0"/>
    <w:rPr>
      <w:b/>
      <w:bCs/>
      <w:kern w:val="2"/>
      <w:sz w:val="24"/>
      <w:szCs w:val="24"/>
    </w:rPr>
  </w:style>
  <w:style w:type="character" w:customStyle="1" w:styleId="86">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87">
    <w:name w:val="font31"/>
    <w:basedOn w:val="40"/>
    <w:autoRedefine/>
    <w:qFormat/>
    <w:uiPriority w:val="0"/>
    <w:rPr>
      <w:rFonts w:hint="default" w:ascii="Times New Roman" w:hAnsi="Times New Roman" w:cs="Times New Roman"/>
      <w:color w:val="000000"/>
      <w:sz w:val="21"/>
      <w:szCs w:val="21"/>
      <w:u w:val="none"/>
    </w:rPr>
  </w:style>
  <w:style w:type="character" w:customStyle="1" w:styleId="88">
    <w:name w:val="6-正文 Char"/>
    <w:link w:val="47"/>
    <w:autoRedefine/>
    <w:qFormat/>
    <w:uiPriority w:val="0"/>
    <w:rPr>
      <w:szCs w:val="28"/>
    </w:rPr>
  </w:style>
  <w:style w:type="table" w:customStyle="1" w:styleId="89">
    <w:name w:val="报告书标准表格"/>
    <w:basedOn w:val="38"/>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0">
    <w:name w:val="表格内容"/>
    <w:basedOn w:val="91"/>
    <w:autoRedefine/>
    <w:qFormat/>
    <w:uiPriority w:val="0"/>
    <w:rPr>
      <w:sz w:val="21"/>
      <w:szCs w:val="21"/>
    </w:rPr>
  </w:style>
  <w:style w:type="paragraph" w:customStyle="1" w:styleId="91">
    <w:name w:val="表格标题"/>
    <w:basedOn w:val="92"/>
    <w:next w:val="1"/>
    <w:autoRedefine/>
    <w:qFormat/>
    <w:uiPriority w:val="0"/>
    <w:pPr>
      <w:jc w:val="center"/>
    </w:pPr>
    <w:rPr>
      <w:rFonts w:ascii="Times New Roman" w:hAnsi="Times New Roman"/>
      <w:b/>
    </w:rPr>
  </w:style>
  <w:style w:type="paragraph" w:customStyle="1" w:styleId="92">
    <w:name w:val="表格000"/>
    <w:basedOn w:val="1"/>
    <w:autoRedefine/>
    <w:qFormat/>
    <w:uiPriority w:val="0"/>
    <w:pPr>
      <w:jc w:val="center"/>
    </w:pPr>
    <w:rPr>
      <w:kern w:val="11"/>
      <w:szCs w:val="21"/>
    </w:rPr>
  </w:style>
  <w:style w:type="character" w:customStyle="1" w:styleId="93">
    <w:name w:val="16"/>
    <w:basedOn w:val="40"/>
    <w:autoRedefine/>
    <w:qFormat/>
    <w:uiPriority w:val="0"/>
    <w:rPr>
      <w:rFonts w:hint="default" w:ascii="Times New Roman" w:hAnsi="Times New Roman" w:cs="Times New Roman"/>
      <w:color w:val="000000"/>
      <w:sz w:val="21"/>
      <w:szCs w:val="21"/>
    </w:rPr>
  </w:style>
  <w:style w:type="character" w:customStyle="1" w:styleId="94">
    <w:name w:val="17"/>
    <w:basedOn w:val="40"/>
    <w:autoRedefine/>
    <w:qFormat/>
    <w:uiPriority w:val="0"/>
    <w:rPr>
      <w:rFonts w:hint="default" w:ascii="Times New Roman" w:hAnsi="Times New Roman" w:cs="Times New Roman"/>
      <w:color w:val="000000"/>
      <w:sz w:val="21"/>
      <w:szCs w:val="21"/>
      <w:vertAlign w:val="superscript"/>
    </w:rPr>
  </w:style>
  <w:style w:type="character" w:customStyle="1" w:styleId="95">
    <w:name w:val="15"/>
    <w:basedOn w:val="40"/>
    <w:autoRedefine/>
    <w:qFormat/>
    <w:uiPriority w:val="0"/>
    <w:rPr>
      <w:rFonts w:hint="eastAsia" w:ascii="宋体" w:hAnsi="宋体" w:eastAsia="宋体"/>
      <w:color w:val="000000"/>
      <w:sz w:val="21"/>
      <w:szCs w:val="21"/>
    </w:rPr>
  </w:style>
  <w:style w:type="paragraph" w:customStyle="1" w:styleId="96">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97">
    <w:name w:val="图表标题"/>
    <w:basedOn w:val="1"/>
    <w:next w:val="1"/>
    <w:autoRedefine/>
    <w:qFormat/>
    <w:uiPriority w:val="0"/>
    <w:pPr>
      <w:jc w:val="center"/>
    </w:pPr>
    <w:rPr>
      <w:b/>
      <w:sz w:val="21"/>
    </w:rPr>
  </w:style>
  <w:style w:type="paragraph" w:customStyle="1" w:styleId="98">
    <w:name w:val="表1"/>
    <w:basedOn w:val="1"/>
    <w:next w:val="62"/>
    <w:autoRedefine/>
    <w:qFormat/>
    <w:uiPriority w:val="0"/>
    <w:pPr>
      <w:numPr>
        <w:ilvl w:val="0"/>
        <w:numId w:val="4"/>
      </w:numPr>
      <w:spacing w:line="360" w:lineRule="auto"/>
      <w:ind w:firstLine="0" w:firstLineChars="0"/>
      <w:jc w:val="center"/>
    </w:pPr>
    <w:rPr>
      <w:b/>
      <w:sz w:val="24"/>
    </w:rPr>
  </w:style>
  <w:style w:type="table" w:customStyle="1" w:styleId="99">
    <w:name w:val="常规"/>
    <w:basedOn w:val="38"/>
    <w:autoRedefine/>
    <w:qFormat/>
    <w:uiPriority w:val="0"/>
    <w:pPr>
      <w:keepNext w:val="0"/>
      <w:keepLines w:val="0"/>
      <w:widowControl/>
      <w:suppressLineNumbers w:val="0"/>
      <w:spacing w:before="0" w:beforeAutospacing="0" w:after="0" w:afterAutospacing="0" w:line="276" w:lineRule="auto"/>
      <w:ind w:left="0" w:right="0"/>
      <w:jc w:val="center"/>
    </w:pPr>
    <w:rPr>
      <w:rFonts w:hint="default" w:ascii="Times New Roman" w:hAnsi="Times New Roman" w:eastAsia="宋体" w:cs="Times New Roman"/>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vAlign w:val="center"/>
    </w:tcPr>
    <w:tblStylePr w:type="firstRow">
      <w:rPr>
        <w:rFonts w:hint="default" w:ascii="Times New Roman" w:hAnsi="Times New Roman" w:eastAsia="宋体" w:cs="Times New Roman"/>
        <w:b w:val="0"/>
        <w:sz w:val="21"/>
        <w:szCs w:val="21"/>
      </w:rPr>
    </w:tblStylePr>
  </w:style>
  <w:style w:type="paragraph" w:customStyle="1" w:styleId="100">
    <w:name w:val="小节标题"/>
    <w:basedOn w:val="1"/>
    <w:next w:val="101"/>
    <w:autoRedefine/>
    <w:qFormat/>
    <w:uiPriority w:val="0"/>
    <w:pPr>
      <w:widowControl/>
      <w:numPr>
        <w:ilvl w:val="0"/>
        <w:numId w:val="5"/>
      </w:numPr>
      <w:tabs>
        <w:tab w:val="clear" w:pos="0"/>
      </w:tabs>
      <w:spacing w:line="360" w:lineRule="auto"/>
      <w:ind w:firstLine="560" w:firstLineChars="200"/>
      <w:jc w:val="left"/>
    </w:pPr>
    <w:rPr>
      <w:rFonts w:hint="eastAsia" w:cs="宋体"/>
      <w:b/>
      <w:bCs/>
      <w:sz w:val="24"/>
      <w:szCs w:val="21"/>
      <w:lang w:bidi="ar"/>
    </w:rPr>
  </w:style>
  <w:style w:type="paragraph" w:customStyle="1" w:styleId="101">
    <w:name w:val="正文小四"/>
    <w:basedOn w:val="1"/>
    <w:autoRedefine/>
    <w:qFormat/>
    <w:uiPriority w:val="0"/>
    <w:pPr>
      <w:spacing w:line="360" w:lineRule="auto"/>
      <w:ind w:firstLine="420" w:firstLineChars="200"/>
    </w:pPr>
    <w:rPr>
      <w:rFonts w:ascii="Times New Roman" w:hAnsi="Times New Roman"/>
      <w:sz w:val="24"/>
    </w:rPr>
  </w:style>
  <w:style w:type="character" w:customStyle="1" w:styleId="102">
    <w:name w:val="font71"/>
    <w:basedOn w:val="40"/>
    <w:autoRedefine/>
    <w:qFormat/>
    <w:uiPriority w:val="0"/>
    <w:rPr>
      <w:rFonts w:hint="eastAsia" w:ascii="宋体" w:hAnsi="宋体" w:eastAsia="宋体" w:cs="宋体"/>
      <w:color w:val="000000"/>
      <w:sz w:val="20"/>
      <w:szCs w:val="20"/>
      <w:u w:val="none"/>
    </w:rPr>
  </w:style>
  <w:style w:type="paragraph" w:customStyle="1" w:styleId="103">
    <w:name w:val="表2"/>
    <w:basedOn w:val="1"/>
    <w:next w:val="62"/>
    <w:autoRedefine/>
    <w:qFormat/>
    <w:uiPriority w:val="0"/>
    <w:pPr>
      <w:numPr>
        <w:ilvl w:val="0"/>
        <w:numId w:val="6"/>
      </w:numPr>
    </w:pPr>
  </w:style>
  <w:style w:type="character" w:customStyle="1" w:styleId="104">
    <w:name w:val="font13"/>
    <w:basedOn w:val="40"/>
    <w:autoRedefine/>
    <w:qFormat/>
    <w:uiPriority w:val="0"/>
    <w:rPr>
      <w:rFonts w:hint="eastAsia" w:ascii="宋体" w:hAnsi="宋体" w:eastAsia="宋体" w:cs="宋体"/>
      <w:b/>
      <w:bCs/>
      <w:color w:val="000000"/>
      <w:sz w:val="20"/>
      <w:szCs w:val="20"/>
      <w:u w:val="none"/>
    </w:rPr>
  </w:style>
  <w:style w:type="character" w:customStyle="1" w:styleId="105">
    <w:name w:val="font121"/>
    <w:basedOn w:val="40"/>
    <w:autoRedefine/>
    <w:qFormat/>
    <w:uiPriority w:val="0"/>
    <w:rPr>
      <w:rFonts w:hint="default" w:ascii="Times New Roman" w:hAnsi="Times New Roman" w:cs="Times New Roman"/>
      <w:color w:val="000000"/>
      <w:sz w:val="20"/>
      <w:szCs w:val="20"/>
      <w:u w:val="none"/>
      <w:vertAlign w:val="superscript"/>
    </w:rPr>
  </w:style>
  <w:style w:type="paragraph" w:customStyle="1" w:styleId="106">
    <w:name w:val="国寰正文"/>
    <w:basedOn w:val="1"/>
    <w:autoRedefine/>
    <w:qFormat/>
    <w:uiPriority w:val="0"/>
    <w:pPr>
      <w:adjustRightInd w:val="0"/>
      <w:snapToGrid w:val="0"/>
      <w:spacing w:line="360" w:lineRule="auto"/>
      <w:ind w:firstLine="200" w:firstLineChars="200"/>
    </w:pPr>
    <w:rPr>
      <w:spacing w:val="0"/>
      <w:kern w:val="2"/>
      <w:sz w:val="24"/>
      <w:szCs w:val="24"/>
    </w:rPr>
  </w:style>
  <w:style w:type="character" w:customStyle="1" w:styleId="107">
    <w:name w:val="fontstyle21"/>
    <w:autoRedefine/>
    <w:qFormat/>
    <w:uiPriority w:val="0"/>
    <w:rPr>
      <w:rFonts w:hint="default" w:ascii="Times New Roman" w:hAnsi="Times New Roman" w:cs="Times New Roman"/>
      <w:color w:val="000000"/>
      <w:sz w:val="24"/>
      <w:szCs w:val="24"/>
    </w:rPr>
  </w:style>
  <w:style w:type="character" w:customStyle="1" w:styleId="108">
    <w:name w:val="fontstyle11"/>
    <w:basedOn w:val="40"/>
    <w:autoRedefine/>
    <w:qFormat/>
    <w:uiPriority w:val="0"/>
    <w:rPr>
      <w:rFonts w:hint="default" w:ascii="Times New Roman" w:hAnsi="Times New Roman" w:cs="Times New Roman"/>
      <w:color w:val="000000"/>
      <w:sz w:val="24"/>
      <w:szCs w:val="24"/>
    </w:rPr>
  </w:style>
  <w:style w:type="character" w:customStyle="1" w:styleId="109">
    <w:name w:val="font112"/>
    <w:basedOn w:val="40"/>
    <w:autoRedefine/>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jpeg"/><Relationship Id="rId9" Type="http://schemas.openxmlformats.org/officeDocument/2006/relationships/image" Target="media/image2.jpeg"/><Relationship Id="rId89" Type="http://schemas.openxmlformats.org/officeDocument/2006/relationships/image" Target="media/image78.jpe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image" Target="media/image1.jpeg"/><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theme" Target="theme/theme1.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jpeg"/><Relationship Id="rId6" Type="http://schemas.openxmlformats.org/officeDocument/2006/relationships/footer" Target="footer2.xml"/><Relationship Id="rId59" Type="http://schemas.openxmlformats.org/officeDocument/2006/relationships/image" Target="media/image48.jpe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customXml" Target="ink/ink4.xml"/><Relationship Id="rId34" Type="http://schemas.openxmlformats.org/officeDocument/2006/relationships/customXml" Target="ink/ink3.xml"/><Relationship Id="rId33" Type="http://schemas.openxmlformats.org/officeDocument/2006/relationships/customXml" Target="ink/ink2.xml"/><Relationship Id="rId32" Type="http://schemas.openxmlformats.org/officeDocument/2006/relationships/image" Target="media/image24.png"/><Relationship Id="rId31" Type="http://schemas.openxmlformats.org/officeDocument/2006/relationships/customXml" Target="ink/ink1.xml"/><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solidFill>
            <a:srgbClr val="FFFF00"/>
          </a:solidFill>
          <a:prstDash val="lgDashDot"/>
        </a:ln>
      </a:spPr>
      <a:bodyPr/>
      <a:lstStyle/>
      <a:style>
        <a:lnRef idx="2">
          <a:schemeClr val="accent1"/>
        </a:lnRef>
        <a:fillRef idx="0">
          <a:srgbClr val="FFFFFF"/>
        </a:fillRef>
        <a:effectRef idx="0">
          <a:srgbClr val="FFFFFF"/>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EwNzgwNDIxMjA1IiwKCSJHcm91cElkIiA6ICIxODEwMjE1NDg3IiwKCSJJbWFnZSIgOiAiaVZCT1J3MEtHZ29BQUFBTlNVaEVVZ0FBQk9JQUFBSmdDQVlBQUFBbkxzeXZBQUFBQVhOU1IwSUFyczRjNlFBQUlBQkpSRUZVZUp6czNYZDRsRlg2Ly9IUG1aazBDRVdrZzJ0VWlva21JVUhFd29Jb1lrWFh0a3BkUkJDK0srb0tyQWdxSWdwaUFZV2xxRWhWaW1VcG9paXVnb0FDaW1rMEZWQkFRQkVqQVpLUU5wbnord015dnd3ekNRRUNFK0Q5dWk0dVpzNXp6alAzQXptWmVlNDVSUU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MN2NCR2lBQUFBdmtsRVFWU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mZBL3dIZ3NMTDlYYWIyWndBQUFBQkpSVTVFcmtKZ2dnPT0iLAoJIlRoZW1lIiA6ICIiLAoJIlR5cGUiIDogImZsb3ciLAoJIlVzZXJJZCIgOiAiMTM3ODEzNDY0MCIsCgkiVmVyc2lvbiIgOiAiMz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178</Pages>
  <Words>15478</Words>
  <Characters>16383</Characters>
  <Lines>1</Lines>
  <Paragraphs>1</Paragraphs>
  <TotalTime>1</TotalTime>
  <ScaleCrop>false</ScaleCrop>
  <LinksUpToDate>false</LinksUpToDate>
  <CharactersWithSpaces>16647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2025-07-29T08:14:34Z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6D0656C9792A4006AA97328A9302BD6E_13</vt:lpwstr>
  </property>
  <property fmtid="{D5CDD505-2E9C-101B-9397-08002B2CF9AE}" pid="4" name="KSOTemplateDocerSaveRecord">
    <vt:lpwstr>eyJoZGlkIjoiYTY3NjljNDJiNDZmNDUzMTJiY2Y2OGFhMmE2ZDkwMDMiLCJ1c2VySWQiOiIzNzQ0OTk2MDAifQ==</vt:lpwstr>
  </property>
</Properties>
</file>