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6A77F">
      <w:pPr>
        <w:rPr>
          <w:rFonts w:eastAsia="仿宋_GB2312"/>
          <w:sz w:val="36"/>
          <w:szCs w:val="36"/>
          <w:highlight w:val="none"/>
        </w:rPr>
      </w:pPr>
    </w:p>
    <w:p w14:paraId="71C41EA3">
      <w:pPr>
        <w:pStyle w:val="44"/>
        <w:rPr>
          <w:highlight w:val="none"/>
        </w:rPr>
      </w:pPr>
    </w:p>
    <w:p w14:paraId="415BBED7">
      <w:pPr>
        <w:adjustRightInd w:val="0"/>
        <w:snapToGrid w:val="0"/>
        <w:jc w:val="center"/>
        <w:rPr>
          <w:rFonts w:eastAsia="方正小标宋_GBK"/>
          <w:bCs/>
          <w:sz w:val="72"/>
          <w:szCs w:val="72"/>
          <w:highlight w:val="none"/>
        </w:rPr>
      </w:pPr>
      <w:bookmarkStart w:id="0" w:name="_Toc4367"/>
      <w:bookmarkStart w:id="1" w:name="_Toc2079"/>
      <w:bookmarkStart w:id="2" w:name="_Toc31520"/>
      <w:bookmarkStart w:id="3" w:name="_Toc31483"/>
      <w:bookmarkStart w:id="4" w:name="_Toc16664"/>
      <w:bookmarkStart w:id="5" w:name="_Toc26594"/>
      <w:bookmarkStart w:id="6" w:name="_Toc26650"/>
      <w:bookmarkStart w:id="7" w:name="_Toc16851"/>
      <w:r>
        <w:rPr>
          <w:rFonts w:eastAsia="方正小标宋_GBK"/>
          <w:bCs/>
          <w:sz w:val="72"/>
          <w:szCs w:val="72"/>
          <w:highlight w:val="none"/>
        </w:rPr>
        <w:t>建设项目环境影响报告表</w:t>
      </w:r>
      <w:bookmarkEnd w:id="0"/>
      <w:bookmarkEnd w:id="1"/>
      <w:bookmarkEnd w:id="2"/>
      <w:bookmarkEnd w:id="3"/>
      <w:bookmarkEnd w:id="4"/>
      <w:bookmarkEnd w:id="5"/>
      <w:bookmarkEnd w:id="6"/>
      <w:bookmarkEnd w:id="7"/>
    </w:p>
    <w:p w14:paraId="22C05096">
      <w:pPr>
        <w:adjustRightInd w:val="0"/>
        <w:snapToGrid w:val="0"/>
        <w:spacing w:before="192" w:beforeLines="80"/>
        <w:jc w:val="center"/>
        <w:rPr>
          <w:rFonts w:ascii="宋体" w:hAnsi="宋体"/>
          <w:bCs/>
          <w:sz w:val="48"/>
          <w:szCs w:val="48"/>
          <w:highlight w:val="none"/>
        </w:rPr>
      </w:pPr>
      <w:r>
        <w:rPr>
          <w:rFonts w:ascii="宋体" w:hAnsi="宋体"/>
          <w:bCs/>
          <w:sz w:val="48"/>
          <w:szCs w:val="48"/>
          <w:highlight w:val="none"/>
        </w:rPr>
        <w:t>（污染影响类）</w:t>
      </w:r>
    </w:p>
    <w:p w14:paraId="27527A88">
      <w:pPr>
        <w:rPr>
          <w:highlight w:val="none"/>
        </w:rPr>
      </w:pPr>
    </w:p>
    <w:p w14:paraId="492B08DF">
      <w:pPr>
        <w:jc w:val="center"/>
        <w:rPr>
          <w:rFonts w:eastAsia="仿宋"/>
          <w:sz w:val="52"/>
          <w:szCs w:val="52"/>
          <w:highlight w:val="none"/>
        </w:rPr>
      </w:pPr>
    </w:p>
    <w:p w14:paraId="68B3C4C4">
      <w:pPr>
        <w:ind w:firstLine="1040"/>
        <w:rPr>
          <w:rFonts w:eastAsia="仿宋"/>
          <w:sz w:val="44"/>
          <w:szCs w:val="44"/>
          <w:highlight w:val="none"/>
        </w:rPr>
      </w:pPr>
    </w:p>
    <w:p w14:paraId="39499ED3">
      <w:pPr>
        <w:rPr>
          <w:rFonts w:eastAsia="仿宋"/>
          <w:sz w:val="44"/>
          <w:szCs w:val="44"/>
          <w:highlight w:val="none"/>
        </w:rPr>
      </w:pPr>
    </w:p>
    <w:p w14:paraId="39C326C1">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center"/>
        <w:textAlignment w:val="auto"/>
        <w:rPr>
          <w:rFonts w:hint="eastAsia" w:ascii="宋体" w:hAnsi="宋体" w:eastAsia="宋体"/>
          <w:sz w:val="36"/>
          <w:szCs w:val="36"/>
          <w:highlight w:val="none"/>
          <w:u w:val="single"/>
          <w:lang w:eastAsia="zh-CN"/>
        </w:rPr>
      </w:pPr>
      <w:r>
        <w:rPr>
          <w:rFonts w:ascii="宋体" w:hAnsi="宋体"/>
          <w:sz w:val="36"/>
          <w:szCs w:val="36"/>
          <w:highlight w:val="none"/>
        </w:rPr>
        <w:t>项目名称：</w:t>
      </w:r>
      <w:r>
        <w:rPr>
          <w:rFonts w:hint="eastAsia" w:ascii="宋体" w:hAnsi="宋体"/>
          <w:sz w:val="36"/>
          <w:szCs w:val="36"/>
          <w:highlight w:val="none"/>
          <w:u w:val="single"/>
          <w:lang w:eastAsia="zh-CN"/>
        </w:rPr>
        <w:t>乐昌市恒烨木炭加工厂建设项目</w:t>
      </w:r>
    </w:p>
    <w:p w14:paraId="1AE9E1C9">
      <w:pPr>
        <w:keepNext w:val="0"/>
        <w:keepLines w:val="0"/>
        <w:pageBreakBefore w:val="0"/>
        <w:widowControl w:val="0"/>
        <w:tabs>
          <w:tab w:val="right" w:pos="8124"/>
        </w:tabs>
        <w:kinsoku/>
        <w:wordWrap/>
        <w:overflowPunct/>
        <w:topLinePunct w:val="0"/>
        <w:autoSpaceDE/>
        <w:autoSpaceDN/>
        <w:bidi w:val="0"/>
        <w:adjustRightInd w:val="0"/>
        <w:snapToGrid w:val="0"/>
        <w:spacing w:line="360" w:lineRule="auto"/>
        <w:ind w:firstLine="720" w:firstLineChars="200"/>
        <w:jc w:val="both"/>
        <w:textAlignment w:val="auto"/>
        <w:rPr>
          <w:rFonts w:hint="default" w:ascii="宋体" w:hAnsi="宋体" w:eastAsia="宋体"/>
          <w:sz w:val="36"/>
          <w:szCs w:val="36"/>
          <w:highlight w:val="none"/>
          <w:lang w:val="en-US" w:eastAsia="zh-CN"/>
        </w:rPr>
      </w:pPr>
      <w:r>
        <w:rPr>
          <w:rFonts w:ascii="宋体" w:hAnsi="宋体"/>
          <w:sz w:val="36"/>
          <w:szCs w:val="36"/>
          <w:highlight w:val="none"/>
        </w:rPr>
        <w:t>建设单位（盖章）：</w:t>
      </w:r>
      <w:r>
        <w:rPr>
          <w:rFonts w:hint="eastAsia" w:ascii="宋体" w:hAnsi="宋体"/>
          <w:sz w:val="36"/>
          <w:szCs w:val="36"/>
          <w:highlight w:val="none"/>
          <w:u w:val="single"/>
          <w:lang w:val="en-US" w:eastAsia="zh-CN"/>
        </w:rPr>
        <w:t xml:space="preserve"> </w:t>
      </w:r>
      <w:r>
        <w:rPr>
          <w:rFonts w:hint="eastAsia" w:ascii="宋体" w:hAnsi="宋体"/>
          <w:sz w:val="36"/>
          <w:szCs w:val="36"/>
          <w:highlight w:val="none"/>
          <w:u w:val="single"/>
          <w:lang w:eastAsia="zh-CN"/>
        </w:rPr>
        <w:t>乐昌市恒烨木炭加工厂</w:t>
      </w:r>
      <w:r>
        <w:rPr>
          <w:rFonts w:hint="eastAsia" w:ascii="宋体" w:hAnsi="宋体"/>
          <w:sz w:val="36"/>
          <w:szCs w:val="36"/>
          <w:highlight w:val="none"/>
          <w:u w:val="single"/>
          <w:lang w:eastAsia="zh-CN"/>
        </w:rPr>
        <w:tab/>
      </w:r>
    </w:p>
    <w:p w14:paraId="68B7DFAE">
      <w:pPr>
        <w:keepNext w:val="0"/>
        <w:keepLines w:val="0"/>
        <w:pageBreakBefore w:val="0"/>
        <w:widowControl w:val="0"/>
        <w:tabs>
          <w:tab w:val="left" w:pos="8167"/>
        </w:tabs>
        <w:kinsoku/>
        <w:wordWrap/>
        <w:overflowPunct/>
        <w:topLinePunct w:val="0"/>
        <w:autoSpaceDE/>
        <w:autoSpaceDN/>
        <w:bidi w:val="0"/>
        <w:adjustRightInd w:val="0"/>
        <w:snapToGrid w:val="0"/>
        <w:spacing w:line="360" w:lineRule="auto"/>
        <w:ind w:firstLine="720" w:firstLineChars="200"/>
        <w:jc w:val="both"/>
        <w:textAlignment w:val="auto"/>
        <w:rPr>
          <w:rFonts w:hint="default" w:ascii="宋体" w:hAnsi="宋体" w:eastAsia="宋体"/>
          <w:sz w:val="36"/>
          <w:szCs w:val="36"/>
          <w:highlight w:val="none"/>
          <w:u w:val="single"/>
          <w:lang w:val="en-US" w:eastAsia="zh-CN"/>
        </w:rPr>
      </w:pPr>
      <w:r>
        <w:rPr>
          <w:rFonts w:ascii="宋体" w:hAnsi="宋体"/>
          <w:sz w:val="36"/>
          <w:szCs w:val="36"/>
          <w:highlight w:val="none"/>
        </w:rPr>
        <w:t>编制日期：</w:t>
      </w:r>
      <w:r>
        <w:rPr>
          <w:rFonts w:hint="eastAsia" w:ascii="宋体" w:hAnsi="宋体"/>
          <w:sz w:val="36"/>
          <w:szCs w:val="36"/>
          <w:highlight w:val="none"/>
          <w:u w:val="single"/>
          <w:lang w:val="en-US" w:eastAsia="zh-CN"/>
        </w:rPr>
        <w:t xml:space="preserve">           </w:t>
      </w:r>
      <w:r>
        <w:rPr>
          <w:rFonts w:ascii="宋体" w:hAnsi="宋体"/>
          <w:sz w:val="36"/>
          <w:szCs w:val="36"/>
          <w:highlight w:val="none"/>
          <w:u w:val="single"/>
        </w:rPr>
        <w:t>202</w:t>
      </w:r>
      <w:r>
        <w:rPr>
          <w:rFonts w:hint="eastAsia" w:ascii="宋体" w:hAnsi="宋体"/>
          <w:sz w:val="36"/>
          <w:szCs w:val="36"/>
          <w:highlight w:val="none"/>
          <w:u w:val="single"/>
          <w:lang w:val="en-US" w:eastAsia="zh-CN"/>
        </w:rPr>
        <w:t>5</w:t>
      </w:r>
      <w:r>
        <w:rPr>
          <w:rFonts w:ascii="宋体" w:hAnsi="宋体"/>
          <w:sz w:val="36"/>
          <w:szCs w:val="36"/>
          <w:highlight w:val="none"/>
          <w:u w:val="single"/>
        </w:rPr>
        <w:t>年</w:t>
      </w:r>
      <w:r>
        <w:rPr>
          <w:rFonts w:hint="eastAsia" w:ascii="宋体" w:hAnsi="宋体"/>
          <w:sz w:val="36"/>
          <w:szCs w:val="36"/>
          <w:highlight w:val="none"/>
          <w:u w:val="single"/>
          <w:lang w:val="en-US" w:eastAsia="zh-CN"/>
        </w:rPr>
        <w:t>8月</w:t>
      </w:r>
      <w:r>
        <w:rPr>
          <w:rFonts w:hint="eastAsia" w:ascii="宋体" w:hAnsi="宋体"/>
          <w:sz w:val="36"/>
          <w:szCs w:val="36"/>
          <w:highlight w:val="none"/>
          <w:u w:val="single"/>
          <w:lang w:val="en-US" w:eastAsia="zh-CN"/>
        </w:rPr>
        <w:tab/>
      </w:r>
      <w:r>
        <w:rPr>
          <w:rFonts w:hint="eastAsia" w:ascii="宋体" w:hAnsi="宋体"/>
          <w:sz w:val="36"/>
          <w:szCs w:val="36"/>
          <w:highlight w:val="none"/>
          <w:u w:val="single"/>
          <w:lang w:val="en-US" w:eastAsia="zh-CN"/>
        </w:rPr>
        <w:t xml:space="preserve"> </w:t>
      </w:r>
    </w:p>
    <w:p w14:paraId="392AE07C">
      <w:pPr>
        <w:adjustRightInd w:val="0"/>
        <w:snapToGrid w:val="0"/>
        <w:spacing w:line="288" w:lineRule="auto"/>
        <w:ind w:firstLine="1040"/>
        <w:rPr>
          <w:rFonts w:ascii="宋体" w:hAnsi="宋体"/>
          <w:sz w:val="36"/>
          <w:szCs w:val="36"/>
          <w:highlight w:val="none"/>
          <w:u w:val="single"/>
        </w:rPr>
      </w:pPr>
      <w:bookmarkStart w:id="8" w:name="_Hlk57884087"/>
    </w:p>
    <w:p w14:paraId="61628198">
      <w:pPr>
        <w:adjustRightInd w:val="0"/>
        <w:snapToGrid w:val="0"/>
        <w:spacing w:line="288" w:lineRule="auto"/>
        <w:ind w:firstLine="1040"/>
        <w:rPr>
          <w:rFonts w:ascii="宋体" w:hAnsi="宋体"/>
          <w:sz w:val="36"/>
          <w:szCs w:val="36"/>
          <w:highlight w:val="none"/>
        </w:rPr>
      </w:pPr>
    </w:p>
    <w:p w14:paraId="21B8992A">
      <w:pPr>
        <w:adjustRightInd w:val="0"/>
        <w:snapToGrid w:val="0"/>
        <w:spacing w:line="288" w:lineRule="auto"/>
        <w:ind w:firstLine="1040"/>
        <w:rPr>
          <w:rFonts w:ascii="宋体" w:hAnsi="宋体"/>
          <w:sz w:val="36"/>
          <w:szCs w:val="36"/>
          <w:highlight w:val="none"/>
        </w:rPr>
      </w:pPr>
    </w:p>
    <w:p w14:paraId="3ABA7851">
      <w:pPr>
        <w:adjustRightInd w:val="0"/>
        <w:snapToGrid w:val="0"/>
        <w:spacing w:line="288" w:lineRule="auto"/>
        <w:ind w:firstLine="1040"/>
        <w:rPr>
          <w:rFonts w:ascii="宋体" w:hAnsi="宋体"/>
          <w:sz w:val="36"/>
          <w:szCs w:val="36"/>
          <w:highlight w:val="none"/>
        </w:rPr>
      </w:pPr>
    </w:p>
    <w:p w14:paraId="0B7AF63A">
      <w:pPr>
        <w:pStyle w:val="44"/>
        <w:rPr>
          <w:rFonts w:hAnsi="宋体" w:cs="Times New Roman"/>
          <w:highlight w:val="none"/>
        </w:rPr>
      </w:pPr>
    </w:p>
    <w:p w14:paraId="5C62CC95">
      <w:pPr>
        <w:pStyle w:val="26"/>
        <w:ind w:left="420" w:hanging="420"/>
        <w:rPr>
          <w:rFonts w:ascii="宋体" w:hAnsi="宋体"/>
          <w:highlight w:val="none"/>
        </w:rPr>
      </w:pPr>
    </w:p>
    <w:p w14:paraId="270FE7E1">
      <w:pPr>
        <w:pStyle w:val="44"/>
        <w:rPr>
          <w:rFonts w:hAnsi="宋体" w:cs="Times New Roman"/>
          <w:highlight w:val="none"/>
        </w:rPr>
      </w:pPr>
    </w:p>
    <w:p w14:paraId="126C91D4">
      <w:pPr>
        <w:pStyle w:val="26"/>
        <w:ind w:left="420" w:hanging="420"/>
        <w:rPr>
          <w:rFonts w:ascii="宋体" w:hAnsi="宋体"/>
          <w:highlight w:val="none"/>
        </w:rPr>
      </w:pPr>
    </w:p>
    <w:bookmarkEnd w:id="8"/>
    <w:p w14:paraId="4C14A144">
      <w:pPr>
        <w:adjustRightInd w:val="0"/>
        <w:snapToGrid w:val="0"/>
        <w:spacing w:line="288" w:lineRule="auto"/>
        <w:jc w:val="center"/>
        <w:rPr>
          <w:rFonts w:ascii="宋体" w:hAnsi="宋体"/>
          <w:sz w:val="36"/>
          <w:szCs w:val="36"/>
          <w:highlight w:val="none"/>
        </w:rPr>
      </w:pPr>
    </w:p>
    <w:p w14:paraId="3F218918">
      <w:pPr>
        <w:adjustRightInd w:val="0"/>
        <w:snapToGrid w:val="0"/>
        <w:spacing w:line="288" w:lineRule="auto"/>
        <w:jc w:val="center"/>
        <w:rPr>
          <w:rFonts w:ascii="宋体" w:hAnsi="宋体"/>
          <w:sz w:val="36"/>
          <w:szCs w:val="36"/>
          <w:highlight w:val="none"/>
        </w:rPr>
      </w:pPr>
    </w:p>
    <w:p w14:paraId="48F224EC">
      <w:pPr>
        <w:adjustRightInd w:val="0"/>
        <w:snapToGrid w:val="0"/>
        <w:spacing w:line="288" w:lineRule="auto"/>
        <w:jc w:val="center"/>
        <w:rPr>
          <w:rFonts w:ascii="宋体" w:hAnsi="宋体"/>
          <w:sz w:val="36"/>
          <w:szCs w:val="36"/>
          <w:highlight w:val="none"/>
        </w:rPr>
      </w:pPr>
      <w:r>
        <w:rPr>
          <w:rFonts w:ascii="宋体" w:hAnsi="宋体"/>
          <w:sz w:val="36"/>
          <w:szCs w:val="36"/>
          <w:highlight w:val="none"/>
        </w:rPr>
        <w:t>中华人民共和国生态环境部制</w:t>
      </w:r>
    </w:p>
    <w:p w14:paraId="2C54CEEB">
      <w:pPr>
        <w:rPr>
          <w:rFonts w:ascii="宋体" w:hAnsi="宋体"/>
          <w:sz w:val="36"/>
          <w:szCs w:val="36"/>
          <w:highlight w:val="none"/>
        </w:rPr>
      </w:pPr>
      <w:r>
        <w:rPr>
          <w:rFonts w:ascii="宋体" w:hAnsi="宋体"/>
          <w:sz w:val="36"/>
          <w:szCs w:val="36"/>
          <w:highlight w:val="none"/>
        </w:rPr>
        <w:br w:type="page"/>
      </w:r>
    </w:p>
    <w:sdt>
      <w:sdtPr>
        <w:rPr>
          <w:b/>
          <w:bCs/>
          <w:sz w:val="36"/>
          <w:szCs w:val="36"/>
          <w:highlight w:val="none"/>
        </w:rPr>
        <w:id w:val="147482182"/>
        <w15:color w:val="DBDBDB"/>
        <w:docPartObj>
          <w:docPartGallery w:val="Table of Contents"/>
          <w:docPartUnique/>
        </w:docPartObj>
      </w:sdtPr>
      <w:sdtEndPr>
        <w:rPr>
          <w:b/>
          <w:bCs/>
          <w:sz w:val="24"/>
          <w:szCs w:val="24"/>
          <w:highlight w:val="none"/>
        </w:rPr>
      </w:sdtEndPr>
      <w:sdtContent>
        <w:p w14:paraId="04FDADAB">
          <w:pPr>
            <w:spacing w:line="360" w:lineRule="auto"/>
            <w:jc w:val="center"/>
            <w:rPr>
              <w:b/>
              <w:bCs/>
              <w:sz w:val="36"/>
              <w:szCs w:val="36"/>
              <w:highlight w:val="none"/>
            </w:rPr>
          </w:pPr>
          <w:r>
            <w:rPr>
              <w:b/>
              <w:bCs/>
              <w:sz w:val="36"/>
              <w:szCs w:val="36"/>
              <w:highlight w:val="none"/>
            </w:rPr>
            <w:t>目 录</w:t>
          </w:r>
        </w:p>
        <w:p w14:paraId="4278FD81">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TOC \o "1-3" \h \z \u </w:instrText>
          </w:r>
          <w:r>
            <w:rPr>
              <w:rFonts w:hint="eastAsia" w:ascii="宋体" w:hAnsi="宋体" w:eastAsia="宋体" w:cs="宋体"/>
              <w:b w:val="0"/>
              <w:bCs w:val="0"/>
              <w:sz w:val="28"/>
              <w:szCs w:val="28"/>
              <w:highlight w:val="none"/>
            </w:rPr>
            <w:fldChar w:fldCharType="separate"/>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_Toc18771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一、建设项目基本情况</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_Toc18771 \h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z w:val="28"/>
              <w:szCs w:val="28"/>
              <w:highlight w:val="none"/>
            </w:rPr>
            <w:t>1</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582C1E21">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_Toc4333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二、建设项目工程分析</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_Toc4333 \h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z w:val="28"/>
              <w:szCs w:val="28"/>
              <w:highlight w:val="none"/>
            </w:rPr>
            <w:t>11</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5402D751">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_Toc4286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三、区域环境质量现状、环境保护目标及评价标准</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_Toc4286 \h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z w:val="28"/>
              <w:szCs w:val="28"/>
              <w:highlight w:val="none"/>
            </w:rPr>
            <w:t>20</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7530E137">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_Toc2778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四、主要环境影响和保护措施</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_Toc2778 \h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z w:val="28"/>
              <w:szCs w:val="28"/>
              <w:highlight w:val="none"/>
            </w:rPr>
            <w:t>28</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4EC463FA">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_Toc30604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五、环境保护措施监督检查清单</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_Toc30604 \h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z w:val="28"/>
              <w:szCs w:val="28"/>
              <w:highlight w:val="none"/>
            </w:rPr>
            <w:t>56</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69147E02">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_Toc2388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六、结论</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_Toc2388 \h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z w:val="28"/>
              <w:szCs w:val="28"/>
              <w:highlight w:val="none"/>
            </w:rPr>
            <w:t>58</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2A89B1FD">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_Toc20877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附图1 本项目</w:t>
          </w:r>
          <w:r>
            <w:rPr>
              <w:rFonts w:hint="default" w:ascii="Times New Roman" w:hAnsi="Times New Roman" w:eastAsia="宋体" w:cs="Times New Roman"/>
              <w:b w:val="0"/>
              <w:bCs w:val="0"/>
              <w:snapToGrid w:val="0"/>
              <w:sz w:val="28"/>
              <w:szCs w:val="28"/>
              <w:highlight w:val="none"/>
              <w:lang w:val="en-US" w:eastAsia="zh-CN"/>
            </w:rPr>
            <w:t>地</w:t>
          </w:r>
          <w:r>
            <w:rPr>
              <w:rFonts w:hint="default" w:ascii="Times New Roman" w:hAnsi="Times New Roman" w:eastAsia="宋体" w:cs="Times New Roman"/>
              <w:b w:val="0"/>
              <w:bCs w:val="0"/>
              <w:snapToGrid w:val="0"/>
              <w:sz w:val="28"/>
              <w:szCs w:val="28"/>
              <w:highlight w:val="none"/>
            </w:rPr>
            <w:t>理位置图</w:t>
          </w:r>
          <w:bookmarkStart w:id="30" w:name="_GoBack"/>
          <w:bookmarkEnd w:id="30"/>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_Toc20877 \h </w:instrText>
          </w:r>
          <w:r>
            <w:rPr>
              <w:rFonts w:hint="default" w:ascii="Times New Roman" w:hAnsi="Times New Roman" w:eastAsia="宋体" w:cs="Times New Roman"/>
              <w:b w:val="0"/>
              <w:bCs w:val="0"/>
              <w:sz w:val="28"/>
              <w:szCs w:val="28"/>
              <w:highlight w:val="none"/>
            </w:rPr>
            <w:fldChar w:fldCharType="separate"/>
          </w:r>
          <w:r>
            <w:rPr>
              <w:b/>
            </w:rPr>
            <w:t>错误！未定义书签。</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3D3FBC86">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_Toc12446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附图</w:t>
          </w:r>
          <w:r>
            <w:rPr>
              <w:rFonts w:hint="default" w:ascii="Times New Roman" w:hAnsi="Times New Roman" w:eastAsia="宋体" w:cs="Times New Roman"/>
              <w:b w:val="0"/>
              <w:bCs w:val="0"/>
              <w:snapToGrid w:val="0"/>
              <w:sz w:val="28"/>
              <w:szCs w:val="28"/>
              <w:highlight w:val="none"/>
              <w:lang w:val="en-US" w:eastAsia="zh-CN"/>
            </w:rPr>
            <w:t>2</w:t>
          </w:r>
          <w:r>
            <w:rPr>
              <w:rFonts w:hint="default" w:ascii="Times New Roman" w:hAnsi="Times New Roman" w:eastAsia="宋体" w:cs="Times New Roman"/>
              <w:b w:val="0"/>
              <w:bCs w:val="0"/>
              <w:snapToGrid w:val="0"/>
              <w:sz w:val="28"/>
              <w:szCs w:val="28"/>
              <w:highlight w:val="none"/>
            </w:rPr>
            <w:t xml:space="preserve"> 项目</w:t>
          </w:r>
          <w:r>
            <w:rPr>
              <w:rFonts w:hint="default" w:ascii="Times New Roman" w:hAnsi="Times New Roman" w:eastAsia="宋体" w:cs="Times New Roman"/>
              <w:b w:val="0"/>
              <w:bCs w:val="0"/>
              <w:snapToGrid w:val="0"/>
              <w:sz w:val="28"/>
              <w:szCs w:val="28"/>
              <w:highlight w:val="none"/>
              <w:lang w:val="en-US" w:eastAsia="zh-CN"/>
            </w:rPr>
            <w:t>四至</w:t>
          </w:r>
          <w:r>
            <w:rPr>
              <w:rFonts w:hint="default" w:ascii="Times New Roman" w:hAnsi="Times New Roman" w:eastAsia="宋体" w:cs="Times New Roman"/>
              <w:b w:val="0"/>
              <w:bCs w:val="0"/>
              <w:snapToGrid w:val="0"/>
              <w:sz w:val="28"/>
              <w:szCs w:val="28"/>
              <w:highlight w:val="none"/>
            </w:rPr>
            <w:t>图</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_Toc12446 \h </w:instrText>
          </w:r>
          <w:r>
            <w:rPr>
              <w:rFonts w:hint="default" w:ascii="Times New Roman" w:hAnsi="Times New Roman" w:eastAsia="宋体" w:cs="Times New Roman"/>
              <w:b w:val="0"/>
              <w:bCs w:val="0"/>
              <w:sz w:val="28"/>
              <w:szCs w:val="28"/>
              <w:highlight w:val="none"/>
            </w:rPr>
            <w:fldChar w:fldCharType="separate"/>
          </w:r>
          <w:r>
            <w:rPr>
              <w:b/>
            </w:rPr>
            <w:t>错误！未定义书签。</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4621AE44">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_Toc6888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附图</w:t>
          </w:r>
          <w:r>
            <w:rPr>
              <w:rFonts w:hint="default" w:ascii="Times New Roman" w:hAnsi="Times New Roman" w:eastAsia="宋体" w:cs="Times New Roman"/>
              <w:b w:val="0"/>
              <w:bCs w:val="0"/>
              <w:snapToGrid w:val="0"/>
              <w:sz w:val="28"/>
              <w:szCs w:val="28"/>
              <w:highlight w:val="none"/>
              <w:lang w:val="en-US" w:eastAsia="zh-CN"/>
            </w:rPr>
            <w:t>3</w:t>
          </w:r>
          <w:r>
            <w:rPr>
              <w:rFonts w:hint="default" w:ascii="Times New Roman" w:hAnsi="Times New Roman" w:eastAsia="宋体" w:cs="Times New Roman"/>
              <w:b w:val="0"/>
              <w:bCs w:val="0"/>
              <w:snapToGrid w:val="0"/>
              <w:sz w:val="28"/>
              <w:szCs w:val="28"/>
              <w:highlight w:val="none"/>
            </w:rPr>
            <w:t xml:space="preserve"> 韶关市环境管控单元图</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_Toc6888 \h </w:instrText>
          </w:r>
          <w:r>
            <w:rPr>
              <w:rFonts w:hint="default" w:ascii="Times New Roman" w:hAnsi="Times New Roman" w:eastAsia="宋体" w:cs="Times New Roman"/>
              <w:b w:val="0"/>
              <w:bCs w:val="0"/>
              <w:sz w:val="28"/>
              <w:szCs w:val="28"/>
              <w:highlight w:val="none"/>
            </w:rPr>
            <w:fldChar w:fldCharType="separate"/>
          </w:r>
          <w:r>
            <w:rPr>
              <w:b/>
            </w:rPr>
            <w:t>错误！未定义书签。</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282AB1CE">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_Toc31110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附图</w:t>
          </w:r>
          <w:r>
            <w:rPr>
              <w:rFonts w:hint="default" w:ascii="Times New Roman" w:hAnsi="Times New Roman" w:eastAsia="宋体" w:cs="Times New Roman"/>
              <w:b w:val="0"/>
              <w:bCs w:val="0"/>
              <w:snapToGrid w:val="0"/>
              <w:sz w:val="28"/>
              <w:szCs w:val="28"/>
              <w:highlight w:val="none"/>
              <w:lang w:val="en-US" w:eastAsia="zh-CN"/>
            </w:rPr>
            <w:t>4</w:t>
          </w:r>
          <w:r>
            <w:rPr>
              <w:rFonts w:hint="default" w:ascii="Times New Roman" w:hAnsi="Times New Roman" w:eastAsia="宋体" w:cs="Times New Roman"/>
              <w:b w:val="0"/>
              <w:bCs w:val="0"/>
              <w:snapToGrid w:val="0"/>
              <w:sz w:val="28"/>
              <w:szCs w:val="28"/>
              <w:highlight w:val="none"/>
            </w:rPr>
            <w:t xml:space="preserve"> 本项目平面布置图</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_Toc31110 \h </w:instrText>
          </w:r>
          <w:r>
            <w:rPr>
              <w:rFonts w:hint="default" w:ascii="Times New Roman" w:hAnsi="Times New Roman" w:eastAsia="宋体" w:cs="Times New Roman"/>
              <w:b w:val="0"/>
              <w:bCs w:val="0"/>
              <w:sz w:val="28"/>
              <w:szCs w:val="28"/>
              <w:highlight w:val="none"/>
            </w:rPr>
            <w:fldChar w:fldCharType="separate"/>
          </w:r>
          <w:r>
            <w:rPr>
              <w:b/>
            </w:rPr>
            <w:t>错误！未定义书签。</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63AD44FE">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_Toc10602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kern w:val="0"/>
              <w:sz w:val="28"/>
              <w:szCs w:val="28"/>
              <w:highlight w:val="none"/>
            </w:rPr>
            <w:t>附图</w:t>
          </w:r>
          <w:r>
            <w:rPr>
              <w:rFonts w:hint="default" w:ascii="Times New Roman" w:hAnsi="Times New Roman" w:eastAsia="宋体" w:cs="Times New Roman"/>
              <w:b w:val="0"/>
              <w:bCs w:val="0"/>
              <w:snapToGrid w:val="0"/>
              <w:kern w:val="0"/>
              <w:sz w:val="28"/>
              <w:szCs w:val="28"/>
              <w:highlight w:val="none"/>
              <w:lang w:val="en-US" w:eastAsia="zh-CN"/>
            </w:rPr>
            <w:t>5</w:t>
          </w:r>
          <w:r>
            <w:rPr>
              <w:rFonts w:hint="default" w:ascii="Times New Roman" w:hAnsi="Times New Roman" w:eastAsia="宋体" w:cs="Times New Roman"/>
              <w:b w:val="0"/>
              <w:bCs w:val="0"/>
              <w:snapToGrid w:val="0"/>
              <w:kern w:val="0"/>
              <w:sz w:val="28"/>
              <w:szCs w:val="28"/>
              <w:highlight w:val="none"/>
            </w:rPr>
            <w:t xml:space="preserve"> 项目所在区域水系图</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_Toc10602 \h </w:instrText>
          </w:r>
          <w:r>
            <w:rPr>
              <w:rFonts w:hint="default" w:ascii="Times New Roman" w:hAnsi="Times New Roman" w:eastAsia="宋体" w:cs="Times New Roman"/>
              <w:b w:val="0"/>
              <w:bCs w:val="0"/>
              <w:sz w:val="28"/>
              <w:szCs w:val="28"/>
              <w:highlight w:val="none"/>
            </w:rPr>
            <w:fldChar w:fldCharType="separate"/>
          </w:r>
          <w:r>
            <w:rPr>
              <w:b/>
            </w:rPr>
            <w:t>错误！未定义书签。</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2DCB822A">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_Toc2549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附图</w:t>
          </w:r>
          <w:r>
            <w:rPr>
              <w:rFonts w:hint="default" w:ascii="Times New Roman" w:hAnsi="Times New Roman" w:eastAsia="宋体" w:cs="Times New Roman"/>
              <w:b w:val="0"/>
              <w:bCs w:val="0"/>
              <w:snapToGrid w:val="0"/>
              <w:sz w:val="28"/>
              <w:szCs w:val="28"/>
              <w:highlight w:val="none"/>
              <w:lang w:val="en-US" w:eastAsia="zh-CN"/>
            </w:rPr>
            <w:t>6</w:t>
          </w:r>
          <w:r>
            <w:rPr>
              <w:rFonts w:hint="default" w:ascii="Times New Roman" w:hAnsi="Times New Roman" w:eastAsia="宋体" w:cs="Times New Roman"/>
              <w:b w:val="0"/>
              <w:bCs w:val="0"/>
              <w:snapToGrid w:val="0"/>
              <w:sz w:val="28"/>
              <w:szCs w:val="28"/>
              <w:highlight w:val="none"/>
            </w:rPr>
            <w:t xml:space="preserve"> 环境保护目标分布图</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_Toc2549 \h </w:instrText>
          </w:r>
          <w:r>
            <w:rPr>
              <w:rFonts w:hint="default" w:ascii="Times New Roman" w:hAnsi="Times New Roman" w:eastAsia="宋体" w:cs="Times New Roman"/>
              <w:b w:val="0"/>
              <w:bCs w:val="0"/>
              <w:sz w:val="28"/>
              <w:szCs w:val="28"/>
              <w:highlight w:val="none"/>
            </w:rPr>
            <w:fldChar w:fldCharType="separate"/>
          </w:r>
          <w:r>
            <w:rPr>
              <w:b/>
            </w:rPr>
            <w:t>错误！未定义书签。</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67DE1003">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_Toc23905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lang w:val="en-US" w:eastAsia="zh-CN"/>
            </w:rPr>
            <w:t>附件1 项目备案证及营业执照</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_Toc23905 \h </w:instrText>
          </w:r>
          <w:r>
            <w:rPr>
              <w:rFonts w:hint="default" w:ascii="Times New Roman" w:hAnsi="Times New Roman" w:eastAsia="宋体" w:cs="Times New Roman"/>
              <w:b w:val="0"/>
              <w:bCs w:val="0"/>
              <w:sz w:val="28"/>
              <w:szCs w:val="28"/>
              <w:highlight w:val="none"/>
            </w:rPr>
            <w:fldChar w:fldCharType="separate"/>
          </w:r>
          <w:r>
            <w:rPr>
              <w:b/>
            </w:rPr>
            <w:t>错误！未定义书签。</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55F00616">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_Toc29408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附件</w:t>
          </w:r>
          <w:r>
            <w:rPr>
              <w:rFonts w:hint="default" w:ascii="Times New Roman" w:hAnsi="Times New Roman" w:eastAsia="宋体" w:cs="Times New Roman"/>
              <w:b w:val="0"/>
              <w:bCs w:val="0"/>
              <w:snapToGrid w:val="0"/>
              <w:sz w:val="28"/>
              <w:szCs w:val="28"/>
              <w:highlight w:val="none"/>
              <w:lang w:val="en-US" w:eastAsia="zh-CN"/>
            </w:rPr>
            <w:t xml:space="preserve">2 </w:t>
          </w:r>
          <w:r>
            <w:rPr>
              <w:rFonts w:hint="default" w:ascii="Times New Roman" w:hAnsi="Times New Roman" w:eastAsia="宋体" w:cs="Times New Roman"/>
              <w:b w:val="0"/>
              <w:bCs w:val="0"/>
              <w:snapToGrid w:val="0"/>
              <w:sz w:val="28"/>
              <w:szCs w:val="28"/>
              <w:highlight w:val="none"/>
            </w:rPr>
            <w:t xml:space="preserve"> </w:t>
          </w:r>
          <w:r>
            <w:rPr>
              <w:rFonts w:hint="default" w:ascii="Times New Roman" w:hAnsi="Times New Roman" w:eastAsia="宋体" w:cs="Times New Roman"/>
              <w:b w:val="0"/>
              <w:bCs w:val="0"/>
              <w:snapToGrid w:val="0"/>
              <w:sz w:val="28"/>
              <w:szCs w:val="28"/>
              <w:highlight w:val="none"/>
              <w:lang w:val="en-US" w:eastAsia="zh-CN"/>
            </w:rPr>
            <w:t>租赁合同</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_Toc29408 \h </w:instrText>
          </w:r>
          <w:r>
            <w:rPr>
              <w:rFonts w:hint="default" w:ascii="Times New Roman" w:hAnsi="Times New Roman" w:eastAsia="宋体" w:cs="Times New Roman"/>
              <w:b w:val="0"/>
              <w:bCs w:val="0"/>
              <w:sz w:val="28"/>
              <w:szCs w:val="28"/>
              <w:highlight w:val="none"/>
            </w:rPr>
            <w:fldChar w:fldCharType="separate"/>
          </w:r>
          <w:r>
            <w:rPr>
              <w:b/>
            </w:rPr>
            <w:t>错误！未定义书签。</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2D4064C1">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_Toc30283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附件</w:t>
          </w:r>
          <w:r>
            <w:rPr>
              <w:rFonts w:hint="default" w:ascii="Times New Roman" w:hAnsi="Times New Roman" w:eastAsia="宋体" w:cs="Times New Roman"/>
              <w:b w:val="0"/>
              <w:bCs w:val="0"/>
              <w:snapToGrid w:val="0"/>
              <w:sz w:val="28"/>
              <w:szCs w:val="28"/>
              <w:highlight w:val="none"/>
              <w:lang w:val="en-US" w:eastAsia="zh-CN"/>
            </w:rPr>
            <w:t xml:space="preserve">3 </w:t>
          </w:r>
          <w:r>
            <w:rPr>
              <w:rFonts w:hint="default" w:ascii="Times New Roman" w:hAnsi="Times New Roman" w:eastAsia="宋体" w:cs="Times New Roman"/>
              <w:b w:val="0"/>
              <w:bCs w:val="0"/>
              <w:snapToGrid w:val="0"/>
              <w:sz w:val="28"/>
              <w:szCs w:val="28"/>
              <w:highlight w:val="none"/>
            </w:rPr>
            <w:t xml:space="preserve"> </w:t>
          </w:r>
          <w:r>
            <w:rPr>
              <w:rFonts w:hint="default" w:ascii="Times New Roman" w:hAnsi="Times New Roman" w:eastAsia="宋体" w:cs="Times New Roman"/>
              <w:b w:val="0"/>
              <w:bCs w:val="0"/>
              <w:snapToGrid w:val="0"/>
              <w:sz w:val="28"/>
              <w:szCs w:val="28"/>
              <w:highlight w:val="none"/>
              <w:lang w:val="en-US" w:eastAsia="zh-CN"/>
            </w:rPr>
            <w:t>选址所在地块产权证</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_Toc30283 \h </w:instrText>
          </w:r>
          <w:r>
            <w:rPr>
              <w:rFonts w:hint="default" w:ascii="Times New Roman" w:hAnsi="Times New Roman" w:eastAsia="宋体" w:cs="Times New Roman"/>
              <w:b w:val="0"/>
              <w:bCs w:val="0"/>
              <w:sz w:val="28"/>
              <w:szCs w:val="28"/>
              <w:highlight w:val="none"/>
            </w:rPr>
            <w:fldChar w:fldCharType="separate"/>
          </w:r>
          <w:r>
            <w:rPr>
              <w:b/>
            </w:rPr>
            <w:t>错误！未定义书签。</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38AAB863">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_Toc1734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附件</w:t>
          </w:r>
          <w:r>
            <w:rPr>
              <w:rFonts w:hint="default" w:ascii="Times New Roman" w:hAnsi="Times New Roman" w:eastAsia="宋体" w:cs="Times New Roman"/>
              <w:b w:val="0"/>
              <w:bCs w:val="0"/>
              <w:snapToGrid w:val="0"/>
              <w:sz w:val="28"/>
              <w:szCs w:val="28"/>
              <w:highlight w:val="none"/>
              <w:lang w:val="en-US" w:eastAsia="zh-CN"/>
            </w:rPr>
            <w:t xml:space="preserve">4 </w:t>
          </w:r>
          <w:r>
            <w:rPr>
              <w:rFonts w:hint="default" w:ascii="Times New Roman" w:hAnsi="Times New Roman" w:eastAsia="宋体" w:cs="Times New Roman"/>
              <w:b w:val="0"/>
              <w:bCs w:val="0"/>
              <w:snapToGrid w:val="0"/>
              <w:sz w:val="28"/>
              <w:szCs w:val="28"/>
              <w:highlight w:val="none"/>
            </w:rPr>
            <w:t xml:space="preserve"> </w:t>
          </w:r>
          <w:r>
            <w:rPr>
              <w:rFonts w:hint="default" w:ascii="Times New Roman" w:hAnsi="Times New Roman" w:eastAsia="宋体" w:cs="Times New Roman"/>
              <w:b w:val="0"/>
              <w:bCs w:val="0"/>
              <w:snapToGrid w:val="0"/>
              <w:sz w:val="28"/>
              <w:szCs w:val="28"/>
              <w:highlight w:val="none"/>
              <w:lang w:val="en-US" w:eastAsia="zh-CN"/>
            </w:rPr>
            <w:t>检测报告（广东韶测 第 （25051212）号）</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_Toc1734 \h </w:instrText>
          </w:r>
          <w:r>
            <w:rPr>
              <w:rFonts w:hint="default" w:ascii="Times New Roman" w:hAnsi="Times New Roman" w:eastAsia="宋体" w:cs="Times New Roman"/>
              <w:b w:val="0"/>
              <w:bCs w:val="0"/>
              <w:sz w:val="28"/>
              <w:szCs w:val="28"/>
              <w:highlight w:val="none"/>
            </w:rPr>
            <w:fldChar w:fldCharType="separate"/>
          </w:r>
          <w:r>
            <w:rPr>
              <w:b/>
            </w:rPr>
            <w:t>错误！未定义书签。</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3597F724">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_Toc4562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napToGrid w:val="0"/>
              <w:sz w:val="28"/>
              <w:szCs w:val="28"/>
              <w:highlight w:val="none"/>
            </w:rPr>
            <w:t>附件</w:t>
          </w:r>
          <w:r>
            <w:rPr>
              <w:rFonts w:hint="default" w:ascii="Times New Roman" w:hAnsi="Times New Roman" w:eastAsia="宋体" w:cs="Times New Roman"/>
              <w:b w:val="0"/>
              <w:bCs w:val="0"/>
              <w:snapToGrid w:val="0"/>
              <w:sz w:val="28"/>
              <w:szCs w:val="28"/>
              <w:highlight w:val="none"/>
              <w:lang w:val="en-US" w:eastAsia="zh-CN"/>
            </w:rPr>
            <w:t>5</w:t>
          </w:r>
          <w:r>
            <w:rPr>
              <w:rFonts w:hint="default" w:ascii="Times New Roman" w:hAnsi="Times New Roman" w:eastAsia="宋体" w:cs="Times New Roman"/>
              <w:b w:val="0"/>
              <w:bCs w:val="0"/>
              <w:snapToGrid w:val="0"/>
              <w:sz w:val="28"/>
              <w:szCs w:val="28"/>
              <w:highlight w:val="none"/>
            </w:rPr>
            <w:t xml:space="preserve"> </w:t>
          </w:r>
          <w:r>
            <w:rPr>
              <w:rFonts w:hint="default" w:ascii="Times New Roman" w:hAnsi="Times New Roman" w:eastAsia="宋体" w:cs="Times New Roman"/>
              <w:b w:val="0"/>
              <w:bCs w:val="0"/>
              <w:snapToGrid w:val="0"/>
              <w:sz w:val="28"/>
              <w:szCs w:val="28"/>
              <w:highlight w:val="none"/>
              <w:lang w:val="en-US" w:eastAsia="zh-CN"/>
            </w:rPr>
            <w:t>关于申请分配乐昌市恒烨木炭加工厂建设项目氮氧化物总量指标的复函</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_Toc4562 \h </w:instrText>
          </w:r>
          <w:r>
            <w:rPr>
              <w:rFonts w:hint="default" w:ascii="Times New Roman" w:hAnsi="Times New Roman" w:eastAsia="宋体" w:cs="Times New Roman"/>
              <w:b w:val="0"/>
              <w:bCs w:val="0"/>
              <w:sz w:val="28"/>
              <w:szCs w:val="28"/>
              <w:highlight w:val="none"/>
            </w:rPr>
            <w:fldChar w:fldCharType="separate"/>
          </w:r>
          <w:r>
            <w:rPr>
              <w:b/>
            </w:rPr>
            <w:t>错误！未定义书签。</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4499B652">
          <w:pPr>
            <w:pStyle w:val="25"/>
            <w:keepNext w:val="0"/>
            <w:keepLines w:val="0"/>
            <w:pageBreakBefore w:val="0"/>
            <w:widowControl w:val="0"/>
            <w:tabs>
              <w:tab w:val="right" w:leader="dot" w:pos="8844"/>
            </w:tabs>
            <w:kinsoku/>
            <w:wordWrap/>
            <w:overflowPunct/>
            <w:topLinePunct w:val="0"/>
            <w:autoSpaceDE/>
            <w:autoSpaceDN/>
            <w:bidi w:val="0"/>
            <w:adjustRightInd w:val="0"/>
            <w:snapToGrid w:val="0"/>
            <w:textAlignment w:val="auto"/>
            <w:rPr>
              <w:rFonts w:hint="eastAsia" w:ascii="宋体" w:hAnsi="宋体" w:eastAsia="宋体" w:cs="宋体"/>
              <w:b w:val="0"/>
              <w:bCs w:val="0"/>
              <w:sz w:val="28"/>
              <w:szCs w:val="28"/>
              <w:highlight w:val="none"/>
            </w:rPr>
          </w:pP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HYPERLINK \l _Toc21796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z w:val="28"/>
              <w:szCs w:val="28"/>
              <w:highlight w:val="none"/>
            </w:rPr>
            <w:t>附表</w:t>
          </w:r>
          <w:r>
            <w:rPr>
              <w:rFonts w:hint="default" w:ascii="Times New Roman" w:hAnsi="Times New Roman" w:eastAsia="宋体" w:cs="Times New Roman"/>
              <w:b w:val="0"/>
              <w:bCs w:val="0"/>
              <w:sz w:val="28"/>
              <w:szCs w:val="28"/>
              <w:highlight w:val="none"/>
            </w:rPr>
            <w:tab/>
          </w:r>
          <w:r>
            <w:rPr>
              <w:rFonts w:hint="default" w:ascii="Times New Roman" w:hAnsi="Times New Roman" w:eastAsia="宋体" w:cs="Times New Roman"/>
              <w:b w:val="0"/>
              <w:bCs w:val="0"/>
              <w:sz w:val="28"/>
              <w:szCs w:val="28"/>
              <w:highlight w:val="none"/>
            </w:rPr>
            <w:fldChar w:fldCharType="begin"/>
          </w:r>
          <w:r>
            <w:rPr>
              <w:rFonts w:hint="default" w:ascii="Times New Roman" w:hAnsi="Times New Roman" w:eastAsia="宋体" w:cs="Times New Roman"/>
              <w:b w:val="0"/>
              <w:bCs w:val="0"/>
              <w:sz w:val="28"/>
              <w:szCs w:val="28"/>
              <w:highlight w:val="none"/>
            </w:rPr>
            <w:instrText xml:space="preserve"> PAGEREF _Toc21796 \h </w:instrText>
          </w:r>
          <w:r>
            <w:rPr>
              <w:rFonts w:hint="default" w:ascii="Times New Roman" w:hAnsi="Times New Roman" w:eastAsia="宋体" w:cs="Times New Roman"/>
              <w:b w:val="0"/>
              <w:bCs w:val="0"/>
              <w:sz w:val="28"/>
              <w:szCs w:val="28"/>
              <w:highlight w:val="none"/>
            </w:rPr>
            <w:fldChar w:fldCharType="separate"/>
          </w:r>
          <w:r>
            <w:rPr>
              <w:rFonts w:hint="default" w:ascii="Times New Roman" w:hAnsi="Times New Roman" w:eastAsia="宋体" w:cs="Times New Roman"/>
              <w:b w:val="0"/>
              <w:bCs w:val="0"/>
              <w:sz w:val="28"/>
              <w:szCs w:val="28"/>
              <w:highlight w:val="none"/>
            </w:rPr>
            <w:t>59</w:t>
          </w:r>
          <w:r>
            <w:rPr>
              <w:rFonts w:hint="default" w:ascii="Times New Roman" w:hAnsi="Times New Roman" w:eastAsia="宋体" w:cs="Times New Roman"/>
              <w:b w:val="0"/>
              <w:bCs w:val="0"/>
              <w:sz w:val="28"/>
              <w:szCs w:val="28"/>
              <w:highlight w:val="none"/>
            </w:rPr>
            <w:fldChar w:fldCharType="end"/>
          </w:r>
          <w:r>
            <w:rPr>
              <w:rFonts w:hint="default" w:ascii="Times New Roman" w:hAnsi="Times New Roman" w:eastAsia="宋体" w:cs="Times New Roman"/>
              <w:b w:val="0"/>
              <w:bCs w:val="0"/>
              <w:sz w:val="28"/>
              <w:szCs w:val="28"/>
              <w:highlight w:val="none"/>
            </w:rPr>
            <w:fldChar w:fldCharType="end"/>
          </w:r>
        </w:p>
        <w:p w14:paraId="77DBEBB4">
          <w:pPr>
            <w:keepNext w:val="0"/>
            <w:keepLines w:val="0"/>
            <w:pageBreakBefore w:val="0"/>
            <w:widowControl w:val="0"/>
            <w:kinsoku/>
            <w:wordWrap/>
            <w:overflowPunct/>
            <w:topLinePunct w:val="0"/>
            <w:autoSpaceDE/>
            <w:autoSpaceDN/>
            <w:bidi w:val="0"/>
            <w:adjustRightInd w:val="0"/>
            <w:snapToGrid w:val="0"/>
            <w:spacing w:line="360" w:lineRule="auto"/>
            <w:ind w:left="480" w:hanging="560" w:hangingChars="200"/>
            <w:textAlignment w:val="auto"/>
            <w:rPr>
              <w:sz w:val="24"/>
              <w:highlight w:val="none"/>
            </w:rPr>
          </w:pPr>
          <w:r>
            <w:rPr>
              <w:rFonts w:hint="eastAsia" w:ascii="宋体" w:hAnsi="宋体" w:eastAsia="宋体" w:cs="宋体"/>
              <w:b w:val="0"/>
              <w:bCs w:val="0"/>
              <w:sz w:val="28"/>
              <w:szCs w:val="28"/>
              <w:highlight w:val="none"/>
            </w:rPr>
            <w:fldChar w:fldCharType="end"/>
          </w:r>
        </w:p>
      </w:sdtContent>
    </w:sdt>
    <w:p w14:paraId="308EFC18">
      <w:pPr>
        <w:rPr>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03F7C736">
      <w:pPr>
        <w:pStyle w:val="29"/>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Times New Roman" w:hAnsi="Times New Roman" w:eastAsia="黑体"/>
          <w:snapToGrid w:val="0"/>
          <w:sz w:val="30"/>
          <w:szCs w:val="30"/>
          <w:highlight w:val="none"/>
        </w:rPr>
      </w:pPr>
      <w:bookmarkStart w:id="9" w:name="_Toc20042"/>
      <w:bookmarkStart w:id="10" w:name="_Toc18771"/>
      <w:bookmarkStart w:id="11" w:name="_Toc16019"/>
      <w:r>
        <w:rPr>
          <w:rFonts w:ascii="Times New Roman" w:hAnsi="Times New Roman" w:eastAsia="黑体"/>
          <w:snapToGrid w:val="0"/>
          <w:sz w:val="30"/>
          <w:szCs w:val="30"/>
          <w:highlight w:val="none"/>
        </w:rPr>
        <w:t>一、建设项目</w:t>
      </w:r>
      <w:r>
        <w:rPr>
          <w:rFonts w:ascii="Times New Roman" w:hAnsi="Times New Roman" w:eastAsia="黑体" w:cs="Times New Roman"/>
          <w:snapToGrid w:val="0"/>
          <w:sz w:val="30"/>
          <w:szCs w:val="30"/>
          <w:highlight w:val="none"/>
        </w:rPr>
        <w:t>基本情</w:t>
      </w:r>
      <w:r>
        <w:rPr>
          <w:rFonts w:ascii="Times New Roman" w:hAnsi="Times New Roman" w:eastAsia="黑体"/>
          <w:snapToGrid w:val="0"/>
          <w:sz w:val="30"/>
          <w:szCs w:val="30"/>
          <w:highlight w:val="none"/>
        </w:rPr>
        <w:t>况</w:t>
      </w:r>
      <w:bookmarkEnd w:id="9"/>
      <w:bookmarkEnd w:id="10"/>
    </w:p>
    <w:tbl>
      <w:tblPr>
        <w:tblStyle w:val="34"/>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68"/>
        <w:gridCol w:w="1307"/>
        <w:gridCol w:w="2044"/>
        <w:gridCol w:w="2212"/>
        <w:gridCol w:w="3115"/>
      </w:tblGrid>
      <w:tr w14:paraId="55148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5" w:type="dxa"/>
            <w:gridSpan w:val="2"/>
            <w:tcMar>
              <w:top w:w="16" w:type="dxa"/>
              <w:left w:w="16" w:type="dxa"/>
              <w:right w:w="16" w:type="dxa"/>
            </w:tcMar>
            <w:vAlign w:val="center"/>
          </w:tcPr>
          <w:p w14:paraId="178A5DFE">
            <w:pPr>
              <w:adjustRightInd w:val="0"/>
              <w:snapToGrid w:val="0"/>
              <w:jc w:val="center"/>
              <w:rPr>
                <w:sz w:val="24"/>
                <w:highlight w:val="none"/>
              </w:rPr>
            </w:pPr>
            <w:r>
              <w:rPr>
                <w:sz w:val="24"/>
                <w:highlight w:val="none"/>
              </w:rPr>
              <w:t>建设项目名称</w:t>
            </w:r>
          </w:p>
        </w:tc>
        <w:tc>
          <w:tcPr>
            <w:tcW w:w="7371" w:type="dxa"/>
            <w:gridSpan w:val="3"/>
            <w:vAlign w:val="center"/>
          </w:tcPr>
          <w:p w14:paraId="48B558BF">
            <w:pPr>
              <w:adjustRightInd w:val="0"/>
              <w:snapToGrid w:val="0"/>
              <w:jc w:val="center"/>
              <w:rPr>
                <w:sz w:val="24"/>
                <w:highlight w:val="none"/>
              </w:rPr>
            </w:pPr>
            <w:r>
              <w:rPr>
                <w:rFonts w:hint="eastAsia"/>
                <w:sz w:val="24"/>
                <w:highlight w:val="none"/>
                <w:lang w:eastAsia="zh-CN"/>
              </w:rPr>
              <w:t>乐昌市恒烨木炭加工厂建设项目</w:t>
            </w:r>
          </w:p>
        </w:tc>
      </w:tr>
      <w:tr w14:paraId="7CAFA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975" w:type="dxa"/>
            <w:gridSpan w:val="2"/>
            <w:tcMar>
              <w:top w:w="16" w:type="dxa"/>
              <w:left w:w="16" w:type="dxa"/>
              <w:right w:w="16" w:type="dxa"/>
            </w:tcMar>
            <w:vAlign w:val="center"/>
          </w:tcPr>
          <w:p w14:paraId="58997D27">
            <w:pPr>
              <w:adjustRightInd w:val="0"/>
              <w:snapToGrid w:val="0"/>
              <w:jc w:val="center"/>
              <w:rPr>
                <w:sz w:val="24"/>
                <w:highlight w:val="none"/>
              </w:rPr>
            </w:pPr>
            <w:r>
              <w:rPr>
                <w:sz w:val="24"/>
                <w:highlight w:val="none"/>
              </w:rPr>
              <w:t>项目代码</w:t>
            </w:r>
          </w:p>
        </w:tc>
        <w:tc>
          <w:tcPr>
            <w:tcW w:w="7371" w:type="dxa"/>
            <w:gridSpan w:val="3"/>
            <w:vAlign w:val="center"/>
          </w:tcPr>
          <w:p w14:paraId="66CFFD4D">
            <w:pPr>
              <w:adjustRightInd w:val="0"/>
              <w:snapToGrid w:val="0"/>
              <w:jc w:val="center"/>
              <w:rPr>
                <w:rFonts w:hint="default" w:eastAsia="宋体"/>
                <w:sz w:val="24"/>
                <w:highlight w:val="none"/>
                <w:lang w:val="en-US" w:eastAsia="zh-CN"/>
              </w:rPr>
            </w:pPr>
            <w:r>
              <w:rPr>
                <w:rFonts w:hint="eastAsia"/>
                <w:sz w:val="24"/>
                <w:highlight w:val="none"/>
                <w:lang w:val="en-US" w:eastAsia="zh-CN"/>
              </w:rPr>
              <w:t>2501-440281-04-01-605022</w:t>
            </w:r>
          </w:p>
        </w:tc>
      </w:tr>
      <w:tr w14:paraId="23228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5" w:type="dxa"/>
            <w:gridSpan w:val="2"/>
            <w:tcMar>
              <w:top w:w="16" w:type="dxa"/>
              <w:left w:w="16" w:type="dxa"/>
              <w:right w:w="16" w:type="dxa"/>
            </w:tcMar>
            <w:vAlign w:val="center"/>
          </w:tcPr>
          <w:p w14:paraId="4522D1F8">
            <w:pPr>
              <w:adjustRightInd w:val="0"/>
              <w:snapToGrid w:val="0"/>
              <w:jc w:val="center"/>
              <w:rPr>
                <w:sz w:val="24"/>
                <w:highlight w:val="none"/>
              </w:rPr>
            </w:pPr>
            <w:r>
              <w:rPr>
                <w:sz w:val="24"/>
                <w:highlight w:val="none"/>
              </w:rPr>
              <w:t>建设单位联系人</w:t>
            </w:r>
          </w:p>
        </w:tc>
        <w:tc>
          <w:tcPr>
            <w:tcW w:w="2044" w:type="dxa"/>
            <w:vAlign w:val="center"/>
          </w:tcPr>
          <w:p w14:paraId="17F85C89">
            <w:pPr>
              <w:adjustRightInd w:val="0"/>
              <w:snapToGrid w:val="0"/>
              <w:jc w:val="center"/>
              <w:rPr>
                <w:rFonts w:hint="default" w:eastAsia="宋体"/>
                <w:sz w:val="24"/>
                <w:highlight w:val="none"/>
                <w:lang w:val="en-US" w:eastAsia="zh-CN"/>
              </w:rPr>
            </w:pPr>
            <w:r>
              <w:rPr>
                <w:rFonts w:hint="eastAsia"/>
                <w:sz w:val="24"/>
                <w:highlight w:val="none"/>
                <w:lang w:val="en-US" w:eastAsia="zh-CN"/>
              </w:rPr>
              <w:t>邓**</w:t>
            </w:r>
          </w:p>
        </w:tc>
        <w:tc>
          <w:tcPr>
            <w:tcW w:w="2212" w:type="dxa"/>
            <w:vAlign w:val="center"/>
          </w:tcPr>
          <w:p w14:paraId="062DEDE6">
            <w:pPr>
              <w:adjustRightInd w:val="0"/>
              <w:snapToGrid w:val="0"/>
              <w:jc w:val="center"/>
              <w:rPr>
                <w:sz w:val="24"/>
                <w:highlight w:val="none"/>
              </w:rPr>
            </w:pPr>
            <w:r>
              <w:rPr>
                <w:sz w:val="24"/>
                <w:highlight w:val="none"/>
              </w:rPr>
              <w:t>联系方式</w:t>
            </w:r>
          </w:p>
        </w:tc>
        <w:tc>
          <w:tcPr>
            <w:tcW w:w="3115" w:type="dxa"/>
            <w:vAlign w:val="center"/>
          </w:tcPr>
          <w:p w14:paraId="2A87095F">
            <w:pPr>
              <w:adjustRightInd w:val="0"/>
              <w:snapToGrid w:val="0"/>
              <w:jc w:val="center"/>
              <w:rPr>
                <w:rFonts w:hint="default" w:eastAsia="宋体"/>
                <w:sz w:val="24"/>
                <w:highlight w:val="none"/>
                <w:lang w:val="en-US" w:eastAsia="zh-CN"/>
              </w:rPr>
            </w:pPr>
            <w:r>
              <w:rPr>
                <w:rFonts w:hint="eastAsia"/>
                <w:sz w:val="24"/>
                <w:highlight w:val="none"/>
                <w:lang w:val="en-US" w:eastAsia="zh-CN"/>
              </w:rPr>
              <w:t>152*****658</w:t>
            </w:r>
          </w:p>
        </w:tc>
      </w:tr>
      <w:tr w14:paraId="252BB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1975" w:type="dxa"/>
            <w:gridSpan w:val="2"/>
            <w:tcMar>
              <w:top w:w="16" w:type="dxa"/>
              <w:left w:w="16" w:type="dxa"/>
              <w:right w:w="16" w:type="dxa"/>
            </w:tcMar>
            <w:vAlign w:val="center"/>
          </w:tcPr>
          <w:p w14:paraId="1549AC29">
            <w:pPr>
              <w:adjustRightInd w:val="0"/>
              <w:snapToGrid w:val="0"/>
              <w:jc w:val="center"/>
              <w:rPr>
                <w:sz w:val="24"/>
                <w:highlight w:val="none"/>
              </w:rPr>
            </w:pPr>
            <w:r>
              <w:rPr>
                <w:sz w:val="24"/>
                <w:highlight w:val="none"/>
              </w:rPr>
              <w:t>建设地点</w:t>
            </w:r>
          </w:p>
        </w:tc>
        <w:tc>
          <w:tcPr>
            <w:tcW w:w="7371" w:type="dxa"/>
            <w:gridSpan w:val="3"/>
            <w:vAlign w:val="center"/>
          </w:tcPr>
          <w:p w14:paraId="14D5B612">
            <w:pPr>
              <w:adjustRightInd w:val="0"/>
              <w:snapToGrid w:val="0"/>
              <w:jc w:val="center"/>
              <w:rPr>
                <w:rFonts w:hint="default" w:eastAsia="宋体"/>
                <w:sz w:val="24"/>
                <w:highlight w:val="none"/>
                <w:lang w:val="en-US" w:eastAsia="zh-CN"/>
              </w:rPr>
            </w:pPr>
            <w:r>
              <w:rPr>
                <w:rFonts w:hint="eastAsia"/>
                <w:sz w:val="24"/>
                <w:highlight w:val="none"/>
                <w:lang w:eastAsia="zh-CN"/>
              </w:rPr>
              <w:t>乐昌市乐城街道西联村老虎头（原乐舜电力发展有限公司内）</w:t>
            </w:r>
          </w:p>
        </w:tc>
      </w:tr>
      <w:tr w14:paraId="372AD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5" w:type="dxa"/>
            <w:gridSpan w:val="2"/>
            <w:tcMar>
              <w:top w:w="16" w:type="dxa"/>
              <w:left w:w="16" w:type="dxa"/>
              <w:right w:w="16" w:type="dxa"/>
            </w:tcMar>
            <w:vAlign w:val="center"/>
          </w:tcPr>
          <w:p w14:paraId="79AF01E7">
            <w:pPr>
              <w:adjustRightInd w:val="0"/>
              <w:snapToGrid w:val="0"/>
              <w:jc w:val="center"/>
              <w:rPr>
                <w:sz w:val="24"/>
                <w:highlight w:val="none"/>
              </w:rPr>
            </w:pPr>
            <w:r>
              <w:rPr>
                <w:sz w:val="24"/>
                <w:highlight w:val="none"/>
              </w:rPr>
              <w:t>地理坐标</w:t>
            </w:r>
          </w:p>
        </w:tc>
        <w:tc>
          <w:tcPr>
            <w:tcW w:w="7371" w:type="dxa"/>
            <w:gridSpan w:val="3"/>
            <w:vAlign w:val="center"/>
          </w:tcPr>
          <w:p w14:paraId="0D5E900D">
            <w:pPr>
              <w:jc w:val="center"/>
              <w:rPr>
                <w:sz w:val="24"/>
                <w:highlight w:val="none"/>
              </w:rPr>
            </w:pPr>
            <w:r>
              <w:rPr>
                <w:sz w:val="24"/>
                <w:highlight w:val="none"/>
              </w:rPr>
              <w:t>（</w:t>
            </w:r>
            <w:r>
              <w:rPr>
                <w:sz w:val="24"/>
                <w:highlight w:val="none"/>
                <w:u w:val="single"/>
              </w:rPr>
              <w:t>11</w:t>
            </w:r>
            <w:r>
              <w:rPr>
                <w:rFonts w:hint="eastAsia"/>
                <w:sz w:val="24"/>
                <w:highlight w:val="none"/>
                <w:u w:val="single"/>
                <w:lang w:val="en-US" w:eastAsia="zh-CN"/>
              </w:rPr>
              <w:t>3</w:t>
            </w:r>
            <w:r>
              <w:rPr>
                <w:sz w:val="24"/>
                <w:highlight w:val="none"/>
              </w:rPr>
              <w:t>度</w:t>
            </w:r>
            <w:r>
              <w:rPr>
                <w:sz w:val="24"/>
                <w:highlight w:val="none"/>
                <w:u w:val="single"/>
              </w:rPr>
              <w:t xml:space="preserve"> </w:t>
            </w:r>
            <w:r>
              <w:rPr>
                <w:rFonts w:hint="eastAsia"/>
                <w:sz w:val="24"/>
                <w:highlight w:val="none"/>
                <w:u w:val="single"/>
                <w:lang w:val="en-US" w:eastAsia="zh-CN"/>
              </w:rPr>
              <w:t>19</w:t>
            </w:r>
            <w:r>
              <w:rPr>
                <w:sz w:val="24"/>
                <w:highlight w:val="none"/>
                <w:u w:val="single"/>
              </w:rPr>
              <w:t xml:space="preserve"> </w:t>
            </w:r>
            <w:r>
              <w:rPr>
                <w:sz w:val="24"/>
                <w:highlight w:val="none"/>
              </w:rPr>
              <w:t>分</w:t>
            </w:r>
            <w:r>
              <w:rPr>
                <w:sz w:val="24"/>
                <w:highlight w:val="none"/>
                <w:u w:val="single"/>
              </w:rPr>
              <w:t xml:space="preserve"> </w:t>
            </w:r>
            <w:r>
              <w:rPr>
                <w:rFonts w:hint="eastAsia"/>
                <w:sz w:val="24"/>
                <w:highlight w:val="none"/>
                <w:u w:val="single"/>
                <w:lang w:val="en-US" w:eastAsia="zh-CN"/>
              </w:rPr>
              <w:t>29.094</w:t>
            </w:r>
            <w:r>
              <w:rPr>
                <w:sz w:val="24"/>
                <w:highlight w:val="none"/>
                <w:u w:val="single"/>
              </w:rPr>
              <w:t xml:space="preserve"> </w:t>
            </w:r>
            <w:r>
              <w:rPr>
                <w:sz w:val="24"/>
                <w:highlight w:val="none"/>
              </w:rPr>
              <w:t>秒，</w:t>
            </w:r>
            <w:r>
              <w:rPr>
                <w:sz w:val="24"/>
                <w:highlight w:val="none"/>
                <w:u w:val="single"/>
              </w:rPr>
              <w:t xml:space="preserve"> 25 </w:t>
            </w:r>
            <w:r>
              <w:rPr>
                <w:sz w:val="24"/>
                <w:highlight w:val="none"/>
              </w:rPr>
              <w:t>度</w:t>
            </w:r>
            <w:r>
              <w:rPr>
                <w:sz w:val="24"/>
                <w:highlight w:val="none"/>
                <w:u w:val="single"/>
              </w:rPr>
              <w:t xml:space="preserve"> </w:t>
            </w:r>
            <w:r>
              <w:rPr>
                <w:rFonts w:hint="eastAsia"/>
                <w:sz w:val="24"/>
                <w:highlight w:val="none"/>
                <w:u w:val="single"/>
                <w:lang w:val="en-US" w:eastAsia="zh-CN"/>
              </w:rPr>
              <w:t>08</w:t>
            </w:r>
            <w:r>
              <w:rPr>
                <w:sz w:val="24"/>
                <w:highlight w:val="none"/>
                <w:u w:val="single"/>
              </w:rPr>
              <w:t xml:space="preserve"> </w:t>
            </w:r>
            <w:r>
              <w:rPr>
                <w:sz w:val="24"/>
                <w:highlight w:val="none"/>
              </w:rPr>
              <w:t>分</w:t>
            </w:r>
            <w:r>
              <w:rPr>
                <w:sz w:val="24"/>
                <w:highlight w:val="none"/>
                <w:u w:val="single"/>
              </w:rPr>
              <w:t xml:space="preserve"> </w:t>
            </w:r>
            <w:r>
              <w:rPr>
                <w:rFonts w:hint="eastAsia"/>
                <w:sz w:val="24"/>
                <w:highlight w:val="none"/>
                <w:u w:val="single"/>
                <w:lang w:val="en-US" w:eastAsia="zh-CN"/>
              </w:rPr>
              <w:t>27.553</w:t>
            </w:r>
            <w:r>
              <w:rPr>
                <w:sz w:val="24"/>
                <w:highlight w:val="none"/>
              </w:rPr>
              <w:t>秒）</w:t>
            </w:r>
          </w:p>
        </w:tc>
      </w:tr>
      <w:tr w14:paraId="6FDBC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75" w:type="dxa"/>
            <w:gridSpan w:val="2"/>
            <w:tcMar>
              <w:top w:w="16" w:type="dxa"/>
              <w:left w:w="16" w:type="dxa"/>
              <w:right w:w="16" w:type="dxa"/>
            </w:tcMar>
            <w:vAlign w:val="center"/>
          </w:tcPr>
          <w:p w14:paraId="09499575">
            <w:pPr>
              <w:adjustRightInd w:val="0"/>
              <w:snapToGrid w:val="0"/>
              <w:jc w:val="center"/>
              <w:rPr>
                <w:sz w:val="24"/>
                <w:highlight w:val="none"/>
              </w:rPr>
            </w:pPr>
            <w:r>
              <w:rPr>
                <w:sz w:val="24"/>
                <w:highlight w:val="none"/>
              </w:rPr>
              <w:t>国民经济</w:t>
            </w:r>
          </w:p>
          <w:p w14:paraId="221FE08C">
            <w:pPr>
              <w:adjustRightInd w:val="0"/>
              <w:snapToGrid w:val="0"/>
              <w:jc w:val="center"/>
              <w:rPr>
                <w:sz w:val="24"/>
                <w:highlight w:val="none"/>
              </w:rPr>
            </w:pPr>
            <w:r>
              <w:rPr>
                <w:sz w:val="24"/>
                <w:highlight w:val="none"/>
              </w:rPr>
              <w:t>行业类别</w:t>
            </w:r>
          </w:p>
        </w:tc>
        <w:tc>
          <w:tcPr>
            <w:tcW w:w="2044" w:type="dxa"/>
            <w:vAlign w:val="center"/>
          </w:tcPr>
          <w:p w14:paraId="48F9447B">
            <w:pPr>
              <w:adjustRightInd w:val="0"/>
              <w:snapToGrid w:val="0"/>
              <w:jc w:val="center"/>
              <w:rPr>
                <w:sz w:val="24"/>
                <w:highlight w:val="none"/>
              </w:rPr>
            </w:pPr>
            <w:r>
              <w:rPr>
                <w:color w:val="000000"/>
                <w:position w:val="-28"/>
                <w:sz w:val="24"/>
                <w:highlight w:val="none"/>
              </w:rPr>
              <w:t>C4220</w:t>
            </w:r>
            <w:r>
              <w:rPr>
                <w:rFonts w:hint="eastAsia"/>
                <w:color w:val="000000"/>
                <w:position w:val="-28"/>
                <w:sz w:val="24"/>
                <w:highlight w:val="none"/>
              </w:rPr>
              <w:t>非金属废料和碎屑加工处理</w:t>
            </w:r>
          </w:p>
        </w:tc>
        <w:tc>
          <w:tcPr>
            <w:tcW w:w="2212" w:type="dxa"/>
            <w:vAlign w:val="center"/>
          </w:tcPr>
          <w:p w14:paraId="410C98EF">
            <w:pPr>
              <w:adjustRightInd w:val="0"/>
              <w:snapToGrid w:val="0"/>
              <w:jc w:val="center"/>
              <w:rPr>
                <w:sz w:val="24"/>
                <w:highlight w:val="none"/>
              </w:rPr>
            </w:pPr>
            <w:bookmarkStart w:id="12" w:name="_Hlk49843745"/>
            <w:r>
              <w:rPr>
                <w:sz w:val="24"/>
                <w:highlight w:val="none"/>
              </w:rPr>
              <w:t>建设项目</w:t>
            </w:r>
          </w:p>
          <w:p w14:paraId="3171B3B9">
            <w:pPr>
              <w:adjustRightInd w:val="0"/>
              <w:snapToGrid w:val="0"/>
              <w:jc w:val="center"/>
              <w:rPr>
                <w:sz w:val="24"/>
                <w:highlight w:val="none"/>
              </w:rPr>
            </w:pPr>
            <w:r>
              <w:rPr>
                <w:sz w:val="24"/>
                <w:highlight w:val="none"/>
              </w:rPr>
              <w:t>行业类别</w:t>
            </w:r>
            <w:bookmarkEnd w:id="12"/>
          </w:p>
        </w:tc>
        <w:tc>
          <w:tcPr>
            <w:tcW w:w="3115" w:type="dxa"/>
            <w:vAlign w:val="center"/>
          </w:tcPr>
          <w:p w14:paraId="63980A4E">
            <w:pPr>
              <w:adjustRightInd w:val="0"/>
              <w:snapToGrid w:val="0"/>
              <w:jc w:val="left"/>
              <w:rPr>
                <w:sz w:val="24"/>
                <w:highlight w:val="none"/>
              </w:rPr>
            </w:pPr>
            <w:r>
              <w:rPr>
                <w:rFonts w:hint="eastAsia"/>
                <w:sz w:val="24"/>
                <w:highlight w:val="none"/>
                <w:lang w:val="en-US" w:eastAsia="zh-CN"/>
              </w:rPr>
              <w:t xml:space="preserve">三十九 </w:t>
            </w:r>
            <w:r>
              <w:rPr>
                <w:sz w:val="24"/>
                <w:highlight w:val="none"/>
              </w:rPr>
              <w:t>85.</w:t>
            </w:r>
            <w:r>
              <w:rPr>
                <w:rFonts w:hint="eastAsia"/>
                <w:sz w:val="24"/>
                <w:highlight w:val="none"/>
              </w:rPr>
              <w:t>非金属废料和碎屑加工</w:t>
            </w:r>
            <w:r>
              <w:rPr>
                <w:rFonts w:hint="eastAsia"/>
                <w:sz w:val="24"/>
                <w:highlight w:val="none"/>
                <w:lang w:val="en-US" w:eastAsia="zh-CN"/>
              </w:rPr>
              <w:t>处理</w:t>
            </w:r>
            <w:r>
              <w:rPr>
                <w:sz w:val="24"/>
                <w:highlight w:val="none"/>
              </w:rPr>
              <w:t xml:space="preserve"> 422</w:t>
            </w:r>
            <w:r>
              <w:rPr>
                <w:rFonts w:hint="eastAsia"/>
                <w:sz w:val="24"/>
                <w:highlight w:val="none"/>
              </w:rPr>
              <w:t>；</w:t>
            </w:r>
          </w:p>
        </w:tc>
      </w:tr>
      <w:tr w14:paraId="607E4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75" w:type="dxa"/>
            <w:gridSpan w:val="2"/>
            <w:tcMar>
              <w:top w:w="16" w:type="dxa"/>
              <w:left w:w="16" w:type="dxa"/>
              <w:right w:w="16" w:type="dxa"/>
            </w:tcMar>
            <w:vAlign w:val="center"/>
          </w:tcPr>
          <w:p w14:paraId="4A6F3D37">
            <w:pPr>
              <w:adjustRightInd w:val="0"/>
              <w:snapToGrid w:val="0"/>
              <w:jc w:val="center"/>
              <w:rPr>
                <w:sz w:val="24"/>
                <w:highlight w:val="none"/>
              </w:rPr>
            </w:pPr>
            <w:r>
              <w:rPr>
                <w:sz w:val="24"/>
                <w:highlight w:val="none"/>
              </w:rPr>
              <w:t>建设性质</w:t>
            </w:r>
          </w:p>
        </w:tc>
        <w:tc>
          <w:tcPr>
            <w:tcW w:w="2044" w:type="dxa"/>
            <w:vAlign w:val="center"/>
          </w:tcPr>
          <w:p w14:paraId="5A0C14B8">
            <w:pPr>
              <w:jc w:val="left"/>
              <w:rPr>
                <w:sz w:val="24"/>
                <w:highlight w:val="none"/>
              </w:rPr>
            </w:pPr>
            <w:r>
              <w:rPr>
                <w:sz w:val="24"/>
                <w:highlight w:val="none"/>
              </w:rPr>
              <w:sym w:font="Wingdings 2" w:char="0052"/>
            </w:r>
            <w:r>
              <w:rPr>
                <w:sz w:val="24"/>
                <w:highlight w:val="none"/>
              </w:rPr>
              <w:t>新建（迁建）</w:t>
            </w:r>
          </w:p>
          <w:p w14:paraId="3A7A24BE">
            <w:pPr>
              <w:jc w:val="left"/>
              <w:rPr>
                <w:sz w:val="24"/>
                <w:highlight w:val="none"/>
              </w:rPr>
            </w:pPr>
            <w:r>
              <w:rPr>
                <w:rFonts w:hint="eastAsia"/>
                <w:sz w:val="24"/>
                <w:highlight w:val="none"/>
                <w:lang w:eastAsia="zh-CN"/>
              </w:rPr>
              <w:t>□</w:t>
            </w:r>
            <w:r>
              <w:rPr>
                <w:sz w:val="24"/>
                <w:highlight w:val="none"/>
              </w:rPr>
              <w:t>改建</w:t>
            </w:r>
          </w:p>
          <w:p w14:paraId="157ABB12">
            <w:pPr>
              <w:jc w:val="left"/>
              <w:rPr>
                <w:sz w:val="24"/>
                <w:highlight w:val="none"/>
              </w:rPr>
            </w:pPr>
            <w:r>
              <w:rPr>
                <w:rFonts w:hint="eastAsia"/>
                <w:sz w:val="24"/>
                <w:highlight w:val="none"/>
                <w:lang w:eastAsia="zh-CN"/>
              </w:rPr>
              <w:t>□</w:t>
            </w:r>
            <w:r>
              <w:rPr>
                <w:sz w:val="24"/>
                <w:highlight w:val="none"/>
              </w:rPr>
              <w:t>扩建</w:t>
            </w:r>
          </w:p>
          <w:p w14:paraId="17EAFA95">
            <w:pPr>
              <w:jc w:val="left"/>
              <w:rPr>
                <w:sz w:val="24"/>
                <w:highlight w:val="none"/>
              </w:rPr>
            </w:pPr>
            <w:r>
              <w:rPr>
                <w:rFonts w:hint="eastAsia"/>
                <w:sz w:val="24"/>
                <w:highlight w:val="none"/>
                <w:lang w:eastAsia="zh-CN"/>
              </w:rPr>
              <w:t>□</w:t>
            </w:r>
            <w:r>
              <w:rPr>
                <w:sz w:val="24"/>
                <w:highlight w:val="none"/>
              </w:rPr>
              <w:t>技术改造</w:t>
            </w:r>
          </w:p>
        </w:tc>
        <w:tc>
          <w:tcPr>
            <w:tcW w:w="2212" w:type="dxa"/>
            <w:vAlign w:val="center"/>
          </w:tcPr>
          <w:p w14:paraId="4C2E83A0">
            <w:pPr>
              <w:adjustRightInd w:val="0"/>
              <w:snapToGrid w:val="0"/>
              <w:jc w:val="center"/>
              <w:rPr>
                <w:sz w:val="24"/>
                <w:highlight w:val="none"/>
              </w:rPr>
            </w:pPr>
            <w:r>
              <w:rPr>
                <w:sz w:val="24"/>
                <w:highlight w:val="none"/>
              </w:rPr>
              <w:t>建设项目</w:t>
            </w:r>
          </w:p>
          <w:p w14:paraId="29541345">
            <w:pPr>
              <w:adjustRightInd w:val="0"/>
              <w:snapToGrid w:val="0"/>
              <w:jc w:val="center"/>
              <w:rPr>
                <w:sz w:val="24"/>
                <w:highlight w:val="none"/>
              </w:rPr>
            </w:pPr>
            <w:r>
              <w:rPr>
                <w:sz w:val="24"/>
                <w:highlight w:val="none"/>
              </w:rPr>
              <w:t>申报情形</w:t>
            </w:r>
          </w:p>
        </w:tc>
        <w:tc>
          <w:tcPr>
            <w:tcW w:w="3115" w:type="dxa"/>
            <w:vAlign w:val="center"/>
          </w:tcPr>
          <w:p w14:paraId="2F89B771">
            <w:pPr>
              <w:jc w:val="left"/>
              <w:rPr>
                <w:sz w:val="24"/>
                <w:highlight w:val="none"/>
              </w:rPr>
            </w:pPr>
            <w:r>
              <w:rPr>
                <w:sz w:val="24"/>
                <w:highlight w:val="none"/>
              </w:rPr>
              <w:sym w:font="Wingdings 2" w:char="0052"/>
            </w:r>
            <w:r>
              <w:rPr>
                <w:sz w:val="24"/>
                <w:highlight w:val="none"/>
              </w:rPr>
              <w:t xml:space="preserve">首次申报项目             </w:t>
            </w:r>
          </w:p>
          <w:p w14:paraId="3B73E87F">
            <w:pPr>
              <w:jc w:val="left"/>
              <w:rPr>
                <w:sz w:val="24"/>
                <w:highlight w:val="none"/>
              </w:rPr>
            </w:pPr>
            <w:r>
              <w:rPr>
                <w:rFonts w:hint="eastAsia"/>
                <w:sz w:val="24"/>
                <w:highlight w:val="none"/>
                <w:lang w:eastAsia="zh-CN"/>
              </w:rPr>
              <w:t>□</w:t>
            </w:r>
            <w:r>
              <w:rPr>
                <w:sz w:val="24"/>
                <w:highlight w:val="none"/>
              </w:rPr>
              <w:t>不予批准后再次申报项目</w:t>
            </w:r>
          </w:p>
          <w:p w14:paraId="172D97E3">
            <w:pPr>
              <w:jc w:val="left"/>
              <w:rPr>
                <w:sz w:val="24"/>
                <w:highlight w:val="none"/>
              </w:rPr>
            </w:pPr>
            <w:r>
              <w:rPr>
                <w:rFonts w:hint="eastAsia"/>
                <w:sz w:val="24"/>
                <w:highlight w:val="none"/>
                <w:lang w:eastAsia="zh-CN"/>
              </w:rPr>
              <w:t>□</w:t>
            </w:r>
            <w:r>
              <w:rPr>
                <w:sz w:val="24"/>
                <w:highlight w:val="none"/>
              </w:rPr>
              <w:t xml:space="preserve">超五年重新审核项目     </w:t>
            </w:r>
          </w:p>
          <w:p w14:paraId="3FAA6458">
            <w:pPr>
              <w:jc w:val="left"/>
              <w:rPr>
                <w:sz w:val="24"/>
                <w:highlight w:val="none"/>
              </w:rPr>
            </w:pPr>
            <w:r>
              <w:rPr>
                <w:rFonts w:hint="eastAsia"/>
                <w:sz w:val="24"/>
                <w:highlight w:val="none"/>
                <w:lang w:eastAsia="zh-CN"/>
              </w:rPr>
              <w:t>□</w:t>
            </w:r>
            <w:r>
              <w:rPr>
                <w:sz w:val="24"/>
                <w:highlight w:val="none"/>
              </w:rPr>
              <w:t>重大变动重新报批项目</w:t>
            </w:r>
          </w:p>
        </w:tc>
      </w:tr>
      <w:tr w14:paraId="50B51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75" w:type="dxa"/>
            <w:gridSpan w:val="2"/>
            <w:tcMar>
              <w:top w:w="16" w:type="dxa"/>
              <w:left w:w="16" w:type="dxa"/>
              <w:right w:w="16" w:type="dxa"/>
            </w:tcMar>
            <w:vAlign w:val="center"/>
          </w:tcPr>
          <w:p w14:paraId="34E5130E">
            <w:pPr>
              <w:adjustRightInd w:val="0"/>
              <w:snapToGrid w:val="0"/>
              <w:jc w:val="center"/>
              <w:rPr>
                <w:sz w:val="24"/>
                <w:highlight w:val="none"/>
              </w:rPr>
            </w:pPr>
            <w:r>
              <w:rPr>
                <w:sz w:val="24"/>
                <w:highlight w:val="none"/>
              </w:rPr>
              <w:t>项目审批（核准/</w:t>
            </w:r>
          </w:p>
          <w:p w14:paraId="33CA4597">
            <w:pPr>
              <w:adjustRightInd w:val="0"/>
              <w:snapToGrid w:val="0"/>
              <w:jc w:val="center"/>
              <w:rPr>
                <w:sz w:val="24"/>
                <w:highlight w:val="none"/>
              </w:rPr>
            </w:pPr>
            <w:r>
              <w:rPr>
                <w:sz w:val="24"/>
                <w:highlight w:val="none"/>
              </w:rPr>
              <w:t>备案）部门（选填）</w:t>
            </w:r>
          </w:p>
        </w:tc>
        <w:tc>
          <w:tcPr>
            <w:tcW w:w="2044" w:type="dxa"/>
            <w:vAlign w:val="center"/>
          </w:tcPr>
          <w:p w14:paraId="2192D73E">
            <w:pPr>
              <w:adjustRightInd w:val="0"/>
              <w:snapToGrid w:val="0"/>
              <w:jc w:val="center"/>
              <w:rPr>
                <w:sz w:val="24"/>
                <w:highlight w:val="none"/>
              </w:rPr>
            </w:pPr>
            <w:r>
              <w:rPr>
                <w:rFonts w:hint="eastAsia"/>
                <w:sz w:val="24"/>
                <w:highlight w:val="none"/>
                <w:lang w:val="en-US" w:eastAsia="zh-CN"/>
              </w:rPr>
              <w:t>乐昌</w:t>
            </w:r>
            <w:r>
              <w:rPr>
                <w:sz w:val="24"/>
                <w:highlight w:val="none"/>
              </w:rPr>
              <w:t>市发展和改革局</w:t>
            </w:r>
          </w:p>
        </w:tc>
        <w:tc>
          <w:tcPr>
            <w:tcW w:w="2212" w:type="dxa"/>
            <w:vAlign w:val="center"/>
          </w:tcPr>
          <w:p w14:paraId="3BA1C4CE">
            <w:pPr>
              <w:adjustRightInd w:val="0"/>
              <w:snapToGrid w:val="0"/>
              <w:rPr>
                <w:sz w:val="24"/>
                <w:highlight w:val="none"/>
              </w:rPr>
            </w:pPr>
            <w:r>
              <w:rPr>
                <w:sz w:val="24"/>
                <w:highlight w:val="none"/>
              </w:rPr>
              <w:t>项目审批（核准/</w:t>
            </w:r>
          </w:p>
          <w:p w14:paraId="4CEEF8C7">
            <w:pPr>
              <w:adjustRightInd w:val="0"/>
              <w:snapToGrid w:val="0"/>
              <w:jc w:val="center"/>
              <w:rPr>
                <w:sz w:val="24"/>
                <w:highlight w:val="none"/>
              </w:rPr>
            </w:pPr>
            <w:r>
              <w:rPr>
                <w:sz w:val="24"/>
                <w:highlight w:val="none"/>
              </w:rPr>
              <w:t>备案）文号（选填）</w:t>
            </w:r>
          </w:p>
        </w:tc>
        <w:tc>
          <w:tcPr>
            <w:tcW w:w="3115" w:type="dxa"/>
            <w:vAlign w:val="center"/>
          </w:tcPr>
          <w:p w14:paraId="3B8AAF46">
            <w:pPr>
              <w:adjustRightInd w:val="0"/>
              <w:snapToGrid w:val="0"/>
              <w:jc w:val="center"/>
              <w:rPr>
                <w:rFonts w:hint="eastAsia" w:eastAsia="宋体"/>
                <w:sz w:val="24"/>
                <w:highlight w:val="none"/>
                <w:lang w:val="en-US" w:eastAsia="zh-CN"/>
              </w:rPr>
            </w:pPr>
            <w:r>
              <w:rPr>
                <w:rFonts w:hint="eastAsia"/>
                <w:sz w:val="24"/>
                <w:highlight w:val="none"/>
                <w:lang w:val="en-US" w:eastAsia="zh-CN"/>
              </w:rPr>
              <w:t>2501-440281-04-01-605022</w:t>
            </w:r>
          </w:p>
        </w:tc>
      </w:tr>
      <w:tr w14:paraId="4D5A0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5" w:type="dxa"/>
            <w:gridSpan w:val="2"/>
            <w:tcMar>
              <w:top w:w="16" w:type="dxa"/>
              <w:left w:w="16" w:type="dxa"/>
              <w:right w:w="16" w:type="dxa"/>
            </w:tcMar>
            <w:vAlign w:val="center"/>
          </w:tcPr>
          <w:p w14:paraId="5191DEBD">
            <w:pPr>
              <w:adjustRightInd w:val="0"/>
              <w:snapToGrid w:val="0"/>
              <w:jc w:val="center"/>
              <w:rPr>
                <w:sz w:val="24"/>
                <w:highlight w:val="none"/>
              </w:rPr>
            </w:pPr>
            <w:r>
              <w:rPr>
                <w:sz w:val="24"/>
                <w:highlight w:val="none"/>
              </w:rPr>
              <w:t>总投资（万元）</w:t>
            </w:r>
          </w:p>
        </w:tc>
        <w:tc>
          <w:tcPr>
            <w:tcW w:w="2044" w:type="dxa"/>
            <w:vAlign w:val="center"/>
          </w:tcPr>
          <w:p w14:paraId="52A1130B">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518</w:t>
            </w:r>
          </w:p>
        </w:tc>
        <w:tc>
          <w:tcPr>
            <w:tcW w:w="2212" w:type="dxa"/>
            <w:tcMar>
              <w:top w:w="16" w:type="dxa"/>
              <w:left w:w="16" w:type="dxa"/>
              <w:right w:w="16" w:type="dxa"/>
            </w:tcMar>
            <w:vAlign w:val="center"/>
          </w:tcPr>
          <w:p w14:paraId="6BB7EAB6">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环保投资（万元）</w:t>
            </w:r>
          </w:p>
        </w:tc>
        <w:tc>
          <w:tcPr>
            <w:tcW w:w="3115" w:type="dxa"/>
            <w:vAlign w:val="center"/>
          </w:tcPr>
          <w:p w14:paraId="0BA83C66">
            <w:pPr>
              <w:adjustRightInd w:val="0"/>
              <w:snapToGrid w:val="0"/>
              <w:jc w:val="center"/>
              <w:rPr>
                <w:rFonts w:hint="default"/>
                <w:color w:val="000000" w:themeColor="text1"/>
                <w:sz w:val="24"/>
                <w:highlight w:val="none"/>
                <w:lang w:val="en-US"/>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30</w:t>
            </w:r>
          </w:p>
        </w:tc>
      </w:tr>
      <w:tr w14:paraId="5FC62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5" w:type="dxa"/>
            <w:gridSpan w:val="2"/>
            <w:tcMar>
              <w:top w:w="16" w:type="dxa"/>
              <w:left w:w="16" w:type="dxa"/>
              <w:right w:w="16" w:type="dxa"/>
            </w:tcMar>
            <w:vAlign w:val="center"/>
          </w:tcPr>
          <w:p w14:paraId="47C0DAE4">
            <w:pPr>
              <w:adjustRightInd w:val="0"/>
              <w:snapToGrid w:val="0"/>
              <w:jc w:val="center"/>
              <w:rPr>
                <w:sz w:val="24"/>
                <w:highlight w:val="none"/>
              </w:rPr>
            </w:pPr>
            <w:r>
              <w:rPr>
                <w:sz w:val="24"/>
                <w:highlight w:val="none"/>
              </w:rPr>
              <w:t>环保投资占比（%）</w:t>
            </w:r>
          </w:p>
        </w:tc>
        <w:tc>
          <w:tcPr>
            <w:tcW w:w="2044" w:type="dxa"/>
            <w:vAlign w:val="center"/>
          </w:tcPr>
          <w:p w14:paraId="02103117">
            <w:pPr>
              <w:adjustRightInd w:val="0"/>
              <w:snapToGrid w:val="0"/>
              <w:jc w:val="cente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5.8</w:t>
            </w:r>
          </w:p>
        </w:tc>
        <w:tc>
          <w:tcPr>
            <w:tcW w:w="2212" w:type="dxa"/>
            <w:tcMar>
              <w:top w:w="16" w:type="dxa"/>
              <w:left w:w="16" w:type="dxa"/>
              <w:right w:w="16" w:type="dxa"/>
            </w:tcMar>
            <w:vAlign w:val="center"/>
          </w:tcPr>
          <w:p w14:paraId="44273051">
            <w:pPr>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施工工期</w:t>
            </w:r>
          </w:p>
        </w:tc>
        <w:tc>
          <w:tcPr>
            <w:tcW w:w="3115" w:type="dxa"/>
            <w:vAlign w:val="center"/>
          </w:tcPr>
          <w:p w14:paraId="4B4719EE">
            <w:pPr>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color w:val="000000" w:themeColor="text1"/>
                <w:sz w:val="24"/>
                <w:highlight w:val="none"/>
                <w14:textFill>
                  <w14:solidFill>
                    <w14:schemeClr w14:val="tx1"/>
                  </w14:solidFill>
                </w14:textFill>
              </w:rPr>
              <w:t>个月</w:t>
            </w:r>
          </w:p>
        </w:tc>
      </w:tr>
      <w:tr w14:paraId="710D0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5" w:type="dxa"/>
            <w:gridSpan w:val="2"/>
            <w:tcMar>
              <w:top w:w="16" w:type="dxa"/>
              <w:left w:w="16" w:type="dxa"/>
              <w:right w:w="16" w:type="dxa"/>
            </w:tcMar>
            <w:vAlign w:val="center"/>
          </w:tcPr>
          <w:p w14:paraId="3A50D742">
            <w:pPr>
              <w:adjustRightInd w:val="0"/>
              <w:snapToGrid w:val="0"/>
              <w:jc w:val="center"/>
              <w:rPr>
                <w:sz w:val="24"/>
                <w:highlight w:val="none"/>
              </w:rPr>
            </w:pPr>
            <w:r>
              <w:rPr>
                <w:sz w:val="24"/>
                <w:highlight w:val="none"/>
              </w:rPr>
              <w:t>是否开工建设</w:t>
            </w:r>
          </w:p>
        </w:tc>
        <w:tc>
          <w:tcPr>
            <w:tcW w:w="2044" w:type="dxa"/>
            <w:vAlign w:val="center"/>
          </w:tcPr>
          <w:p w14:paraId="37391115">
            <w:pPr>
              <w:adjustRightInd w:val="0"/>
              <w:snapToGrid w:val="0"/>
              <w:rPr>
                <w:sz w:val="24"/>
                <w:highlight w:val="none"/>
              </w:rPr>
            </w:pPr>
            <w:r>
              <w:rPr>
                <w:sz w:val="24"/>
                <w:highlight w:val="none"/>
              </w:rPr>
              <w:sym w:font="Wingdings 2" w:char="0052"/>
            </w:r>
            <w:r>
              <w:rPr>
                <w:sz w:val="24"/>
                <w:highlight w:val="none"/>
              </w:rPr>
              <w:t>否</w:t>
            </w:r>
          </w:p>
          <w:p w14:paraId="4290983B">
            <w:pPr>
              <w:adjustRightInd w:val="0"/>
              <w:snapToGrid w:val="0"/>
              <w:rPr>
                <w:sz w:val="24"/>
                <w:highlight w:val="none"/>
              </w:rPr>
            </w:pPr>
            <w:r>
              <w:rPr>
                <w:sz w:val="24"/>
                <w:highlight w:val="none"/>
              </w:rPr>
              <w:sym w:font="Wingdings 2" w:char="00A3"/>
            </w:r>
            <w:r>
              <w:rPr>
                <w:sz w:val="24"/>
                <w:highlight w:val="none"/>
              </w:rPr>
              <w:t>是：</w:t>
            </w:r>
            <w:r>
              <w:rPr>
                <w:sz w:val="24"/>
                <w:highlight w:val="none"/>
                <w:u w:val="single"/>
              </w:rPr>
              <w:t xml:space="preserve">             </w:t>
            </w:r>
          </w:p>
        </w:tc>
        <w:tc>
          <w:tcPr>
            <w:tcW w:w="2212" w:type="dxa"/>
            <w:tcMar>
              <w:top w:w="16" w:type="dxa"/>
              <w:left w:w="16" w:type="dxa"/>
              <w:right w:w="16" w:type="dxa"/>
            </w:tcMar>
            <w:vAlign w:val="center"/>
          </w:tcPr>
          <w:p w14:paraId="051B168D">
            <w:pPr>
              <w:adjustRightInd w:val="0"/>
              <w:snapToGrid w:val="0"/>
              <w:jc w:val="center"/>
              <w:rPr>
                <w:spacing w:val="-6"/>
                <w:sz w:val="24"/>
                <w:highlight w:val="none"/>
              </w:rPr>
            </w:pPr>
            <w:r>
              <w:rPr>
                <w:spacing w:val="-6"/>
                <w:sz w:val="24"/>
                <w:highlight w:val="none"/>
              </w:rPr>
              <w:t>用地（用海）</w:t>
            </w:r>
          </w:p>
          <w:p w14:paraId="7E69B877">
            <w:pPr>
              <w:adjustRightInd w:val="0"/>
              <w:snapToGrid w:val="0"/>
              <w:jc w:val="center"/>
              <w:rPr>
                <w:sz w:val="24"/>
                <w:highlight w:val="none"/>
              </w:rPr>
            </w:pPr>
            <w:r>
              <w:rPr>
                <w:spacing w:val="-6"/>
                <w:sz w:val="24"/>
                <w:highlight w:val="none"/>
              </w:rPr>
              <w:t>面积（m</w:t>
            </w:r>
            <w:r>
              <w:rPr>
                <w:spacing w:val="-6"/>
                <w:sz w:val="24"/>
                <w:highlight w:val="none"/>
                <w:vertAlign w:val="superscript"/>
              </w:rPr>
              <w:t>2</w:t>
            </w:r>
            <w:r>
              <w:rPr>
                <w:spacing w:val="-6"/>
                <w:sz w:val="24"/>
                <w:highlight w:val="none"/>
              </w:rPr>
              <w:t>）</w:t>
            </w:r>
          </w:p>
        </w:tc>
        <w:tc>
          <w:tcPr>
            <w:tcW w:w="3115" w:type="dxa"/>
            <w:vAlign w:val="center"/>
          </w:tcPr>
          <w:p w14:paraId="1C30B0DE">
            <w:pPr>
              <w:adjustRightInd w:val="0"/>
              <w:snapToGrid w:val="0"/>
              <w:jc w:val="center"/>
              <w:rPr>
                <w:rFonts w:hint="default" w:eastAsia="宋体"/>
                <w:sz w:val="24"/>
                <w:highlight w:val="none"/>
                <w:lang w:val="en-US" w:eastAsia="zh-CN"/>
              </w:rPr>
            </w:pPr>
            <w:r>
              <w:rPr>
                <w:rFonts w:hint="eastAsia"/>
                <w:sz w:val="24"/>
                <w:highlight w:val="none"/>
                <w:lang w:val="en-US" w:eastAsia="zh-CN"/>
              </w:rPr>
              <w:t>2552.53</w:t>
            </w:r>
          </w:p>
        </w:tc>
      </w:tr>
      <w:tr w14:paraId="56988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975" w:type="dxa"/>
            <w:gridSpan w:val="2"/>
            <w:vAlign w:val="center"/>
          </w:tcPr>
          <w:p w14:paraId="3F6AB874">
            <w:pPr>
              <w:autoSpaceDE w:val="0"/>
              <w:autoSpaceDN w:val="0"/>
              <w:adjustRightInd w:val="0"/>
              <w:snapToGrid w:val="0"/>
              <w:jc w:val="center"/>
              <w:rPr>
                <w:kern w:val="0"/>
                <w:sz w:val="24"/>
                <w:highlight w:val="none"/>
              </w:rPr>
            </w:pPr>
            <w:r>
              <w:rPr>
                <w:kern w:val="0"/>
                <w:sz w:val="24"/>
                <w:highlight w:val="none"/>
              </w:rPr>
              <w:t>专项评价设置情况</w:t>
            </w:r>
          </w:p>
        </w:tc>
        <w:tc>
          <w:tcPr>
            <w:tcW w:w="7371" w:type="dxa"/>
            <w:gridSpan w:val="3"/>
            <w:vAlign w:val="center"/>
          </w:tcPr>
          <w:p w14:paraId="5C927A31">
            <w:pPr>
              <w:autoSpaceDE w:val="0"/>
              <w:autoSpaceDN w:val="0"/>
              <w:adjustRightInd w:val="0"/>
              <w:snapToGrid w:val="0"/>
              <w:jc w:val="center"/>
              <w:rPr>
                <w:kern w:val="0"/>
                <w:sz w:val="24"/>
                <w:highlight w:val="none"/>
              </w:rPr>
            </w:pPr>
            <w:r>
              <w:rPr>
                <w:kern w:val="0"/>
                <w:sz w:val="24"/>
                <w:highlight w:val="none"/>
              </w:rPr>
              <w:t>无</w:t>
            </w:r>
          </w:p>
        </w:tc>
      </w:tr>
      <w:tr w14:paraId="285DC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975" w:type="dxa"/>
            <w:gridSpan w:val="2"/>
            <w:vAlign w:val="center"/>
          </w:tcPr>
          <w:p w14:paraId="48046050">
            <w:pPr>
              <w:autoSpaceDE w:val="0"/>
              <w:autoSpaceDN w:val="0"/>
              <w:adjustRightInd w:val="0"/>
              <w:snapToGrid w:val="0"/>
              <w:jc w:val="center"/>
              <w:rPr>
                <w:kern w:val="0"/>
                <w:sz w:val="24"/>
                <w:highlight w:val="none"/>
              </w:rPr>
            </w:pPr>
            <w:r>
              <w:rPr>
                <w:sz w:val="24"/>
                <w:highlight w:val="none"/>
              </w:rPr>
              <w:t>规划情况</w:t>
            </w:r>
          </w:p>
        </w:tc>
        <w:tc>
          <w:tcPr>
            <w:tcW w:w="7371" w:type="dxa"/>
            <w:gridSpan w:val="3"/>
            <w:vAlign w:val="center"/>
          </w:tcPr>
          <w:p w14:paraId="44A30A63">
            <w:pPr>
              <w:autoSpaceDE w:val="0"/>
              <w:autoSpaceDN w:val="0"/>
              <w:adjustRightInd w:val="0"/>
              <w:snapToGrid w:val="0"/>
              <w:jc w:val="center"/>
              <w:rPr>
                <w:kern w:val="0"/>
                <w:sz w:val="24"/>
                <w:highlight w:val="none"/>
              </w:rPr>
            </w:pPr>
            <w:r>
              <w:rPr>
                <w:rFonts w:hint="eastAsia"/>
                <w:kern w:val="0"/>
                <w:sz w:val="24"/>
                <w:highlight w:val="none"/>
              </w:rPr>
              <w:t>无</w:t>
            </w:r>
          </w:p>
        </w:tc>
      </w:tr>
      <w:tr w14:paraId="40358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975" w:type="dxa"/>
            <w:gridSpan w:val="2"/>
            <w:vAlign w:val="center"/>
          </w:tcPr>
          <w:p w14:paraId="052CA394">
            <w:pPr>
              <w:adjustRightInd w:val="0"/>
              <w:snapToGrid w:val="0"/>
              <w:jc w:val="center"/>
              <w:rPr>
                <w:sz w:val="24"/>
                <w:highlight w:val="none"/>
              </w:rPr>
            </w:pPr>
            <w:r>
              <w:rPr>
                <w:sz w:val="24"/>
                <w:highlight w:val="none"/>
              </w:rPr>
              <w:t>规划环境影响</w:t>
            </w:r>
          </w:p>
          <w:p w14:paraId="1B743679">
            <w:pPr>
              <w:adjustRightInd w:val="0"/>
              <w:snapToGrid w:val="0"/>
              <w:jc w:val="center"/>
              <w:rPr>
                <w:kern w:val="0"/>
                <w:sz w:val="24"/>
                <w:highlight w:val="none"/>
              </w:rPr>
            </w:pPr>
            <w:r>
              <w:rPr>
                <w:sz w:val="24"/>
                <w:highlight w:val="none"/>
              </w:rPr>
              <w:t>评价情况</w:t>
            </w:r>
          </w:p>
        </w:tc>
        <w:tc>
          <w:tcPr>
            <w:tcW w:w="7371" w:type="dxa"/>
            <w:gridSpan w:val="3"/>
            <w:vAlign w:val="center"/>
          </w:tcPr>
          <w:p w14:paraId="3116825C">
            <w:pPr>
              <w:pStyle w:val="44"/>
              <w:spacing w:line="360" w:lineRule="auto"/>
              <w:jc w:val="center"/>
              <w:rPr>
                <w:rFonts w:ascii="Times New Roman" w:hAnsi="Times New Roman" w:cs="Times New Roman"/>
                <w:highlight w:val="none"/>
              </w:rPr>
            </w:pPr>
            <w:r>
              <w:rPr>
                <w:rFonts w:hint="eastAsia" w:ascii="Times New Roman" w:hAnsi="Times New Roman" w:cs="Times New Roman"/>
                <w:color w:val="auto"/>
                <w:highlight w:val="none"/>
              </w:rPr>
              <w:t>无</w:t>
            </w:r>
          </w:p>
        </w:tc>
      </w:tr>
      <w:tr w14:paraId="745FE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975" w:type="dxa"/>
            <w:gridSpan w:val="2"/>
            <w:vAlign w:val="center"/>
          </w:tcPr>
          <w:p w14:paraId="1A55B113">
            <w:pPr>
              <w:autoSpaceDE w:val="0"/>
              <w:autoSpaceDN w:val="0"/>
              <w:adjustRightInd w:val="0"/>
              <w:snapToGrid w:val="0"/>
              <w:jc w:val="center"/>
              <w:rPr>
                <w:kern w:val="0"/>
                <w:sz w:val="24"/>
                <w:highlight w:val="none"/>
              </w:rPr>
            </w:pPr>
            <w:r>
              <w:rPr>
                <w:kern w:val="0"/>
                <w:sz w:val="24"/>
                <w:highlight w:val="none"/>
              </w:rPr>
              <w:t>规划及规划环境影响评价符合性分析</w:t>
            </w:r>
          </w:p>
        </w:tc>
        <w:tc>
          <w:tcPr>
            <w:tcW w:w="7371" w:type="dxa"/>
            <w:gridSpan w:val="3"/>
            <w:vAlign w:val="center"/>
          </w:tcPr>
          <w:p w14:paraId="45329BEE">
            <w:pPr>
              <w:pStyle w:val="44"/>
              <w:spacing w:line="360" w:lineRule="auto"/>
              <w:jc w:val="center"/>
              <w:rPr>
                <w:rFonts w:ascii="Times New Roman" w:hAnsi="Times New Roman" w:cs="Times New Roman"/>
                <w:color w:val="auto"/>
                <w:highlight w:val="none"/>
              </w:rPr>
            </w:pPr>
            <w:r>
              <w:rPr>
                <w:rFonts w:hint="eastAsia" w:hAnsi="Courier New" w:cs="Courier New"/>
                <w:bCs/>
                <w:color w:val="auto"/>
                <w:kern w:val="0"/>
                <w:szCs w:val="21"/>
                <w:highlight w:val="none"/>
              </w:rPr>
              <w:t>无</w:t>
            </w:r>
          </w:p>
          <w:p w14:paraId="49E6EDB4">
            <w:pPr>
              <w:pStyle w:val="26"/>
              <w:ind w:left="199" w:hanging="199" w:hangingChars="83"/>
              <w:jc w:val="center"/>
              <w:rPr>
                <w:sz w:val="24"/>
                <w:highlight w:val="none"/>
              </w:rPr>
            </w:pPr>
          </w:p>
        </w:tc>
      </w:tr>
      <w:tr w14:paraId="5FAA8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23" w:hRule="atLeast"/>
          <w:jc w:val="center"/>
        </w:trPr>
        <w:tc>
          <w:tcPr>
            <w:tcW w:w="668" w:type="dxa"/>
            <w:vAlign w:val="center"/>
          </w:tcPr>
          <w:p w14:paraId="49FDBA20">
            <w:pPr>
              <w:autoSpaceDE w:val="0"/>
              <w:autoSpaceDN w:val="0"/>
              <w:adjustRightInd w:val="0"/>
              <w:snapToGrid w:val="0"/>
              <w:jc w:val="center"/>
              <w:rPr>
                <w:kern w:val="0"/>
                <w:sz w:val="24"/>
                <w:highlight w:val="none"/>
              </w:rPr>
            </w:pPr>
            <w:r>
              <w:rPr>
                <w:kern w:val="0"/>
                <w:sz w:val="24"/>
                <w:highlight w:val="none"/>
              </w:rPr>
              <w:t>其他符合性分析</w:t>
            </w:r>
          </w:p>
        </w:tc>
        <w:tc>
          <w:tcPr>
            <w:tcW w:w="8678" w:type="dxa"/>
            <w:gridSpan w:val="4"/>
            <w:vAlign w:val="center"/>
          </w:tcPr>
          <w:p w14:paraId="6F7FFDF3">
            <w:pPr>
              <w:autoSpaceDE w:val="0"/>
              <w:autoSpaceDN w:val="0"/>
              <w:adjustRightInd w:val="0"/>
              <w:snapToGrid w:val="0"/>
              <w:spacing w:line="360" w:lineRule="auto"/>
              <w:ind w:firstLine="482" w:firstLineChars="200"/>
              <w:jc w:val="left"/>
              <w:rPr>
                <w:b/>
                <w:kern w:val="0"/>
                <w:sz w:val="24"/>
                <w:highlight w:val="none"/>
              </w:rPr>
            </w:pPr>
            <w:r>
              <w:rPr>
                <w:b/>
                <w:kern w:val="0"/>
                <w:sz w:val="24"/>
                <w:highlight w:val="none"/>
              </w:rPr>
              <w:t>1.产业政策相符性分析</w:t>
            </w:r>
          </w:p>
          <w:p w14:paraId="3C5B8B81">
            <w:pPr>
              <w:autoSpaceDE w:val="0"/>
              <w:autoSpaceDN w:val="0"/>
              <w:adjustRightInd w:val="0"/>
              <w:snapToGrid w:val="0"/>
              <w:spacing w:line="360" w:lineRule="auto"/>
              <w:ind w:firstLine="480" w:firstLineChars="200"/>
              <w:rPr>
                <w:kern w:val="0"/>
                <w:sz w:val="24"/>
                <w:highlight w:val="none"/>
              </w:rPr>
            </w:pPr>
            <w:r>
              <w:rPr>
                <w:bCs/>
                <w:kern w:val="0"/>
                <w:sz w:val="24"/>
                <w:highlight w:val="none"/>
              </w:rPr>
              <w:t>本项目</w:t>
            </w:r>
            <w:r>
              <w:rPr>
                <w:rFonts w:hint="eastAsia"/>
                <w:bCs/>
                <w:kern w:val="0"/>
                <w:sz w:val="24"/>
                <w:highlight w:val="none"/>
              </w:rPr>
              <w:t>使用外购的</w:t>
            </w:r>
            <w:r>
              <w:rPr>
                <w:rFonts w:hint="eastAsia"/>
                <w:bCs/>
                <w:kern w:val="0"/>
                <w:sz w:val="24"/>
                <w:highlight w:val="none"/>
                <w:lang w:eastAsia="zh-CN"/>
              </w:rPr>
              <w:t>木糠</w:t>
            </w:r>
            <w:r>
              <w:rPr>
                <w:rFonts w:hint="eastAsia"/>
                <w:bCs/>
                <w:kern w:val="0"/>
                <w:sz w:val="24"/>
                <w:highlight w:val="none"/>
              </w:rPr>
              <w:t>用于生产环保机制炭，</w:t>
            </w:r>
            <w:r>
              <w:rPr>
                <w:sz w:val="24"/>
                <w:highlight w:val="none"/>
              </w:rPr>
              <w:t>经检索，</w:t>
            </w:r>
            <w:r>
              <w:rPr>
                <w:bCs/>
                <w:kern w:val="0"/>
                <w:sz w:val="24"/>
                <w:highlight w:val="none"/>
              </w:rPr>
              <w:t>属于国家《产业结构调整指导目录》（</w:t>
            </w:r>
            <w:r>
              <w:rPr>
                <w:rFonts w:hint="eastAsia"/>
                <w:bCs/>
                <w:kern w:val="0"/>
                <w:sz w:val="24"/>
                <w:highlight w:val="none"/>
                <w:lang w:val="en-US" w:eastAsia="zh-CN"/>
              </w:rPr>
              <w:t>2024</w:t>
            </w:r>
            <w:r>
              <w:rPr>
                <w:bCs/>
                <w:kern w:val="0"/>
                <w:sz w:val="24"/>
                <w:highlight w:val="none"/>
              </w:rPr>
              <w:t>年本）</w:t>
            </w:r>
            <w:r>
              <w:rPr>
                <w:rFonts w:hint="eastAsia"/>
                <w:bCs/>
                <w:kern w:val="0"/>
                <w:sz w:val="24"/>
                <w:highlight w:val="none"/>
              </w:rPr>
              <w:t>中“第一类 鼓励类：（一）农林业  36、</w:t>
            </w:r>
            <w:r>
              <w:rPr>
                <w:rFonts w:hint="eastAsia"/>
                <w:bCs/>
                <w:kern w:val="0"/>
                <w:sz w:val="24"/>
                <w:highlight w:val="none"/>
                <w:lang w:eastAsia="zh-CN"/>
              </w:rPr>
              <w:t>农林产品深加工中的</w:t>
            </w:r>
            <w:r>
              <w:rPr>
                <w:rFonts w:hint="eastAsia"/>
                <w:bCs/>
                <w:kern w:val="0"/>
                <w:sz w:val="24"/>
                <w:highlight w:val="none"/>
              </w:rPr>
              <w:t>次小薪材、沙生灌木及三剩物深加工与产品开发”，</w:t>
            </w:r>
            <w:r>
              <w:rPr>
                <w:bCs/>
                <w:kern w:val="0"/>
                <w:sz w:val="24"/>
                <w:highlight w:val="none"/>
              </w:rPr>
              <w:t>不属于淘汰类和限制类，所用生产设备及工艺也不属于淘汰类和限制类</w:t>
            </w:r>
            <w:r>
              <w:rPr>
                <w:kern w:val="0"/>
                <w:sz w:val="24"/>
                <w:highlight w:val="none"/>
              </w:rPr>
              <w:t>；本项目不属于《市场准入负面清单（202</w:t>
            </w:r>
            <w:r>
              <w:rPr>
                <w:rFonts w:hint="eastAsia"/>
                <w:kern w:val="0"/>
                <w:sz w:val="24"/>
                <w:highlight w:val="none"/>
                <w:lang w:val="en-US" w:eastAsia="zh-CN"/>
              </w:rPr>
              <w:t>5</w:t>
            </w:r>
            <w:r>
              <w:rPr>
                <w:kern w:val="0"/>
                <w:sz w:val="24"/>
                <w:highlight w:val="none"/>
              </w:rPr>
              <w:t>年本）》</w:t>
            </w:r>
            <w:r>
              <w:rPr>
                <w:color w:val="000000" w:themeColor="text1"/>
                <w:kern w:val="0"/>
                <w:sz w:val="24"/>
                <w:highlight w:val="none"/>
                <w14:textFill>
                  <w14:solidFill>
                    <w14:schemeClr w14:val="tx1"/>
                  </w14:solidFill>
                </w14:textFill>
              </w:rPr>
              <w:t>中的禁止准入和许可准入类；</w:t>
            </w:r>
            <w:r>
              <w:rPr>
                <w:rFonts w:hint="eastAsia"/>
                <w:kern w:val="0"/>
                <w:sz w:val="24"/>
                <w:szCs w:val="21"/>
                <w:highlight w:val="none"/>
              </w:rPr>
              <w:t>不属于《广东省国家重点生态功能区产业准入负面清单（试行）》（粤发改规划[2017]331号文）中</w:t>
            </w:r>
            <w:r>
              <w:rPr>
                <w:rFonts w:hint="eastAsia"/>
                <w:kern w:val="0"/>
                <w:sz w:val="24"/>
                <w:szCs w:val="24"/>
                <w:highlight w:val="none"/>
              </w:rPr>
              <w:t>广东省乐昌市国家重点生态功能区产业准入负面清单所列项目类别</w:t>
            </w:r>
            <w:r>
              <w:rPr>
                <w:rFonts w:eastAsiaTheme="majorEastAsia"/>
                <w:kern w:val="0"/>
                <w:sz w:val="24"/>
                <w:highlight w:val="none"/>
              </w:rPr>
              <w:t>，</w:t>
            </w:r>
            <w:r>
              <w:rPr>
                <w:rFonts w:eastAsiaTheme="majorEastAsia"/>
                <w:color w:val="000000" w:themeColor="text1"/>
                <w:sz w:val="24"/>
                <w:highlight w:val="none"/>
                <w14:textFill>
                  <w14:solidFill>
                    <w14:schemeClr w14:val="tx1"/>
                  </w14:solidFill>
                </w14:textFill>
              </w:rPr>
              <w:t>符合国家和地方相关产业政策</w:t>
            </w:r>
            <w:r>
              <w:rPr>
                <w:kern w:val="0"/>
                <w:sz w:val="24"/>
                <w:highlight w:val="none"/>
              </w:rPr>
              <w:t>。</w:t>
            </w:r>
          </w:p>
          <w:p w14:paraId="4124B5AB">
            <w:pPr>
              <w:adjustRightInd w:val="0"/>
              <w:snapToGrid w:val="0"/>
              <w:spacing w:line="360" w:lineRule="auto"/>
              <w:ind w:firstLine="480" w:firstLineChars="200"/>
              <w:rPr>
                <w:sz w:val="24"/>
                <w:highlight w:val="none"/>
              </w:rPr>
            </w:pPr>
            <w:r>
              <w:rPr>
                <w:sz w:val="24"/>
                <w:highlight w:val="none"/>
              </w:rPr>
              <w:t>本项目已取得</w:t>
            </w:r>
            <w:r>
              <w:rPr>
                <w:rFonts w:hint="eastAsia"/>
                <w:sz w:val="24"/>
                <w:highlight w:val="none"/>
                <w:lang w:eastAsia="zh-CN"/>
              </w:rPr>
              <w:t>乐昌</w:t>
            </w:r>
            <w:r>
              <w:rPr>
                <w:sz w:val="24"/>
                <w:highlight w:val="none"/>
              </w:rPr>
              <w:t>市发展和改革局项目备案证（项目代码为</w:t>
            </w:r>
            <w:r>
              <w:rPr>
                <w:rFonts w:hint="eastAsia"/>
                <w:sz w:val="24"/>
                <w:highlight w:val="none"/>
                <w:lang w:val="en-US" w:eastAsia="zh-CN"/>
              </w:rPr>
              <w:t>2501-440281-04-01-605022</w:t>
            </w:r>
            <w:r>
              <w:rPr>
                <w:sz w:val="24"/>
                <w:highlight w:val="none"/>
              </w:rPr>
              <w:t>，见附件</w:t>
            </w:r>
            <w:r>
              <w:rPr>
                <w:rFonts w:hint="eastAsia"/>
                <w:sz w:val="24"/>
                <w:highlight w:val="none"/>
                <w:lang w:val="en-US" w:eastAsia="zh-CN"/>
              </w:rPr>
              <w:t>1</w:t>
            </w:r>
            <w:r>
              <w:rPr>
                <w:sz w:val="24"/>
                <w:highlight w:val="none"/>
              </w:rPr>
              <w:t>）。因此，本项目符合国家及地方的相关产业政策。</w:t>
            </w:r>
          </w:p>
          <w:p w14:paraId="27578664">
            <w:pPr>
              <w:autoSpaceDE w:val="0"/>
              <w:autoSpaceDN w:val="0"/>
              <w:adjustRightInd w:val="0"/>
              <w:snapToGrid w:val="0"/>
              <w:spacing w:line="360" w:lineRule="auto"/>
              <w:ind w:firstLine="482" w:firstLineChars="200"/>
              <w:jc w:val="left"/>
              <w:rPr>
                <w:b/>
                <w:kern w:val="0"/>
                <w:sz w:val="24"/>
                <w:highlight w:val="none"/>
              </w:rPr>
            </w:pPr>
            <w:r>
              <w:rPr>
                <w:b/>
                <w:kern w:val="0"/>
                <w:sz w:val="24"/>
                <w:highlight w:val="none"/>
              </w:rPr>
              <w:t>2.选址合理性分析</w:t>
            </w:r>
          </w:p>
          <w:p w14:paraId="69E73C5D">
            <w:pPr>
              <w:autoSpaceDE w:val="0"/>
              <w:autoSpaceDN w:val="0"/>
              <w:adjustRightInd w:val="0"/>
              <w:snapToGrid w:val="0"/>
              <w:spacing w:line="360" w:lineRule="auto"/>
              <w:ind w:firstLine="480" w:firstLineChars="200"/>
              <w:rPr>
                <w:kern w:val="0"/>
                <w:sz w:val="24"/>
                <w:highlight w:val="none"/>
              </w:rPr>
            </w:pPr>
            <w:r>
              <w:rPr>
                <w:rFonts w:hint="eastAsia"/>
                <w:kern w:val="0"/>
                <w:sz w:val="24"/>
                <w:highlight w:val="none"/>
              </w:rPr>
              <w:t>本项目</w:t>
            </w:r>
            <w:r>
              <w:rPr>
                <w:rFonts w:hint="eastAsia"/>
                <w:kern w:val="0"/>
                <w:sz w:val="24"/>
                <w:szCs w:val="21"/>
                <w:highlight w:val="none"/>
              </w:rPr>
              <w:t>建设单位向</w:t>
            </w:r>
            <w:r>
              <w:rPr>
                <w:rFonts w:hint="eastAsia"/>
                <w:kern w:val="0"/>
                <w:sz w:val="24"/>
                <w:szCs w:val="21"/>
                <w:highlight w:val="none"/>
                <w:lang w:eastAsia="zh-CN"/>
              </w:rPr>
              <w:t>乐昌市政府物业服务中心</w:t>
            </w:r>
            <w:r>
              <w:rPr>
                <w:rFonts w:hint="eastAsia"/>
                <w:kern w:val="0"/>
                <w:sz w:val="24"/>
                <w:szCs w:val="21"/>
                <w:highlight w:val="none"/>
              </w:rPr>
              <w:t>租用</w:t>
            </w:r>
            <w:r>
              <w:rPr>
                <w:rFonts w:hint="eastAsia"/>
                <w:kern w:val="0"/>
                <w:sz w:val="24"/>
                <w:szCs w:val="21"/>
                <w:highlight w:val="none"/>
                <w:lang w:eastAsia="zh-CN"/>
              </w:rPr>
              <w:t>生产场所</w:t>
            </w:r>
            <w:r>
              <w:rPr>
                <w:rFonts w:hint="eastAsia"/>
                <w:kern w:val="0"/>
                <w:sz w:val="24"/>
                <w:szCs w:val="21"/>
                <w:highlight w:val="none"/>
              </w:rPr>
              <w:t>，</w:t>
            </w:r>
            <w:r>
              <w:rPr>
                <w:rFonts w:hint="eastAsia"/>
                <w:kern w:val="0"/>
                <w:sz w:val="24"/>
                <w:highlight w:val="none"/>
              </w:rPr>
              <w:t>选址在</w:t>
            </w:r>
            <w:r>
              <w:rPr>
                <w:rFonts w:hint="eastAsia"/>
                <w:sz w:val="24"/>
                <w:highlight w:val="none"/>
                <w:lang w:eastAsia="zh-CN"/>
              </w:rPr>
              <w:t>乐昌市乐城街道西联村老虎头（原乐舜电力发展有限公司内）</w:t>
            </w:r>
            <w:r>
              <w:rPr>
                <w:rFonts w:hint="eastAsia"/>
                <w:kern w:val="0"/>
                <w:sz w:val="24"/>
                <w:highlight w:val="none"/>
              </w:rPr>
              <w:t>，地</w:t>
            </w:r>
            <w:r>
              <w:rPr>
                <w:rFonts w:hint="eastAsia"/>
                <w:kern w:val="0"/>
                <w:sz w:val="24"/>
                <w:szCs w:val="21"/>
                <w:highlight w:val="none"/>
              </w:rPr>
              <w:t>理位置见附图1，项目用地</w:t>
            </w:r>
            <w:r>
              <w:rPr>
                <w:rFonts w:hint="eastAsia"/>
                <w:kern w:val="0"/>
                <w:sz w:val="24"/>
                <w:szCs w:val="21"/>
                <w:highlight w:val="none"/>
                <w:lang w:eastAsia="zh-CN"/>
              </w:rPr>
              <w:t>的土地性质现状为</w:t>
            </w:r>
            <w:r>
              <w:rPr>
                <w:rFonts w:hint="eastAsia"/>
                <w:kern w:val="0"/>
                <w:sz w:val="24"/>
                <w:szCs w:val="21"/>
                <w:highlight w:val="none"/>
              </w:rPr>
              <w:t>属于工业用地，详见附</w:t>
            </w:r>
            <w:r>
              <w:rPr>
                <w:rFonts w:hint="eastAsia"/>
                <w:kern w:val="0"/>
                <w:sz w:val="24"/>
                <w:szCs w:val="21"/>
                <w:highlight w:val="none"/>
                <w:lang w:eastAsia="zh-CN"/>
              </w:rPr>
              <w:t>件</w:t>
            </w:r>
            <w:r>
              <w:rPr>
                <w:rFonts w:hint="eastAsia"/>
                <w:kern w:val="0"/>
                <w:sz w:val="24"/>
                <w:szCs w:val="21"/>
                <w:highlight w:val="none"/>
                <w:lang w:val="en-US" w:eastAsia="zh-CN"/>
              </w:rPr>
              <w:t>3</w:t>
            </w:r>
            <w:r>
              <w:rPr>
                <w:kern w:val="0"/>
                <w:sz w:val="24"/>
                <w:szCs w:val="21"/>
                <w:highlight w:val="none"/>
              </w:rPr>
              <w:t>。</w:t>
            </w:r>
            <w:r>
              <w:rPr>
                <w:rFonts w:hint="eastAsia"/>
                <w:color w:val="000000" w:themeColor="text1"/>
                <w:sz w:val="24"/>
                <w:highlight w:val="none"/>
                <w14:textFill>
                  <w14:solidFill>
                    <w14:schemeClr w14:val="tx1"/>
                  </w14:solidFill>
                </w14:textFill>
              </w:rPr>
              <w:t>本项目选址不涉及基本农田、生态公益林、饮用水源保护区级自然保护区。</w:t>
            </w:r>
            <w:r>
              <w:rPr>
                <w:rFonts w:hint="eastAsia"/>
                <w:kern w:val="0"/>
                <w:sz w:val="24"/>
                <w:highlight w:val="none"/>
              </w:rPr>
              <w:t>总体而言，</w:t>
            </w:r>
            <w:r>
              <w:rPr>
                <w:rFonts w:hint="eastAsia"/>
                <w:kern w:val="0"/>
                <w:sz w:val="24"/>
                <w:highlight w:val="none"/>
                <w:lang w:eastAsia="zh-CN"/>
              </w:rPr>
              <w:t>本</w:t>
            </w:r>
            <w:r>
              <w:rPr>
                <w:rFonts w:hint="eastAsia"/>
                <w:kern w:val="0"/>
                <w:sz w:val="24"/>
                <w:highlight w:val="none"/>
              </w:rPr>
              <w:t>项目选址合理。</w:t>
            </w:r>
          </w:p>
          <w:p w14:paraId="44829BB9">
            <w:pPr>
              <w:pStyle w:val="81"/>
              <w:ind w:firstLine="482"/>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3.与“三线一单”相符性分析</w:t>
            </w:r>
          </w:p>
          <w:p w14:paraId="6DA1E759">
            <w:pPr>
              <w:pStyle w:val="81"/>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b/>
                <w:bCs/>
                <w:color w:val="000000"/>
                <w:sz w:val="24"/>
                <w:szCs w:val="24"/>
                <w:highlight w:val="none"/>
                <w:lang w:eastAsia="zh-CN"/>
              </w:rPr>
              <w:t>（</w:t>
            </w:r>
            <w:r>
              <w:rPr>
                <w:rFonts w:hint="eastAsia" w:ascii="Times New Roman" w:hAnsi="Times New Roman" w:cs="Times New Roman"/>
                <w:b/>
                <w:bCs/>
                <w:color w:val="000000"/>
                <w:sz w:val="24"/>
                <w:szCs w:val="24"/>
                <w:highlight w:val="none"/>
                <w:lang w:val="en-US" w:eastAsia="zh-CN"/>
              </w:rPr>
              <w:t>1</w:t>
            </w:r>
            <w:r>
              <w:rPr>
                <w:rFonts w:hint="default" w:ascii="Times New Roman" w:hAnsi="Times New Roman" w:eastAsia="宋体" w:cs="Times New Roman"/>
                <w:b/>
                <w:bCs/>
                <w:color w:val="000000"/>
                <w:sz w:val="24"/>
                <w:szCs w:val="24"/>
                <w:highlight w:val="none"/>
                <w:lang w:eastAsia="zh-CN"/>
              </w:rPr>
              <w:t>）与</w:t>
            </w:r>
            <w:r>
              <w:rPr>
                <w:rFonts w:hint="default" w:ascii="Times New Roman" w:hAnsi="Times New Roman" w:eastAsia="宋体" w:cs="Times New Roman"/>
                <w:b/>
                <w:bCs/>
                <w:color w:val="000000"/>
                <w:kern w:val="0"/>
                <w:sz w:val="24"/>
                <w:szCs w:val="24"/>
                <w:highlight w:val="none"/>
                <w:u w:val="none"/>
                <w:lang w:eastAsia="zh-CN"/>
              </w:rPr>
              <w:t>《韶关市“三线一单”生态环境分区管控方案》</w:t>
            </w:r>
            <w:r>
              <w:rPr>
                <w:rFonts w:hint="default" w:ascii="Times New Roman" w:hAnsi="Times New Roman" w:eastAsia="宋体" w:cs="Times New Roman"/>
                <w:b/>
                <w:bCs/>
                <w:color w:val="000000"/>
                <w:sz w:val="24"/>
                <w:szCs w:val="24"/>
                <w:highlight w:val="none"/>
              </w:rPr>
              <w:t>的相符性</w:t>
            </w:r>
            <w:r>
              <w:rPr>
                <w:rFonts w:hint="default" w:ascii="Times New Roman" w:hAnsi="Times New Roman" w:eastAsia="宋体" w:cs="Times New Roman"/>
                <w:b/>
                <w:bCs/>
                <w:color w:val="000000"/>
                <w:sz w:val="24"/>
                <w:szCs w:val="24"/>
                <w:highlight w:val="none"/>
                <w:lang w:eastAsia="zh-CN"/>
              </w:rPr>
              <w:t>分析</w:t>
            </w:r>
          </w:p>
          <w:p w14:paraId="34F86F4D">
            <w:pPr>
              <w:pStyle w:val="81"/>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根据韶关市人民政府文件《韶关市人民政府关于印发韶关市“三线一单”生态环境分区管控方案的通知》（韶府〔2021〕10号）</w:t>
            </w:r>
            <w:r>
              <w:rPr>
                <w:rFonts w:hint="eastAsia" w:ascii="Times New Roman" w:hAnsi="Times New Roman" w:eastAsia="宋体" w:cs="Times New Roman"/>
                <w:color w:val="auto"/>
                <w:highlight w:val="none"/>
              </w:rPr>
              <w:t>及《韶关市生态环境局关于印发韶关市生态环境分区管控动态更新成果的通知》</w:t>
            </w:r>
            <w:r>
              <w:rPr>
                <w:rFonts w:hint="default" w:ascii="Times New Roman" w:hAnsi="Times New Roman" w:eastAsia="宋体" w:cs="Times New Roman"/>
                <w:color w:val="auto"/>
                <w:highlight w:val="none"/>
              </w:rPr>
              <w:t>（韶</w:t>
            </w:r>
            <w:r>
              <w:rPr>
                <w:rFonts w:hint="eastAsia" w:ascii="Times New Roman" w:hAnsi="Times New Roman" w:eastAsia="宋体" w:cs="Times New Roman"/>
                <w:color w:val="auto"/>
                <w:highlight w:val="none"/>
              </w:rPr>
              <w:t>环</w:t>
            </w:r>
            <w:r>
              <w:rPr>
                <w:rFonts w:hint="default" w:ascii="Times New Roman" w:hAnsi="Times New Roman" w:eastAsia="宋体" w:cs="Times New Roman"/>
                <w:color w:val="auto"/>
                <w:highlight w:val="none"/>
              </w:rPr>
              <w:t>〔202</w:t>
            </w:r>
            <w:r>
              <w:rPr>
                <w:rFonts w:hint="eastAsia" w:ascii="Times New Roman" w:hAnsi="Times New Roman" w:eastAsia="宋体" w:cs="Times New Roman"/>
                <w:color w:val="auto"/>
                <w:highlight w:val="none"/>
              </w:rPr>
              <w:t>4</w:t>
            </w:r>
            <w:r>
              <w:rPr>
                <w:rFonts w:hint="default" w:ascii="Times New Roman" w:hAnsi="Times New Roman" w:eastAsia="宋体" w:cs="Times New Roman"/>
                <w:color w:val="auto"/>
                <w:highlight w:val="none"/>
              </w:rPr>
              <w:t>〕10</w:t>
            </w:r>
            <w:r>
              <w:rPr>
                <w:rFonts w:hint="eastAsia" w:ascii="Times New Roman" w:hAnsi="Times New Roman" w:eastAsia="宋体" w:cs="Times New Roman"/>
                <w:color w:val="auto"/>
                <w:highlight w:val="none"/>
              </w:rPr>
              <w:t>3</w:t>
            </w:r>
            <w:r>
              <w:rPr>
                <w:rFonts w:hint="default" w:ascii="Times New Roman" w:hAnsi="Times New Roman" w:eastAsia="宋体" w:cs="Times New Roman"/>
                <w:color w:val="auto"/>
                <w:highlight w:val="none"/>
              </w:rPr>
              <w:t>号），从区域布局管控、能源资源利用、污染物排放管控和环境风险防控等方面明确准入要求，建立“1+88”生态环境准入清单体系。“1”为全市总体管控要求，“88”为88个环境管控单元的差异性准入清单。</w:t>
            </w:r>
          </w:p>
          <w:p w14:paraId="4C26A713">
            <w:pPr>
              <w:pStyle w:val="81"/>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本项目与全市总体管控要求符性分析见</w:t>
            </w:r>
            <w:r>
              <w:rPr>
                <w:rFonts w:hint="default" w:ascii="Times New Roman" w:hAnsi="Times New Roman" w:eastAsia="宋体" w:cs="Times New Roman"/>
                <w:color w:val="auto"/>
                <w:highlight w:val="none"/>
                <w:lang w:val="en-US" w:eastAsia="zh-CN"/>
              </w:rPr>
              <w:t>表1-</w:t>
            </w:r>
            <w:r>
              <w:rPr>
                <w:rFonts w:hint="eastAsia" w:ascii="Times New Roman" w:hAnsi="Times New Roman" w:cs="Times New Roman"/>
                <w:color w:val="auto"/>
                <w:highlight w:val="none"/>
                <w:lang w:val="en-US" w:eastAsia="zh-CN"/>
              </w:rPr>
              <w:t>1</w:t>
            </w:r>
            <w:r>
              <w:rPr>
                <w:rFonts w:hint="default" w:ascii="Times New Roman" w:hAnsi="Times New Roman" w:eastAsia="宋体" w:cs="Times New Roman"/>
                <w:color w:val="auto"/>
                <w:highlight w:val="none"/>
              </w:rPr>
              <w:t>。通过在广东省</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三线一单</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数据平台叠图分析可知：</w:t>
            </w:r>
            <w:r>
              <w:rPr>
                <w:rFonts w:hint="default" w:ascii="Times New Roman" w:hAnsi="Times New Roman" w:eastAsia="宋体" w:cs="Times New Roman"/>
                <w:bCs/>
                <w:kern w:val="0"/>
                <w:sz w:val="24"/>
                <w:highlight w:val="none"/>
              </w:rPr>
              <w:t>本项目位于</w:t>
            </w:r>
            <w:r>
              <w:rPr>
                <w:rFonts w:hint="default" w:ascii="Times New Roman" w:hAnsi="Times New Roman" w:eastAsia="宋体" w:cs="Times New Roman"/>
                <w:sz w:val="24"/>
                <w:highlight w:val="none"/>
                <w:lang w:eastAsia="zh-CN"/>
              </w:rPr>
              <w:t>乐昌市乐城街道西联村老虎头（原乐舜电力发展有限公司内）</w:t>
            </w:r>
            <w:r>
              <w:rPr>
                <w:rFonts w:hint="default" w:ascii="Times New Roman" w:hAnsi="Times New Roman" w:eastAsia="宋体" w:cs="Times New Roman"/>
                <w:bCs/>
                <w:kern w:val="0"/>
                <w:sz w:val="24"/>
                <w:highlight w:val="none"/>
              </w:rPr>
              <w:t>，属于“</w:t>
            </w:r>
            <w:r>
              <w:rPr>
                <w:rFonts w:hint="default" w:ascii="Times New Roman" w:hAnsi="Times New Roman" w:eastAsia="宋体" w:cs="Times New Roman"/>
                <w:kern w:val="0"/>
                <w:szCs w:val="21"/>
                <w:highlight w:val="none"/>
              </w:rPr>
              <w:t>ZH44028120001</w:t>
            </w:r>
            <w:r>
              <w:rPr>
                <w:rFonts w:hint="default" w:ascii="Times New Roman" w:hAnsi="Times New Roman" w:eastAsia="宋体" w:cs="Times New Roman"/>
                <w:bCs/>
                <w:kern w:val="0"/>
                <w:sz w:val="24"/>
                <w:highlight w:val="none"/>
              </w:rPr>
              <w:t xml:space="preserve"> </w:t>
            </w:r>
            <w:r>
              <w:rPr>
                <w:rFonts w:hint="default" w:ascii="Times New Roman" w:hAnsi="Times New Roman" w:eastAsia="宋体" w:cs="Times New Roman"/>
                <w:kern w:val="0"/>
                <w:szCs w:val="21"/>
                <w:highlight w:val="none"/>
              </w:rPr>
              <w:t>乐昌市乐城街道、长来、北乡镇重点管控单元</w:t>
            </w:r>
            <w:r>
              <w:rPr>
                <w:rFonts w:hint="default" w:ascii="Times New Roman" w:hAnsi="Times New Roman" w:eastAsia="宋体" w:cs="Times New Roman"/>
                <w:kern w:val="0"/>
                <w:sz w:val="24"/>
                <w:highlight w:val="none"/>
              </w:rPr>
              <w:t>”</w:t>
            </w:r>
            <w:r>
              <w:rPr>
                <w:rFonts w:hint="default" w:ascii="Times New Roman" w:hAnsi="Times New Roman" w:eastAsia="宋体" w:cs="Times New Roman"/>
                <w:color w:val="auto"/>
                <w:highlight w:val="none"/>
              </w:rPr>
              <w:t>，详见</w:t>
            </w:r>
            <w:r>
              <w:rPr>
                <w:rFonts w:hint="default" w:ascii="Times New Roman" w:hAnsi="Times New Roman" w:eastAsia="宋体" w:cs="Times New Roman"/>
                <w:color w:val="auto"/>
                <w:highlight w:val="none"/>
                <w:lang w:val="en-US" w:eastAsia="zh-CN"/>
              </w:rPr>
              <w:t>附</w:t>
            </w:r>
            <w:r>
              <w:rPr>
                <w:rFonts w:hint="default" w:ascii="Times New Roman" w:hAnsi="Times New Roman" w:eastAsia="宋体" w:cs="Times New Roman"/>
                <w:color w:val="auto"/>
                <w:highlight w:val="none"/>
              </w:rPr>
              <w:t>图</w:t>
            </w:r>
            <w:r>
              <w:rPr>
                <w:rFonts w:hint="eastAsia" w:ascii="Times New Roman" w:hAnsi="Times New Roman" w:cs="Times New Roman"/>
                <w:color w:val="auto"/>
                <w:highlight w:val="none"/>
                <w:lang w:val="en-US" w:eastAsia="zh-CN"/>
              </w:rPr>
              <w:t>3</w:t>
            </w:r>
            <w:r>
              <w:rPr>
                <w:rFonts w:hint="default" w:ascii="Times New Roman" w:hAnsi="Times New Roman" w:eastAsia="宋体" w:cs="Times New Roman"/>
                <w:bCs/>
                <w:kern w:val="0"/>
                <w:sz w:val="24"/>
                <w:highlight w:val="none"/>
              </w:rPr>
              <w:t>，</w:t>
            </w:r>
            <w:r>
              <w:rPr>
                <w:rFonts w:hint="default" w:ascii="Times New Roman" w:hAnsi="Times New Roman" w:eastAsia="宋体" w:cs="Times New Roman"/>
                <w:kern w:val="0"/>
                <w:sz w:val="24"/>
                <w:highlight w:val="none"/>
              </w:rPr>
              <w:t>根据《韶关市人民政府关于印发韶关市“三线一单”生态环境分区管控方案的通知》（韶府〔2021〕10号）</w:t>
            </w:r>
            <w:r>
              <w:rPr>
                <w:rFonts w:hint="default" w:ascii="Times New Roman" w:hAnsi="Times New Roman" w:eastAsia="宋体" w:cs="Times New Roman"/>
                <w:color w:val="auto"/>
                <w:highlight w:val="none"/>
              </w:rPr>
              <w:t>及《韶关市生态环境局关于印发韶关市生态环境分区管控动态更新成果的通知》（韶环〔2024〕103号）</w:t>
            </w:r>
            <w:r>
              <w:rPr>
                <w:rFonts w:hint="default" w:ascii="Times New Roman" w:hAnsi="Times New Roman" w:eastAsia="宋体" w:cs="Times New Roman"/>
                <w:kern w:val="0"/>
                <w:sz w:val="24"/>
                <w:highlight w:val="none"/>
              </w:rPr>
              <w:t>，</w:t>
            </w:r>
            <w:r>
              <w:rPr>
                <w:rFonts w:hint="default" w:ascii="Times New Roman" w:hAnsi="Times New Roman" w:eastAsia="宋体" w:cs="Times New Roman"/>
                <w:bCs/>
                <w:sz w:val="24"/>
                <w:highlight w:val="none"/>
              </w:rPr>
              <w:t>各管控维度相应的管控要求及本项目与之的相符性分析</w:t>
            </w:r>
            <w:r>
              <w:rPr>
                <w:rFonts w:hint="default" w:ascii="Times New Roman" w:hAnsi="Times New Roman" w:cs="Times New Roman"/>
                <w:bCs/>
                <w:sz w:val="24"/>
                <w:highlight w:val="none"/>
              </w:rPr>
              <w:t>见表1-</w:t>
            </w:r>
            <w:r>
              <w:rPr>
                <w:rFonts w:hint="default" w:ascii="Times New Roman" w:hAnsi="Times New Roman" w:cs="Times New Roman"/>
                <w:bCs/>
                <w:sz w:val="24"/>
                <w:highlight w:val="none"/>
                <w:lang w:val="en-US" w:eastAsia="zh-CN"/>
              </w:rPr>
              <w:t>2</w:t>
            </w:r>
            <w:r>
              <w:rPr>
                <w:rFonts w:hint="default" w:ascii="Times New Roman" w:hAnsi="Times New Roman" w:cs="Times New Roman"/>
                <w:bCs/>
                <w:sz w:val="24"/>
                <w:highlight w:val="none"/>
              </w:rPr>
              <w:t>。</w:t>
            </w:r>
            <w:r>
              <w:rPr>
                <w:rFonts w:hint="default" w:ascii="Times New Roman" w:hAnsi="Times New Roman" w:cs="Times New Roman"/>
                <w:color w:val="000000"/>
                <w:sz w:val="24"/>
                <w:highlight w:val="none"/>
                <w:lang w:bidi="ar"/>
              </w:rPr>
              <w:t>由表</w:t>
            </w:r>
            <w:r>
              <w:rPr>
                <w:rFonts w:hint="eastAsia"/>
                <w:color w:val="000000"/>
                <w:sz w:val="24"/>
                <w:highlight w:val="none"/>
                <w:lang w:bidi="ar"/>
              </w:rPr>
              <w:t>可知，本项目符合环境管控单元总体管控要求。</w:t>
            </w:r>
          </w:p>
          <w:p w14:paraId="0709FEBE">
            <w:pPr>
              <w:pStyle w:val="11"/>
              <w:keepNext/>
              <w:keepLines w:val="0"/>
              <w:pageBreakBefore w:val="0"/>
              <w:widowControl w:val="0"/>
              <w:kinsoku/>
              <w:wordWrap/>
              <w:overflowPunct/>
              <w:topLinePunct w:val="0"/>
              <w:autoSpaceDE/>
              <w:autoSpaceDN/>
              <w:bidi w:val="0"/>
              <w:adjustRightInd w:val="0"/>
              <w:snapToGrid w:val="0"/>
              <w:spacing w:before="0" w:after="0" w:line="360" w:lineRule="auto"/>
              <w:ind w:firstLine="0" w:firstLineChars="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lang w:val="en-US" w:eastAsia="zh-CN"/>
              </w:rPr>
              <w:t>表</w:t>
            </w:r>
            <w:r>
              <w:rPr>
                <w:rFonts w:hint="eastAsia" w:ascii="Times New Roman" w:hAnsi="Times New Roman" w:eastAsia="宋体" w:cs="Times New Roman"/>
                <w:b/>
                <w:bCs/>
                <w:color w:val="auto"/>
                <w:highlight w:val="none"/>
                <w:lang w:val="en-US" w:eastAsia="zh-CN"/>
              </w:rPr>
              <w:t>1-1</w:t>
            </w:r>
            <w:r>
              <w:rPr>
                <w:rFonts w:hint="default" w:ascii="Times New Roman" w:hAnsi="Times New Roman" w:eastAsia="宋体" w:cs="Times New Roman"/>
                <w:b/>
                <w:bCs/>
                <w:color w:val="auto"/>
                <w:highlight w:val="none"/>
              </w:rPr>
              <w:t xml:space="preserve"> </w:t>
            </w:r>
            <w:r>
              <w:rPr>
                <w:rFonts w:hint="eastAsia"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《韶关市</w:t>
            </w:r>
            <w:r>
              <w:rPr>
                <w:rFonts w:hint="eastAsia" w:ascii="Times New Roman" w:hAnsi="Times New Roman" w:cs="Times New Roman"/>
                <w:b/>
                <w:bCs/>
                <w:color w:val="auto"/>
                <w:highlight w:val="none"/>
                <w:lang w:eastAsia="zh-CN"/>
              </w:rPr>
              <w:t>“</w:t>
            </w:r>
            <w:r>
              <w:rPr>
                <w:rFonts w:hint="default" w:ascii="Times New Roman" w:hAnsi="Times New Roman" w:eastAsia="宋体" w:cs="Times New Roman"/>
                <w:b/>
                <w:bCs/>
                <w:color w:val="auto"/>
                <w:highlight w:val="none"/>
              </w:rPr>
              <w:t>三线一单</w:t>
            </w:r>
            <w:r>
              <w:rPr>
                <w:rFonts w:hint="eastAsia" w:ascii="Times New Roman" w:hAnsi="Times New Roman" w:cs="Times New Roman"/>
                <w:b/>
                <w:bCs/>
                <w:color w:val="auto"/>
                <w:highlight w:val="none"/>
                <w:lang w:eastAsia="zh-CN"/>
              </w:rPr>
              <w:t>”</w:t>
            </w:r>
            <w:r>
              <w:rPr>
                <w:rFonts w:hint="default" w:ascii="Times New Roman" w:hAnsi="Times New Roman" w:eastAsia="宋体" w:cs="Times New Roman"/>
                <w:b/>
                <w:bCs/>
                <w:color w:val="auto"/>
                <w:highlight w:val="none"/>
              </w:rPr>
              <w:t>生态环境分区管控方案》的相符性分析</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4453"/>
              <w:gridCol w:w="2489"/>
              <w:gridCol w:w="940"/>
            </w:tblGrid>
            <w:tr w14:paraId="5F88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71" w:type="pct"/>
                  <w:gridSpan w:val="2"/>
                  <w:noWrap w:val="0"/>
                  <w:vAlign w:val="center"/>
                </w:tcPr>
                <w:p w14:paraId="0E04F540">
                  <w:pPr>
                    <w:pStyle w:val="15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管控要求</w:t>
                  </w:r>
                </w:p>
              </w:tc>
              <w:tc>
                <w:tcPr>
                  <w:tcW w:w="1472" w:type="pct"/>
                  <w:noWrap w:val="0"/>
                  <w:vAlign w:val="center"/>
                </w:tcPr>
                <w:p w14:paraId="3012D50F">
                  <w:pPr>
                    <w:pStyle w:val="15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项目情况</w:t>
                  </w:r>
                </w:p>
              </w:tc>
              <w:tc>
                <w:tcPr>
                  <w:tcW w:w="556" w:type="pct"/>
                  <w:noWrap w:val="0"/>
                  <w:vAlign w:val="center"/>
                </w:tcPr>
                <w:p w14:paraId="3124846F">
                  <w:pPr>
                    <w:pStyle w:val="15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tc>
            </w:tr>
            <w:tr w14:paraId="7CD9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9" w:hRule="atLeast"/>
                <w:jc w:val="center"/>
              </w:trPr>
              <w:tc>
                <w:tcPr>
                  <w:tcW w:w="337" w:type="pct"/>
                  <w:vMerge w:val="restart"/>
                  <w:noWrap w:val="0"/>
                  <w:vAlign w:val="center"/>
                </w:tcPr>
                <w:p w14:paraId="69505FE6">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区域布局管控要求</w:t>
                  </w:r>
                </w:p>
              </w:tc>
              <w:tc>
                <w:tcPr>
                  <w:tcW w:w="2634" w:type="pct"/>
                  <w:noWrap w:val="0"/>
                  <w:vAlign w:val="center"/>
                </w:tcPr>
                <w:p w14:paraId="744C8DD3">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强化生态保护和建设。重点加强南岭山地保护，有效推进国家公园建设，保护生态系统完整性与生物多样性，构建和巩固北部生态屏障。生态保护红线内，自然保护地核心保护区原则上禁止人为活动，其他区域严格禁止开发性、生产性建设活动，在符合现行法律法规前提下，除国家重大战略项目外，仅允许对生态功能不造成破坏的8类有限人为活动。一般生态空间内，可开展生态保护红线内允许的活动；在不影响主导生态功能的前提下，还可开展国家和省规定不纳入环评管理的项目建设，以及生态旅游、畜禽养殖、基础设施建设、村庄建设等人为活动。一般生态空间内的人工商品林，允许依法进行抚育采伐、择伐和树种更新等经营活动。</w:t>
                  </w:r>
                </w:p>
              </w:tc>
              <w:tc>
                <w:tcPr>
                  <w:tcW w:w="1472" w:type="pct"/>
                  <w:noWrap w:val="0"/>
                  <w:vAlign w:val="center"/>
                </w:tcPr>
                <w:p w14:paraId="4F14EFBF">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本</w:t>
                  </w:r>
                  <w:r>
                    <w:rPr>
                      <w:rFonts w:hint="default" w:ascii="Times New Roman" w:hAnsi="Times New Roman" w:eastAsia="宋体"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选址</w:t>
                  </w:r>
                  <w:r>
                    <w:rPr>
                      <w:rFonts w:hint="eastAsia" w:ascii="Times New Roman" w:hAnsi="Times New Roman" w:eastAsia="宋体" w:cs="Times New Roman"/>
                      <w:color w:val="auto"/>
                      <w:sz w:val="21"/>
                      <w:szCs w:val="21"/>
                      <w:highlight w:val="none"/>
                      <w:lang w:eastAsia="zh-CN"/>
                    </w:rPr>
                    <w:t>乐昌市乐城街道西联村老虎头（原乐舜电力发展有限公司内）</w:t>
                  </w:r>
                  <w:r>
                    <w:rPr>
                      <w:rFonts w:hint="default" w:ascii="Times New Roman" w:hAnsi="Times New Roman" w:eastAsia="宋体" w:cs="Times New Roman"/>
                      <w:color w:val="auto"/>
                      <w:sz w:val="21"/>
                      <w:szCs w:val="21"/>
                      <w:highlight w:val="none"/>
                      <w:lang w:val="en-US" w:eastAsia="zh-CN"/>
                    </w:rPr>
                    <w:t>，</w:t>
                  </w:r>
                  <w:r>
                    <w:rPr>
                      <w:rFonts w:hint="eastAsia" w:eastAsia="宋体" w:cs="Times New Roman"/>
                      <w:color w:val="auto"/>
                      <w:sz w:val="21"/>
                      <w:szCs w:val="21"/>
                      <w:highlight w:val="none"/>
                      <w:lang w:eastAsia="zh-CN"/>
                    </w:rPr>
                    <w:t>项目选址</w:t>
                  </w:r>
                  <w:r>
                    <w:rPr>
                      <w:rFonts w:hint="default" w:ascii="Times New Roman" w:hAnsi="Times New Roman" w:eastAsia="宋体" w:cs="Times New Roman"/>
                      <w:color w:val="auto"/>
                      <w:sz w:val="21"/>
                      <w:szCs w:val="21"/>
                      <w:highlight w:val="none"/>
                    </w:rPr>
                    <w:t>位于韶关市重点管控区，不涉及生态保护红线和自然保护地核心保护区等开发活动。</w:t>
                  </w:r>
                </w:p>
              </w:tc>
              <w:tc>
                <w:tcPr>
                  <w:tcW w:w="556" w:type="pct"/>
                  <w:noWrap w:val="0"/>
                  <w:vAlign w:val="center"/>
                </w:tcPr>
                <w:p w14:paraId="272AEB69">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158A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337" w:type="pct"/>
                  <w:vMerge w:val="continue"/>
                  <w:noWrap w:val="0"/>
                  <w:vAlign w:val="center"/>
                </w:tcPr>
                <w:p w14:paraId="1D10B49D">
                  <w:pPr>
                    <w:pStyle w:val="150"/>
                    <w:rPr>
                      <w:rFonts w:hint="default" w:ascii="Times New Roman" w:hAnsi="Times New Roman" w:eastAsia="宋体" w:cs="Times New Roman"/>
                      <w:color w:val="auto"/>
                      <w:sz w:val="21"/>
                      <w:szCs w:val="21"/>
                      <w:highlight w:val="none"/>
                    </w:rPr>
                  </w:pPr>
                </w:p>
              </w:tc>
              <w:tc>
                <w:tcPr>
                  <w:tcW w:w="2634" w:type="pct"/>
                  <w:noWrap w:val="0"/>
                  <w:vAlign w:val="center"/>
                </w:tcPr>
                <w:p w14:paraId="4180712A">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扎实推进新型工业化。重点打造先进材料、先进装备制造、现代轻工业三大战略性支柱产业集群，培育发展电子信息制造、生物医药与健康、大数据及软件信息服务三大战略性新兴产业，引导绿色钢铁、有色金属、建筑材料等先进材料产业集群向规模化、绿色化、高端化转型发展，推进韶钢、韶冶等</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厂区变园区、产区变城区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工作，加快绿色化改造、智能化升级。加快融入</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双区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建设，构建生态产业体系，打造全国产业转型升级示范区。</w:t>
                  </w:r>
                </w:p>
              </w:tc>
              <w:tc>
                <w:tcPr>
                  <w:tcW w:w="1472" w:type="pct"/>
                  <w:noWrap w:val="0"/>
                  <w:vAlign w:val="center"/>
                </w:tcPr>
                <w:p w14:paraId="3A1C515D">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本项目不涉及该条款。</w:t>
                  </w:r>
                </w:p>
              </w:tc>
              <w:tc>
                <w:tcPr>
                  <w:tcW w:w="556" w:type="pct"/>
                  <w:noWrap w:val="0"/>
                  <w:vAlign w:val="center"/>
                </w:tcPr>
                <w:p w14:paraId="07652EE4">
                  <w:pPr>
                    <w:pStyle w:val="150"/>
                    <w:rPr>
                      <w:rFonts w:hint="eastAsia" w:ascii="Times New Roman" w:hAnsi="Times New Roman" w:eastAsia="宋体" w:cs="Times New Roman"/>
                      <w:color w:val="auto"/>
                      <w:sz w:val="21"/>
                      <w:szCs w:val="21"/>
                      <w:highlight w:val="none"/>
                      <w:lang w:eastAsia="zh-CN"/>
                    </w:rPr>
                  </w:pPr>
                  <w:r>
                    <w:rPr>
                      <w:rFonts w:hint="eastAsia" w:eastAsia="宋体" w:cs="Times New Roman"/>
                      <w:color w:val="auto"/>
                      <w:sz w:val="21"/>
                      <w:szCs w:val="21"/>
                      <w:highlight w:val="none"/>
                      <w:lang w:val="en-US" w:eastAsia="zh-CN"/>
                    </w:rPr>
                    <w:t>无关项</w:t>
                  </w:r>
                </w:p>
              </w:tc>
            </w:tr>
            <w:tr w14:paraId="114D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337" w:type="pct"/>
                  <w:vMerge w:val="continue"/>
                  <w:noWrap w:val="0"/>
                  <w:vAlign w:val="center"/>
                </w:tcPr>
                <w:p w14:paraId="619E45B7">
                  <w:pPr>
                    <w:pStyle w:val="150"/>
                    <w:rPr>
                      <w:rFonts w:hint="default" w:ascii="Times New Roman" w:hAnsi="Times New Roman" w:eastAsia="宋体" w:cs="Times New Roman"/>
                      <w:color w:val="auto"/>
                      <w:sz w:val="21"/>
                      <w:szCs w:val="21"/>
                      <w:highlight w:val="none"/>
                    </w:rPr>
                  </w:pPr>
                </w:p>
              </w:tc>
              <w:tc>
                <w:tcPr>
                  <w:tcW w:w="2634" w:type="pct"/>
                  <w:noWrap w:val="0"/>
                  <w:vAlign w:val="center"/>
                </w:tcPr>
                <w:p w14:paraId="3D96AE00">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着力推进新型城镇化。高水平建设中心城区，集中力量推动县域、镇域高质量发展，因地制宜完善城乡环境保护基础设施建设，以城带乡，以乡促城，推动产业集聚集约发展。</w:t>
                  </w:r>
                </w:p>
              </w:tc>
              <w:tc>
                <w:tcPr>
                  <w:tcW w:w="1472" w:type="pct"/>
                  <w:noWrap w:val="0"/>
                  <w:vAlign w:val="center"/>
                </w:tcPr>
                <w:p w14:paraId="7A2ED000">
                  <w:pPr>
                    <w:pStyle w:val="15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本项目不涉及该条款。</w:t>
                  </w:r>
                </w:p>
              </w:tc>
              <w:tc>
                <w:tcPr>
                  <w:tcW w:w="556" w:type="pct"/>
                  <w:noWrap w:val="0"/>
                  <w:vAlign w:val="center"/>
                </w:tcPr>
                <w:p w14:paraId="1C5F06A2">
                  <w:pPr>
                    <w:pStyle w:val="15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无关项</w:t>
                  </w:r>
                </w:p>
              </w:tc>
            </w:tr>
            <w:tr w14:paraId="371D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37" w:type="pct"/>
                  <w:vMerge w:val="continue"/>
                  <w:noWrap w:val="0"/>
                  <w:vAlign w:val="center"/>
                </w:tcPr>
                <w:p w14:paraId="1D3467B8">
                  <w:pPr>
                    <w:pStyle w:val="150"/>
                    <w:rPr>
                      <w:rFonts w:hint="default" w:ascii="Times New Roman" w:hAnsi="Times New Roman" w:eastAsia="宋体" w:cs="Times New Roman"/>
                      <w:color w:val="auto"/>
                      <w:sz w:val="21"/>
                      <w:szCs w:val="21"/>
                      <w:highlight w:val="none"/>
                    </w:rPr>
                  </w:pPr>
                </w:p>
              </w:tc>
              <w:tc>
                <w:tcPr>
                  <w:tcW w:w="2634" w:type="pct"/>
                  <w:noWrap w:val="0"/>
                  <w:vAlign w:val="center"/>
                </w:tcPr>
                <w:p w14:paraId="30C88CFF">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积极促进农业现代化。推进省级现代农业产业园建设，打造现代农业与食品产业集群。稳步发展生态农业，打造生态农业品牌。推广资源利用节约化、生产过程清洁化、废弃物利用资源化等生态循环农业模式。</w:t>
                  </w:r>
                </w:p>
              </w:tc>
              <w:tc>
                <w:tcPr>
                  <w:tcW w:w="1472" w:type="pct"/>
                  <w:noWrap w:val="0"/>
                  <w:vAlign w:val="center"/>
                </w:tcPr>
                <w:p w14:paraId="4DD12847">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本项目不涉及该条款。</w:t>
                  </w:r>
                </w:p>
              </w:tc>
              <w:tc>
                <w:tcPr>
                  <w:tcW w:w="556" w:type="pct"/>
                  <w:noWrap w:val="0"/>
                  <w:vAlign w:val="center"/>
                </w:tcPr>
                <w:p w14:paraId="31D0622A">
                  <w:pPr>
                    <w:pStyle w:val="15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无关项</w:t>
                  </w:r>
                </w:p>
              </w:tc>
            </w:tr>
            <w:tr w14:paraId="0C4B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37" w:type="pct"/>
                  <w:vMerge w:val="continue"/>
                  <w:noWrap w:val="0"/>
                  <w:vAlign w:val="center"/>
                </w:tcPr>
                <w:p w14:paraId="59FE2C7F">
                  <w:pPr>
                    <w:pStyle w:val="150"/>
                    <w:rPr>
                      <w:rFonts w:hint="default" w:ascii="Times New Roman" w:hAnsi="Times New Roman" w:eastAsia="宋体" w:cs="Times New Roman"/>
                      <w:color w:val="0000FF"/>
                      <w:sz w:val="21"/>
                      <w:szCs w:val="21"/>
                      <w:highlight w:val="none"/>
                    </w:rPr>
                  </w:pPr>
                </w:p>
              </w:tc>
              <w:tc>
                <w:tcPr>
                  <w:tcW w:w="2634" w:type="pct"/>
                  <w:noWrap w:val="0"/>
                  <w:vAlign w:val="center"/>
                </w:tcPr>
                <w:p w14:paraId="2340E4A9">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努力实现资源资产价值化。合理开发矿产资源，建设绿色矿山。推进内河绿色港航建设。促进旅游产业转型升级，推出一批精品旅游线路，打造生态、研学、红色、康养和文化等旅游品牌，推进全域旅游发展。</w:t>
                  </w:r>
                </w:p>
              </w:tc>
              <w:tc>
                <w:tcPr>
                  <w:tcW w:w="1472" w:type="pct"/>
                  <w:noWrap w:val="0"/>
                  <w:vAlign w:val="center"/>
                </w:tcPr>
                <w:p w14:paraId="5FDB1F2F">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本项目不涉及该条款。</w:t>
                  </w:r>
                </w:p>
              </w:tc>
              <w:tc>
                <w:tcPr>
                  <w:tcW w:w="556" w:type="pct"/>
                  <w:noWrap w:val="0"/>
                  <w:vAlign w:val="center"/>
                </w:tcPr>
                <w:p w14:paraId="5656B5E7">
                  <w:pPr>
                    <w:pStyle w:val="15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无关项</w:t>
                  </w:r>
                </w:p>
              </w:tc>
            </w:tr>
            <w:tr w14:paraId="22BA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37" w:type="pct"/>
                  <w:vMerge w:val="continue"/>
                  <w:noWrap w:val="0"/>
                  <w:vAlign w:val="center"/>
                </w:tcPr>
                <w:p w14:paraId="1E59DF2E">
                  <w:pPr>
                    <w:pStyle w:val="150"/>
                    <w:rPr>
                      <w:rFonts w:hint="default" w:ascii="Times New Roman" w:hAnsi="Times New Roman" w:eastAsia="宋体" w:cs="Times New Roman"/>
                      <w:color w:val="0000FF"/>
                      <w:sz w:val="21"/>
                      <w:szCs w:val="21"/>
                      <w:highlight w:val="none"/>
                    </w:rPr>
                  </w:pPr>
                </w:p>
              </w:tc>
              <w:tc>
                <w:tcPr>
                  <w:tcW w:w="2634" w:type="pct"/>
                  <w:noWrap w:val="0"/>
                  <w:vAlign w:val="center"/>
                </w:tcPr>
                <w:p w14:paraId="0AC74DA6">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格控制涉重金属和高污染高能耗项目建设。新建、扩建石化、化工、焦化、有色金属冶炼、平板玻璃项目应布设在依法合规设立并经规划环评的产业园区。严格控制水污染严重地区和水源保护敏感区域高耗水、高污染行业发展。新丰县东南部（丰城街道、梅坑镇、黄磜镇、马头镇）严控水污染项目建设，新建、改建、扩建涉水建设项目实行主要污染物和特征污染物排放减量替代。环境空气质量一类功能区实施严格保护，禁止新建、扩建排放大气污染物的工业项目（国家和省规定不纳入环评管理的项目除外）。</w:t>
                  </w:r>
                </w:p>
              </w:tc>
              <w:tc>
                <w:tcPr>
                  <w:tcW w:w="1472" w:type="pct"/>
                  <w:noWrap w:val="0"/>
                  <w:vAlign w:val="center"/>
                </w:tcPr>
                <w:p w14:paraId="7D976BEF">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本项目</w:t>
                  </w:r>
                  <w:r>
                    <w:rPr>
                      <w:rFonts w:hint="default" w:ascii="Times New Roman" w:hAnsi="Times New Roman" w:eastAsia="宋体" w:cs="Times New Roman"/>
                      <w:color w:val="auto"/>
                      <w:spacing w:val="0"/>
                      <w:kern w:val="2"/>
                      <w:sz w:val="21"/>
                      <w:szCs w:val="21"/>
                      <w:highlight w:val="none"/>
                      <w:u w:val="none" w:color="auto"/>
                      <w:lang w:val="en-US" w:eastAsia="zh-CN" w:bidi="ar-SA"/>
                    </w:rPr>
                    <w:t>主要从事</w:t>
                  </w:r>
                  <w:r>
                    <w:rPr>
                      <w:rFonts w:hint="eastAsia" w:eastAsia="宋体" w:cs="Times New Roman"/>
                      <w:color w:val="auto"/>
                      <w:spacing w:val="0"/>
                      <w:kern w:val="2"/>
                      <w:sz w:val="21"/>
                      <w:szCs w:val="21"/>
                      <w:highlight w:val="none"/>
                      <w:u w:val="none" w:color="auto"/>
                      <w:lang w:val="en-US" w:eastAsia="zh-CN" w:bidi="ar-SA"/>
                    </w:rPr>
                    <w:t>环保机制炭生产</w:t>
                  </w:r>
                  <w:r>
                    <w:rPr>
                      <w:rFonts w:hint="default" w:ascii="Times New Roman" w:hAnsi="Times New Roman" w:eastAsia="宋体" w:cs="Times New Roman"/>
                      <w:color w:val="auto"/>
                      <w:spacing w:val="0"/>
                      <w:kern w:val="2"/>
                      <w:sz w:val="21"/>
                      <w:szCs w:val="21"/>
                      <w:highlight w:val="none"/>
                      <w:u w:val="none" w:color="auto"/>
                      <w:lang w:val="en-US" w:eastAsia="zh-CN" w:bidi="ar-SA"/>
                    </w:rPr>
                    <w:t>，</w:t>
                  </w:r>
                  <w:r>
                    <w:rPr>
                      <w:rFonts w:hint="eastAsia" w:eastAsia="宋体" w:cs="Times New Roman"/>
                      <w:color w:val="auto"/>
                      <w:spacing w:val="0"/>
                      <w:kern w:val="2"/>
                      <w:sz w:val="21"/>
                      <w:szCs w:val="21"/>
                      <w:highlight w:val="none"/>
                      <w:u w:val="none" w:color="auto"/>
                      <w:lang w:val="en-US" w:eastAsia="zh-CN" w:bidi="ar-SA"/>
                    </w:rPr>
                    <w:t>不涉及重金属，不属于高污染高能耗项目；</w:t>
                  </w:r>
                  <w:r>
                    <w:rPr>
                      <w:rFonts w:hint="default" w:ascii="Times New Roman" w:hAnsi="Times New Roman" w:eastAsia="宋体" w:cs="Times New Roman"/>
                      <w:color w:val="auto"/>
                      <w:sz w:val="21"/>
                      <w:szCs w:val="21"/>
                      <w:highlight w:val="none"/>
                      <w:lang w:val="en-US" w:eastAsia="zh-CN" w:bidi="ar"/>
                    </w:rPr>
                    <w:t>本项目</w:t>
                  </w:r>
                  <w:r>
                    <w:rPr>
                      <w:rFonts w:hint="eastAsia" w:eastAsia="宋体" w:cs="Times New Roman"/>
                      <w:color w:val="auto"/>
                      <w:sz w:val="21"/>
                      <w:szCs w:val="21"/>
                      <w:highlight w:val="none"/>
                      <w:lang w:val="en-US" w:eastAsia="zh-CN" w:bidi="ar"/>
                    </w:rPr>
                    <w:t>选址</w:t>
                  </w:r>
                  <w:r>
                    <w:rPr>
                      <w:rFonts w:hint="eastAsia" w:ascii="Times New Roman" w:hAnsi="Times New Roman" w:eastAsia="宋体" w:cs="Times New Roman"/>
                      <w:color w:val="auto"/>
                      <w:sz w:val="21"/>
                      <w:szCs w:val="21"/>
                      <w:highlight w:val="none"/>
                      <w:lang w:val="en-US" w:eastAsia="zh-CN" w:bidi="ar"/>
                    </w:rPr>
                    <w:t>乐昌市乐城街道西联村老虎头（原乐舜电力发展有限公司内）</w:t>
                  </w:r>
                  <w:r>
                    <w:rPr>
                      <w:rFonts w:hint="default" w:ascii="Times New Roman" w:hAnsi="Times New Roman" w:eastAsia="宋体" w:cs="Times New Roman"/>
                      <w:color w:val="auto"/>
                      <w:sz w:val="21"/>
                      <w:szCs w:val="21"/>
                      <w:highlight w:val="none"/>
                      <w:lang w:val="en-US" w:eastAsia="zh-CN" w:bidi="ar"/>
                    </w:rPr>
                    <w:t>，</w:t>
                  </w:r>
                  <w:r>
                    <w:rPr>
                      <w:rFonts w:hint="eastAsia" w:eastAsia="宋体" w:cs="Times New Roman"/>
                      <w:color w:val="auto"/>
                      <w:sz w:val="21"/>
                      <w:szCs w:val="21"/>
                      <w:highlight w:val="none"/>
                      <w:lang w:val="en-US" w:eastAsia="zh-CN" w:bidi="ar"/>
                    </w:rPr>
                    <w:t>所在区域空气环境质量为二类功能区</w:t>
                  </w:r>
                  <w:r>
                    <w:rPr>
                      <w:rFonts w:hint="default" w:ascii="Times New Roman" w:hAnsi="Times New Roman" w:eastAsia="宋体" w:cs="Times New Roman"/>
                      <w:color w:val="auto"/>
                      <w:sz w:val="21"/>
                      <w:szCs w:val="21"/>
                      <w:highlight w:val="none"/>
                    </w:rPr>
                    <w:t>。</w:t>
                  </w:r>
                </w:p>
              </w:tc>
              <w:tc>
                <w:tcPr>
                  <w:tcW w:w="556" w:type="pct"/>
                  <w:noWrap w:val="0"/>
                  <w:vAlign w:val="center"/>
                </w:tcPr>
                <w:p w14:paraId="0E6536A7">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02EE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7" w:type="pct"/>
                  <w:vMerge w:val="continue"/>
                  <w:noWrap w:val="0"/>
                  <w:vAlign w:val="center"/>
                </w:tcPr>
                <w:p w14:paraId="492FFD52">
                  <w:pPr>
                    <w:pStyle w:val="150"/>
                    <w:rPr>
                      <w:rFonts w:hint="default" w:ascii="Times New Roman" w:hAnsi="Times New Roman" w:eastAsia="宋体" w:cs="Times New Roman"/>
                      <w:color w:val="0000FF"/>
                      <w:sz w:val="21"/>
                      <w:szCs w:val="21"/>
                      <w:highlight w:val="none"/>
                    </w:rPr>
                  </w:pPr>
                </w:p>
              </w:tc>
              <w:tc>
                <w:tcPr>
                  <w:tcW w:w="2634" w:type="pct"/>
                  <w:noWrap w:val="0"/>
                  <w:vAlign w:val="center"/>
                </w:tcPr>
                <w:p w14:paraId="71060E12">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逐步扩大高污染燃料禁燃区范围。</w:t>
                  </w:r>
                </w:p>
              </w:tc>
              <w:tc>
                <w:tcPr>
                  <w:tcW w:w="1472" w:type="pct"/>
                  <w:noWrap w:val="0"/>
                  <w:vAlign w:val="center"/>
                </w:tcPr>
                <w:p w14:paraId="6984E91B">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本项目</w:t>
                  </w:r>
                  <w:r>
                    <w:rPr>
                      <w:rFonts w:hint="eastAsia" w:eastAsia="宋体" w:cs="Times New Roman"/>
                      <w:color w:val="auto"/>
                      <w:sz w:val="21"/>
                      <w:szCs w:val="21"/>
                      <w:highlight w:val="none"/>
                      <w:lang w:val="en-US" w:eastAsia="zh-CN" w:bidi="ar"/>
                    </w:rPr>
                    <w:t>选址</w:t>
                  </w:r>
                  <w:r>
                    <w:rPr>
                      <w:rFonts w:hint="eastAsia" w:ascii="Times New Roman" w:hAnsi="Times New Roman" w:eastAsia="宋体" w:cs="Times New Roman"/>
                      <w:color w:val="auto"/>
                      <w:sz w:val="21"/>
                      <w:szCs w:val="21"/>
                      <w:highlight w:val="none"/>
                      <w:lang w:val="en-US" w:eastAsia="zh-CN" w:bidi="ar"/>
                    </w:rPr>
                    <w:t>乐昌市乐城街道西联村老虎头（原乐舜电力发展有限公司内）</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rPr>
                    <w:t>本项目使用电能和</w:t>
                  </w:r>
                  <w:r>
                    <w:rPr>
                      <w:rFonts w:hint="eastAsia" w:eastAsia="宋体" w:cs="Times New Roman"/>
                      <w:color w:val="auto"/>
                      <w:sz w:val="21"/>
                      <w:szCs w:val="21"/>
                      <w:highlight w:val="none"/>
                      <w:lang w:val="en-US" w:eastAsia="zh-CN"/>
                    </w:rPr>
                    <w:t>生物质成型燃料</w:t>
                  </w:r>
                  <w:r>
                    <w:rPr>
                      <w:rFonts w:hint="default"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高污染燃料</w:t>
                  </w:r>
                  <w:r>
                    <w:rPr>
                      <w:rFonts w:hint="eastAsia" w:eastAsia="宋体" w:cs="Times New Roman"/>
                      <w:color w:val="auto"/>
                      <w:sz w:val="21"/>
                      <w:szCs w:val="21"/>
                      <w:highlight w:val="none"/>
                      <w:lang w:eastAsia="zh-CN"/>
                    </w:rPr>
                    <w:t>，</w:t>
                  </w:r>
                  <w:r>
                    <w:rPr>
                      <w:rFonts w:hint="eastAsia" w:eastAsia="宋体" w:cs="Times New Roman"/>
                      <w:color w:val="auto"/>
                      <w:sz w:val="21"/>
                      <w:szCs w:val="21"/>
                      <w:highlight w:val="none"/>
                      <w:lang w:val="en-US" w:eastAsia="zh-CN"/>
                    </w:rPr>
                    <w:t>且配备了旋风除尘器+喷淋除尘脱硫塔处理设施</w:t>
                  </w:r>
                  <w:r>
                    <w:rPr>
                      <w:rFonts w:hint="default" w:ascii="Times New Roman" w:hAnsi="Times New Roman" w:eastAsia="宋体" w:cs="Times New Roman"/>
                      <w:color w:val="auto"/>
                      <w:sz w:val="21"/>
                      <w:szCs w:val="21"/>
                      <w:highlight w:val="none"/>
                    </w:rPr>
                    <w:t>。</w:t>
                  </w:r>
                </w:p>
              </w:tc>
              <w:tc>
                <w:tcPr>
                  <w:tcW w:w="556" w:type="pct"/>
                  <w:noWrap w:val="0"/>
                  <w:vAlign w:val="center"/>
                </w:tcPr>
                <w:p w14:paraId="377B0154">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452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37" w:type="pct"/>
                  <w:vMerge w:val="restart"/>
                  <w:noWrap w:val="0"/>
                  <w:vAlign w:val="center"/>
                </w:tcPr>
                <w:p w14:paraId="114F8B4D">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能源资源利用要求</w:t>
                  </w:r>
                </w:p>
              </w:tc>
              <w:tc>
                <w:tcPr>
                  <w:tcW w:w="2634" w:type="pct"/>
                  <w:noWrap w:val="0"/>
                  <w:vAlign w:val="center"/>
                </w:tcPr>
                <w:p w14:paraId="2FAD28B8">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积极落实国家、省制定的碳达峰碳中和目标任务，制定并落实碳达峰与碳减排工作计划、行动方案，综合运用相关政策工具和手段措施，持续推动实施。进一步优化调整能源结构，发展以光伏全产业链为龙头的风光氢等多元化可再生清洁能源产业，提高可再生能源发电装机占比，推动电力源网荷储一体化和多能互补。实行能源消费强度与消费总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双控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制度。抓好电力、建材、冶炼等重点耗能行业的节能降耗工作，推动单位GDP能源消耗、单位GDP二氧化碳排放持续下降。鼓励使用天然气及可再生能源，县级及以上城市建成区，禁止新建每小时35蒸吨以下燃煤锅炉。</w:t>
                  </w:r>
                </w:p>
              </w:tc>
              <w:tc>
                <w:tcPr>
                  <w:tcW w:w="1472" w:type="pct"/>
                  <w:noWrap w:val="0"/>
                  <w:vAlign w:val="center"/>
                </w:tcPr>
                <w:p w14:paraId="0C2AB9A5">
                  <w:pPr>
                    <w:pStyle w:val="15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bidi="ar"/>
                    </w:rPr>
                    <w:t>本项目不涉及锅炉。</w:t>
                  </w:r>
                </w:p>
              </w:tc>
              <w:tc>
                <w:tcPr>
                  <w:tcW w:w="556" w:type="pct"/>
                  <w:noWrap w:val="0"/>
                  <w:vAlign w:val="center"/>
                </w:tcPr>
                <w:p w14:paraId="3F8A8DE2">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0DE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37" w:type="pct"/>
                  <w:vMerge w:val="continue"/>
                  <w:noWrap w:val="0"/>
                  <w:vAlign w:val="center"/>
                </w:tcPr>
                <w:p w14:paraId="48B88E34">
                  <w:pPr>
                    <w:pStyle w:val="150"/>
                    <w:rPr>
                      <w:rFonts w:hint="default" w:ascii="Times New Roman" w:hAnsi="Times New Roman" w:eastAsia="宋体" w:cs="Times New Roman"/>
                      <w:color w:val="auto"/>
                      <w:sz w:val="21"/>
                      <w:szCs w:val="21"/>
                      <w:highlight w:val="none"/>
                    </w:rPr>
                  </w:pPr>
                </w:p>
              </w:tc>
              <w:tc>
                <w:tcPr>
                  <w:tcW w:w="2634" w:type="pct"/>
                  <w:noWrap w:val="0"/>
                  <w:vAlign w:val="center"/>
                </w:tcPr>
                <w:p w14:paraId="4E3C622B">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原则上不再新建小水电以及除国家和省规划外的风电项目，对不符合生态环境要求的小水电进行清理整改。严格落实东江、北江流域等重要控制断面生态流量保障目标。加强城市节水，提高水资源的利用效率和效益。</w:t>
                  </w:r>
                </w:p>
              </w:tc>
              <w:tc>
                <w:tcPr>
                  <w:tcW w:w="1472" w:type="pct"/>
                  <w:noWrap w:val="0"/>
                  <w:vAlign w:val="center"/>
                </w:tcPr>
                <w:p w14:paraId="3239FF5F">
                  <w:pPr>
                    <w:pStyle w:val="15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eastAsia="宋体" w:cs="Times New Roman"/>
                      <w:color w:val="auto"/>
                      <w:sz w:val="21"/>
                      <w:szCs w:val="21"/>
                      <w:highlight w:val="none"/>
                      <w:lang w:val="en-US" w:eastAsia="zh-CN"/>
                    </w:rPr>
                    <w:t>产生的生活污水经三级化粪池处理后，用于周边林地浇灌；喷淋除尘脱硫塔用水循环使用，不外排</w:t>
                  </w:r>
                  <w:r>
                    <w:rPr>
                      <w:rFonts w:hint="default" w:ascii="Times New Roman" w:hAnsi="Times New Roman" w:eastAsia="宋体" w:cs="Times New Roman"/>
                      <w:color w:val="auto"/>
                      <w:sz w:val="21"/>
                      <w:szCs w:val="21"/>
                      <w:highlight w:val="none"/>
                      <w:lang w:val="en-US" w:eastAsia="zh-CN"/>
                    </w:rPr>
                    <w:t>。</w:t>
                  </w:r>
                </w:p>
              </w:tc>
              <w:tc>
                <w:tcPr>
                  <w:tcW w:w="556" w:type="pct"/>
                  <w:noWrap w:val="0"/>
                  <w:vAlign w:val="center"/>
                </w:tcPr>
                <w:p w14:paraId="6D0D7EF2">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01DF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337" w:type="pct"/>
                  <w:vMerge w:val="continue"/>
                  <w:noWrap w:val="0"/>
                  <w:vAlign w:val="center"/>
                </w:tcPr>
                <w:p w14:paraId="0DDD6FC9">
                  <w:pPr>
                    <w:pStyle w:val="150"/>
                    <w:rPr>
                      <w:rFonts w:hint="default" w:ascii="Times New Roman" w:hAnsi="Times New Roman" w:eastAsia="宋体" w:cs="Times New Roman"/>
                      <w:color w:val="auto"/>
                      <w:sz w:val="21"/>
                      <w:szCs w:val="21"/>
                      <w:highlight w:val="none"/>
                    </w:rPr>
                  </w:pPr>
                </w:p>
              </w:tc>
              <w:tc>
                <w:tcPr>
                  <w:tcW w:w="2634" w:type="pct"/>
                  <w:noWrap w:val="0"/>
                  <w:vAlign w:val="center"/>
                </w:tcPr>
                <w:p w14:paraId="31ED1C30">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格矿产资源开发准入管理，从严控制矿产资源开发总量和综合利用标准。加强矿产资源规划管理，提高矿产资源开发利用效率，推动矿产资源开发合理布局和节约集约利用。推进大宝山、凡口矿等矿山企业转型升级，打造国家级绿色矿山。全市矿山企业在2025年前全部达到绿色矿山标准。</w:t>
                  </w:r>
                </w:p>
              </w:tc>
              <w:tc>
                <w:tcPr>
                  <w:tcW w:w="1472" w:type="pct"/>
                  <w:noWrap w:val="0"/>
                  <w:vAlign w:val="center"/>
                </w:tcPr>
                <w:p w14:paraId="6016C1A5">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本项目不涉及该条款</w:t>
                  </w:r>
                  <w:r>
                    <w:rPr>
                      <w:rFonts w:hint="default" w:ascii="Times New Roman" w:hAnsi="Times New Roman" w:eastAsia="宋体" w:cs="Times New Roman"/>
                      <w:color w:val="auto"/>
                      <w:sz w:val="21"/>
                      <w:szCs w:val="21"/>
                      <w:highlight w:val="none"/>
                    </w:rPr>
                    <w:t>。</w:t>
                  </w:r>
                </w:p>
              </w:tc>
              <w:tc>
                <w:tcPr>
                  <w:tcW w:w="556" w:type="pct"/>
                  <w:noWrap w:val="0"/>
                  <w:vAlign w:val="center"/>
                </w:tcPr>
                <w:p w14:paraId="65AB5EC6">
                  <w:pPr>
                    <w:pStyle w:val="15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无关项</w:t>
                  </w:r>
                </w:p>
              </w:tc>
            </w:tr>
            <w:tr w14:paraId="0146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37" w:type="pct"/>
                  <w:vMerge w:val="restart"/>
                  <w:noWrap w:val="0"/>
                  <w:vAlign w:val="center"/>
                </w:tcPr>
                <w:p w14:paraId="209A55F6">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污染物排放管控要求</w:t>
                  </w:r>
                </w:p>
              </w:tc>
              <w:tc>
                <w:tcPr>
                  <w:tcW w:w="2634" w:type="pct"/>
                  <w:noWrap w:val="0"/>
                  <w:vAlign w:val="center"/>
                </w:tcPr>
                <w:p w14:paraId="7D516D8E">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深入实施重点污染物 总量控制。</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十四五</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期间重点污染物排放总量在现有基础上持续减少。优化总量分配和调控机制，重点污染物排放总量指标优先向重点建设项目、重点工业园区、战略性产业集群倾斜。新建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两高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项目应配套区域主要污染物削减方案，采取有效的主要污染物区域削减措施，腾出足够的环境容量。新建项目原则上实施氮氧化物（NO</w:t>
                  </w:r>
                  <w:r>
                    <w:rPr>
                      <w:rFonts w:hint="default" w:ascii="Times New Roman" w:hAnsi="Times New Roman" w:eastAsia="宋体" w:cs="Times New Roman"/>
                      <w:color w:val="auto"/>
                      <w:sz w:val="21"/>
                      <w:szCs w:val="21"/>
                      <w:highlight w:val="none"/>
                      <w:lang w:val="en-US" w:eastAsia="zh-CN"/>
                    </w:rPr>
                    <w:t>x</w:t>
                  </w:r>
                  <w:r>
                    <w:rPr>
                      <w:rFonts w:hint="default" w:ascii="Times New Roman" w:hAnsi="Times New Roman" w:eastAsia="宋体" w:cs="Times New Roman"/>
                      <w:color w:val="auto"/>
                      <w:sz w:val="21"/>
                      <w:szCs w:val="21"/>
                      <w:highlight w:val="none"/>
                    </w:rPr>
                    <w:t>）和挥发性有机物（VOCs）等量替代，推动钢铁行业执行大气污染物超低排放标准。新建、改建、扩建造纸、焦化、有色金属、印染、农副食品加工、原料药制造、制革、农药、电镀等行业建设项目实行主要水体污染物排放等量替代。</w:t>
                  </w:r>
                </w:p>
              </w:tc>
              <w:tc>
                <w:tcPr>
                  <w:tcW w:w="1472" w:type="pct"/>
                  <w:noWrap w:val="0"/>
                  <w:vAlign w:val="center"/>
                </w:tcPr>
                <w:p w14:paraId="554423F3">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本项目</w:t>
                  </w:r>
                  <w:r>
                    <w:rPr>
                      <w:rFonts w:hint="eastAsia" w:eastAsia="宋体" w:cs="Times New Roman"/>
                      <w:color w:val="auto"/>
                      <w:sz w:val="21"/>
                      <w:szCs w:val="21"/>
                      <w:highlight w:val="none"/>
                      <w:lang w:val="en-US" w:eastAsia="zh-CN" w:bidi="ar"/>
                    </w:rPr>
                    <w:t>选址</w:t>
                  </w:r>
                  <w:r>
                    <w:rPr>
                      <w:rFonts w:hint="eastAsia" w:ascii="Times New Roman" w:hAnsi="Times New Roman" w:eastAsia="宋体" w:cs="Times New Roman"/>
                      <w:color w:val="auto"/>
                      <w:sz w:val="21"/>
                      <w:szCs w:val="21"/>
                      <w:highlight w:val="none"/>
                      <w:lang w:val="en-US" w:eastAsia="zh-CN" w:bidi="ar"/>
                    </w:rPr>
                    <w:t>乐昌市乐城街道西联村老虎头（原乐舜电力发展有限公司内）</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bidi="ar"/>
                    </w:rPr>
                    <w:t>涉及的大气污染物</w:t>
                  </w:r>
                  <w:r>
                    <w:rPr>
                      <w:rFonts w:hint="eastAsia" w:eastAsia="宋体" w:cs="Times New Roman"/>
                      <w:color w:val="auto"/>
                      <w:sz w:val="21"/>
                      <w:szCs w:val="21"/>
                      <w:highlight w:val="none"/>
                      <w:lang w:val="en-US" w:eastAsia="zh-CN" w:bidi="ar"/>
                    </w:rPr>
                    <w:t>氮氧化物</w:t>
                  </w:r>
                  <w:r>
                    <w:rPr>
                      <w:rFonts w:hint="default" w:ascii="Times New Roman" w:hAnsi="Times New Roman" w:eastAsia="宋体" w:cs="Times New Roman"/>
                      <w:color w:val="auto"/>
                      <w:sz w:val="21"/>
                      <w:szCs w:val="21"/>
                      <w:highlight w:val="none"/>
                      <w:lang w:val="en-US" w:eastAsia="zh-CN" w:bidi="ar"/>
                    </w:rPr>
                    <w:t>排放量实行等量替代</w:t>
                  </w:r>
                  <w:r>
                    <w:rPr>
                      <w:rFonts w:hint="default" w:ascii="Times New Roman" w:hAnsi="Times New Roman" w:eastAsia="宋体" w:cs="Times New Roman"/>
                      <w:color w:val="auto"/>
                      <w:sz w:val="21"/>
                      <w:szCs w:val="21"/>
                      <w:highlight w:val="none"/>
                      <w:lang w:val="en-US" w:eastAsia="zh-CN"/>
                    </w:rPr>
                    <w:t>；</w:t>
                  </w:r>
                  <w:r>
                    <w:rPr>
                      <w:rFonts w:hint="eastAsia" w:eastAsia="宋体" w:cs="Times New Roman"/>
                      <w:color w:val="auto"/>
                      <w:sz w:val="21"/>
                      <w:szCs w:val="21"/>
                      <w:highlight w:val="none"/>
                      <w:lang w:val="en-US" w:eastAsia="zh-CN"/>
                    </w:rPr>
                    <w:t>生活污水经三级化粪池处理后，用于周边林地浇灌；喷淋除尘脱硫塔用水循环使用，不外排</w:t>
                  </w:r>
                  <w:r>
                    <w:rPr>
                      <w:rFonts w:hint="default" w:ascii="Times New Roman" w:hAnsi="Times New Roman" w:eastAsia="宋体" w:cs="Times New Roman"/>
                      <w:color w:val="auto"/>
                      <w:sz w:val="21"/>
                      <w:szCs w:val="21"/>
                      <w:highlight w:val="none"/>
                      <w:lang w:val="en-US" w:eastAsia="zh-CN"/>
                    </w:rPr>
                    <w:t>。</w:t>
                  </w:r>
                </w:p>
              </w:tc>
              <w:tc>
                <w:tcPr>
                  <w:tcW w:w="556" w:type="pct"/>
                  <w:noWrap w:val="0"/>
                  <w:vAlign w:val="center"/>
                </w:tcPr>
                <w:p w14:paraId="2B25D251">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9EB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37" w:type="pct"/>
                  <w:vMerge w:val="continue"/>
                  <w:noWrap w:val="0"/>
                  <w:vAlign w:val="center"/>
                </w:tcPr>
                <w:p w14:paraId="4AE1702C">
                  <w:pPr>
                    <w:pStyle w:val="150"/>
                    <w:rPr>
                      <w:rFonts w:hint="default" w:ascii="Times New Roman" w:hAnsi="Times New Roman" w:eastAsia="宋体" w:cs="Times New Roman"/>
                      <w:color w:val="auto"/>
                      <w:sz w:val="21"/>
                      <w:szCs w:val="21"/>
                      <w:highlight w:val="none"/>
                    </w:rPr>
                  </w:pPr>
                </w:p>
              </w:tc>
              <w:tc>
                <w:tcPr>
                  <w:tcW w:w="2634" w:type="pct"/>
                  <w:noWrap w:val="0"/>
                  <w:vAlign w:val="center"/>
                </w:tcPr>
                <w:p w14:paraId="58601F61">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低挥发性有机物(VOCs)含量产品源头替代工程。全面加强无组织排放控制，深入实施精细化治理。推进溶剂使用及挥发性有机液体储运销环节的减排，全过程实施反应活性物质、有毒有害物质、恶臭物质的协同控制。对VOCs 重点企业实施分级和清单化管控，将全面使用低VOCs 含量原辅材料的企业纳入正面清单和政府绿色采购清单。</w:t>
                  </w:r>
                </w:p>
              </w:tc>
              <w:tc>
                <w:tcPr>
                  <w:tcW w:w="1472" w:type="pct"/>
                  <w:noWrap w:val="0"/>
                  <w:vAlign w:val="center"/>
                </w:tcPr>
                <w:p w14:paraId="450B5A1B">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本项目不涉及的高挥发性原辅材料使用</w:t>
                  </w:r>
                  <w:r>
                    <w:rPr>
                      <w:rFonts w:hint="default" w:ascii="Times New Roman" w:hAnsi="Times New Roman" w:eastAsia="宋体" w:cs="Times New Roman"/>
                      <w:color w:val="auto"/>
                      <w:sz w:val="21"/>
                      <w:szCs w:val="21"/>
                      <w:highlight w:val="none"/>
                    </w:rPr>
                    <w:t>。</w:t>
                  </w:r>
                </w:p>
              </w:tc>
              <w:tc>
                <w:tcPr>
                  <w:tcW w:w="556" w:type="pct"/>
                  <w:noWrap w:val="0"/>
                  <w:vAlign w:val="center"/>
                </w:tcPr>
                <w:p w14:paraId="4B239BB1">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2847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37" w:type="pct"/>
                  <w:vMerge w:val="continue"/>
                  <w:noWrap w:val="0"/>
                  <w:vAlign w:val="center"/>
                </w:tcPr>
                <w:p w14:paraId="587FF65C">
                  <w:pPr>
                    <w:pStyle w:val="150"/>
                    <w:rPr>
                      <w:rFonts w:hint="default" w:ascii="Times New Roman" w:hAnsi="Times New Roman" w:eastAsia="宋体" w:cs="Times New Roman"/>
                      <w:color w:val="auto"/>
                      <w:sz w:val="21"/>
                      <w:szCs w:val="21"/>
                      <w:highlight w:val="none"/>
                    </w:rPr>
                  </w:pPr>
                </w:p>
              </w:tc>
              <w:tc>
                <w:tcPr>
                  <w:tcW w:w="2634" w:type="pct"/>
                  <w:noWrap w:val="0"/>
                  <w:vAlign w:val="center"/>
                </w:tcPr>
                <w:p w14:paraId="732307EE">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北江流域实行重金属污染物排放总量控制。新建、改建、扩建的项目严格实行重金属等特征污染物排放减量替代。加强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三矿两厂</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等日常监督，在重点防控区域内新建、改建、扩建增加重金属污染物排放总量的建设项目应通过实施区域削减，实现增产减污。凡口铅锌矿及其周边区域（仁化县董塘镇）、大宝山矿及其周边区域（曲江区沙溪镇、翁源县铁龙镇）严格执行部分重金属水污染物特别排放限值的相关规定。</w:t>
                  </w:r>
                </w:p>
              </w:tc>
              <w:tc>
                <w:tcPr>
                  <w:tcW w:w="1472" w:type="pct"/>
                  <w:noWrap w:val="0"/>
                  <w:vAlign w:val="center"/>
                </w:tcPr>
                <w:p w14:paraId="5C19BF30">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本项目</w:t>
                  </w:r>
                  <w:r>
                    <w:rPr>
                      <w:rFonts w:hint="eastAsia" w:eastAsia="宋体" w:cs="Times New Roman"/>
                      <w:color w:val="auto"/>
                      <w:sz w:val="21"/>
                      <w:szCs w:val="21"/>
                      <w:highlight w:val="none"/>
                      <w:lang w:val="en-US" w:eastAsia="zh-CN" w:bidi="ar"/>
                    </w:rPr>
                    <w:t>选址</w:t>
                  </w:r>
                  <w:r>
                    <w:rPr>
                      <w:rFonts w:hint="eastAsia" w:ascii="Times New Roman" w:hAnsi="Times New Roman" w:eastAsia="宋体" w:cs="Times New Roman"/>
                      <w:color w:val="auto"/>
                      <w:sz w:val="21"/>
                      <w:szCs w:val="21"/>
                      <w:highlight w:val="none"/>
                      <w:lang w:val="en-US" w:eastAsia="zh-CN" w:bidi="ar"/>
                    </w:rPr>
                    <w:t>乐昌市乐城街道西联村老虎头（原乐舜电力发展有限公司内）</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rPr>
                    <w:t>本项目</w:t>
                  </w:r>
                  <w:r>
                    <w:rPr>
                      <w:rFonts w:hint="eastAsia" w:eastAsia="宋体" w:cs="Times New Roman"/>
                      <w:color w:val="auto"/>
                      <w:sz w:val="21"/>
                      <w:szCs w:val="21"/>
                      <w:highlight w:val="none"/>
                      <w:lang w:val="en-US" w:eastAsia="zh-CN"/>
                    </w:rPr>
                    <w:t>生活污水经三级化粪池处理后，用于周边林地浇灌；喷淋除尘脱硫塔用水循环使用，不外排；</w:t>
                  </w:r>
                  <w:r>
                    <w:rPr>
                      <w:rFonts w:hint="default" w:ascii="Times New Roman" w:hAnsi="Times New Roman" w:eastAsia="宋体" w:cs="Times New Roman"/>
                      <w:color w:val="auto"/>
                      <w:sz w:val="21"/>
                      <w:szCs w:val="21"/>
                      <w:highlight w:val="none"/>
                      <w:lang w:val="en-US" w:eastAsia="zh-CN"/>
                    </w:rPr>
                    <w:t>不涉及重金属</w:t>
                  </w:r>
                  <w:r>
                    <w:rPr>
                      <w:rFonts w:hint="eastAsia" w:eastAsia="宋体" w:cs="Times New Roman"/>
                      <w:color w:val="auto"/>
                      <w:sz w:val="21"/>
                      <w:szCs w:val="21"/>
                      <w:highlight w:val="none"/>
                      <w:lang w:val="en-US" w:eastAsia="zh-CN"/>
                    </w:rPr>
                    <w:t>污染物</w:t>
                  </w:r>
                  <w:r>
                    <w:rPr>
                      <w:rFonts w:hint="default" w:ascii="Times New Roman" w:hAnsi="Times New Roman" w:eastAsia="宋体" w:cs="Times New Roman"/>
                      <w:color w:val="auto"/>
                      <w:sz w:val="21"/>
                      <w:szCs w:val="21"/>
                      <w:highlight w:val="none"/>
                    </w:rPr>
                    <w:t>。</w:t>
                  </w:r>
                </w:p>
              </w:tc>
              <w:tc>
                <w:tcPr>
                  <w:tcW w:w="556" w:type="pct"/>
                  <w:noWrap w:val="0"/>
                  <w:vAlign w:val="center"/>
                </w:tcPr>
                <w:p w14:paraId="7D1E910B">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7CC5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7" w:type="pct"/>
                  <w:vMerge w:val="continue"/>
                  <w:noWrap w:val="0"/>
                  <w:vAlign w:val="center"/>
                </w:tcPr>
                <w:p w14:paraId="39E12AC0">
                  <w:pPr>
                    <w:pStyle w:val="150"/>
                    <w:rPr>
                      <w:rFonts w:hint="default" w:ascii="Times New Roman" w:hAnsi="Times New Roman" w:eastAsia="宋体" w:cs="Times New Roman"/>
                      <w:color w:val="auto"/>
                      <w:sz w:val="21"/>
                      <w:szCs w:val="21"/>
                      <w:highlight w:val="none"/>
                    </w:rPr>
                  </w:pPr>
                </w:p>
              </w:tc>
              <w:tc>
                <w:tcPr>
                  <w:tcW w:w="2634" w:type="pct"/>
                  <w:noWrap w:val="0"/>
                  <w:vAlign w:val="center"/>
                </w:tcPr>
                <w:p w14:paraId="0D253815">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饮用水水源保护区全面加强水源涵养，强化源头控制，禁止新建排污口，严格防范水源污染风险，切实保障饮用水安全，一级保护区内禁止新建、改建、扩建与供水设施和保护水源无关的建设项目；二级保护区内禁止新建、改建、扩建排放污染物的建设项目。饮用水水源准保护区内禁止新建、扩建对水体污染严重的建设项目。</w:t>
                  </w:r>
                </w:p>
              </w:tc>
              <w:tc>
                <w:tcPr>
                  <w:tcW w:w="1472" w:type="pct"/>
                  <w:noWrap w:val="0"/>
                  <w:vAlign w:val="center"/>
                </w:tcPr>
                <w:p w14:paraId="28232D62">
                  <w:pPr>
                    <w:pStyle w:val="15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本项目不涉及该条款。</w:t>
                  </w:r>
                </w:p>
              </w:tc>
              <w:tc>
                <w:tcPr>
                  <w:tcW w:w="556" w:type="pct"/>
                  <w:noWrap w:val="0"/>
                  <w:vAlign w:val="center"/>
                </w:tcPr>
                <w:p w14:paraId="345A07C9">
                  <w:pPr>
                    <w:pStyle w:val="15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无关项</w:t>
                  </w:r>
                </w:p>
              </w:tc>
            </w:tr>
            <w:tr w14:paraId="74E1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337" w:type="pct"/>
                  <w:vMerge w:val="continue"/>
                  <w:noWrap w:val="0"/>
                  <w:vAlign w:val="center"/>
                </w:tcPr>
                <w:p w14:paraId="3F24D6B5">
                  <w:pPr>
                    <w:pStyle w:val="150"/>
                    <w:rPr>
                      <w:rFonts w:hint="default" w:ascii="Times New Roman" w:hAnsi="Times New Roman" w:eastAsia="宋体" w:cs="Times New Roman"/>
                      <w:color w:val="auto"/>
                      <w:sz w:val="21"/>
                      <w:szCs w:val="21"/>
                      <w:highlight w:val="none"/>
                    </w:rPr>
                  </w:pPr>
                </w:p>
              </w:tc>
              <w:tc>
                <w:tcPr>
                  <w:tcW w:w="2634" w:type="pct"/>
                  <w:noWrap w:val="0"/>
                  <w:vAlign w:val="center"/>
                </w:tcPr>
                <w:p w14:paraId="27F11067">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完善污水处理厂配套管网建设，切实提高运行负荷。强化城中村、老旧城区和城乡结合部污水截流、收集。现有合流制排水系统应加快实施雨污分流改造，加快镇级生活污水处理设施及配套管网建设，因地制宜建设农村生活污水处理设施。加强农业面源污染治理，实施种植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肥药双控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；严格禁养区管理，加强养殖污染防治，加强畜禽养殖废弃物资源化利用。</w:t>
                  </w:r>
                </w:p>
              </w:tc>
              <w:tc>
                <w:tcPr>
                  <w:tcW w:w="1472" w:type="pct"/>
                  <w:noWrap w:val="0"/>
                  <w:vAlign w:val="center"/>
                </w:tcPr>
                <w:p w14:paraId="43BF6FA9">
                  <w:pPr>
                    <w:pStyle w:val="15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本项目不涉及该条款。</w:t>
                  </w:r>
                </w:p>
              </w:tc>
              <w:tc>
                <w:tcPr>
                  <w:tcW w:w="556" w:type="pct"/>
                  <w:noWrap w:val="0"/>
                  <w:vAlign w:val="center"/>
                </w:tcPr>
                <w:p w14:paraId="2F251EB8">
                  <w:pPr>
                    <w:pStyle w:val="15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无关项</w:t>
                  </w:r>
                </w:p>
              </w:tc>
            </w:tr>
            <w:tr w14:paraId="1E48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37" w:type="pct"/>
                  <w:vMerge w:val="restart"/>
                  <w:noWrap w:val="0"/>
                  <w:vAlign w:val="center"/>
                </w:tcPr>
                <w:p w14:paraId="71594E6D">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环境风险防控要求</w:t>
                  </w:r>
                </w:p>
              </w:tc>
              <w:tc>
                <w:tcPr>
                  <w:tcW w:w="2634" w:type="pct"/>
                  <w:noWrap w:val="0"/>
                  <w:vAlign w:val="center"/>
                </w:tcPr>
                <w:p w14:paraId="54ED4E9B">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北江、东江干流沿岸以及饮用水水源地环境风险防控。严格控制沿岸石油加工、化学原料和化学制品制造、有色金属冶炼、纺织印染等项目环境风险。强化地表水、地下水和土壤污染风险协同防控，建立完善突发环境事件应急管理体系，全面排查</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千吨万人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饮用水水源地周边环境问题并及时开展专项整治，保障饮用水水源地安全。重点加强环境风险分级分类管控，建立全市环境风险源在线监控预警系统，强化化工企业、涉重金属行业、工业园区和尾矿库等重点环境风险源的环境风险防控。构建企业、园区和区域三级环境风险防控联动体系，增强园区风险防控能力。园区管理机构应定期开展环境风险评估，编制完善综合环境应急预案并备案，整合应急资源，储备环境应急物资及装备，定期组织开展应急演练，全面提升园区突发环境事件应急处理能力。</w:t>
                  </w:r>
                </w:p>
              </w:tc>
              <w:tc>
                <w:tcPr>
                  <w:tcW w:w="1472" w:type="pct"/>
                  <w:noWrap w:val="0"/>
                  <w:vAlign w:val="center"/>
                </w:tcPr>
                <w:p w14:paraId="0E70E4B2">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本项目不属于化工项目，不属于涉重金属、尾矿库等行业，产品和原辅材料皆不涉及风险物质，</w:t>
                  </w:r>
                  <w:r>
                    <w:rPr>
                      <w:rFonts w:hint="default" w:ascii="Times New Roman" w:hAnsi="Times New Roman" w:eastAsia="宋体" w:cs="Times New Roman"/>
                      <w:color w:val="auto"/>
                      <w:sz w:val="21"/>
                      <w:szCs w:val="21"/>
                      <w:highlight w:val="none"/>
                    </w:rPr>
                    <w:t>本项目将采取一系列风险防范措施，制定并落实企业突发环境事件应急预案，建立体系完备的风险管控体系，符合环境风险防控要求。</w:t>
                  </w:r>
                </w:p>
              </w:tc>
              <w:tc>
                <w:tcPr>
                  <w:tcW w:w="556" w:type="pct"/>
                  <w:noWrap w:val="0"/>
                  <w:vAlign w:val="center"/>
                </w:tcPr>
                <w:p w14:paraId="5DACF87D">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02BB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6" w:hRule="atLeast"/>
                <w:jc w:val="center"/>
              </w:trPr>
              <w:tc>
                <w:tcPr>
                  <w:tcW w:w="337" w:type="pct"/>
                  <w:vMerge w:val="continue"/>
                  <w:noWrap w:val="0"/>
                  <w:vAlign w:val="center"/>
                </w:tcPr>
                <w:p w14:paraId="1D05F141">
                  <w:pPr>
                    <w:pStyle w:val="150"/>
                    <w:rPr>
                      <w:rFonts w:hint="default" w:ascii="Times New Roman" w:hAnsi="Times New Roman" w:eastAsia="宋体" w:cs="Times New Roman"/>
                      <w:color w:val="auto"/>
                      <w:sz w:val="21"/>
                      <w:szCs w:val="21"/>
                      <w:highlight w:val="none"/>
                    </w:rPr>
                  </w:pPr>
                </w:p>
              </w:tc>
              <w:tc>
                <w:tcPr>
                  <w:tcW w:w="2634" w:type="pct"/>
                  <w:noWrap w:val="0"/>
                  <w:vAlign w:val="center"/>
                </w:tcPr>
                <w:p w14:paraId="3A8BF11A">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持续推进土壤环境风险管控工作。实行农用地分类分级安全利用，有效提升农用地土地资源开发利用率，依法划定特定农作物禁止种植区域，严格按照耕地土壤环境质量类别划分成果对耕地实施安全利用，防范农产品重金属含量超标风险。加强建设用地准入管理，规范受污染建设用地地块再开发。加强尾矿库的环境风险排查与防范。加强金属矿采选、金属冶炼企业的重金属污染风险防控。强化选矿废水治理设施的升级改造，选矿废水原则上回用不外排。全力避免因各类安全事故（事件）引发的次生环境风险事故（事件）。</w:t>
                  </w:r>
                </w:p>
              </w:tc>
              <w:tc>
                <w:tcPr>
                  <w:tcW w:w="1472" w:type="pct"/>
                  <w:noWrap w:val="0"/>
                  <w:vAlign w:val="center"/>
                </w:tcPr>
                <w:p w14:paraId="4B73E065">
                  <w:pPr>
                    <w:pStyle w:val="15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bidi="ar"/>
                    </w:rPr>
                    <w:t>本项目</w:t>
                  </w:r>
                  <w:r>
                    <w:rPr>
                      <w:rFonts w:hint="default" w:ascii="Times New Roman" w:hAnsi="Times New Roman" w:eastAsia="宋体" w:cs="Times New Roman"/>
                      <w:color w:val="auto"/>
                      <w:spacing w:val="0"/>
                      <w:kern w:val="2"/>
                      <w:sz w:val="21"/>
                      <w:szCs w:val="21"/>
                      <w:highlight w:val="none"/>
                      <w:u w:val="none" w:color="auto"/>
                      <w:lang w:val="en-US" w:eastAsia="zh-CN" w:bidi="ar-SA"/>
                    </w:rPr>
                    <w:t>主要从事</w:t>
                  </w:r>
                  <w:r>
                    <w:rPr>
                      <w:rFonts w:hint="eastAsia" w:eastAsia="宋体" w:cs="Times New Roman"/>
                      <w:color w:val="auto"/>
                      <w:spacing w:val="0"/>
                      <w:kern w:val="2"/>
                      <w:sz w:val="21"/>
                      <w:szCs w:val="21"/>
                      <w:highlight w:val="none"/>
                      <w:u w:val="none" w:color="auto"/>
                      <w:lang w:val="en-US" w:eastAsia="zh-CN" w:bidi="ar-SA"/>
                    </w:rPr>
                    <w:t>环保机制炭生产</w:t>
                  </w:r>
                  <w:r>
                    <w:rPr>
                      <w:rFonts w:hint="default" w:ascii="Times New Roman" w:hAnsi="Times New Roman" w:eastAsia="宋体" w:cs="Times New Roman"/>
                      <w:color w:val="auto"/>
                      <w:spacing w:val="0"/>
                      <w:kern w:val="2"/>
                      <w:sz w:val="21"/>
                      <w:szCs w:val="21"/>
                      <w:highlight w:val="none"/>
                      <w:u w:val="none" w:color="auto"/>
                      <w:lang w:val="en-US" w:eastAsia="zh-CN" w:bidi="ar-SA"/>
                    </w:rPr>
                    <w:t>，</w:t>
                  </w:r>
                  <w:r>
                    <w:rPr>
                      <w:rFonts w:hint="eastAsia" w:eastAsia="宋体" w:cs="Times New Roman"/>
                      <w:color w:val="auto"/>
                      <w:spacing w:val="0"/>
                      <w:kern w:val="2"/>
                      <w:sz w:val="21"/>
                      <w:szCs w:val="21"/>
                      <w:highlight w:val="none"/>
                      <w:u w:val="none" w:color="auto"/>
                      <w:lang w:val="en-US" w:eastAsia="zh-CN" w:bidi="ar-SA"/>
                    </w:rPr>
                    <w:t>选址</w:t>
                  </w:r>
                  <w:r>
                    <w:rPr>
                      <w:rFonts w:hint="eastAsia" w:ascii="Times New Roman" w:hAnsi="Times New Roman" w:eastAsia="宋体" w:cs="Times New Roman"/>
                      <w:color w:val="auto"/>
                      <w:sz w:val="21"/>
                      <w:szCs w:val="21"/>
                      <w:highlight w:val="none"/>
                      <w:lang w:val="en-US" w:eastAsia="zh-CN" w:bidi="ar"/>
                    </w:rPr>
                    <w:t>乐昌市乐城街道西联村老虎头（原乐舜电力发展有限公司内）</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bidi="ar"/>
                    </w:rPr>
                    <w:t>所在地块为工业用地。本项目不涉及重金属的排放。</w:t>
                  </w:r>
                </w:p>
              </w:tc>
              <w:tc>
                <w:tcPr>
                  <w:tcW w:w="556" w:type="pct"/>
                  <w:noWrap w:val="0"/>
                  <w:vAlign w:val="center"/>
                </w:tcPr>
                <w:p w14:paraId="5B4B9C72">
                  <w:pPr>
                    <w:pStyle w:val="1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14:paraId="6E2DF2D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b/>
                <w:color w:val="000000"/>
                <w:kern w:val="2"/>
                <w:sz w:val="24"/>
                <w:szCs w:val="24"/>
                <w:highlight w:val="none"/>
                <w:lang w:val="en-US" w:eastAsia="zh-CN" w:bidi="ar-SA"/>
              </w:rPr>
              <w:t>表</w:t>
            </w:r>
            <w:r>
              <w:rPr>
                <w:rFonts w:hint="eastAsia" w:ascii="Times New Roman" w:hAnsi="Times New Roman" w:eastAsia="宋体" w:cs="Times New Roman"/>
                <w:b/>
                <w:color w:val="000000"/>
                <w:kern w:val="2"/>
                <w:sz w:val="24"/>
                <w:szCs w:val="24"/>
                <w:highlight w:val="none"/>
                <w:lang w:val="en-US" w:eastAsia="zh-CN" w:bidi="ar-SA"/>
              </w:rPr>
              <w:t>1-</w:t>
            </w:r>
            <w:r>
              <w:rPr>
                <w:rFonts w:hint="eastAsia" w:cs="Times New Roman"/>
                <w:b/>
                <w:color w:val="000000"/>
                <w:kern w:val="2"/>
                <w:sz w:val="24"/>
                <w:szCs w:val="24"/>
                <w:highlight w:val="none"/>
                <w:lang w:val="en-US" w:eastAsia="zh-CN" w:bidi="ar-SA"/>
              </w:rPr>
              <w:t>2</w:t>
            </w:r>
            <w:r>
              <w:rPr>
                <w:rFonts w:hint="eastAsia" w:ascii="Times New Roman" w:hAnsi="Times New Roman" w:eastAsia="宋体" w:cs="Times New Roman"/>
                <w:b/>
                <w:color w:val="000000"/>
                <w:kern w:val="2"/>
                <w:sz w:val="24"/>
                <w:szCs w:val="24"/>
                <w:highlight w:val="none"/>
                <w:lang w:val="en-US" w:eastAsia="zh-CN" w:bidi="ar-SA"/>
              </w:rPr>
              <w:t xml:space="preserve">    </w:t>
            </w:r>
            <w:r>
              <w:rPr>
                <w:rFonts w:hint="default" w:ascii="Times New Roman" w:hAnsi="Times New Roman" w:eastAsia="宋体" w:cs="Times New Roman"/>
                <w:b/>
                <w:color w:val="000000"/>
                <w:kern w:val="2"/>
                <w:sz w:val="24"/>
                <w:szCs w:val="24"/>
                <w:highlight w:val="none"/>
                <w:lang w:val="en-US" w:eastAsia="zh-CN" w:bidi="ar-SA"/>
              </w:rPr>
              <w:t>《韶关市“三线一单”生态环境分区管控方案》相符性分析</w:t>
            </w:r>
          </w:p>
          <w:tbl>
            <w:tblPr>
              <w:tblStyle w:val="73"/>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608"/>
              <w:gridCol w:w="2547"/>
              <w:gridCol w:w="968"/>
            </w:tblGrid>
            <w:tr w14:paraId="2838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54" w:type="dxa"/>
                  <w:noWrap w:val="0"/>
                  <w:vAlign w:val="center"/>
                </w:tcPr>
                <w:p w14:paraId="7308CB46">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lang w:val="en-US" w:eastAsia="zh-CN"/>
                    </w:rPr>
                  </w:pPr>
                  <w:r>
                    <w:rPr>
                      <w:rFonts w:hint="default" w:ascii="Times New Roman" w:hAnsi="Times New Roman" w:eastAsia="宋体" w:cs="Times New Roman"/>
                      <w:b/>
                      <w:bCs w:val="0"/>
                      <w:kern w:val="0"/>
                      <w:sz w:val="21"/>
                      <w:szCs w:val="21"/>
                      <w:highlight w:val="none"/>
                      <w:lang w:val="en-US" w:eastAsia="zh-CN"/>
                    </w:rPr>
                    <w:t>管控维度</w:t>
                  </w:r>
                </w:p>
              </w:tc>
              <w:tc>
                <w:tcPr>
                  <w:tcW w:w="3608" w:type="dxa"/>
                  <w:noWrap w:val="0"/>
                  <w:vAlign w:val="center"/>
                </w:tcPr>
                <w:p w14:paraId="558BD292">
                  <w:pPr>
                    <w:autoSpaceDE w:val="0"/>
                    <w:autoSpaceDN w:val="0"/>
                    <w:adjustRightInd w:val="0"/>
                    <w:snapToGrid w:val="0"/>
                    <w:spacing w:line="240" w:lineRule="auto"/>
                    <w:jc w:val="center"/>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管控要求</w:t>
                  </w:r>
                </w:p>
              </w:tc>
              <w:tc>
                <w:tcPr>
                  <w:tcW w:w="2547" w:type="dxa"/>
                  <w:noWrap w:val="0"/>
                  <w:vAlign w:val="center"/>
                </w:tcPr>
                <w:p w14:paraId="3A3BAA03">
                  <w:pPr>
                    <w:autoSpaceDE w:val="0"/>
                    <w:autoSpaceDN w:val="0"/>
                    <w:adjustRightInd w:val="0"/>
                    <w:snapToGrid w:val="0"/>
                    <w:spacing w:line="240" w:lineRule="auto"/>
                    <w:jc w:val="center"/>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项目情况</w:t>
                  </w:r>
                </w:p>
              </w:tc>
              <w:tc>
                <w:tcPr>
                  <w:tcW w:w="968" w:type="dxa"/>
                  <w:noWrap w:val="0"/>
                  <w:vAlign w:val="center"/>
                </w:tcPr>
                <w:p w14:paraId="1BBDBB66">
                  <w:pPr>
                    <w:autoSpaceDE w:val="0"/>
                    <w:autoSpaceDN w:val="0"/>
                    <w:adjustRightInd w:val="0"/>
                    <w:snapToGrid w:val="0"/>
                    <w:spacing w:line="240" w:lineRule="auto"/>
                    <w:jc w:val="center"/>
                    <w:rPr>
                      <w:rFonts w:hint="default" w:ascii="Times New Roman" w:hAnsi="Times New Roman" w:eastAsia="宋体" w:cs="Times New Roman"/>
                      <w:b/>
                      <w:bCs/>
                      <w:kern w:val="0"/>
                      <w:sz w:val="21"/>
                      <w:szCs w:val="21"/>
                      <w:highlight w:val="none"/>
                      <w:lang w:val="en-US" w:eastAsia="zh-CN"/>
                    </w:rPr>
                  </w:pPr>
                  <w:r>
                    <w:rPr>
                      <w:rFonts w:hint="default" w:ascii="Times New Roman" w:hAnsi="Times New Roman" w:eastAsia="宋体" w:cs="Times New Roman"/>
                      <w:b/>
                      <w:bCs/>
                      <w:kern w:val="0"/>
                      <w:sz w:val="21"/>
                      <w:szCs w:val="21"/>
                      <w:highlight w:val="none"/>
                      <w:lang w:val="en-US" w:eastAsia="zh-CN"/>
                    </w:rPr>
                    <w:t>相符性</w:t>
                  </w:r>
                </w:p>
              </w:tc>
            </w:tr>
            <w:tr w14:paraId="456B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54" w:type="dxa"/>
                  <w:vMerge w:val="restart"/>
                  <w:noWrap w:val="0"/>
                  <w:vAlign w:val="center"/>
                </w:tcPr>
                <w:p w14:paraId="0AEE80F3">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区域布局管控</w:t>
                  </w:r>
                </w:p>
              </w:tc>
              <w:tc>
                <w:tcPr>
                  <w:tcW w:w="3608" w:type="dxa"/>
                  <w:noWrap w:val="0"/>
                  <w:vAlign w:val="center"/>
                </w:tcPr>
                <w:p w14:paraId="1D6151C3">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b w:val="0"/>
                      <w:bCs/>
                      <w:kern w:val="0"/>
                      <w:sz w:val="21"/>
                      <w:szCs w:val="21"/>
                      <w:highlight w:val="none"/>
                    </w:rPr>
                  </w:pPr>
                  <w:r>
                    <w:rPr>
                      <w:rFonts w:hint="default" w:ascii="Times New Roman" w:hAnsi="Times New Roman" w:eastAsia="宋体" w:cs="Times New Roman"/>
                      <w:bCs/>
                      <w:kern w:val="0"/>
                      <w:sz w:val="21"/>
                      <w:szCs w:val="21"/>
                      <w:highlight w:val="none"/>
                    </w:rPr>
                    <w:t>1-1.【产业/鼓励引导类】聚焦电子信息、装备制造、先进材料、现代轻工等积极承接珠三角地区产业疏解和优质企业功能性转移，立足现有产业基础打造一批锻铸件、基础零部件、电子零配件等领域专精特新中小企业，紧盯生物医药产业集群培育发展，打造道地药材和岭南特色中药材原料产业基地。</w:t>
                  </w:r>
                </w:p>
              </w:tc>
              <w:tc>
                <w:tcPr>
                  <w:tcW w:w="2547" w:type="dxa"/>
                  <w:shd w:val="clear" w:color="auto" w:fill="auto"/>
                  <w:noWrap w:val="0"/>
                  <w:vAlign w:val="center"/>
                </w:tcPr>
                <w:p w14:paraId="44103FF1">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default" w:ascii="Times New Roman" w:hAnsi="Times New Roman" w:eastAsia="宋体" w:cs="Times New Roman"/>
                      <w:color w:val="auto"/>
                      <w:spacing w:val="0"/>
                      <w:kern w:val="2"/>
                      <w:sz w:val="21"/>
                      <w:szCs w:val="21"/>
                      <w:highlight w:val="none"/>
                      <w:u w:val="none" w:color="auto"/>
                      <w:lang w:val="en-US" w:eastAsia="zh-CN" w:bidi="ar-SA"/>
                    </w:rPr>
                    <w:t>不涉及该条款。</w:t>
                  </w:r>
                </w:p>
              </w:tc>
              <w:tc>
                <w:tcPr>
                  <w:tcW w:w="968" w:type="dxa"/>
                  <w:noWrap w:val="0"/>
                  <w:vAlign w:val="center"/>
                </w:tcPr>
                <w:p w14:paraId="3B7A6D82">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default" w:ascii="Times New Roman" w:hAnsi="Times New Roman" w:eastAsia="宋体" w:cs="Times New Roman"/>
                      <w:b w:val="0"/>
                      <w:bCs/>
                      <w:kern w:val="0"/>
                      <w:sz w:val="21"/>
                      <w:szCs w:val="21"/>
                      <w:highlight w:val="none"/>
                      <w:lang w:val="en-US" w:eastAsia="zh-CN"/>
                    </w:rPr>
                    <w:t>无关项</w:t>
                  </w:r>
                </w:p>
              </w:tc>
            </w:tr>
            <w:tr w14:paraId="08FA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954" w:type="dxa"/>
                  <w:vMerge w:val="continue"/>
                  <w:noWrap w:val="0"/>
                  <w:vAlign w:val="center"/>
                </w:tcPr>
                <w:p w14:paraId="4EDE885B">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29484EE2">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b w:val="0"/>
                      <w:bCs/>
                      <w:kern w:val="0"/>
                      <w:sz w:val="21"/>
                      <w:szCs w:val="21"/>
                      <w:highlight w:val="none"/>
                    </w:rPr>
                  </w:pPr>
                  <w:r>
                    <w:rPr>
                      <w:rFonts w:hint="default" w:ascii="Times New Roman" w:hAnsi="Times New Roman" w:eastAsia="宋体" w:cs="Times New Roman"/>
                      <w:sz w:val="21"/>
                      <w:szCs w:val="21"/>
                      <w:highlight w:val="none"/>
                    </w:rPr>
                    <w:t>1-2.</w:t>
                  </w:r>
                  <w:r>
                    <w:rPr>
                      <w:rFonts w:hint="default" w:ascii="Times New Roman" w:hAnsi="Times New Roman" w:eastAsia="宋体" w:cs="Times New Roman"/>
                      <w:kern w:val="0"/>
                      <w:sz w:val="21"/>
                      <w:szCs w:val="21"/>
                      <w:highlight w:val="none"/>
                    </w:rPr>
                    <w:t>【产业/限制类】严格限制新建除热电联产以外的煤电项目；严格限制新（改、扩）建钢铁、建材（平板玻璃）、焦化、有色、石化等高污染行业项目。</w:t>
                  </w:r>
                </w:p>
              </w:tc>
              <w:tc>
                <w:tcPr>
                  <w:tcW w:w="2547" w:type="dxa"/>
                  <w:shd w:val="clear" w:color="auto" w:fill="auto"/>
                  <w:noWrap w:val="0"/>
                  <w:vAlign w:val="center"/>
                </w:tcPr>
                <w:p w14:paraId="3BB6E144">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w:t>
                  </w:r>
                  <w:r>
                    <w:rPr>
                      <w:rFonts w:hint="default" w:ascii="Times New Roman" w:hAnsi="Times New Roman" w:eastAsia="宋体" w:cs="Times New Roman"/>
                      <w:color w:val="auto"/>
                      <w:spacing w:val="0"/>
                      <w:kern w:val="2"/>
                      <w:sz w:val="21"/>
                      <w:szCs w:val="21"/>
                      <w:highlight w:val="none"/>
                      <w:u w:val="none" w:color="auto"/>
                      <w:lang w:val="en-US" w:eastAsia="zh-CN" w:bidi="ar-SA"/>
                    </w:rPr>
                    <w:t>不涉及该条款。</w:t>
                  </w:r>
                </w:p>
              </w:tc>
              <w:tc>
                <w:tcPr>
                  <w:tcW w:w="968" w:type="dxa"/>
                  <w:noWrap w:val="0"/>
                  <w:vAlign w:val="center"/>
                </w:tcPr>
                <w:p w14:paraId="3CD79DD0">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default" w:ascii="Times New Roman" w:hAnsi="Times New Roman" w:eastAsia="宋体" w:cs="Times New Roman"/>
                      <w:b w:val="0"/>
                      <w:bCs/>
                      <w:kern w:val="0"/>
                      <w:sz w:val="21"/>
                      <w:szCs w:val="21"/>
                      <w:highlight w:val="none"/>
                      <w:lang w:val="en-US" w:eastAsia="zh-CN"/>
                    </w:rPr>
                    <w:t>无关项</w:t>
                  </w:r>
                </w:p>
              </w:tc>
            </w:tr>
            <w:tr w14:paraId="6FAE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54" w:type="dxa"/>
                  <w:vMerge w:val="continue"/>
                  <w:noWrap w:val="0"/>
                  <w:vAlign w:val="center"/>
                </w:tcPr>
                <w:p w14:paraId="67924500">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394B939E">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b w:val="0"/>
                      <w:bCs/>
                      <w:kern w:val="0"/>
                      <w:sz w:val="21"/>
                      <w:szCs w:val="21"/>
                      <w:highlight w:val="none"/>
                    </w:rPr>
                  </w:pPr>
                  <w:r>
                    <w:rPr>
                      <w:rFonts w:hint="default" w:ascii="Times New Roman" w:hAnsi="Times New Roman" w:eastAsia="宋体" w:cs="Times New Roman"/>
                      <w:kern w:val="0"/>
                      <w:sz w:val="21"/>
                      <w:szCs w:val="21"/>
                      <w:highlight w:val="none"/>
                    </w:rPr>
                    <w:t>1-3.</w:t>
                  </w:r>
                  <w:r>
                    <w:rPr>
                      <w:rFonts w:hint="default" w:ascii="Times New Roman" w:hAnsi="Times New Roman" w:eastAsia="宋体" w:cs="Times New Roman"/>
                      <w:sz w:val="21"/>
                      <w:szCs w:val="21"/>
                      <w:highlight w:val="none"/>
                    </w:rPr>
                    <w:t>【大气/禁止类】集中供热管网范围内禁止新建、扩建燃用煤炭、重油、渣油、生物质等分散供热锅炉。县级及以上城市建成区和天然气管网覆盖范围内，禁止新建每小时35 蒸吨以下燃煤锅炉。</w:t>
                  </w:r>
                </w:p>
              </w:tc>
              <w:tc>
                <w:tcPr>
                  <w:tcW w:w="2547" w:type="dxa"/>
                  <w:shd w:val="clear" w:color="auto" w:fill="auto"/>
                  <w:noWrap w:val="0"/>
                  <w:vAlign w:val="center"/>
                </w:tcPr>
                <w:p w14:paraId="7036437A">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，且本项目</w:t>
                  </w:r>
                  <w:r>
                    <w:rPr>
                      <w:rFonts w:hint="default" w:ascii="Times New Roman" w:hAnsi="Times New Roman" w:eastAsia="宋体" w:cs="Times New Roman"/>
                      <w:color w:val="auto"/>
                      <w:spacing w:val="0"/>
                      <w:kern w:val="2"/>
                      <w:sz w:val="21"/>
                      <w:szCs w:val="21"/>
                      <w:highlight w:val="none"/>
                      <w:u w:val="none" w:color="auto"/>
                      <w:lang w:val="en-US" w:eastAsia="zh-CN" w:bidi="ar-SA"/>
                    </w:rPr>
                    <w:t>不</w:t>
                  </w:r>
                  <w:r>
                    <w:rPr>
                      <w:rFonts w:hint="eastAsia" w:cs="Times New Roman"/>
                      <w:color w:val="auto"/>
                      <w:spacing w:val="0"/>
                      <w:kern w:val="2"/>
                      <w:sz w:val="21"/>
                      <w:szCs w:val="21"/>
                      <w:highlight w:val="none"/>
                      <w:u w:val="none" w:color="auto"/>
                      <w:lang w:val="en-US" w:eastAsia="zh-CN" w:bidi="ar-SA"/>
                    </w:rPr>
                    <w:t>使用锅炉</w:t>
                  </w:r>
                  <w:r>
                    <w:rPr>
                      <w:rFonts w:hint="default" w:ascii="Times New Roman" w:hAnsi="Times New Roman" w:eastAsia="宋体" w:cs="Times New Roman"/>
                      <w:color w:val="auto"/>
                      <w:spacing w:val="0"/>
                      <w:kern w:val="2"/>
                      <w:sz w:val="21"/>
                      <w:szCs w:val="21"/>
                      <w:highlight w:val="none"/>
                      <w:u w:val="none" w:color="auto"/>
                      <w:lang w:val="en-US" w:eastAsia="zh-CN" w:bidi="ar-SA"/>
                    </w:rPr>
                    <w:t>。</w:t>
                  </w:r>
                </w:p>
              </w:tc>
              <w:tc>
                <w:tcPr>
                  <w:tcW w:w="968" w:type="dxa"/>
                  <w:noWrap w:val="0"/>
                  <w:vAlign w:val="center"/>
                </w:tcPr>
                <w:p w14:paraId="53F0172C">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eastAsia" w:cs="Times New Roman"/>
                      <w:b w:val="0"/>
                      <w:bCs/>
                      <w:kern w:val="0"/>
                      <w:sz w:val="21"/>
                      <w:szCs w:val="21"/>
                      <w:highlight w:val="none"/>
                      <w:lang w:val="en-US" w:eastAsia="zh-CN"/>
                    </w:rPr>
                    <w:t>符合</w:t>
                  </w:r>
                </w:p>
              </w:tc>
            </w:tr>
            <w:tr w14:paraId="35BF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954" w:type="dxa"/>
                  <w:vMerge w:val="continue"/>
                  <w:noWrap w:val="0"/>
                  <w:vAlign w:val="center"/>
                </w:tcPr>
                <w:p w14:paraId="5F793700">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05732F9E">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b w:val="0"/>
                      <w:bCs/>
                      <w:kern w:val="0"/>
                      <w:sz w:val="21"/>
                      <w:szCs w:val="21"/>
                      <w:highlight w:val="none"/>
                    </w:rPr>
                  </w:pPr>
                  <w:r>
                    <w:rPr>
                      <w:rFonts w:hint="default" w:ascii="Times New Roman" w:hAnsi="Times New Roman" w:eastAsia="宋体" w:cs="Times New Roman"/>
                      <w:kern w:val="0"/>
                      <w:sz w:val="21"/>
                      <w:szCs w:val="21"/>
                      <w:highlight w:val="none"/>
                    </w:rPr>
                    <w:t>1-4.【大气/限制类】大气环境受体敏感重点管控区内，严格限制新建产生和排放有毒有害大气污染物的建设项目以及使用溶剂型油墨、涂料、清洗剂、胶黏剂等高挥发性有机物原辅材料项目，鼓励现有该类项目技术改造减少排放或逐步搬迁退出。</w:t>
                  </w:r>
                </w:p>
              </w:tc>
              <w:tc>
                <w:tcPr>
                  <w:tcW w:w="2547" w:type="dxa"/>
                  <w:shd w:val="clear" w:color="auto" w:fill="auto"/>
                  <w:noWrap w:val="0"/>
                  <w:vAlign w:val="center"/>
                </w:tcPr>
                <w:p w14:paraId="68205A28">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，不产生和排放有毒有害大气污染物，不使用油墨、涂料、清洗剂、胶黏剂等高挥发性有机物原辅材料</w:t>
                  </w:r>
                  <w:r>
                    <w:rPr>
                      <w:rFonts w:hint="default" w:ascii="Times New Roman" w:hAnsi="Times New Roman" w:eastAsia="宋体" w:cs="Times New Roman"/>
                      <w:color w:val="auto"/>
                      <w:spacing w:val="0"/>
                      <w:kern w:val="2"/>
                      <w:sz w:val="21"/>
                      <w:szCs w:val="21"/>
                      <w:highlight w:val="none"/>
                      <w:u w:val="none" w:color="auto"/>
                      <w:lang w:val="en-US" w:eastAsia="zh-CN" w:bidi="ar-SA"/>
                    </w:rPr>
                    <w:t>。</w:t>
                  </w:r>
                </w:p>
              </w:tc>
              <w:tc>
                <w:tcPr>
                  <w:tcW w:w="968" w:type="dxa"/>
                  <w:noWrap w:val="0"/>
                  <w:vAlign w:val="center"/>
                </w:tcPr>
                <w:p w14:paraId="41CF5D44">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eastAsia" w:cs="Times New Roman"/>
                      <w:b w:val="0"/>
                      <w:bCs/>
                      <w:kern w:val="0"/>
                      <w:sz w:val="21"/>
                      <w:szCs w:val="21"/>
                      <w:highlight w:val="none"/>
                      <w:lang w:val="en-US" w:eastAsia="zh-CN"/>
                    </w:rPr>
                    <w:t>符合</w:t>
                  </w:r>
                </w:p>
              </w:tc>
            </w:tr>
            <w:tr w14:paraId="7640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954" w:type="dxa"/>
                  <w:vMerge w:val="continue"/>
                  <w:noWrap w:val="0"/>
                  <w:vAlign w:val="center"/>
                </w:tcPr>
                <w:p w14:paraId="4AD596A3">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33B08130">
                  <w:pPr>
                    <w:tabs>
                      <w:tab w:val="left" w:pos="312"/>
                    </w:tabs>
                    <w:adjustRightInd w:val="0"/>
                    <w:snapToGrid w:val="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1-5.</w:t>
                  </w:r>
                  <w:r>
                    <w:rPr>
                      <w:rFonts w:hint="default" w:ascii="Times New Roman" w:hAnsi="Times New Roman" w:eastAsia="宋体" w:cs="Times New Roman"/>
                      <w:sz w:val="21"/>
                      <w:szCs w:val="21"/>
                      <w:highlight w:val="none"/>
                    </w:rPr>
                    <w:t>【大气/限制类】优先选择化石能源替代、原料工艺优化、产业结构升级等源头治理措施，严格控制高耗能、高排放项目建设，引导区内的建材企业不断提高清洁生产水平，减少污染物排放。</w:t>
                  </w:r>
                </w:p>
              </w:tc>
              <w:tc>
                <w:tcPr>
                  <w:tcW w:w="2547" w:type="dxa"/>
                  <w:shd w:val="clear" w:color="auto" w:fill="auto"/>
                  <w:noWrap w:val="0"/>
                  <w:vAlign w:val="center"/>
                </w:tcPr>
                <w:p w14:paraId="6A9CFDA9">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，不属于高能耗、高排放项目</w:t>
                  </w:r>
                  <w:r>
                    <w:rPr>
                      <w:rFonts w:hint="default" w:ascii="Times New Roman" w:hAnsi="Times New Roman" w:eastAsia="宋体" w:cs="Times New Roman"/>
                      <w:color w:val="auto"/>
                      <w:spacing w:val="0"/>
                      <w:kern w:val="2"/>
                      <w:sz w:val="21"/>
                      <w:szCs w:val="21"/>
                      <w:highlight w:val="none"/>
                      <w:u w:val="none" w:color="auto"/>
                      <w:lang w:val="en-US" w:eastAsia="zh-CN" w:bidi="ar-SA"/>
                    </w:rPr>
                    <w:t>。</w:t>
                  </w:r>
                </w:p>
              </w:tc>
              <w:tc>
                <w:tcPr>
                  <w:tcW w:w="968" w:type="dxa"/>
                  <w:noWrap w:val="0"/>
                  <w:vAlign w:val="center"/>
                </w:tcPr>
                <w:p w14:paraId="3A962867">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eastAsia" w:cs="Times New Roman"/>
                      <w:b w:val="0"/>
                      <w:bCs/>
                      <w:kern w:val="0"/>
                      <w:sz w:val="21"/>
                      <w:szCs w:val="21"/>
                      <w:highlight w:val="none"/>
                      <w:lang w:val="en-US" w:eastAsia="zh-CN"/>
                    </w:rPr>
                    <w:t>符合</w:t>
                  </w:r>
                </w:p>
              </w:tc>
            </w:tr>
            <w:tr w14:paraId="5444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54" w:type="dxa"/>
                  <w:vMerge w:val="continue"/>
                  <w:noWrap w:val="0"/>
                  <w:vAlign w:val="center"/>
                </w:tcPr>
                <w:p w14:paraId="0ABCD92A">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098A171E">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1-6.【水/限制类】严格执行畜禽养殖禁养区管理要求，畜禽养殖禁养区内严禁建设规模化畜禽养殖场和规模化畜禽养殖小区，禁养区外的养殖场应配套污染防治设施。</w:t>
                  </w:r>
                </w:p>
              </w:tc>
              <w:tc>
                <w:tcPr>
                  <w:tcW w:w="2547" w:type="dxa"/>
                  <w:shd w:val="clear" w:color="auto" w:fill="auto"/>
                  <w:noWrap w:val="0"/>
                  <w:vAlign w:val="center"/>
                </w:tcPr>
                <w:p w14:paraId="2470046D">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w:t>
                  </w:r>
                  <w:r>
                    <w:rPr>
                      <w:rFonts w:hint="default" w:ascii="Times New Roman" w:hAnsi="Times New Roman" w:eastAsia="宋体" w:cs="Times New Roman"/>
                      <w:color w:val="auto"/>
                      <w:spacing w:val="0"/>
                      <w:kern w:val="2"/>
                      <w:sz w:val="21"/>
                      <w:szCs w:val="21"/>
                      <w:highlight w:val="none"/>
                      <w:u w:val="none" w:color="auto"/>
                      <w:lang w:val="en-US" w:eastAsia="zh-CN" w:bidi="ar-SA"/>
                    </w:rPr>
                    <w:t>不涉及该条款。</w:t>
                  </w:r>
                </w:p>
              </w:tc>
              <w:tc>
                <w:tcPr>
                  <w:tcW w:w="968" w:type="dxa"/>
                  <w:noWrap w:val="0"/>
                  <w:vAlign w:val="center"/>
                </w:tcPr>
                <w:p w14:paraId="5C885163">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default" w:ascii="Times New Roman" w:hAnsi="Times New Roman" w:eastAsia="宋体" w:cs="Times New Roman"/>
                      <w:b w:val="0"/>
                      <w:bCs/>
                      <w:kern w:val="0"/>
                      <w:sz w:val="21"/>
                      <w:szCs w:val="21"/>
                      <w:highlight w:val="none"/>
                      <w:lang w:val="en-US" w:eastAsia="zh-CN"/>
                    </w:rPr>
                    <w:t>无关项</w:t>
                  </w:r>
                </w:p>
              </w:tc>
            </w:tr>
            <w:tr w14:paraId="72F1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54" w:type="dxa"/>
                  <w:vMerge w:val="continue"/>
                  <w:noWrap w:val="0"/>
                  <w:vAlign w:val="center"/>
                </w:tcPr>
                <w:p w14:paraId="628F2CBE">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4657EDFF">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-7.【岸线/限制类】岸线优先保护区内，严格水域岸线用途管制，新建项目一律不得违规占用水域（国家和省的重点项目除外）。严禁破坏生态的岸线利用行为和不符合其功能定位的开发建设活动，严禁围垦湖泊、非法采砂等</w:t>
                  </w:r>
                  <w:r>
                    <w:rPr>
                      <w:rFonts w:hint="default" w:ascii="Times New Roman" w:hAnsi="Times New Roman" w:eastAsia="宋体" w:cs="Times New Roman"/>
                      <w:color w:val="auto"/>
                      <w:spacing w:val="0"/>
                      <w:kern w:val="2"/>
                      <w:sz w:val="21"/>
                      <w:szCs w:val="21"/>
                      <w:highlight w:val="none"/>
                      <w:u w:val="none" w:color="auto"/>
                      <w:lang w:val="en-US" w:eastAsia="zh-CN" w:bidi="ar-SA"/>
                    </w:rPr>
                    <w:t>。</w:t>
                  </w:r>
                </w:p>
              </w:tc>
              <w:tc>
                <w:tcPr>
                  <w:tcW w:w="2547" w:type="dxa"/>
                  <w:shd w:val="clear" w:color="auto" w:fill="auto"/>
                  <w:noWrap w:val="0"/>
                  <w:vAlign w:val="center"/>
                </w:tcPr>
                <w:p w14:paraId="3EC4CE80">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选址乐昌市乐城街道西联村老虎头（原乐舜电力发展有限公司内），</w:t>
                  </w:r>
                  <w:r>
                    <w:rPr>
                      <w:rFonts w:hint="eastAsia" w:cs="Times New Roman"/>
                      <w:color w:val="auto"/>
                      <w:spacing w:val="0"/>
                      <w:kern w:val="2"/>
                      <w:sz w:val="21"/>
                      <w:szCs w:val="21"/>
                      <w:highlight w:val="none"/>
                      <w:u w:val="none" w:color="auto"/>
                      <w:lang w:val="en-US" w:eastAsia="zh-CN" w:bidi="ar-SA"/>
                    </w:rPr>
                    <w:t>所在地块为工业用地，距离最近水域为武江（约560m）</w:t>
                  </w:r>
                  <w:r>
                    <w:rPr>
                      <w:rFonts w:hint="default" w:ascii="Times New Roman" w:hAnsi="Times New Roman" w:eastAsia="宋体" w:cs="Times New Roman"/>
                      <w:color w:val="auto"/>
                      <w:spacing w:val="0"/>
                      <w:kern w:val="2"/>
                      <w:sz w:val="21"/>
                      <w:szCs w:val="21"/>
                      <w:highlight w:val="none"/>
                      <w:u w:val="none" w:color="auto"/>
                      <w:lang w:val="en-US" w:eastAsia="zh-CN" w:bidi="ar-SA"/>
                    </w:rPr>
                    <w:t>。</w:t>
                  </w:r>
                </w:p>
              </w:tc>
              <w:tc>
                <w:tcPr>
                  <w:tcW w:w="968" w:type="dxa"/>
                  <w:noWrap w:val="0"/>
                  <w:vAlign w:val="center"/>
                </w:tcPr>
                <w:p w14:paraId="044D5919">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eastAsia" w:cs="Times New Roman"/>
                      <w:b w:val="0"/>
                      <w:bCs/>
                      <w:kern w:val="0"/>
                      <w:sz w:val="21"/>
                      <w:szCs w:val="21"/>
                      <w:highlight w:val="none"/>
                      <w:lang w:val="en-US" w:eastAsia="zh-CN"/>
                    </w:rPr>
                    <w:t>符合</w:t>
                  </w:r>
                </w:p>
              </w:tc>
            </w:tr>
            <w:tr w14:paraId="37FF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54" w:type="dxa"/>
                  <w:vMerge w:val="continue"/>
                  <w:noWrap w:val="0"/>
                  <w:vAlign w:val="center"/>
                </w:tcPr>
                <w:p w14:paraId="40E6F95A">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609809FC">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1-8</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bCs/>
                      <w:kern w:val="0"/>
                      <w:sz w:val="21"/>
                      <w:szCs w:val="21"/>
                      <w:highlight w:val="none"/>
                    </w:rPr>
                    <w:t>【土壤/禁止类】禁止在居民区和学校、医院、疗养院、养老院等单位周边新建、改建、扩建可能造成土壤污染的建设项目。</w:t>
                  </w:r>
                </w:p>
              </w:tc>
              <w:tc>
                <w:tcPr>
                  <w:tcW w:w="2547" w:type="dxa"/>
                  <w:shd w:val="clear" w:color="auto" w:fill="auto"/>
                  <w:noWrap w:val="0"/>
                  <w:vAlign w:val="center"/>
                </w:tcPr>
                <w:p w14:paraId="1EE03648">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选址乐昌市乐城街道西联村老虎头（原乐舜电力发展有限公司内），所在地块为工业用地</w:t>
                  </w:r>
                  <w:r>
                    <w:rPr>
                      <w:rFonts w:hint="default" w:ascii="Times New Roman" w:hAnsi="Times New Roman" w:eastAsia="宋体" w:cs="Times New Roman"/>
                      <w:color w:val="auto"/>
                      <w:spacing w:val="0"/>
                      <w:kern w:val="2"/>
                      <w:sz w:val="21"/>
                      <w:szCs w:val="21"/>
                      <w:highlight w:val="none"/>
                      <w:u w:val="none" w:color="auto"/>
                      <w:lang w:val="en-US" w:eastAsia="zh-CN" w:bidi="ar-SA"/>
                    </w:rPr>
                    <w:t>。</w:t>
                  </w:r>
                </w:p>
              </w:tc>
              <w:tc>
                <w:tcPr>
                  <w:tcW w:w="968" w:type="dxa"/>
                  <w:noWrap w:val="0"/>
                  <w:vAlign w:val="center"/>
                </w:tcPr>
                <w:p w14:paraId="35A826E6">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eastAsia" w:cs="Times New Roman"/>
                      <w:b w:val="0"/>
                      <w:bCs/>
                      <w:kern w:val="0"/>
                      <w:sz w:val="21"/>
                      <w:szCs w:val="21"/>
                      <w:highlight w:val="none"/>
                      <w:lang w:val="en-US" w:eastAsia="zh-CN"/>
                    </w:rPr>
                    <w:t>符合</w:t>
                  </w:r>
                </w:p>
              </w:tc>
            </w:tr>
            <w:tr w14:paraId="6F95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954" w:type="dxa"/>
                  <w:vMerge w:val="continue"/>
                  <w:noWrap w:val="0"/>
                  <w:vAlign w:val="center"/>
                </w:tcPr>
                <w:p w14:paraId="700E8E30">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05B93E06">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bCs/>
                      <w:kern w:val="0"/>
                      <w:sz w:val="21"/>
                      <w:szCs w:val="21"/>
                      <w:highlight w:val="none"/>
                    </w:rPr>
                    <w:t>1-9.【土壤/禁止类】</w:t>
                  </w:r>
                  <w:r>
                    <w:rPr>
                      <w:rFonts w:hint="default" w:ascii="Times New Roman" w:hAnsi="Times New Roman" w:eastAsia="宋体" w:cs="Times New Roman"/>
                      <w:kern w:val="0"/>
                      <w:sz w:val="21"/>
                      <w:szCs w:val="21"/>
                      <w:highlight w:val="none"/>
                    </w:rPr>
                    <w:t>严格控制涉重金属及有毒有害污染物排放的项目建设，新建、改建、扩建涉重金属重点行业的项目应明确重金属污染物总量来源。</w:t>
                  </w:r>
                </w:p>
              </w:tc>
              <w:tc>
                <w:tcPr>
                  <w:tcW w:w="2547" w:type="dxa"/>
                  <w:shd w:val="clear" w:color="auto" w:fill="auto"/>
                  <w:noWrap w:val="0"/>
                  <w:vAlign w:val="center"/>
                </w:tcPr>
                <w:p w14:paraId="74D5F1D6">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w:t>
                  </w:r>
                  <w:r>
                    <w:rPr>
                      <w:rFonts w:hint="default" w:ascii="Times New Roman" w:hAnsi="Times New Roman" w:eastAsia="宋体" w:cs="Times New Roman"/>
                      <w:color w:val="auto"/>
                      <w:spacing w:val="0"/>
                      <w:kern w:val="2"/>
                      <w:sz w:val="21"/>
                      <w:szCs w:val="21"/>
                      <w:highlight w:val="none"/>
                      <w:u w:val="none" w:color="auto"/>
                      <w:lang w:val="en-US" w:eastAsia="zh-CN" w:bidi="ar-SA"/>
                    </w:rPr>
                    <w:t>不</w:t>
                  </w:r>
                  <w:r>
                    <w:rPr>
                      <w:rFonts w:hint="eastAsia" w:cs="Times New Roman"/>
                      <w:color w:val="auto"/>
                      <w:spacing w:val="0"/>
                      <w:kern w:val="2"/>
                      <w:sz w:val="21"/>
                      <w:szCs w:val="21"/>
                      <w:highlight w:val="none"/>
                      <w:u w:val="none" w:color="auto"/>
                      <w:lang w:val="en-US" w:eastAsia="zh-CN" w:bidi="ar-SA"/>
                    </w:rPr>
                    <w:t>会产生、排放重金属及有毒有害污染物</w:t>
                  </w:r>
                  <w:r>
                    <w:rPr>
                      <w:rFonts w:hint="default" w:ascii="Times New Roman" w:hAnsi="Times New Roman" w:eastAsia="宋体" w:cs="Times New Roman"/>
                      <w:color w:val="auto"/>
                      <w:spacing w:val="0"/>
                      <w:kern w:val="2"/>
                      <w:sz w:val="21"/>
                      <w:szCs w:val="21"/>
                      <w:highlight w:val="none"/>
                      <w:u w:val="none" w:color="auto"/>
                      <w:lang w:val="en-US" w:eastAsia="zh-CN" w:bidi="ar-SA"/>
                    </w:rPr>
                    <w:t>。</w:t>
                  </w:r>
                </w:p>
              </w:tc>
              <w:tc>
                <w:tcPr>
                  <w:tcW w:w="968" w:type="dxa"/>
                  <w:noWrap w:val="0"/>
                  <w:vAlign w:val="center"/>
                </w:tcPr>
                <w:p w14:paraId="198DCA6B">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default" w:ascii="Times New Roman" w:hAnsi="Times New Roman" w:eastAsia="宋体" w:cs="Times New Roman"/>
                      <w:b w:val="0"/>
                      <w:bCs/>
                      <w:kern w:val="0"/>
                      <w:sz w:val="21"/>
                      <w:szCs w:val="21"/>
                      <w:highlight w:val="none"/>
                      <w:lang w:val="en-US" w:eastAsia="zh-CN"/>
                    </w:rPr>
                    <w:t>符合</w:t>
                  </w:r>
                </w:p>
              </w:tc>
            </w:tr>
            <w:tr w14:paraId="10C0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954" w:type="dxa"/>
                  <w:vMerge w:val="continue"/>
                  <w:noWrap w:val="0"/>
                  <w:vAlign w:val="center"/>
                </w:tcPr>
                <w:p w14:paraId="39795DD7">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4F62DCBC">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sz w:val="21"/>
                      <w:szCs w:val="21"/>
                      <w:highlight w:val="none"/>
                    </w:rPr>
                    <w:t>1-10.【矿产/限制类】严格控制矿产资源开采及冶炼过程中产生环境污染和生态破坏。严禁在基本农田保护区、居民集中区等环境敏感地区审批新增有镉、汞、砷、铅、铬5种重金属排放的矿产资源开发利用项目。</w:t>
                  </w:r>
                </w:p>
              </w:tc>
              <w:tc>
                <w:tcPr>
                  <w:tcW w:w="2547" w:type="dxa"/>
                  <w:shd w:val="clear" w:color="auto" w:fill="auto"/>
                  <w:noWrap w:val="0"/>
                  <w:vAlign w:val="center"/>
                </w:tcPr>
                <w:p w14:paraId="58F891E4">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w:t>
                  </w:r>
                  <w:r>
                    <w:rPr>
                      <w:rFonts w:hint="default" w:ascii="Times New Roman" w:hAnsi="Times New Roman" w:eastAsia="宋体" w:cs="Times New Roman"/>
                      <w:color w:val="auto"/>
                      <w:spacing w:val="0"/>
                      <w:kern w:val="2"/>
                      <w:sz w:val="21"/>
                      <w:szCs w:val="21"/>
                      <w:highlight w:val="none"/>
                      <w:u w:val="none" w:color="auto"/>
                      <w:lang w:val="en-US" w:eastAsia="zh-CN" w:bidi="ar-SA"/>
                    </w:rPr>
                    <w:t>不涉及该条款。</w:t>
                  </w:r>
                </w:p>
              </w:tc>
              <w:tc>
                <w:tcPr>
                  <w:tcW w:w="968" w:type="dxa"/>
                  <w:noWrap w:val="0"/>
                  <w:vAlign w:val="center"/>
                </w:tcPr>
                <w:p w14:paraId="16FAECBD">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eastAsia" w:cs="Times New Roman"/>
                      <w:b w:val="0"/>
                      <w:bCs/>
                      <w:kern w:val="0"/>
                      <w:sz w:val="21"/>
                      <w:szCs w:val="21"/>
                      <w:highlight w:val="none"/>
                      <w:lang w:val="en-US" w:eastAsia="zh-CN"/>
                    </w:rPr>
                    <w:t>无关项</w:t>
                  </w:r>
                </w:p>
              </w:tc>
            </w:tr>
            <w:tr w14:paraId="72E9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restart"/>
                  <w:noWrap w:val="0"/>
                  <w:vAlign w:val="center"/>
                </w:tcPr>
                <w:p w14:paraId="39AE2ED9">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能源资源利用</w:t>
                  </w:r>
                </w:p>
              </w:tc>
              <w:tc>
                <w:tcPr>
                  <w:tcW w:w="3608" w:type="dxa"/>
                  <w:noWrap w:val="0"/>
                  <w:vAlign w:val="center"/>
                </w:tcPr>
                <w:p w14:paraId="3717F408">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b w:val="0"/>
                      <w:bCs/>
                      <w:kern w:val="0"/>
                      <w:sz w:val="21"/>
                      <w:szCs w:val="21"/>
                      <w:highlight w:val="none"/>
                    </w:rPr>
                  </w:pPr>
                  <w:r>
                    <w:rPr>
                      <w:rFonts w:hint="default" w:ascii="Times New Roman" w:hAnsi="Times New Roman" w:eastAsia="宋体" w:cs="Times New Roman"/>
                      <w:kern w:val="0"/>
                      <w:sz w:val="21"/>
                      <w:szCs w:val="21"/>
                      <w:highlight w:val="none"/>
                    </w:rPr>
                    <w:t>2-1.【能源/禁止类】城市建成区内，禁止新建每小时35蒸吨以下燃煤锅炉。在禁燃区，禁止新建、改建、扩建使用高污染燃料的锅炉、炉窑或导热油炉等燃烧设施；禁止以任何方式燃烧生活垃圾、废旧建筑模板、废旧家具、工业固体废弃物等各类可燃废物；使用非高污染燃料的锅炉、炉窑或导热油炉等各类在用燃烧设施，可在达到相应大气污染物排放标准并符合大气污染防治、锅炉污染整治工作要求的前提下继续使用；使用高污染燃料的，以及不能达到相应大气污染物排放标准的锅炉、炉窑或导热油炉等各类在用燃烧设施，应在“禁燃区”执行时间前改造使用清洁能源或予以拆除。</w:t>
                  </w:r>
                </w:p>
              </w:tc>
              <w:tc>
                <w:tcPr>
                  <w:tcW w:w="2547" w:type="dxa"/>
                  <w:shd w:val="clear" w:color="auto" w:fill="auto"/>
                  <w:noWrap w:val="0"/>
                  <w:vAlign w:val="center"/>
                </w:tcPr>
                <w:p w14:paraId="68C13E36">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w:t>
                  </w:r>
                  <w:r>
                    <w:rPr>
                      <w:rFonts w:hint="default" w:ascii="Times New Roman" w:hAnsi="Times New Roman" w:eastAsia="宋体" w:cs="Times New Roman"/>
                      <w:color w:val="auto"/>
                      <w:spacing w:val="0"/>
                      <w:kern w:val="2"/>
                      <w:sz w:val="21"/>
                      <w:szCs w:val="21"/>
                      <w:highlight w:val="none"/>
                      <w:u w:val="none" w:color="auto"/>
                      <w:lang w:val="en-US" w:eastAsia="zh-CN" w:bidi="ar-SA"/>
                    </w:rPr>
                    <w:t>不</w:t>
                  </w:r>
                  <w:r>
                    <w:rPr>
                      <w:rFonts w:hint="eastAsia" w:cs="Times New Roman"/>
                      <w:color w:val="auto"/>
                      <w:spacing w:val="0"/>
                      <w:kern w:val="2"/>
                      <w:sz w:val="21"/>
                      <w:szCs w:val="21"/>
                      <w:highlight w:val="none"/>
                      <w:u w:val="none" w:color="auto"/>
                      <w:lang w:val="en-US" w:eastAsia="zh-CN" w:bidi="ar-SA"/>
                    </w:rPr>
                    <w:t>使用锅炉</w:t>
                  </w:r>
                  <w:r>
                    <w:rPr>
                      <w:rFonts w:hint="default" w:ascii="Times New Roman" w:hAnsi="Times New Roman" w:eastAsia="宋体" w:cs="Times New Roman"/>
                      <w:color w:val="auto"/>
                      <w:spacing w:val="0"/>
                      <w:kern w:val="2"/>
                      <w:sz w:val="21"/>
                      <w:szCs w:val="21"/>
                      <w:highlight w:val="none"/>
                      <w:u w:val="none" w:color="auto"/>
                      <w:lang w:val="en-US" w:eastAsia="zh-CN" w:bidi="ar-SA"/>
                    </w:rPr>
                    <w:t>。</w:t>
                  </w:r>
                  <w:r>
                    <w:rPr>
                      <w:rFonts w:hint="default" w:ascii="Times New Roman" w:hAnsi="Times New Roman" w:eastAsia="宋体" w:cs="Times New Roman"/>
                      <w:color w:val="auto"/>
                      <w:sz w:val="21"/>
                      <w:szCs w:val="21"/>
                      <w:highlight w:val="none"/>
                      <w:lang w:val="en-US" w:eastAsia="zh-CN"/>
                    </w:rPr>
                    <w:t>本项目使用电能和</w:t>
                  </w:r>
                  <w:r>
                    <w:rPr>
                      <w:rFonts w:hint="eastAsia" w:eastAsia="宋体" w:cs="Times New Roman"/>
                      <w:color w:val="auto"/>
                      <w:sz w:val="21"/>
                      <w:szCs w:val="21"/>
                      <w:highlight w:val="none"/>
                      <w:lang w:val="en-US" w:eastAsia="zh-CN"/>
                    </w:rPr>
                    <w:t>生物质</w:t>
                  </w:r>
                  <w:r>
                    <w:rPr>
                      <w:rFonts w:hint="eastAsia" w:cs="Times New Roman"/>
                      <w:color w:val="auto"/>
                      <w:sz w:val="21"/>
                      <w:szCs w:val="21"/>
                      <w:highlight w:val="none"/>
                      <w:lang w:val="en-US" w:eastAsia="zh-CN"/>
                    </w:rPr>
                    <w:t>成型</w:t>
                  </w:r>
                  <w:r>
                    <w:rPr>
                      <w:rFonts w:hint="eastAsia" w:eastAsia="宋体" w:cs="Times New Roman"/>
                      <w:color w:val="auto"/>
                      <w:sz w:val="21"/>
                      <w:szCs w:val="21"/>
                      <w:highlight w:val="none"/>
                      <w:lang w:val="en-US" w:eastAsia="zh-CN"/>
                    </w:rPr>
                    <w:t>燃料</w:t>
                  </w:r>
                  <w:r>
                    <w:rPr>
                      <w:rFonts w:hint="default"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高污染燃料</w:t>
                  </w:r>
                  <w:r>
                    <w:rPr>
                      <w:rFonts w:hint="eastAsia" w:eastAsia="宋体" w:cs="Times New Roman"/>
                      <w:color w:val="auto"/>
                      <w:sz w:val="21"/>
                      <w:szCs w:val="21"/>
                      <w:highlight w:val="none"/>
                      <w:lang w:eastAsia="zh-CN"/>
                    </w:rPr>
                    <w:t>，</w:t>
                  </w:r>
                  <w:r>
                    <w:rPr>
                      <w:rFonts w:hint="eastAsia" w:eastAsia="宋体" w:cs="Times New Roman"/>
                      <w:color w:val="auto"/>
                      <w:sz w:val="21"/>
                      <w:szCs w:val="21"/>
                      <w:highlight w:val="none"/>
                      <w:lang w:val="en-US" w:eastAsia="zh-CN"/>
                    </w:rPr>
                    <w:t>且配备了旋风除尘器+</w:t>
                  </w:r>
                  <w:r>
                    <w:rPr>
                      <w:rFonts w:hint="eastAsia" w:cs="Times New Roman"/>
                      <w:color w:val="auto"/>
                      <w:sz w:val="21"/>
                      <w:szCs w:val="21"/>
                      <w:highlight w:val="none"/>
                      <w:lang w:val="en-US" w:eastAsia="zh-CN"/>
                    </w:rPr>
                    <w:t>喷淋</w:t>
                  </w:r>
                  <w:r>
                    <w:rPr>
                      <w:rFonts w:hint="eastAsia" w:eastAsia="宋体" w:cs="Times New Roman"/>
                      <w:color w:val="auto"/>
                      <w:sz w:val="21"/>
                      <w:szCs w:val="21"/>
                      <w:highlight w:val="none"/>
                      <w:lang w:val="en-US" w:eastAsia="zh-CN"/>
                    </w:rPr>
                    <w:t>除尘</w:t>
                  </w:r>
                  <w:r>
                    <w:rPr>
                      <w:rFonts w:hint="eastAsia" w:cs="Times New Roman"/>
                      <w:color w:val="auto"/>
                      <w:sz w:val="21"/>
                      <w:szCs w:val="21"/>
                      <w:highlight w:val="none"/>
                      <w:lang w:val="en-US" w:eastAsia="zh-CN"/>
                    </w:rPr>
                    <w:t>脱硫塔</w:t>
                  </w:r>
                  <w:r>
                    <w:rPr>
                      <w:rFonts w:hint="eastAsia" w:eastAsia="宋体" w:cs="Times New Roman"/>
                      <w:color w:val="auto"/>
                      <w:sz w:val="21"/>
                      <w:szCs w:val="21"/>
                      <w:highlight w:val="none"/>
                      <w:lang w:val="en-US" w:eastAsia="zh-CN"/>
                    </w:rPr>
                    <w:t>处理设施</w:t>
                  </w:r>
                  <w:r>
                    <w:rPr>
                      <w:rFonts w:hint="default" w:ascii="Times New Roman" w:hAnsi="Times New Roman" w:eastAsia="宋体" w:cs="Times New Roman"/>
                      <w:color w:val="auto"/>
                      <w:sz w:val="21"/>
                      <w:szCs w:val="21"/>
                      <w:highlight w:val="none"/>
                    </w:rPr>
                    <w:t>。</w:t>
                  </w:r>
                </w:p>
              </w:tc>
              <w:tc>
                <w:tcPr>
                  <w:tcW w:w="968" w:type="dxa"/>
                  <w:noWrap w:val="0"/>
                  <w:vAlign w:val="center"/>
                </w:tcPr>
                <w:p w14:paraId="0CFF06A5">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default" w:ascii="Times New Roman" w:hAnsi="Times New Roman" w:eastAsia="宋体" w:cs="Times New Roman"/>
                      <w:b w:val="0"/>
                      <w:bCs/>
                      <w:kern w:val="0"/>
                      <w:sz w:val="21"/>
                      <w:szCs w:val="21"/>
                      <w:highlight w:val="none"/>
                      <w:lang w:val="en-US" w:eastAsia="zh-CN"/>
                    </w:rPr>
                    <w:t>符合</w:t>
                  </w:r>
                </w:p>
              </w:tc>
            </w:tr>
            <w:tr w14:paraId="1CDE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54" w:type="dxa"/>
                  <w:vMerge w:val="continue"/>
                  <w:noWrap w:val="0"/>
                  <w:vAlign w:val="center"/>
                </w:tcPr>
                <w:p w14:paraId="34AC056F">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5D6531B6">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b w:val="0"/>
                      <w:bCs/>
                      <w:kern w:val="0"/>
                      <w:sz w:val="21"/>
                      <w:szCs w:val="21"/>
                      <w:highlight w:val="none"/>
                    </w:rPr>
                  </w:pPr>
                  <w:r>
                    <w:rPr>
                      <w:rFonts w:hint="default" w:ascii="Times New Roman" w:hAnsi="Times New Roman" w:eastAsia="宋体" w:cs="Times New Roman"/>
                      <w:kern w:val="0"/>
                      <w:sz w:val="21"/>
                      <w:szCs w:val="21"/>
                      <w:highlight w:val="none"/>
                    </w:rPr>
                    <w:t>2-2.【能源/限制类】原则上不再新建小水电以及除国家和省规划外的风电项目，对不符合生态环境要求的小水电进行清理整改。</w:t>
                  </w:r>
                </w:p>
              </w:tc>
              <w:tc>
                <w:tcPr>
                  <w:tcW w:w="2547" w:type="dxa"/>
                  <w:shd w:val="clear" w:color="auto" w:fill="auto"/>
                  <w:noWrap w:val="0"/>
                  <w:vAlign w:val="center"/>
                </w:tcPr>
                <w:p w14:paraId="3AAE2A52">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w:t>
                  </w:r>
                  <w:r>
                    <w:rPr>
                      <w:rFonts w:hint="default" w:ascii="Times New Roman" w:hAnsi="Times New Roman" w:eastAsia="宋体" w:cs="Times New Roman"/>
                      <w:color w:val="auto"/>
                      <w:spacing w:val="0"/>
                      <w:kern w:val="2"/>
                      <w:sz w:val="21"/>
                      <w:szCs w:val="21"/>
                      <w:highlight w:val="none"/>
                      <w:u w:val="none" w:color="auto"/>
                      <w:lang w:val="en-US" w:eastAsia="zh-CN" w:bidi="ar-SA"/>
                    </w:rPr>
                    <w:t>不涉及该条款。</w:t>
                  </w:r>
                </w:p>
              </w:tc>
              <w:tc>
                <w:tcPr>
                  <w:tcW w:w="968" w:type="dxa"/>
                  <w:noWrap w:val="0"/>
                  <w:vAlign w:val="center"/>
                </w:tcPr>
                <w:p w14:paraId="641D9866">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default" w:ascii="Times New Roman" w:hAnsi="Times New Roman" w:eastAsia="宋体" w:cs="Times New Roman"/>
                      <w:b w:val="0"/>
                      <w:bCs/>
                      <w:kern w:val="0"/>
                      <w:sz w:val="21"/>
                      <w:szCs w:val="21"/>
                      <w:highlight w:val="none"/>
                      <w:lang w:val="en-US" w:eastAsia="zh-CN"/>
                    </w:rPr>
                    <w:t>无关项</w:t>
                  </w:r>
                </w:p>
              </w:tc>
            </w:tr>
            <w:tr w14:paraId="589F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4" w:type="dxa"/>
                  <w:vMerge w:val="continue"/>
                  <w:noWrap w:val="0"/>
                  <w:vAlign w:val="center"/>
                </w:tcPr>
                <w:p w14:paraId="666DBA10">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3BB46A8B">
                  <w:pPr>
                    <w:widowControl/>
                    <w:rPr>
                      <w:rFonts w:hint="default" w:ascii="Times New Roman" w:hAnsi="Times New Roman" w:eastAsia="宋体" w:cs="Times New Roman"/>
                      <w:b w:val="0"/>
                      <w:bCs/>
                      <w:kern w:val="0"/>
                      <w:sz w:val="21"/>
                      <w:szCs w:val="21"/>
                      <w:highlight w:val="none"/>
                      <w:lang w:val="en-US" w:eastAsia="zh-CN"/>
                    </w:rPr>
                  </w:pPr>
                  <w:r>
                    <w:rPr>
                      <w:rFonts w:hint="default" w:ascii="Times New Roman" w:hAnsi="Times New Roman" w:eastAsia="宋体" w:cs="Times New Roman"/>
                      <w:kern w:val="0"/>
                      <w:sz w:val="21"/>
                      <w:szCs w:val="21"/>
                      <w:highlight w:val="none"/>
                    </w:rPr>
                    <w:t>2-3.【土地资源/综合类】对区内土壤实施分类别、分用途、分阶段治理，管控区域土壤环境风险、严控新增污染、逐步减少存量。</w:t>
                  </w:r>
                </w:p>
              </w:tc>
              <w:tc>
                <w:tcPr>
                  <w:tcW w:w="2547" w:type="dxa"/>
                  <w:shd w:val="clear" w:color="auto" w:fill="auto"/>
                  <w:noWrap w:val="0"/>
                  <w:vAlign w:val="center"/>
                </w:tcPr>
                <w:p w14:paraId="04A9F81F">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本项目不涉及该条款。</w:t>
                  </w:r>
                </w:p>
              </w:tc>
              <w:tc>
                <w:tcPr>
                  <w:tcW w:w="968" w:type="dxa"/>
                  <w:noWrap w:val="0"/>
                  <w:vAlign w:val="center"/>
                </w:tcPr>
                <w:p w14:paraId="5B14876F">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default" w:ascii="Times New Roman" w:hAnsi="Times New Roman" w:eastAsia="宋体" w:cs="Times New Roman"/>
                      <w:b w:val="0"/>
                      <w:bCs/>
                      <w:kern w:val="0"/>
                      <w:sz w:val="21"/>
                      <w:szCs w:val="21"/>
                      <w:highlight w:val="none"/>
                      <w:lang w:val="en-US" w:eastAsia="zh-CN"/>
                    </w:rPr>
                    <w:t>无关项</w:t>
                  </w:r>
                </w:p>
              </w:tc>
            </w:tr>
            <w:tr w14:paraId="0AC1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54" w:type="dxa"/>
                  <w:vMerge w:val="continue"/>
                  <w:noWrap w:val="0"/>
                  <w:vAlign w:val="center"/>
                </w:tcPr>
                <w:p w14:paraId="7595E701">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3D47BD65">
                  <w:pPr>
                    <w:widowControl/>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2-4.【水资源/综合类】严格落实武江控制断面生态流量保障目标。</w:t>
                  </w:r>
                </w:p>
              </w:tc>
              <w:tc>
                <w:tcPr>
                  <w:tcW w:w="2547" w:type="dxa"/>
                  <w:shd w:val="clear" w:color="auto" w:fill="auto"/>
                  <w:noWrap w:val="0"/>
                  <w:vAlign w:val="center"/>
                </w:tcPr>
                <w:p w14:paraId="0A177B74">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本项目不涉及该条款。</w:t>
                  </w:r>
                </w:p>
              </w:tc>
              <w:tc>
                <w:tcPr>
                  <w:tcW w:w="968" w:type="dxa"/>
                  <w:shd w:val="clear" w:color="auto" w:fill="auto"/>
                  <w:noWrap w:val="0"/>
                  <w:vAlign w:val="center"/>
                </w:tcPr>
                <w:p w14:paraId="745E6442">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bidi="ar-SA"/>
                    </w:rPr>
                  </w:pPr>
                  <w:r>
                    <w:rPr>
                      <w:rFonts w:hint="default" w:ascii="Times New Roman" w:hAnsi="Times New Roman" w:eastAsia="宋体" w:cs="Times New Roman"/>
                      <w:b w:val="0"/>
                      <w:bCs/>
                      <w:kern w:val="0"/>
                      <w:sz w:val="21"/>
                      <w:szCs w:val="21"/>
                      <w:highlight w:val="none"/>
                      <w:lang w:val="en-US" w:eastAsia="zh-CN"/>
                    </w:rPr>
                    <w:t>无关项</w:t>
                  </w:r>
                </w:p>
              </w:tc>
            </w:tr>
            <w:tr w14:paraId="7F8F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4" w:type="dxa"/>
                  <w:vMerge w:val="restart"/>
                  <w:noWrap w:val="0"/>
                  <w:vAlign w:val="center"/>
                </w:tcPr>
                <w:p w14:paraId="48F3C9D2">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污染物排放管控</w:t>
                  </w:r>
                </w:p>
              </w:tc>
              <w:tc>
                <w:tcPr>
                  <w:tcW w:w="3608" w:type="dxa"/>
                  <w:noWrap w:val="0"/>
                  <w:vAlign w:val="center"/>
                </w:tcPr>
                <w:p w14:paraId="0DC8962A">
                  <w:pPr>
                    <w:tabs>
                      <w:tab w:val="left" w:pos="312"/>
                    </w:tabs>
                    <w:adjustRightInd w:val="0"/>
                    <w:snapToGrid w:val="0"/>
                    <w:rPr>
                      <w:rFonts w:hint="default" w:ascii="Times New Roman" w:hAnsi="Times New Roman" w:eastAsia="宋体" w:cs="Times New Roman"/>
                      <w:b w:val="0"/>
                      <w:bCs/>
                      <w:kern w:val="0"/>
                      <w:sz w:val="21"/>
                      <w:szCs w:val="21"/>
                      <w:highlight w:val="none"/>
                    </w:rPr>
                  </w:pPr>
                  <w:r>
                    <w:rPr>
                      <w:rFonts w:hint="default" w:ascii="Times New Roman" w:hAnsi="Times New Roman" w:eastAsia="宋体" w:cs="Times New Roman"/>
                      <w:sz w:val="21"/>
                      <w:szCs w:val="21"/>
                      <w:highlight w:val="none"/>
                    </w:rPr>
                    <w:t>3-1.【水/限制类】新建、改建、扩建增加重金属污染物排放总量的建设项目应通过实施“区域削减”，实现增产减污。铅锌工业废水中总锌、总铅、总镉、总汞、总砷、总镍、总铬执行《铅、锌工业污染物排放标准》（GB 25466-2010）特别排放限值。</w:t>
                  </w:r>
                </w:p>
              </w:tc>
              <w:tc>
                <w:tcPr>
                  <w:tcW w:w="2547" w:type="dxa"/>
                  <w:shd w:val="clear" w:color="auto" w:fill="auto"/>
                  <w:noWrap w:val="0"/>
                  <w:vAlign w:val="center"/>
                </w:tcPr>
                <w:p w14:paraId="4D38982B">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w:t>
                  </w:r>
                  <w:r>
                    <w:rPr>
                      <w:rFonts w:hint="default" w:ascii="Times New Roman" w:hAnsi="Times New Roman" w:eastAsia="宋体" w:cs="Times New Roman"/>
                      <w:color w:val="auto"/>
                      <w:spacing w:val="0"/>
                      <w:kern w:val="2"/>
                      <w:sz w:val="21"/>
                      <w:szCs w:val="21"/>
                      <w:highlight w:val="none"/>
                      <w:u w:val="none" w:color="auto"/>
                      <w:lang w:val="en-US" w:eastAsia="zh-CN" w:bidi="ar-SA"/>
                    </w:rPr>
                    <w:t>不</w:t>
                  </w:r>
                  <w:r>
                    <w:rPr>
                      <w:rFonts w:hint="eastAsia" w:cs="Times New Roman"/>
                      <w:color w:val="auto"/>
                      <w:spacing w:val="0"/>
                      <w:kern w:val="2"/>
                      <w:sz w:val="21"/>
                      <w:szCs w:val="21"/>
                      <w:highlight w:val="none"/>
                      <w:u w:val="none" w:color="auto"/>
                      <w:lang w:val="en-US" w:eastAsia="zh-CN" w:bidi="ar-SA"/>
                    </w:rPr>
                    <w:t>会产生、排放重金属污染物</w:t>
                  </w:r>
                  <w:r>
                    <w:rPr>
                      <w:rFonts w:hint="default" w:ascii="Times New Roman" w:hAnsi="Times New Roman" w:eastAsia="宋体" w:cs="Times New Roman"/>
                      <w:color w:val="auto"/>
                      <w:spacing w:val="0"/>
                      <w:kern w:val="2"/>
                      <w:sz w:val="21"/>
                      <w:szCs w:val="21"/>
                      <w:highlight w:val="none"/>
                      <w:u w:val="none" w:color="auto"/>
                      <w:lang w:val="en-US" w:eastAsia="zh-CN" w:bidi="ar-SA"/>
                    </w:rPr>
                    <w:t>。</w:t>
                  </w:r>
                </w:p>
              </w:tc>
              <w:tc>
                <w:tcPr>
                  <w:tcW w:w="968" w:type="dxa"/>
                  <w:noWrap w:val="0"/>
                  <w:vAlign w:val="center"/>
                </w:tcPr>
                <w:p w14:paraId="128D79AF">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default" w:ascii="Times New Roman" w:hAnsi="Times New Roman" w:eastAsia="宋体" w:cs="Times New Roman"/>
                      <w:b w:val="0"/>
                      <w:bCs/>
                      <w:kern w:val="0"/>
                      <w:sz w:val="21"/>
                      <w:szCs w:val="21"/>
                      <w:highlight w:val="none"/>
                      <w:lang w:val="en-US" w:eastAsia="zh-CN"/>
                    </w:rPr>
                    <w:t>符合</w:t>
                  </w:r>
                </w:p>
              </w:tc>
            </w:tr>
            <w:tr w14:paraId="14DF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54" w:type="dxa"/>
                  <w:vMerge w:val="continue"/>
                  <w:noWrap w:val="0"/>
                  <w:vAlign w:val="center"/>
                </w:tcPr>
                <w:p w14:paraId="122C9DF5">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4C5CE270">
                  <w:pPr>
                    <w:widowControl/>
                    <w:jc w:val="left"/>
                    <w:textAlignment w:val="center"/>
                    <w:rPr>
                      <w:rFonts w:hint="default" w:ascii="Times New Roman" w:hAnsi="Times New Roman" w:eastAsia="宋体" w:cs="Times New Roman"/>
                      <w:b w:val="0"/>
                      <w:bCs/>
                      <w:kern w:val="0"/>
                      <w:sz w:val="21"/>
                      <w:szCs w:val="21"/>
                      <w:highlight w:val="none"/>
                      <w:lang w:val="en-US" w:eastAsia="zh-CN"/>
                    </w:rPr>
                  </w:pPr>
                  <w:r>
                    <w:rPr>
                      <w:rFonts w:hint="default" w:ascii="Times New Roman" w:hAnsi="Times New Roman" w:eastAsia="宋体" w:cs="Times New Roman"/>
                      <w:kern w:val="0"/>
                      <w:sz w:val="21"/>
                      <w:szCs w:val="21"/>
                      <w:highlight w:val="none"/>
                    </w:rPr>
                    <w:t>3-2.【大气/综合类】新建项目原则上实施氮氧化物和挥发性有机物等量替代。</w:t>
                  </w:r>
                </w:p>
              </w:tc>
              <w:tc>
                <w:tcPr>
                  <w:tcW w:w="2547" w:type="dxa"/>
                  <w:shd w:val="clear" w:color="auto" w:fill="auto"/>
                  <w:noWrap w:val="0"/>
                  <w:vAlign w:val="center"/>
                </w:tcPr>
                <w:p w14:paraId="33146648">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本项目排放</w:t>
                  </w:r>
                  <w:r>
                    <w:rPr>
                      <w:rFonts w:hint="eastAsia" w:cs="Times New Roman"/>
                      <w:color w:val="auto"/>
                      <w:spacing w:val="0"/>
                      <w:kern w:val="2"/>
                      <w:sz w:val="21"/>
                      <w:szCs w:val="21"/>
                      <w:highlight w:val="none"/>
                      <w:u w:val="none" w:color="auto"/>
                      <w:lang w:val="en-US" w:eastAsia="zh-CN" w:bidi="ar-SA"/>
                    </w:rPr>
                    <w:t>的氮氧化物实行等量替代</w:t>
                  </w:r>
                  <w:r>
                    <w:rPr>
                      <w:rFonts w:hint="default" w:ascii="Times New Roman" w:hAnsi="Times New Roman" w:eastAsia="宋体" w:cs="Times New Roman"/>
                      <w:color w:val="auto"/>
                      <w:spacing w:val="0"/>
                      <w:kern w:val="2"/>
                      <w:sz w:val="21"/>
                      <w:szCs w:val="21"/>
                      <w:highlight w:val="none"/>
                      <w:u w:val="none" w:color="auto"/>
                      <w:lang w:val="en-US" w:eastAsia="zh-CN" w:bidi="ar-SA"/>
                    </w:rPr>
                    <w:t>。</w:t>
                  </w:r>
                </w:p>
              </w:tc>
              <w:tc>
                <w:tcPr>
                  <w:tcW w:w="968" w:type="dxa"/>
                  <w:noWrap w:val="0"/>
                  <w:vAlign w:val="center"/>
                </w:tcPr>
                <w:p w14:paraId="59C5C97D">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eastAsia="zh-CN"/>
                    </w:rPr>
                  </w:pPr>
                  <w:r>
                    <w:rPr>
                      <w:rFonts w:hint="eastAsia" w:cs="Times New Roman"/>
                      <w:b w:val="0"/>
                      <w:bCs/>
                      <w:kern w:val="0"/>
                      <w:sz w:val="21"/>
                      <w:szCs w:val="21"/>
                      <w:highlight w:val="none"/>
                      <w:lang w:eastAsia="zh-CN"/>
                    </w:rPr>
                    <w:t>符合</w:t>
                  </w:r>
                </w:p>
              </w:tc>
            </w:tr>
            <w:tr w14:paraId="31BE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54" w:type="dxa"/>
                  <w:vMerge w:val="continue"/>
                  <w:noWrap w:val="0"/>
                  <w:vAlign w:val="center"/>
                </w:tcPr>
                <w:p w14:paraId="4B7A61E8">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394F09E1">
                  <w:pPr>
                    <w:keepNext w:val="0"/>
                    <w:keepLines w:val="0"/>
                    <w:pageBreakBefore w:val="0"/>
                    <w:kinsoku/>
                    <w:wordWrap/>
                    <w:topLinePunct w:val="0"/>
                    <w:bidi w:val="0"/>
                    <w:adjustRightInd w:val="0"/>
                    <w:snapToGrid w:val="0"/>
                    <w:spacing w:beforeAutospacing="0" w:line="240" w:lineRule="auto"/>
                    <w:ind w:left="0" w:leftChars="0" w:firstLine="0" w:firstLineChars="0"/>
                    <w:jc w:val="left"/>
                    <w:rPr>
                      <w:rFonts w:hint="default" w:ascii="Times New Roman" w:hAnsi="Times New Roman" w:eastAsia="宋体" w:cs="Times New Roman"/>
                      <w:b w:val="0"/>
                      <w:bCs/>
                      <w:kern w:val="0"/>
                      <w:sz w:val="21"/>
                      <w:szCs w:val="21"/>
                      <w:highlight w:val="none"/>
                      <w:lang w:val="en-US" w:eastAsia="zh-CN"/>
                    </w:rPr>
                  </w:pPr>
                  <w:r>
                    <w:rPr>
                      <w:rFonts w:hint="default" w:ascii="Times New Roman" w:hAnsi="Times New Roman" w:eastAsia="宋体" w:cs="Times New Roman"/>
                      <w:kern w:val="0"/>
                      <w:sz w:val="21"/>
                      <w:szCs w:val="21"/>
                      <w:highlight w:val="none"/>
                    </w:rPr>
                    <w:t>3-3.【水/限制类】加强矿山采选企业废水治理设施的建设，强化选矿废水治理设施的升级改造，实现选矿废水回用不外排。</w:t>
                  </w:r>
                </w:p>
              </w:tc>
              <w:tc>
                <w:tcPr>
                  <w:tcW w:w="2547" w:type="dxa"/>
                  <w:shd w:val="clear" w:color="auto" w:fill="auto"/>
                  <w:noWrap w:val="0"/>
                  <w:vAlign w:val="center"/>
                </w:tcPr>
                <w:p w14:paraId="743F2BCA">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w:t>
                  </w:r>
                  <w:r>
                    <w:rPr>
                      <w:rFonts w:hint="default" w:ascii="Times New Roman" w:hAnsi="Times New Roman" w:eastAsia="宋体" w:cs="Times New Roman"/>
                      <w:color w:val="auto"/>
                      <w:spacing w:val="0"/>
                      <w:kern w:val="2"/>
                      <w:sz w:val="21"/>
                      <w:szCs w:val="21"/>
                      <w:highlight w:val="none"/>
                      <w:u w:val="none" w:color="auto"/>
                      <w:lang w:val="en-US" w:eastAsia="zh-CN" w:bidi="ar-SA"/>
                    </w:rPr>
                    <w:t>不涉及该条款。</w:t>
                  </w:r>
                </w:p>
              </w:tc>
              <w:tc>
                <w:tcPr>
                  <w:tcW w:w="968" w:type="dxa"/>
                  <w:noWrap w:val="0"/>
                  <w:vAlign w:val="center"/>
                </w:tcPr>
                <w:p w14:paraId="29389054">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val="en-US" w:eastAsia="zh-CN"/>
                    </w:rPr>
                  </w:pPr>
                  <w:r>
                    <w:rPr>
                      <w:rFonts w:hint="eastAsia" w:cs="Times New Roman"/>
                      <w:b w:val="0"/>
                      <w:bCs/>
                      <w:kern w:val="0"/>
                      <w:sz w:val="21"/>
                      <w:szCs w:val="21"/>
                      <w:highlight w:val="none"/>
                      <w:lang w:val="en-US" w:eastAsia="zh-CN"/>
                    </w:rPr>
                    <w:t>无关项</w:t>
                  </w:r>
                </w:p>
              </w:tc>
            </w:tr>
            <w:tr w14:paraId="2E68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54" w:type="dxa"/>
                  <w:vMerge w:val="restart"/>
                  <w:noWrap w:val="0"/>
                  <w:vAlign w:val="center"/>
                </w:tcPr>
                <w:p w14:paraId="1B7D8D23">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r>
                    <w:rPr>
                      <w:rFonts w:hint="default" w:ascii="Times New Roman" w:hAnsi="Times New Roman" w:eastAsia="宋体" w:cs="Times New Roman"/>
                      <w:b/>
                      <w:bCs w:val="0"/>
                      <w:kern w:val="0"/>
                      <w:sz w:val="21"/>
                      <w:szCs w:val="21"/>
                      <w:highlight w:val="none"/>
                    </w:rPr>
                    <w:t>环境风险防控</w:t>
                  </w:r>
                </w:p>
              </w:tc>
              <w:tc>
                <w:tcPr>
                  <w:tcW w:w="3608" w:type="dxa"/>
                  <w:noWrap w:val="0"/>
                  <w:vAlign w:val="center"/>
                </w:tcPr>
                <w:p w14:paraId="71D48DE2">
                  <w:pPr>
                    <w:rPr>
                      <w:rFonts w:hint="default" w:ascii="Times New Roman" w:hAnsi="Times New Roman" w:eastAsia="宋体" w:cs="Times New Roman"/>
                      <w:b w:val="0"/>
                      <w:bCs/>
                      <w:kern w:val="0"/>
                      <w:sz w:val="21"/>
                      <w:szCs w:val="21"/>
                      <w:highlight w:val="none"/>
                    </w:rPr>
                  </w:pPr>
                  <w:r>
                    <w:rPr>
                      <w:rFonts w:hint="default" w:ascii="Times New Roman" w:hAnsi="Times New Roman" w:eastAsia="宋体" w:cs="Times New Roman"/>
                      <w:kern w:val="0"/>
                      <w:sz w:val="21"/>
                      <w:szCs w:val="21"/>
                      <w:highlight w:val="none"/>
                    </w:rPr>
                    <w:t>4-1.【风险/综合类】推进单元内矿山采选企业尾矿砂的综合利用，加强矿区和尾矿库生态修复，降低重金属污染环境风险。</w:t>
                  </w:r>
                </w:p>
              </w:tc>
              <w:tc>
                <w:tcPr>
                  <w:tcW w:w="2547" w:type="dxa"/>
                  <w:shd w:val="clear" w:color="auto" w:fill="auto"/>
                  <w:noWrap w:val="0"/>
                  <w:vAlign w:val="center"/>
                </w:tcPr>
                <w:p w14:paraId="4BBFB816">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color w:val="auto"/>
                      <w:spacing w:val="0"/>
                      <w:kern w:val="2"/>
                      <w:sz w:val="21"/>
                      <w:szCs w:val="21"/>
                      <w:highlight w:val="none"/>
                      <w:u w:val="none" w:color="auto"/>
                      <w:lang w:val="en-US" w:eastAsia="zh-CN" w:bidi="ar-SA"/>
                    </w:rPr>
                    <w:t>本项目</w:t>
                  </w:r>
                  <w:r>
                    <w:rPr>
                      <w:rFonts w:hint="eastAsia" w:ascii="Times New Roman" w:hAnsi="Times New Roman" w:eastAsia="宋体" w:cs="Times New Roman"/>
                      <w:color w:val="auto"/>
                      <w:spacing w:val="0"/>
                      <w:kern w:val="2"/>
                      <w:sz w:val="21"/>
                      <w:szCs w:val="21"/>
                      <w:highlight w:val="none"/>
                      <w:u w:val="none" w:color="auto"/>
                      <w:lang w:val="en-US" w:eastAsia="zh-CN" w:bidi="ar-SA"/>
                    </w:rPr>
                    <w:t>为环保机制炭生产项目</w:t>
                  </w:r>
                  <w:r>
                    <w:rPr>
                      <w:rFonts w:hint="eastAsia" w:cs="Times New Roman"/>
                      <w:color w:val="auto"/>
                      <w:spacing w:val="0"/>
                      <w:kern w:val="2"/>
                      <w:sz w:val="21"/>
                      <w:szCs w:val="21"/>
                      <w:highlight w:val="none"/>
                      <w:u w:val="none" w:color="auto"/>
                      <w:lang w:val="en-US" w:eastAsia="zh-CN" w:bidi="ar-SA"/>
                    </w:rPr>
                    <w:t>，</w:t>
                  </w:r>
                  <w:r>
                    <w:rPr>
                      <w:rFonts w:hint="default" w:ascii="Times New Roman" w:hAnsi="Times New Roman" w:eastAsia="宋体" w:cs="Times New Roman"/>
                      <w:color w:val="auto"/>
                      <w:spacing w:val="0"/>
                      <w:kern w:val="2"/>
                      <w:sz w:val="21"/>
                      <w:szCs w:val="21"/>
                      <w:highlight w:val="none"/>
                      <w:u w:val="none" w:color="auto"/>
                      <w:lang w:val="en-US" w:eastAsia="zh-CN" w:bidi="ar-SA"/>
                    </w:rPr>
                    <w:t>不涉及该条款。</w:t>
                  </w:r>
                </w:p>
              </w:tc>
              <w:tc>
                <w:tcPr>
                  <w:tcW w:w="968" w:type="dxa"/>
                  <w:noWrap w:val="0"/>
                  <w:vAlign w:val="center"/>
                </w:tcPr>
                <w:p w14:paraId="11C60A4E">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eastAsia="zh-CN"/>
                    </w:rPr>
                  </w:pPr>
                  <w:r>
                    <w:rPr>
                      <w:rFonts w:hint="eastAsia" w:cs="Times New Roman"/>
                      <w:b w:val="0"/>
                      <w:bCs/>
                      <w:kern w:val="0"/>
                      <w:sz w:val="21"/>
                      <w:szCs w:val="21"/>
                      <w:highlight w:val="none"/>
                      <w:lang w:eastAsia="zh-CN"/>
                    </w:rPr>
                    <w:t>无关项</w:t>
                  </w:r>
                </w:p>
              </w:tc>
            </w:tr>
            <w:tr w14:paraId="46B6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54" w:type="dxa"/>
                  <w:vMerge w:val="continue"/>
                  <w:noWrap w:val="0"/>
                  <w:vAlign w:val="center"/>
                </w:tcPr>
                <w:p w14:paraId="0D0F2A4E">
                  <w:pPr>
                    <w:autoSpaceDE w:val="0"/>
                    <w:autoSpaceDN w:val="0"/>
                    <w:adjustRightInd w:val="0"/>
                    <w:snapToGrid w:val="0"/>
                    <w:spacing w:line="240" w:lineRule="auto"/>
                    <w:jc w:val="center"/>
                    <w:rPr>
                      <w:rFonts w:hint="default" w:ascii="Times New Roman" w:hAnsi="Times New Roman" w:eastAsia="宋体" w:cs="Times New Roman"/>
                      <w:b/>
                      <w:bCs w:val="0"/>
                      <w:kern w:val="0"/>
                      <w:sz w:val="21"/>
                      <w:szCs w:val="21"/>
                      <w:highlight w:val="none"/>
                    </w:rPr>
                  </w:pPr>
                </w:p>
              </w:tc>
              <w:tc>
                <w:tcPr>
                  <w:tcW w:w="3608" w:type="dxa"/>
                  <w:noWrap w:val="0"/>
                  <w:vAlign w:val="center"/>
                </w:tcPr>
                <w:p w14:paraId="7DFD6F24">
                  <w:pPr>
                    <w:autoSpaceDE w:val="0"/>
                    <w:autoSpaceDN w:val="0"/>
                    <w:adjustRightInd w:val="0"/>
                    <w:snapToGrid w:val="0"/>
                    <w:spacing w:line="240" w:lineRule="auto"/>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default" w:ascii="Times New Roman" w:hAnsi="Times New Roman" w:eastAsia="宋体" w:cs="Times New Roman"/>
                      <w:kern w:val="0"/>
                      <w:sz w:val="21"/>
                      <w:szCs w:val="21"/>
                      <w:highlight w:val="none"/>
                    </w:rPr>
                    <w:t>4-2.【风险/综合类】有水环境污染风险的企事业单位，应当制定有关水污染事故的应急方案，做好应急准备，并定期进行演练，做好突发水污染事故应急处置和事后恢复等工作。有水环境污染风险的企事业单位，生产、储存危险化学品的企事业单位，应当采取措施，防止在应急处置过程中产生的消防废水、废液直接排入水体。</w:t>
                  </w:r>
                </w:p>
              </w:tc>
              <w:tc>
                <w:tcPr>
                  <w:tcW w:w="2547" w:type="dxa"/>
                  <w:shd w:val="clear" w:color="auto" w:fill="auto"/>
                  <w:noWrap w:val="0"/>
                  <w:vAlign w:val="center"/>
                </w:tcPr>
                <w:p w14:paraId="668EB4E5">
                  <w:pPr>
                    <w:keepNext w:val="0"/>
                    <w:keepLines w:val="0"/>
                    <w:pageBreakBefore w:val="0"/>
                    <w:kinsoku/>
                    <w:wordWrap/>
                    <w:topLinePunct w:val="0"/>
                    <w:bidi w:val="0"/>
                    <w:adjustRightInd w:val="0"/>
                    <w:snapToGrid w:val="0"/>
                    <w:spacing w:beforeAutospacing="0" w:line="240" w:lineRule="auto"/>
                    <w:ind w:left="0" w:leftChars="0" w:firstLine="0" w:firstLineChars="0"/>
                    <w:jc w:val="center"/>
                    <w:rPr>
                      <w:rFonts w:hint="default" w:ascii="Times New Roman" w:hAnsi="Times New Roman" w:eastAsia="宋体" w:cs="Times New Roman"/>
                      <w:color w:val="auto"/>
                      <w:spacing w:val="0"/>
                      <w:kern w:val="2"/>
                      <w:sz w:val="21"/>
                      <w:szCs w:val="21"/>
                      <w:highlight w:val="none"/>
                      <w:u w:val="none" w:color="auto"/>
                      <w:lang w:val="en-US" w:eastAsia="zh-CN" w:bidi="ar-SA"/>
                    </w:rPr>
                  </w:pPr>
                  <w:r>
                    <w:rPr>
                      <w:rFonts w:hint="eastAsia" w:ascii="宋体" w:hAnsi="宋体" w:eastAsia="Times New Roman" w:cs="宋体"/>
                      <w:kern w:val="0"/>
                      <w:szCs w:val="21"/>
                      <w:highlight w:val="none"/>
                    </w:rPr>
                    <w:t>为防范污染事故发生，本项目制定有效的事故风险防范和应急措施，为避免发生事故对周围环境造成污染，确保环境安全。</w:t>
                  </w:r>
                </w:p>
              </w:tc>
              <w:tc>
                <w:tcPr>
                  <w:tcW w:w="968" w:type="dxa"/>
                  <w:noWrap w:val="0"/>
                  <w:vAlign w:val="center"/>
                </w:tcPr>
                <w:p w14:paraId="73EB9E27">
                  <w:pPr>
                    <w:autoSpaceDE w:val="0"/>
                    <w:autoSpaceDN w:val="0"/>
                    <w:adjustRightInd w:val="0"/>
                    <w:snapToGrid w:val="0"/>
                    <w:spacing w:line="240" w:lineRule="auto"/>
                    <w:jc w:val="center"/>
                    <w:rPr>
                      <w:rFonts w:hint="default" w:ascii="Times New Roman" w:hAnsi="Times New Roman" w:eastAsia="宋体" w:cs="Times New Roman"/>
                      <w:b w:val="0"/>
                      <w:bCs/>
                      <w:kern w:val="0"/>
                      <w:sz w:val="21"/>
                      <w:szCs w:val="21"/>
                      <w:highlight w:val="none"/>
                      <w:lang w:eastAsia="zh-CN"/>
                    </w:rPr>
                  </w:pPr>
                  <w:r>
                    <w:rPr>
                      <w:rFonts w:hint="eastAsia" w:cs="Times New Roman"/>
                      <w:b w:val="0"/>
                      <w:bCs/>
                      <w:kern w:val="0"/>
                      <w:sz w:val="21"/>
                      <w:szCs w:val="21"/>
                      <w:highlight w:val="none"/>
                      <w:lang w:eastAsia="zh-CN"/>
                    </w:rPr>
                    <w:t>符合</w:t>
                  </w:r>
                </w:p>
              </w:tc>
            </w:tr>
          </w:tbl>
          <w:p w14:paraId="28FE8B1E">
            <w:pPr>
              <w:pStyle w:val="114"/>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ascii="Times New Roman" w:hAnsi="Times New Roman" w:cs="Times New Roman"/>
                <w:highlight w:val="none"/>
              </w:rPr>
            </w:pPr>
          </w:p>
          <w:p w14:paraId="155F5FD0">
            <w:pPr>
              <w:pStyle w:val="114"/>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ascii="Times New Roman" w:hAnsi="Times New Roman" w:cs="Times New Roman"/>
                <w:highlight w:val="none"/>
              </w:rPr>
            </w:pPr>
            <w:r>
              <w:rPr>
                <w:rFonts w:ascii="Times New Roman" w:hAnsi="Times New Roman" w:cs="Times New Roman"/>
                <w:highlight w:val="none"/>
              </w:rPr>
              <w:t>（3）环境质量底线要求相符性分析</w:t>
            </w:r>
          </w:p>
          <w:p w14:paraId="7D5F3776">
            <w:pPr>
              <w:keepNext w:val="0"/>
              <w:keepLines w:val="0"/>
              <w:pageBreakBefore w:val="0"/>
              <w:widowControl w:val="0"/>
              <w:shd w:val="clear"/>
              <w:kinsoku/>
              <w:wordWrap/>
              <w:overflowPunct/>
              <w:topLinePunct w:val="0"/>
              <w:autoSpaceDE w:val="0"/>
              <w:autoSpaceDN w:val="0"/>
              <w:bidi w:val="0"/>
              <w:adjustRightInd w:val="0"/>
              <w:snapToGrid w:val="0"/>
              <w:spacing w:line="336" w:lineRule="auto"/>
              <w:ind w:firstLine="480" w:firstLineChars="200"/>
              <w:jc w:val="left"/>
              <w:textAlignment w:val="auto"/>
              <w:rPr>
                <w:color w:val="auto"/>
                <w:kern w:val="0"/>
                <w:sz w:val="24"/>
                <w:szCs w:val="24"/>
                <w:highlight w:val="none"/>
              </w:rPr>
            </w:pPr>
            <w:r>
              <w:rPr>
                <w:rFonts w:hint="eastAsia"/>
                <w:color w:val="auto"/>
                <w:kern w:val="0"/>
                <w:sz w:val="24"/>
                <w:szCs w:val="24"/>
                <w:highlight w:val="none"/>
              </w:rPr>
              <w:t>项目所在区域环境空气质量满足《环境空气质量标准》（GB 3095-2012）及其修改单二级标准，废气经相应措施处理后达标排放，运营期环境空气质量仍可满足《环境空气质量标准》（GB 3095-2012）及其修改单二级标准要求，项目实施不会造成区域大气环境质量恶化。</w:t>
            </w:r>
          </w:p>
          <w:p w14:paraId="526D5026">
            <w:pPr>
              <w:keepNext w:val="0"/>
              <w:keepLines w:val="0"/>
              <w:pageBreakBefore w:val="0"/>
              <w:widowControl w:val="0"/>
              <w:shd w:val="clear"/>
              <w:kinsoku/>
              <w:wordWrap/>
              <w:overflowPunct/>
              <w:topLinePunct w:val="0"/>
              <w:autoSpaceDE w:val="0"/>
              <w:autoSpaceDN w:val="0"/>
              <w:bidi w:val="0"/>
              <w:adjustRightInd w:val="0"/>
              <w:snapToGrid w:val="0"/>
              <w:spacing w:line="336" w:lineRule="auto"/>
              <w:ind w:firstLine="480" w:firstLineChars="200"/>
              <w:jc w:val="both"/>
              <w:textAlignment w:val="auto"/>
              <w:rPr>
                <w:color w:val="auto"/>
                <w:kern w:val="0"/>
                <w:sz w:val="24"/>
                <w:szCs w:val="24"/>
                <w:highlight w:val="none"/>
              </w:rPr>
            </w:pPr>
            <w:r>
              <w:rPr>
                <w:rFonts w:hint="eastAsia"/>
                <w:color w:val="auto"/>
                <w:kern w:val="0"/>
                <w:sz w:val="24"/>
                <w:szCs w:val="24"/>
                <w:highlight w:val="none"/>
              </w:rPr>
              <w:t>项目</w:t>
            </w:r>
            <w:r>
              <w:rPr>
                <w:rFonts w:hint="eastAsia"/>
                <w:color w:val="auto"/>
                <w:kern w:val="0"/>
                <w:sz w:val="24"/>
                <w:szCs w:val="24"/>
                <w:highlight w:val="none"/>
                <w:lang w:val="en-US" w:eastAsia="zh-CN"/>
              </w:rPr>
              <w:t>附近</w:t>
            </w:r>
            <w:r>
              <w:rPr>
                <w:rFonts w:hint="eastAsia"/>
                <w:color w:val="auto"/>
                <w:kern w:val="0"/>
                <w:sz w:val="24"/>
                <w:szCs w:val="24"/>
                <w:highlight w:val="none"/>
              </w:rPr>
              <w:t>水体</w:t>
            </w:r>
            <w:r>
              <w:rPr>
                <w:rFonts w:hint="eastAsia"/>
                <w:bCs/>
                <w:color w:val="auto"/>
                <w:sz w:val="24"/>
                <w:highlight w:val="none"/>
                <w:lang w:val="en-US" w:eastAsia="zh-CN"/>
              </w:rPr>
              <w:t>武水“乐昌城—犁市（曲江）”河段</w:t>
            </w:r>
            <w:r>
              <w:rPr>
                <w:bCs/>
                <w:color w:val="auto"/>
                <w:sz w:val="24"/>
                <w:szCs w:val="24"/>
                <w:highlight w:val="none"/>
              </w:rPr>
              <w:t>水环境质量</w:t>
            </w:r>
            <w:r>
              <w:rPr>
                <w:rFonts w:hint="eastAsia"/>
                <w:bCs/>
                <w:color w:val="auto"/>
                <w:sz w:val="24"/>
                <w:szCs w:val="24"/>
                <w:highlight w:val="none"/>
              </w:rPr>
              <w:t>满足</w:t>
            </w:r>
            <w:r>
              <w:rPr>
                <w:bCs/>
                <w:color w:val="auto"/>
                <w:sz w:val="24"/>
                <w:szCs w:val="24"/>
                <w:highlight w:val="none"/>
              </w:rPr>
              <w:t>《地表水环境质量标准》（GB3838-2002）中的</w:t>
            </w:r>
            <w:r>
              <w:rPr>
                <w:rFonts w:hint="eastAsia" w:ascii="宋体" w:hAnsi="宋体" w:eastAsia="宋体" w:cs="宋体"/>
                <w:bCs/>
                <w:color w:val="auto"/>
                <w:sz w:val="24"/>
                <w:szCs w:val="24"/>
                <w:highlight w:val="none"/>
              </w:rPr>
              <w:t>Ⅲ</w:t>
            </w:r>
            <w:r>
              <w:rPr>
                <w:bCs/>
                <w:color w:val="auto"/>
                <w:sz w:val="24"/>
                <w:szCs w:val="24"/>
                <w:highlight w:val="none"/>
              </w:rPr>
              <w:t>类标准</w:t>
            </w:r>
            <w:r>
              <w:rPr>
                <w:rFonts w:hint="eastAsia"/>
                <w:color w:val="auto"/>
                <w:kern w:val="0"/>
                <w:sz w:val="24"/>
                <w:szCs w:val="24"/>
                <w:highlight w:val="none"/>
              </w:rPr>
              <w:t>，水质现状保持良好。本项目</w:t>
            </w:r>
            <w:r>
              <w:rPr>
                <w:rFonts w:hint="eastAsia"/>
                <w:color w:val="auto"/>
                <w:kern w:val="0"/>
                <w:sz w:val="24"/>
                <w:szCs w:val="24"/>
                <w:highlight w:val="none"/>
                <w:lang w:val="en-US" w:eastAsia="zh-CN"/>
              </w:rPr>
              <w:t>无生产性废水产生，生活污水经处理</w:t>
            </w:r>
            <w:r>
              <w:rPr>
                <w:rFonts w:hint="eastAsia"/>
                <w:color w:val="auto"/>
                <w:sz w:val="24"/>
                <w:highlight w:val="none"/>
              </w:rPr>
              <w:t>达到《农田灌溉水质标准》（GB5084-20</w:t>
            </w:r>
            <w:r>
              <w:rPr>
                <w:rFonts w:hint="eastAsia"/>
                <w:color w:val="auto"/>
                <w:sz w:val="24"/>
                <w:highlight w:val="none"/>
                <w:lang w:val="en-US" w:eastAsia="zh-CN"/>
              </w:rPr>
              <w:t>21</w:t>
            </w:r>
            <w:r>
              <w:rPr>
                <w:rFonts w:hint="eastAsia"/>
                <w:color w:val="auto"/>
                <w:sz w:val="24"/>
                <w:highlight w:val="none"/>
              </w:rPr>
              <w:t>）中旱作作物标准后</w:t>
            </w:r>
            <w:r>
              <w:rPr>
                <w:rFonts w:hint="eastAsia"/>
                <w:color w:val="auto"/>
                <w:sz w:val="24"/>
                <w:highlight w:val="none"/>
                <w:lang w:eastAsia="zh-CN"/>
              </w:rPr>
              <w:t>，</w:t>
            </w:r>
            <w:r>
              <w:rPr>
                <w:rFonts w:hint="eastAsia"/>
                <w:color w:val="auto"/>
                <w:sz w:val="24"/>
                <w:highlight w:val="none"/>
              </w:rPr>
              <w:t>用</w:t>
            </w:r>
            <w:r>
              <w:rPr>
                <w:rFonts w:hint="eastAsia"/>
                <w:color w:val="auto"/>
                <w:sz w:val="24"/>
                <w:highlight w:val="none"/>
                <w:lang w:val="en-US" w:eastAsia="zh-CN"/>
              </w:rPr>
              <w:t>作浇灌</w:t>
            </w:r>
            <w:r>
              <w:rPr>
                <w:rFonts w:hint="eastAsia"/>
                <w:color w:val="auto"/>
                <w:sz w:val="24"/>
                <w:highlight w:val="none"/>
              </w:rPr>
              <w:t>厂</w:t>
            </w:r>
            <w:r>
              <w:rPr>
                <w:rFonts w:hint="eastAsia"/>
                <w:color w:val="auto"/>
                <w:sz w:val="24"/>
                <w:highlight w:val="none"/>
                <w:lang w:val="en-US" w:eastAsia="zh-CN"/>
              </w:rPr>
              <w:t>区周边林地</w:t>
            </w:r>
            <w:r>
              <w:rPr>
                <w:rFonts w:hint="eastAsia"/>
                <w:color w:val="auto"/>
                <w:sz w:val="24"/>
                <w:highlight w:val="none"/>
              </w:rPr>
              <w:t>，不外排</w:t>
            </w:r>
            <w:r>
              <w:rPr>
                <w:rFonts w:hint="eastAsia"/>
                <w:color w:val="auto"/>
                <w:sz w:val="24"/>
                <w:highlight w:val="none"/>
                <w:lang w:eastAsia="zh-CN"/>
              </w:rPr>
              <w:t>。</w:t>
            </w:r>
            <w:r>
              <w:rPr>
                <w:rFonts w:hint="eastAsia"/>
                <w:color w:val="auto"/>
                <w:sz w:val="24"/>
                <w:highlight w:val="none"/>
                <w:lang w:val="en-US" w:eastAsia="zh-CN"/>
              </w:rPr>
              <w:t>不会造成地表水环境质量降低</w:t>
            </w:r>
            <w:r>
              <w:rPr>
                <w:rFonts w:hint="eastAsia"/>
                <w:color w:val="auto"/>
                <w:kern w:val="0"/>
                <w:sz w:val="24"/>
                <w:szCs w:val="24"/>
                <w:highlight w:val="none"/>
              </w:rPr>
              <w:t>。</w:t>
            </w:r>
          </w:p>
          <w:p w14:paraId="3496B290">
            <w:pPr>
              <w:pStyle w:val="114"/>
              <w:spacing w:line="360" w:lineRule="auto"/>
              <w:ind w:firstLine="480" w:firstLineChars="200"/>
              <w:jc w:val="both"/>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项目所在区域声环境质量满足《声环境质量标准》（GB 3096-2008）中</w:t>
            </w:r>
            <w:r>
              <w:rPr>
                <w:rFonts w:hint="default" w:ascii="Times New Roman" w:hAnsi="Times New Roman" w:eastAsia="宋体" w:cs="Times New Roman"/>
                <w:b w:val="0"/>
                <w:bCs/>
                <w:color w:val="auto"/>
                <w:kern w:val="0"/>
                <w:sz w:val="24"/>
                <w:szCs w:val="24"/>
                <w:highlight w:val="none"/>
                <w:lang w:val="en-US" w:eastAsia="zh-CN"/>
              </w:rPr>
              <w:t>2</w:t>
            </w:r>
            <w:r>
              <w:rPr>
                <w:rFonts w:hint="default" w:ascii="Times New Roman" w:hAnsi="Times New Roman" w:eastAsia="宋体" w:cs="Times New Roman"/>
                <w:b w:val="0"/>
                <w:bCs/>
                <w:color w:val="auto"/>
                <w:kern w:val="0"/>
                <w:sz w:val="24"/>
                <w:szCs w:val="24"/>
                <w:highlight w:val="none"/>
              </w:rPr>
              <w:t>类功能区标准，项目建成后噪声经减噪措施后影响较小，仍可满足《声环境质量标准》（GB 3096-2008）中</w:t>
            </w:r>
            <w:r>
              <w:rPr>
                <w:rFonts w:hint="default" w:ascii="Times New Roman" w:hAnsi="Times New Roman" w:eastAsia="宋体" w:cs="Times New Roman"/>
                <w:b w:val="0"/>
                <w:bCs/>
                <w:color w:val="auto"/>
                <w:kern w:val="0"/>
                <w:sz w:val="24"/>
                <w:szCs w:val="24"/>
                <w:highlight w:val="none"/>
                <w:lang w:val="en-US" w:eastAsia="zh-CN"/>
              </w:rPr>
              <w:t>2</w:t>
            </w:r>
            <w:r>
              <w:rPr>
                <w:rFonts w:hint="default" w:ascii="Times New Roman" w:hAnsi="Times New Roman" w:eastAsia="宋体" w:cs="Times New Roman"/>
                <w:b w:val="0"/>
                <w:bCs/>
                <w:color w:val="auto"/>
                <w:kern w:val="0"/>
                <w:sz w:val="24"/>
                <w:szCs w:val="24"/>
                <w:highlight w:val="none"/>
              </w:rPr>
              <w:t>类功能区标准。因此，项目符合环境质量底线要求。</w:t>
            </w:r>
          </w:p>
          <w:p w14:paraId="489EA40F">
            <w:pPr>
              <w:pStyle w:val="114"/>
              <w:spacing w:line="360" w:lineRule="auto"/>
              <w:ind w:firstLine="482" w:firstLineChars="200"/>
              <w:jc w:val="both"/>
              <w:rPr>
                <w:rFonts w:ascii="Times New Roman" w:hAnsi="Times New Roman" w:cs="Times New Roman"/>
                <w:highlight w:val="none"/>
              </w:rPr>
            </w:pPr>
            <w:r>
              <w:rPr>
                <w:rFonts w:ascii="Times New Roman" w:hAnsi="Times New Roman" w:cs="Times New Roman"/>
                <w:highlight w:val="none"/>
              </w:rPr>
              <w:t>（4）环境准入负面清单相符性分析</w:t>
            </w:r>
          </w:p>
          <w:p w14:paraId="5C825C2E">
            <w:pPr>
              <w:autoSpaceDE w:val="0"/>
              <w:autoSpaceDN w:val="0"/>
              <w:adjustRightInd w:val="0"/>
              <w:snapToGrid w:val="0"/>
              <w:spacing w:line="360" w:lineRule="auto"/>
              <w:ind w:firstLine="480" w:firstLineChars="200"/>
              <w:rPr>
                <w:rFonts w:eastAsiaTheme="majorEastAsia"/>
                <w:b/>
                <w:color w:val="000000" w:themeColor="text1"/>
                <w:sz w:val="24"/>
                <w:highlight w:val="none"/>
                <w14:textFill>
                  <w14:solidFill>
                    <w14:schemeClr w14:val="tx1"/>
                  </w14:solidFill>
                </w14:textFill>
              </w:rPr>
            </w:pPr>
            <w:r>
              <w:rPr>
                <w:rFonts w:eastAsiaTheme="majorEastAsia"/>
                <w:color w:val="000000" w:themeColor="text1"/>
                <w:sz w:val="24"/>
                <w:highlight w:val="none"/>
                <w14:textFill>
                  <w14:solidFill>
                    <w14:schemeClr w14:val="tx1"/>
                  </w14:solidFill>
                </w14:textFill>
              </w:rPr>
              <w:t>本项目为</w:t>
            </w:r>
            <w:r>
              <w:rPr>
                <w:rFonts w:hint="eastAsia" w:eastAsiaTheme="majorEastAsia"/>
                <w:color w:val="000000" w:themeColor="text1"/>
                <w:sz w:val="24"/>
                <w:highlight w:val="none"/>
                <w14:textFill>
                  <w14:solidFill>
                    <w14:schemeClr w14:val="tx1"/>
                  </w14:solidFill>
                </w14:textFill>
              </w:rPr>
              <w:t>非金属废料和碎屑加工</w:t>
            </w:r>
            <w:r>
              <w:rPr>
                <w:rFonts w:eastAsiaTheme="majorEastAsia"/>
                <w:color w:val="000000" w:themeColor="text1"/>
                <w:sz w:val="24"/>
                <w:highlight w:val="none"/>
                <w14:textFill>
                  <w14:solidFill>
                    <w14:schemeClr w14:val="tx1"/>
                  </w14:solidFill>
                </w14:textFill>
              </w:rPr>
              <w:t>行业，</w:t>
            </w:r>
            <w:r>
              <w:rPr>
                <w:rFonts w:hint="eastAsia"/>
                <w:kern w:val="0"/>
                <w:sz w:val="24"/>
                <w:szCs w:val="21"/>
                <w:highlight w:val="none"/>
              </w:rPr>
              <w:t>据查，不属于《广东省国家重点生态功能区产业准入负面清单（试行）》（粤发改规划[2017]331号文）中广东省乐昌市国家重点生态功能区产业准入负面清单所列内容，</w:t>
            </w:r>
            <w:r>
              <w:rPr>
                <w:rFonts w:eastAsiaTheme="majorEastAsia"/>
                <w:color w:val="000000" w:themeColor="text1"/>
                <w:sz w:val="24"/>
                <w:highlight w:val="none"/>
                <w14:textFill>
                  <w14:solidFill>
                    <w14:schemeClr w14:val="tx1"/>
                  </w14:solidFill>
                </w14:textFill>
              </w:rPr>
              <w:t>为环境准入类别。</w:t>
            </w:r>
          </w:p>
          <w:p w14:paraId="3B720AA1">
            <w:pPr>
              <w:pStyle w:val="114"/>
              <w:spacing w:line="360" w:lineRule="auto"/>
              <w:ind w:firstLine="482" w:firstLineChars="200"/>
              <w:jc w:val="both"/>
              <w:rPr>
                <w:kern w:val="0"/>
                <w:sz w:val="24"/>
                <w:highlight w:val="none"/>
              </w:rPr>
            </w:pPr>
          </w:p>
        </w:tc>
      </w:tr>
    </w:tbl>
    <w:p w14:paraId="5D88138E">
      <w:pPr>
        <w:pStyle w:val="33"/>
        <w:ind w:left="0" w:leftChars="0" w:firstLine="0" w:firstLineChars="0"/>
        <w:rPr>
          <w:rFonts w:eastAsia="黑体"/>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4F69823E">
      <w:pPr>
        <w:pStyle w:val="29"/>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Times New Roman" w:hAnsi="Times New Roman" w:eastAsia="黑体" w:cs="Times New Roman"/>
          <w:snapToGrid w:val="0"/>
          <w:sz w:val="30"/>
          <w:szCs w:val="30"/>
          <w:highlight w:val="none"/>
        </w:rPr>
      </w:pPr>
      <w:bookmarkStart w:id="13" w:name="_Toc4333"/>
      <w:r>
        <w:rPr>
          <w:rFonts w:ascii="Times New Roman" w:hAnsi="Times New Roman" w:eastAsia="黑体" w:cs="Times New Roman"/>
          <w:snapToGrid w:val="0"/>
          <w:sz w:val="30"/>
          <w:szCs w:val="30"/>
          <w:highlight w:val="none"/>
        </w:rPr>
        <w:t>二、建设项目工程分析</w:t>
      </w:r>
      <w:bookmarkEnd w:id="13"/>
    </w:p>
    <w:tbl>
      <w:tblPr>
        <w:tblStyle w:val="34"/>
        <w:tblW w:w="94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029"/>
      </w:tblGrid>
      <w:tr w14:paraId="457FE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862" w:hRule="atLeast"/>
          <w:jc w:val="center"/>
        </w:trPr>
        <w:tc>
          <w:tcPr>
            <w:tcW w:w="450" w:type="dxa"/>
            <w:vAlign w:val="center"/>
          </w:tcPr>
          <w:p w14:paraId="58BBF8AD">
            <w:pPr>
              <w:pStyle w:val="29"/>
              <w:adjustRightInd w:val="0"/>
              <w:snapToGrid w:val="0"/>
              <w:spacing w:before="0" w:beforeAutospacing="0" w:after="0" w:afterAutospacing="0"/>
              <w:jc w:val="center"/>
              <w:rPr>
                <w:rFonts w:ascii="Times New Roman" w:hAnsi="Times New Roman"/>
                <w:sz w:val="21"/>
                <w:szCs w:val="21"/>
                <w:highlight w:val="none"/>
              </w:rPr>
            </w:pPr>
            <w:r>
              <w:rPr>
                <w:rFonts w:ascii="Times New Roman" w:hAnsi="Times New Roman" w:eastAsia="宋体" w:cs="Times New Roman"/>
                <w:kern w:val="0"/>
                <w:sz w:val="24"/>
                <w:szCs w:val="24"/>
                <w:highlight w:val="none"/>
                <w:lang w:val="en-US" w:eastAsia="zh-CN" w:bidi="ar-SA"/>
              </w:rPr>
              <w:t>建设内容</w:t>
            </w:r>
          </w:p>
        </w:tc>
        <w:tc>
          <w:tcPr>
            <w:tcW w:w="9029" w:type="dxa"/>
          </w:tcPr>
          <w:p w14:paraId="1BB84807">
            <w:pPr>
              <w:adjustRightInd w:val="0"/>
              <w:snapToGrid w:val="0"/>
              <w:spacing w:line="360" w:lineRule="auto"/>
              <w:ind w:firstLine="480" w:firstLineChars="200"/>
              <w:rPr>
                <w:rFonts w:ascii="宋体" w:hAnsi="Courier New" w:cs="Courier New"/>
                <w:color w:val="auto"/>
                <w:sz w:val="24"/>
                <w:highlight w:val="none"/>
              </w:rPr>
            </w:pPr>
            <w:r>
              <w:rPr>
                <w:rFonts w:hint="eastAsia" w:ascii="宋体" w:hAnsi="宋体" w:cs="Courier New"/>
                <w:color w:val="auto"/>
                <w:sz w:val="24"/>
                <w:highlight w:val="none"/>
              </w:rPr>
              <w:t>木炭及竹炭广泛应用于食品、制药、化工、冶金、国防、农业及环境保护等诸多领域</w:t>
            </w:r>
            <w:r>
              <w:rPr>
                <w:rFonts w:hint="eastAsia" w:ascii="宋体" w:hAnsi="Courier New" w:cs="Courier New"/>
                <w:color w:val="auto"/>
                <w:sz w:val="24"/>
                <w:highlight w:val="none"/>
              </w:rPr>
              <w:t>,也是烧烤、火锅、家用取暖的优质燃料。而我国早在</w:t>
            </w:r>
            <w:r>
              <w:rPr>
                <w:rFonts w:hint="eastAsia" w:ascii="宋体" w:hAnsi="宋体" w:cs="Courier New"/>
                <w:color w:val="auto"/>
                <w:sz w:val="24"/>
                <w:highlight w:val="none"/>
              </w:rPr>
              <w:t>“九五”期间就开始实施天然林保护工程，严格限制利用天然林生产木炭，许多原来的木炭厂都纷纷停产或转产。我国正在努力建设环境友好型，资源节约型社会，大力倡导发展节能降耗产业，鼓励资源回收利用，环保炭的使用可减少林区竹屑木屑对居住区域环境和河道的严重污染，充分利用竹子和木材剩余物。</w:t>
            </w:r>
          </w:p>
          <w:p w14:paraId="5E7C6840">
            <w:pPr>
              <w:pStyle w:val="114"/>
              <w:spacing w:line="360" w:lineRule="auto"/>
              <w:ind w:firstLine="480" w:firstLineChars="200"/>
              <w:jc w:val="both"/>
              <w:rPr>
                <w:rFonts w:hint="default" w:ascii="Times New Roman" w:hAnsi="Times New Roman" w:eastAsia="宋体" w:cs="Times New Roman"/>
                <w:b w:val="0"/>
                <w:color w:val="000000" w:themeColor="text1"/>
                <w:kern w:val="0"/>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0"/>
                <w:highlight w:val="none"/>
                <w:lang w:val="en-US" w:eastAsia="zh-CN"/>
                <w14:textFill>
                  <w14:solidFill>
                    <w14:schemeClr w14:val="tx1"/>
                  </w14:solidFill>
                </w14:textFill>
              </w:rPr>
              <w:t>机制炭是利用机制设备将竹木边角料、锯末及秸秆等农林废弃物经过破碎、烘干、挤压成型以及炭化等工艺过程，生成棒状或块状等各种形状的生物质炭。机制炭与普通原木炭相比，具有机械强度好，含碳量高，发热量大，灰分小，燃烧时间长，且无烟无味无污染等特性。鉴于机制炭具有广泛的用途，机制炭生产项目前景非</w:t>
            </w:r>
            <w:r>
              <w:rPr>
                <w:rFonts w:hint="default" w:ascii="Times New Roman" w:hAnsi="Times New Roman" w:eastAsia="宋体" w:cs="Times New Roman"/>
                <w:b w:val="0"/>
                <w:color w:val="000000" w:themeColor="text1"/>
                <w:kern w:val="0"/>
                <w:highlight w:val="none"/>
                <w:lang w:val="en-US" w:eastAsia="zh-CN"/>
                <w14:textFill>
                  <w14:solidFill>
                    <w14:schemeClr w14:val="tx1"/>
                  </w14:solidFill>
                </w14:textFill>
              </w:rPr>
              <w:t>常广阔。</w:t>
            </w:r>
          </w:p>
          <w:p w14:paraId="433E9DC7">
            <w:pPr>
              <w:pStyle w:val="114"/>
              <w:spacing w:line="360" w:lineRule="auto"/>
              <w:ind w:firstLine="480" w:firstLineChars="200"/>
              <w:jc w:val="both"/>
              <w:rPr>
                <w:rFonts w:hint="eastAsia" w:ascii="Times New Roman" w:hAnsi="Times New Roman" w:eastAsia="宋体" w:cs="Times New Roman"/>
                <w:b w:val="0"/>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highlight w:val="none"/>
                <w:lang w:val="en-US" w:eastAsia="zh-CN"/>
                <w14:textFill>
                  <w14:solidFill>
                    <w14:schemeClr w14:val="tx1"/>
                  </w14:solidFill>
                </w14:textFill>
              </w:rPr>
              <w:t>在此背景下，乐昌市恒烨木炭加工厂为满足社会需求，给社会带来广泛的经济效益和社会效益，拟投资</w:t>
            </w:r>
            <w:r>
              <w:rPr>
                <w:rFonts w:hint="eastAsia" w:ascii="Times New Roman" w:hAnsi="Times New Roman" w:cs="Times New Roman"/>
                <w:b w:val="0"/>
                <w:color w:val="000000" w:themeColor="text1"/>
                <w:kern w:val="0"/>
                <w:highlight w:val="none"/>
                <w:lang w:val="en-US" w:eastAsia="zh-CN"/>
                <w14:textFill>
                  <w14:solidFill>
                    <w14:schemeClr w14:val="tx1"/>
                  </w14:solidFill>
                </w14:textFill>
              </w:rPr>
              <w:t>518</w:t>
            </w:r>
            <w:r>
              <w:rPr>
                <w:rFonts w:hint="eastAsia" w:ascii="Times New Roman" w:hAnsi="Times New Roman" w:eastAsia="宋体" w:cs="Times New Roman"/>
                <w:b w:val="0"/>
                <w:color w:val="000000" w:themeColor="text1"/>
                <w:kern w:val="0"/>
                <w:highlight w:val="none"/>
                <w:lang w:val="en-US" w:eastAsia="zh-CN"/>
                <w14:textFill>
                  <w14:solidFill>
                    <w14:schemeClr w14:val="tx1"/>
                  </w14:solidFill>
                </w14:textFill>
              </w:rPr>
              <w:t>万元，选址乐昌市乐城街道西联村老虎头（原乐舜电力发展有限公司内）建设乐昌市恒烨木炭加工厂建设项目（以下简称“本项目”），该项目建成后，可形成年产2</w:t>
            </w:r>
            <w:r>
              <w:rPr>
                <w:rFonts w:hint="eastAsia" w:ascii="Times New Roman" w:hAnsi="Times New Roman" w:cs="Times New Roman"/>
                <w:b w:val="0"/>
                <w:color w:val="000000" w:themeColor="text1"/>
                <w:kern w:val="0"/>
                <w:highlight w:val="none"/>
                <w:lang w:val="en-US" w:eastAsia="zh-CN"/>
                <w14:textFill>
                  <w14:solidFill>
                    <w14:schemeClr w14:val="tx1"/>
                  </w14:solidFill>
                </w14:textFill>
              </w:rPr>
              <w:t>000吨环保机制炭的生产规模。</w:t>
            </w:r>
          </w:p>
          <w:p w14:paraId="495F1174">
            <w:pPr>
              <w:spacing w:line="360" w:lineRule="auto"/>
              <w:ind w:firstLine="472" w:firstLineChars="200"/>
              <w:rPr>
                <w:sz w:val="24"/>
                <w:highlight w:val="none"/>
              </w:rPr>
            </w:pPr>
            <w:r>
              <w:rPr>
                <w:rFonts w:ascii="宋体" w:hAnsi="宋体"/>
                <w:spacing w:val="-2"/>
                <w:sz w:val="24"/>
                <w:highlight w:val="none"/>
              </w:rPr>
              <w:t>根据《中华人民共和国环境保护法》、《中华人民共和国环境影响评价法》、《建设项目环境保护管理条例》、《广东省建设项目环境保护管理条例》等有关规定，建设过程中或者建成投产后可能对环境产生影响的新建、扩建、改建、迁建、技术改造建</w:t>
            </w:r>
            <w:r>
              <w:rPr>
                <w:rFonts w:ascii="宋体" w:hAnsi="宋体"/>
                <w:sz w:val="24"/>
                <w:highlight w:val="none"/>
              </w:rPr>
              <w:t>设项目，必须执行环境影响评价制度。</w:t>
            </w:r>
            <w:r>
              <w:rPr>
                <w:sz w:val="24"/>
                <w:highlight w:val="none"/>
              </w:rPr>
              <w:t>根据《建设项目环境影响评价分类管理名录》（2021年版），</w:t>
            </w:r>
            <w:r>
              <w:rPr>
                <w:rFonts w:hint="eastAsia"/>
                <w:sz w:val="24"/>
                <w:highlight w:val="none"/>
                <w:lang w:val="en-US" w:eastAsia="zh-CN"/>
              </w:rPr>
              <w:t>本</w:t>
            </w:r>
            <w:r>
              <w:rPr>
                <w:sz w:val="24"/>
                <w:highlight w:val="none"/>
              </w:rPr>
              <w:t>项目属于</w:t>
            </w:r>
            <w:r>
              <w:rPr>
                <w:rFonts w:hint="eastAsia"/>
                <w:sz w:val="24"/>
                <w:highlight w:val="none"/>
              </w:rPr>
              <w:t>“85.非金属废料和碎屑加工 42</w:t>
            </w:r>
            <w:r>
              <w:rPr>
                <w:sz w:val="24"/>
                <w:highlight w:val="none"/>
              </w:rPr>
              <w:t>2</w:t>
            </w:r>
            <w:r>
              <w:rPr>
                <w:rFonts w:hint="eastAsia"/>
                <w:sz w:val="24"/>
                <w:highlight w:val="none"/>
              </w:rPr>
              <w:t>”</w:t>
            </w:r>
            <w:r>
              <w:rPr>
                <w:sz w:val="24"/>
                <w:highlight w:val="none"/>
              </w:rPr>
              <w:t>类别，应编制环境影响报告表。</w:t>
            </w:r>
            <w:r>
              <w:rPr>
                <w:rFonts w:hint="eastAsia"/>
                <w:sz w:val="24"/>
                <w:highlight w:val="none"/>
                <w:lang w:val="en-US" w:eastAsia="zh-CN"/>
              </w:rPr>
              <w:t>广东韶科环保科技</w:t>
            </w:r>
            <w:r>
              <w:rPr>
                <w:rFonts w:hint="eastAsia"/>
                <w:sz w:val="24"/>
                <w:highlight w:val="none"/>
              </w:rPr>
              <w:t>有限公司</w:t>
            </w:r>
            <w:r>
              <w:rPr>
                <w:sz w:val="24"/>
                <w:highlight w:val="none"/>
              </w:rPr>
              <w:t>承担了本项目的环境影响评价工作。接受委托后，环评单位技术人员详细收集分析项目的相关资料，对现场进行实地踏勘，并按照国家相关法律法规，编制完成了本环境影响报告表，报当地生态环境主管部门审批。</w:t>
            </w:r>
          </w:p>
          <w:p w14:paraId="06CC42EC">
            <w:pPr>
              <w:adjustRightInd w:val="0"/>
              <w:snapToGrid w:val="0"/>
              <w:spacing w:line="360" w:lineRule="auto"/>
              <w:ind w:firstLine="482" w:firstLineChars="200"/>
              <w:jc w:val="left"/>
              <w:rPr>
                <w:b/>
                <w:bCs/>
                <w:sz w:val="24"/>
                <w:szCs w:val="21"/>
                <w:highlight w:val="none"/>
              </w:rPr>
            </w:pPr>
            <w:r>
              <w:rPr>
                <w:b/>
                <w:bCs/>
                <w:sz w:val="24"/>
                <w:szCs w:val="21"/>
                <w:highlight w:val="none"/>
              </w:rPr>
              <w:t>1.主要产品及产能</w:t>
            </w:r>
          </w:p>
          <w:p w14:paraId="1ABDCD0A">
            <w:pPr>
              <w:pStyle w:val="19"/>
              <w:adjustRightInd w:val="0"/>
              <w:snapToGrid w:val="0"/>
              <w:spacing w:line="360" w:lineRule="auto"/>
              <w:ind w:firstLine="480" w:firstLineChars="200"/>
              <w:rPr>
                <w:rFonts w:hint="eastAsia"/>
                <w:highlight w:val="none"/>
                <w:lang w:eastAsia="zh-CN"/>
              </w:rPr>
            </w:pPr>
            <w:r>
              <w:rPr>
                <w:rFonts w:hint="eastAsia" w:hAnsi="宋体" w:cs="Times New Roman"/>
                <w:sz w:val="24"/>
                <w:szCs w:val="24"/>
                <w:highlight w:val="none"/>
              </w:rPr>
              <w:t>本项目主要通过加工外购的</w:t>
            </w:r>
            <w:r>
              <w:rPr>
                <w:rFonts w:hint="eastAsia" w:hAnsi="宋体" w:cs="Times New Roman"/>
                <w:sz w:val="24"/>
                <w:szCs w:val="24"/>
                <w:highlight w:val="none"/>
                <w:lang w:val="en-US" w:eastAsia="zh-CN"/>
              </w:rPr>
              <w:t>木糠</w:t>
            </w:r>
            <w:r>
              <w:rPr>
                <w:rFonts w:hint="eastAsia" w:hAnsi="宋体" w:cs="Times New Roman"/>
                <w:sz w:val="24"/>
                <w:szCs w:val="24"/>
                <w:highlight w:val="none"/>
              </w:rPr>
              <w:t>，制成环保机制炭。原材料</w:t>
            </w:r>
            <w:r>
              <w:rPr>
                <w:rFonts w:hint="eastAsia" w:hAnsi="宋体" w:cs="Times New Roman"/>
                <w:sz w:val="24"/>
                <w:szCs w:val="24"/>
                <w:highlight w:val="none"/>
                <w:lang w:val="en-US" w:eastAsia="zh-CN"/>
              </w:rPr>
              <w:t>木糠</w:t>
            </w:r>
            <w:r>
              <w:rPr>
                <w:rFonts w:hint="eastAsia" w:hAnsi="宋体" w:cs="Times New Roman"/>
                <w:sz w:val="24"/>
                <w:szCs w:val="24"/>
                <w:highlight w:val="none"/>
              </w:rPr>
              <w:t>主要来源于回收周边</w:t>
            </w:r>
            <w:r>
              <w:rPr>
                <w:rFonts w:hint="eastAsia" w:hAnsi="宋体" w:cs="Times New Roman"/>
                <w:sz w:val="24"/>
                <w:szCs w:val="24"/>
                <w:highlight w:val="none"/>
                <w:lang w:val="en-US" w:eastAsia="zh-CN"/>
              </w:rPr>
              <w:t>木材</w:t>
            </w:r>
            <w:r>
              <w:rPr>
                <w:rFonts w:hint="eastAsia" w:hAnsi="宋体" w:cs="Times New Roman"/>
                <w:sz w:val="24"/>
                <w:szCs w:val="24"/>
                <w:highlight w:val="none"/>
              </w:rPr>
              <w:t>厂生产</w:t>
            </w:r>
            <w:r>
              <w:rPr>
                <w:rFonts w:hint="eastAsia" w:hAnsi="宋体" w:cs="Times New Roman"/>
                <w:sz w:val="24"/>
                <w:szCs w:val="24"/>
                <w:highlight w:val="none"/>
                <w:lang w:val="en-US" w:eastAsia="zh-CN"/>
              </w:rPr>
              <w:t>木</w:t>
            </w:r>
            <w:r>
              <w:rPr>
                <w:rFonts w:hint="eastAsia" w:hAnsi="宋体" w:cs="Times New Roman"/>
                <w:sz w:val="24"/>
                <w:szCs w:val="24"/>
                <w:highlight w:val="none"/>
              </w:rPr>
              <w:t>制品产生的</w:t>
            </w:r>
            <w:r>
              <w:rPr>
                <w:rFonts w:hint="eastAsia" w:hAnsi="宋体" w:cs="Times New Roman"/>
                <w:sz w:val="24"/>
                <w:szCs w:val="24"/>
                <w:highlight w:val="none"/>
                <w:lang w:val="en-US" w:eastAsia="zh-CN"/>
              </w:rPr>
              <w:t>木</w:t>
            </w:r>
            <w:r>
              <w:rPr>
                <w:rFonts w:hint="eastAsia" w:hAnsi="宋体" w:cs="Times New Roman"/>
                <w:sz w:val="24"/>
                <w:szCs w:val="24"/>
                <w:highlight w:val="none"/>
              </w:rPr>
              <w:t>粉屑，项目建成后设计产能为</w:t>
            </w:r>
            <w:r>
              <w:rPr>
                <w:rFonts w:hAnsi="宋体" w:cs="Times New Roman"/>
                <w:sz w:val="24"/>
                <w:szCs w:val="24"/>
                <w:highlight w:val="none"/>
              </w:rPr>
              <w:t>年产</w:t>
            </w:r>
            <w:r>
              <w:rPr>
                <w:rFonts w:hint="eastAsia" w:ascii="Times New Roman" w:hAnsi="宋体" w:cs="Times New Roman"/>
                <w:sz w:val="24"/>
                <w:szCs w:val="24"/>
                <w:highlight w:val="none"/>
                <w:lang w:val="en-US" w:eastAsia="zh-CN"/>
              </w:rPr>
              <w:t>2</w:t>
            </w:r>
            <w:r>
              <w:rPr>
                <w:rFonts w:ascii="Times New Roman" w:hAnsi="宋体" w:cs="Times New Roman"/>
                <w:sz w:val="24"/>
                <w:szCs w:val="24"/>
                <w:highlight w:val="none"/>
              </w:rPr>
              <w:t>00</w:t>
            </w:r>
            <w:r>
              <w:rPr>
                <w:rFonts w:hint="eastAsia" w:ascii="Times New Roman" w:hAnsi="宋体" w:cs="Times New Roman"/>
                <w:sz w:val="24"/>
                <w:szCs w:val="24"/>
                <w:highlight w:val="none"/>
                <w:lang w:val="en-US" w:eastAsia="zh-CN"/>
              </w:rPr>
              <w:t>0</w:t>
            </w:r>
            <w:r>
              <w:rPr>
                <w:rFonts w:hAnsi="宋体" w:cs="Times New Roman"/>
                <w:sz w:val="24"/>
                <w:szCs w:val="24"/>
                <w:highlight w:val="none"/>
              </w:rPr>
              <w:t>吨</w:t>
            </w:r>
            <w:r>
              <w:rPr>
                <w:rFonts w:hint="eastAsia" w:hAnsi="宋体" w:cs="Times New Roman"/>
                <w:sz w:val="24"/>
                <w:szCs w:val="24"/>
                <w:highlight w:val="none"/>
                <w:lang w:eastAsia="zh-CN"/>
              </w:rPr>
              <w:t>环保</w:t>
            </w:r>
            <w:r>
              <w:rPr>
                <w:rFonts w:hint="eastAsia" w:hAnsi="宋体" w:cs="Times New Roman"/>
                <w:sz w:val="24"/>
                <w:szCs w:val="24"/>
                <w:highlight w:val="none"/>
              </w:rPr>
              <w:t>机制炭。</w:t>
            </w:r>
          </w:p>
          <w:p w14:paraId="767361A6">
            <w:pPr>
              <w:adjustRightInd w:val="0"/>
              <w:snapToGrid w:val="0"/>
              <w:spacing w:line="360" w:lineRule="auto"/>
              <w:ind w:firstLine="482" w:firstLineChars="200"/>
              <w:jc w:val="left"/>
              <w:rPr>
                <w:b/>
                <w:bCs/>
                <w:sz w:val="24"/>
                <w:szCs w:val="21"/>
                <w:highlight w:val="none"/>
              </w:rPr>
            </w:pPr>
            <w:r>
              <w:rPr>
                <w:b/>
                <w:bCs/>
                <w:sz w:val="24"/>
                <w:szCs w:val="21"/>
                <w:highlight w:val="none"/>
              </w:rPr>
              <w:t>2.</w:t>
            </w:r>
            <w:r>
              <w:rPr>
                <w:rFonts w:hint="eastAsia"/>
                <w:highlight w:val="none"/>
              </w:rPr>
              <w:t xml:space="preserve"> </w:t>
            </w:r>
            <w:r>
              <w:rPr>
                <w:rFonts w:hint="eastAsia"/>
                <w:b/>
                <w:bCs/>
                <w:sz w:val="24"/>
                <w:szCs w:val="21"/>
                <w:highlight w:val="none"/>
              </w:rPr>
              <w:t>项目组成和平面布置</w:t>
            </w:r>
          </w:p>
          <w:p w14:paraId="533AF34D">
            <w:pPr>
              <w:spacing w:line="360" w:lineRule="auto"/>
              <w:ind w:firstLine="480" w:firstLineChars="200"/>
              <w:rPr>
                <w:rFonts w:eastAsiaTheme="minorEastAsia"/>
                <w:kern w:val="0"/>
                <w:sz w:val="24"/>
                <w:highlight w:val="none"/>
              </w:rPr>
            </w:pPr>
            <w:r>
              <w:rPr>
                <w:rFonts w:eastAsiaTheme="minorEastAsia"/>
                <w:sz w:val="24"/>
                <w:highlight w:val="none"/>
              </w:rPr>
              <w:t>项目</w:t>
            </w:r>
            <w:r>
              <w:rPr>
                <w:rFonts w:hint="eastAsia" w:eastAsiaTheme="minorEastAsia"/>
                <w:sz w:val="24"/>
                <w:highlight w:val="none"/>
                <w:lang w:val="en-US" w:eastAsia="zh-CN"/>
              </w:rPr>
              <w:t>占地面积2552.53</w:t>
            </w:r>
            <w:r>
              <w:rPr>
                <w:rFonts w:eastAsiaTheme="minorEastAsia"/>
                <w:sz w:val="24"/>
                <w:highlight w:val="none"/>
              </w:rPr>
              <w:t>m</w:t>
            </w:r>
            <w:r>
              <w:rPr>
                <w:rFonts w:eastAsiaTheme="minorEastAsia"/>
                <w:sz w:val="24"/>
                <w:highlight w:val="none"/>
                <w:vertAlign w:val="superscript"/>
              </w:rPr>
              <w:t>2</w:t>
            </w:r>
            <w:r>
              <w:rPr>
                <w:rFonts w:hint="eastAsia" w:eastAsiaTheme="minorEastAsia"/>
                <w:sz w:val="24"/>
                <w:highlight w:val="none"/>
                <w:lang w:eastAsia="zh-CN"/>
              </w:rPr>
              <w:t>，</w:t>
            </w:r>
            <w:r>
              <w:rPr>
                <w:rFonts w:eastAsiaTheme="minorEastAsia"/>
                <w:sz w:val="24"/>
                <w:highlight w:val="none"/>
              </w:rPr>
              <w:t>主要建设内容</w:t>
            </w:r>
            <w:r>
              <w:rPr>
                <w:rFonts w:hint="eastAsia" w:eastAsiaTheme="minorEastAsia"/>
                <w:sz w:val="24"/>
                <w:highlight w:val="none"/>
                <w:lang w:val="en-US" w:eastAsia="zh-CN"/>
              </w:rPr>
              <w:t>制棒车间</w:t>
            </w:r>
            <w:r>
              <w:rPr>
                <w:rFonts w:eastAsiaTheme="minorEastAsia"/>
                <w:sz w:val="24"/>
                <w:highlight w:val="none"/>
              </w:rPr>
              <w:t>、</w:t>
            </w:r>
            <w:r>
              <w:rPr>
                <w:rFonts w:hint="eastAsia" w:eastAsiaTheme="minorEastAsia"/>
                <w:sz w:val="24"/>
                <w:highlight w:val="none"/>
                <w:lang w:val="en-US" w:eastAsia="zh-CN"/>
              </w:rPr>
              <w:t>炭化车间</w:t>
            </w:r>
            <w:r>
              <w:rPr>
                <w:rFonts w:eastAsiaTheme="minorEastAsia"/>
                <w:sz w:val="24"/>
                <w:highlight w:val="none"/>
              </w:rPr>
              <w:t>、原料</w:t>
            </w:r>
            <w:r>
              <w:rPr>
                <w:rFonts w:hint="eastAsia" w:eastAsiaTheme="minorEastAsia"/>
                <w:sz w:val="24"/>
                <w:highlight w:val="none"/>
                <w:lang w:val="en-US" w:eastAsia="zh-CN"/>
              </w:rPr>
              <w:t>仓库</w:t>
            </w:r>
            <w:r>
              <w:rPr>
                <w:rFonts w:eastAsiaTheme="minorEastAsia"/>
                <w:sz w:val="24"/>
                <w:highlight w:val="none"/>
              </w:rPr>
              <w:t>、成品</w:t>
            </w:r>
            <w:r>
              <w:rPr>
                <w:rFonts w:hint="eastAsia" w:eastAsiaTheme="minorEastAsia"/>
                <w:sz w:val="24"/>
                <w:highlight w:val="none"/>
                <w:lang w:val="en-US" w:eastAsia="zh-CN"/>
              </w:rPr>
              <w:t>仓库</w:t>
            </w:r>
            <w:r>
              <w:rPr>
                <w:rFonts w:eastAsiaTheme="minorEastAsia"/>
                <w:sz w:val="24"/>
                <w:highlight w:val="none"/>
              </w:rPr>
              <w:t>等。主要构筑物</w:t>
            </w:r>
            <w:r>
              <w:rPr>
                <w:rFonts w:eastAsiaTheme="minorEastAsia"/>
                <w:kern w:val="0"/>
                <w:sz w:val="24"/>
                <w:highlight w:val="none"/>
              </w:rPr>
              <w:t>见表2-</w:t>
            </w:r>
            <w:r>
              <w:rPr>
                <w:rFonts w:hint="eastAsia" w:eastAsiaTheme="minorEastAsia"/>
                <w:kern w:val="0"/>
                <w:sz w:val="24"/>
                <w:highlight w:val="none"/>
                <w:lang w:val="en-US" w:eastAsia="zh-CN"/>
              </w:rPr>
              <w:t>1</w:t>
            </w:r>
            <w:r>
              <w:rPr>
                <w:rFonts w:eastAsiaTheme="minorEastAsia"/>
                <w:kern w:val="0"/>
                <w:sz w:val="24"/>
                <w:highlight w:val="none"/>
              </w:rPr>
              <w:t>。</w:t>
            </w:r>
          </w:p>
          <w:p w14:paraId="5D5A0076">
            <w:pPr>
              <w:spacing w:line="360" w:lineRule="auto"/>
              <w:ind w:firstLine="480" w:firstLineChars="200"/>
              <w:rPr>
                <w:rFonts w:hint="default" w:eastAsiaTheme="minorEastAsia"/>
                <w:kern w:val="0"/>
                <w:sz w:val="24"/>
                <w:highlight w:val="none"/>
                <w:lang w:val="en-US" w:eastAsia="zh-CN"/>
              </w:rPr>
            </w:pPr>
            <w:r>
              <w:rPr>
                <w:sz w:val="24"/>
                <w:highlight w:val="none"/>
              </w:rPr>
              <w:t>建设单位本着节约用地、因地制宜的原则，</w:t>
            </w:r>
            <w:r>
              <w:rPr>
                <w:bCs/>
                <w:sz w:val="24"/>
                <w:highlight w:val="none"/>
              </w:rPr>
              <w:t>总体布局简洁、经济合理</w:t>
            </w:r>
            <w:r>
              <w:rPr>
                <w:sz w:val="24"/>
                <w:highlight w:val="none"/>
              </w:rPr>
              <w:t>，空间布置处理得协调、紧凑</w:t>
            </w:r>
            <w:r>
              <w:rPr>
                <w:rFonts w:hint="eastAsia"/>
                <w:sz w:val="24"/>
                <w:highlight w:val="none"/>
                <w:lang w:eastAsia="zh-CN"/>
              </w:rPr>
              <w:t>，</w:t>
            </w:r>
            <w:r>
              <w:rPr>
                <w:bCs/>
                <w:sz w:val="24"/>
                <w:highlight w:val="none"/>
              </w:rPr>
              <w:t>总平面布置根据实际场地情况，合理的利用土地</w:t>
            </w:r>
            <w:r>
              <w:rPr>
                <w:sz w:val="24"/>
                <w:highlight w:val="none"/>
              </w:rPr>
              <w:t>。综上，本项目厂区平面布置总体合理</w:t>
            </w:r>
            <w:r>
              <w:rPr>
                <w:rFonts w:eastAsiaTheme="minorEastAsia"/>
                <w:kern w:val="0"/>
                <w:sz w:val="24"/>
                <w:highlight w:val="none"/>
              </w:rPr>
              <w:t>，厂区平面布置图见</w:t>
            </w:r>
            <w:r>
              <w:rPr>
                <w:rFonts w:hint="eastAsia" w:eastAsiaTheme="minorEastAsia"/>
                <w:kern w:val="0"/>
                <w:sz w:val="24"/>
                <w:highlight w:val="none"/>
              </w:rPr>
              <w:t>附</w:t>
            </w:r>
            <w:r>
              <w:rPr>
                <w:rFonts w:eastAsiaTheme="minorEastAsia"/>
                <w:kern w:val="0"/>
                <w:sz w:val="24"/>
                <w:highlight w:val="none"/>
              </w:rPr>
              <w:t>图</w:t>
            </w:r>
            <w:r>
              <w:rPr>
                <w:rFonts w:hint="eastAsia" w:eastAsiaTheme="minorEastAsia"/>
                <w:kern w:val="0"/>
                <w:sz w:val="24"/>
                <w:highlight w:val="none"/>
                <w:lang w:val="en-US" w:eastAsia="zh-CN"/>
              </w:rPr>
              <w:t>4。</w:t>
            </w:r>
          </w:p>
          <w:p w14:paraId="50DF0F1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表2-</w:t>
            </w:r>
            <w:r>
              <w:rPr>
                <w:rFonts w:hint="eastAsia"/>
                <w:b/>
                <w:color w:val="000000" w:themeColor="text1"/>
                <w:sz w:val="24"/>
                <w:highlight w:val="none"/>
                <w:lang w:val="en-US" w:eastAsia="zh-CN"/>
                <w14:textFill>
                  <w14:solidFill>
                    <w14:schemeClr w14:val="tx1"/>
                  </w14:solidFill>
                </w14:textFill>
              </w:rPr>
              <w:t>1</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项目建设内容及规模一览表</w:t>
            </w:r>
          </w:p>
          <w:tbl>
            <w:tblPr>
              <w:tblStyle w:val="3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59"/>
              <w:gridCol w:w="672"/>
              <w:gridCol w:w="1461"/>
              <w:gridCol w:w="4630"/>
              <w:gridCol w:w="681"/>
            </w:tblGrid>
            <w:tr w14:paraId="2182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Align w:val="center"/>
                </w:tcPr>
                <w:p w14:paraId="7B2BEE05">
                  <w:pPr>
                    <w:pStyle w:val="19"/>
                    <w:adjustRightInd w:val="0"/>
                    <w:snapToGrid w:val="0"/>
                    <w:jc w:val="center"/>
                    <w:rPr>
                      <w:rFonts w:ascii="Times New Roman" w:hAnsi="Times New Roman" w:cs="Times New Roman"/>
                      <w:b/>
                      <w:highlight w:val="none"/>
                    </w:rPr>
                  </w:pPr>
                  <w:r>
                    <w:rPr>
                      <w:rFonts w:hAnsi="宋体" w:cs="Times New Roman"/>
                      <w:b/>
                      <w:highlight w:val="none"/>
                    </w:rPr>
                    <w:t>工程类别</w:t>
                  </w:r>
                </w:p>
              </w:tc>
              <w:tc>
                <w:tcPr>
                  <w:tcW w:w="1331" w:type="dxa"/>
                  <w:gridSpan w:val="2"/>
                  <w:vAlign w:val="center"/>
                </w:tcPr>
                <w:p w14:paraId="57E0C2E4">
                  <w:pPr>
                    <w:pStyle w:val="19"/>
                    <w:adjustRightInd w:val="0"/>
                    <w:snapToGrid w:val="0"/>
                    <w:jc w:val="center"/>
                    <w:rPr>
                      <w:rFonts w:ascii="Times New Roman" w:hAnsi="Times New Roman" w:cs="Times New Roman"/>
                      <w:b/>
                      <w:highlight w:val="none"/>
                    </w:rPr>
                  </w:pPr>
                  <w:r>
                    <w:rPr>
                      <w:rFonts w:hAnsi="宋体" w:cs="Times New Roman"/>
                      <w:b/>
                      <w:highlight w:val="none"/>
                    </w:rPr>
                    <w:t>项目组成</w:t>
                  </w:r>
                </w:p>
              </w:tc>
              <w:tc>
                <w:tcPr>
                  <w:tcW w:w="1461" w:type="dxa"/>
                </w:tcPr>
                <w:p w14:paraId="4DFE6F6A">
                  <w:pPr>
                    <w:pStyle w:val="19"/>
                    <w:adjustRightInd w:val="0"/>
                    <w:snapToGrid w:val="0"/>
                    <w:jc w:val="center"/>
                    <w:rPr>
                      <w:rFonts w:ascii="Times New Roman" w:hAnsi="Times New Roman" w:cs="Times New Roman"/>
                      <w:b/>
                      <w:highlight w:val="none"/>
                    </w:rPr>
                  </w:pPr>
                  <w:r>
                    <w:rPr>
                      <w:rFonts w:hAnsi="宋体" w:cs="Times New Roman"/>
                      <w:b/>
                      <w:highlight w:val="none"/>
                    </w:rPr>
                    <w:t>占地面积（</w:t>
                  </w:r>
                  <w:r>
                    <w:rPr>
                      <w:rFonts w:hint="eastAsia" w:ascii="Times New Roman" w:hAnsi="Times New Roman" w:cs="Times New Roman"/>
                      <w:b/>
                      <w:highlight w:val="none"/>
                    </w:rPr>
                    <w:t>m</w:t>
                  </w:r>
                  <w:r>
                    <w:rPr>
                      <w:rFonts w:hint="eastAsia" w:ascii="Times New Roman" w:hAnsi="Times New Roman" w:cs="Times New Roman"/>
                      <w:b/>
                      <w:highlight w:val="none"/>
                      <w:vertAlign w:val="superscript"/>
                    </w:rPr>
                    <w:t>2</w:t>
                  </w:r>
                  <w:r>
                    <w:rPr>
                      <w:rFonts w:hAnsi="宋体" w:cs="Times New Roman"/>
                      <w:b/>
                      <w:highlight w:val="none"/>
                    </w:rPr>
                    <w:t>）</w:t>
                  </w:r>
                </w:p>
              </w:tc>
              <w:tc>
                <w:tcPr>
                  <w:tcW w:w="4630" w:type="dxa"/>
                  <w:vAlign w:val="center"/>
                </w:tcPr>
                <w:p w14:paraId="14D5B2A1">
                  <w:pPr>
                    <w:pStyle w:val="19"/>
                    <w:adjustRightInd w:val="0"/>
                    <w:snapToGrid w:val="0"/>
                    <w:jc w:val="center"/>
                    <w:rPr>
                      <w:rFonts w:ascii="Times New Roman" w:hAnsi="Times New Roman" w:cs="Times New Roman"/>
                      <w:b/>
                      <w:highlight w:val="none"/>
                    </w:rPr>
                  </w:pPr>
                  <w:r>
                    <w:rPr>
                      <w:rFonts w:hAnsi="宋体" w:cs="Times New Roman"/>
                      <w:b/>
                      <w:highlight w:val="none"/>
                    </w:rPr>
                    <w:t>内容</w:t>
                  </w:r>
                </w:p>
              </w:tc>
              <w:tc>
                <w:tcPr>
                  <w:tcW w:w="681" w:type="dxa"/>
                  <w:vAlign w:val="center"/>
                </w:tcPr>
                <w:p w14:paraId="5B7D8C7A">
                  <w:pPr>
                    <w:pStyle w:val="19"/>
                    <w:adjustRightInd w:val="0"/>
                    <w:snapToGrid w:val="0"/>
                    <w:jc w:val="center"/>
                    <w:rPr>
                      <w:rFonts w:hint="eastAsia" w:hAnsi="宋体" w:eastAsia="宋体" w:cs="Times New Roman"/>
                      <w:b/>
                      <w:highlight w:val="none"/>
                      <w:lang w:val="en-US" w:eastAsia="zh-CN"/>
                    </w:rPr>
                  </w:pPr>
                  <w:r>
                    <w:rPr>
                      <w:rFonts w:hint="eastAsia" w:hAnsi="宋体" w:cs="Times New Roman"/>
                      <w:b/>
                      <w:highlight w:val="none"/>
                      <w:lang w:val="en-US" w:eastAsia="zh-CN"/>
                    </w:rPr>
                    <w:t>备注</w:t>
                  </w:r>
                </w:p>
              </w:tc>
            </w:tr>
            <w:tr w14:paraId="7AB0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restart"/>
                  <w:vAlign w:val="center"/>
                </w:tcPr>
                <w:p w14:paraId="0941D815">
                  <w:pPr>
                    <w:pStyle w:val="19"/>
                    <w:adjustRightInd w:val="0"/>
                    <w:snapToGrid w:val="0"/>
                    <w:jc w:val="center"/>
                    <w:rPr>
                      <w:rFonts w:ascii="Times New Roman" w:hAnsi="Times New Roman" w:cs="Times New Roman"/>
                      <w:b/>
                      <w:highlight w:val="none"/>
                    </w:rPr>
                  </w:pPr>
                  <w:r>
                    <w:rPr>
                      <w:rFonts w:hAnsi="宋体" w:cs="Times New Roman"/>
                      <w:b/>
                      <w:highlight w:val="none"/>
                    </w:rPr>
                    <w:t>主体工程</w:t>
                  </w:r>
                </w:p>
              </w:tc>
              <w:tc>
                <w:tcPr>
                  <w:tcW w:w="1331" w:type="dxa"/>
                  <w:gridSpan w:val="2"/>
                  <w:vAlign w:val="center"/>
                </w:tcPr>
                <w:p w14:paraId="373527BD">
                  <w:pPr>
                    <w:pStyle w:val="19"/>
                    <w:adjustRightInd w:val="0"/>
                    <w:snapToGrid w:val="0"/>
                    <w:jc w:val="center"/>
                    <w:rPr>
                      <w:rFonts w:ascii="Times New Roman" w:hAnsi="Times New Roman" w:cs="Times New Roman"/>
                      <w:bCs/>
                      <w:highlight w:val="none"/>
                    </w:rPr>
                  </w:pPr>
                  <w:r>
                    <w:rPr>
                      <w:rFonts w:hAnsi="宋体" w:cs="Times New Roman"/>
                      <w:bCs/>
                      <w:highlight w:val="none"/>
                    </w:rPr>
                    <w:t>原料</w:t>
                  </w:r>
                  <w:r>
                    <w:rPr>
                      <w:rFonts w:hint="eastAsia" w:hAnsi="宋体" w:cs="Times New Roman"/>
                      <w:bCs/>
                      <w:highlight w:val="none"/>
                      <w:lang w:val="en-US" w:eastAsia="zh-CN"/>
                    </w:rPr>
                    <w:t>仓库</w:t>
                  </w:r>
                </w:p>
              </w:tc>
              <w:tc>
                <w:tcPr>
                  <w:tcW w:w="1461" w:type="dxa"/>
                </w:tcPr>
                <w:p w14:paraId="4372C95E">
                  <w:pPr>
                    <w:adjustRightInd w:val="0"/>
                    <w:snapToGrid w:val="0"/>
                    <w:spacing w:before="24" w:beforeLines="10"/>
                    <w:jc w:val="center"/>
                    <w:rPr>
                      <w:rFonts w:hint="default" w:eastAsia="宋体"/>
                      <w:bCs/>
                      <w:szCs w:val="21"/>
                      <w:highlight w:val="none"/>
                      <w:lang w:val="en-US" w:eastAsia="zh-CN"/>
                    </w:rPr>
                  </w:pPr>
                  <w:r>
                    <w:rPr>
                      <w:rFonts w:hint="eastAsia"/>
                      <w:bCs/>
                      <w:szCs w:val="21"/>
                      <w:highlight w:val="none"/>
                      <w:lang w:val="en-US" w:eastAsia="zh-CN"/>
                    </w:rPr>
                    <w:t>790</w:t>
                  </w:r>
                </w:p>
              </w:tc>
              <w:tc>
                <w:tcPr>
                  <w:tcW w:w="4630" w:type="dxa"/>
                  <w:vAlign w:val="center"/>
                </w:tcPr>
                <w:p w14:paraId="6B67E58C">
                  <w:pPr>
                    <w:adjustRightInd w:val="0"/>
                    <w:snapToGrid w:val="0"/>
                    <w:jc w:val="center"/>
                    <w:rPr>
                      <w:bCs/>
                      <w:szCs w:val="21"/>
                      <w:highlight w:val="none"/>
                    </w:rPr>
                  </w:pPr>
                  <w:r>
                    <w:rPr>
                      <w:rFonts w:ascii="宋体" w:hAnsi="宋体"/>
                      <w:bCs/>
                      <w:szCs w:val="21"/>
                      <w:highlight w:val="none"/>
                    </w:rPr>
                    <w:t>用于堆放制炭原料</w:t>
                  </w:r>
                </w:p>
              </w:tc>
              <w:tc>
                <w:tcPr>
                  <w:tcW w:w="681" w:type="dxa"/>
                  <w:vAlign w:val="center"/>
                </w:tcPr>
                <w:p w14:paraId="46B533BC">
                  <w:pPr>
                    <w:adjustRightInd w:val="0"/>
                    <w:snapToGrid w:val="0"/>
                    <w:jc w:val="center"/>
                    <w:rPr>
                      <w:rFonts w:hint="eastAsia" w:ascii="宋体" w:hAnsi="宋体" w:eastAsia="宋体"/>
                      <w:bCs/>
                      <w:szCs w:val="21"/>
                      <w:highlight w:val="none"/>
                      <w:lang w:val="en-US" w:eastAsia="zh-CN"/>
                    </w:rPr>
                  </w:pPr>
                  <w:r>
                    <w:rPr>
                      <w:rFonts w:hint="eastAsia" w:ascii="宋体" w:hAnsi="宋体"/>
                      <w:bCs/>
                      <w:szCs w:val="21"/>
                      <w:highlight w:val="none"/>
                      <w:lang w:val="en-US" w:eastAsia="zh-CN"/>
                    </w:rPr>
                    <w:t>新建</w:t>
                  </w:r>
                </w:p>
              </w:tc>
            </w:tr>
            <w:tr w14:paraId="652D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continue"/>
                  <w:vAlign w:val="center"/>
                </w:tcPr>
                <w:p w14:paraId="15642DD9">
                  <w:pPr>
                    <w:widowControl/>
                    <w:jc w:val="left"/>
                    <w:rPr>
                      <w:b/>
                      <w:szCs w:val="21"/>
                      <w:highlight w:val="none"/>
                    </w:rPr>
                  </w:pPr>
                </w:p>
              </w:tc>
              <w:tc>
                <w:tcPr>
                  <w:tcW w:w="1331" w:type="dxa"/>
                  <w:gridSpan w:val="2"/>
                  <w:vAlign w:val="center"/>
                </w:tcPr>
                <w:p w14:paraId="4EA51B3A">
                  <w:pPr>
                    <w:pStyle w:val="19"/>
                    <w:adjustRightInd w:val="0"/>
                    <w:snapToGrid w:val="0"/>
                    <w:jc w:val="center"/>
                    <w:rPr>
                      <w:rFonts w:hint="default" w:ascii="Times New Roman" w:hAnsi="Times New Roman" w:eastAsia="宋体" w:cs="Times New Roman"/>
                      <w:bCs/>
                      <w:highlight w:val="none"/>
                      <w:lang w:val="en-US" w:eastAsia="zh-CN"/>
                    </w:rPr>
                  </w:pPr>
                  <w:r>
                    <w:rPr>
                      <w:rFonts w:hint="eastAsia" w:ascii="Times New Roman" w:hAnsi="Times New Roman" w:cs="Times New Roman"/>
                      <w:bCs/>
                      <w:highlight w:val="none"/>
                      <w:lang w:val="en-US" w:eastAsia="zh-CN"/>
                    </w:rPr>
                    <w:t>制棒车间</w:t>
                  </w:r>
                </w:p>
              </w:tc>
              <w:tc>
                <w:tcPr>
                  <w:tcW w:w="1461" w:type="dxa"/>
                </w:tcPr>
                <w:p w14:paraId="7C947454">
                  <w:pPr>
                    <w:adjustRightInd w:val="0"/>
                    <w:snapToGrid w:val="0"/>
                    <w:spacing w:before="24" w:beforeLines="10"/>
                    <w:jc w:val="center"/>
                    <w:rPr>
                      <w:rFonts w:hint="default" w:eastAsia="宋体"/>
                      <w:bCs/>
                      <w:szCs w:val="21"/>
                      <w:highlight w:val="none"/>
                      <w:lang w:val="en-US" w:eastAsia="zh-CN"/>
                    </w:rPr>
                  </w:pPr>
                  <w:r>
                    <w:rPr>
                      <w:rFonts w:hint="eastAsia"/>
                      <w:bCs/>
                      <w:szCs w:val="21"/>
                      <w:highlight w:val="none"/>
                      <w:lang w:val="en-US" w:eastAsia="zh-CN"/>
                    </w:rPr>
                    <w:t>580</w:t>
                  </w:r>
                </w:p>
              </w:tc>
              <w:tc>
                <w:tcPr>
                  <w:tcW w:w="4630" w:type="dxa"/>
                  <w:vAlign w:val="center"/>
                </w:tcPr>
                <w:p w14:paraId="6F6DEAD8">
                  <w:pPr>
                    <w:adjustRightInd w:val="0"/>
                    <w:snapToGrid w:val="0"/>
                    <w:jc w:val="center"/>
                    <w:rPr>
                      <w:bCs/>
                      <w:szCs w:val="21"/>
                      <w:highlight w:val="none"/>
                    </w:rPr>
                  </w:pPr>
                  <w:r>
                    <w:rPr>
                      <w:rFonts w:ascii="宋体" w:hAnsi="宋体"/>
                      <w:bCs/>
                      <w:szCs w:val="21"/>
                      <w:highlight w:val="none"/>
                    </w:rPr>
                    <w:t>用于烘干、制棒工序</w:t>
                  </w:r>
                </w:p>
              </w:tc>
              <w:tc>
                <w:tcPr>
                  <w:tcW w:w="681" w:type="dxa"/>
                  <w:vAlign w:val="center"/>
                </w:tcPr>
                <w:p w14:paraId="2B1C2BE8">
                  <w:pPr>
                    <w:adjustRightInd w:val="0"/>
                    <w:snapToGrid w:val="0"/>
                    <w:jc w:val="center"/>
                    <w:rPr>
                      <w:rFonts w:ascii="宋体" w:hAnsi="宋体"/>
                      <w:bCs/>
                      <w:szCs w:val="21"/>
                      <w:highlight w:val="none"/>
                    </w:rPr>
                  </w:pPr>
                  <w:r>
                    <w:rPr>
                      <w:rFonts w:hint="eastAsia" w:ascii="宋体" w:hAnsi="宋体"/>
                      <w:bCs/>
                      <w:szCs w:val="21"/>
                      <w:highlight w:val="none"/>
                      <w:lang w:val="en-US" w:eastAsia="zh-CN"/>
                    </w:rPr>
                    <w:t>新建</w:t>
                  </w:r>
                </w:p>
              </w:tc>
            </w:tr>
            <w:tr w14:paraId="39F1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continue"/>
                  <w:vAlign w:val="center"/>
                </w:tcPr>
                <w:p w14:paraId="7A78BCAD">
                  <w:pPr>
                    <w:widowControl/>
                    <w:jc w:val="left"/>
                    <w:rPr>
                      <w:b/>
                      <w:szCs w:val="21"/>
                      <w:highlight w:val="none"/>
                    </w:rPr>
                  </w:pPr>
                </w:p>
              </w:tc>
              <w:tc>
                <w:tcPr>
                  <w:tcW w:w="1331" w:type="dxa"/>
                  <w:gridSpan w:val="2"/>
                  <w:vAlign w:val="center"/>
                </w:tcPr>
                <w:p w14:paraId="1BD2A33A">
                  <w:pPr>
                    <w:pStyle w:val="19"/>
                    <w:adjustRightInd w:val="0"/>
                    <w:snapToGrid w:val="0"/>
                    <w:jc w:val="center"/>
                    <w:rPr>
                      <w:rFonts w:hint="eastAsia" w:ascii="Times New Roman" w:hAnsi="Times New Roman" w:eastAsia="宋体" w:cs="Times New Roman"/>
                      <w:bCs/>
                      <w:highlight w:val="none"/>
                      <w:lang w:eastAsia="zh-CN"/>
                    </w:rPr>
                  </w:pPr>
                  <w:r>
                    <w:rPr>
                      <w:rFonts w:hint="eastAsia" w:hAnsi="宋体"/>
                      <w:bCs/>
                      <w:highlight w:val="none"/>
                      <w:lang w:val="en-US" w:eastAsia="zh-CN"/>
                    </w:rPr>
                    <w:t>碳化车间</w:t>
                  </w:r>
                </w:p>
              </w:tc>
              <w:tc>
                <w:tcPr>
                  <w:tcW w:w="1461" w:type="dxa"/>
                </w:tcPr>
                <w:p w14:paraId="4F8DAD12">
                  <w:pPr>
                    <w:adjustRightInd w:val="0"/>
                    <w:snapToGrid w:val="0"/>
                    <w:spacing w:before="24" w:beforeLines="10"/>
                    <w:jc w:val="center"/>
                    <w:rPr>
                      <w:rFonts w:hint="default" w:eastAsia="宋体"/>
                      <w:bCs/>
                      <w:szCs w:val="21"/>
                      <w:highlight w:val="none"/>
                      <w:lang w:val="en-US" w:eastAsia="zh-CN"/>
                    </w:rPr>
                  </w:pPr>
                  <w:r>
                    <w:rPr>
                      <w:rFonts w:hint="eastAsia"/>
                      <w:bCs/>
                      <w:szCs w:val="21"/>
                      <w:highlight w:val="none"/>
                      <w:lang w:val="en-US" w:eastAsia="zh-CN"/>
                    </w:rPr>
                    <w:t>820</w:t>
                  </w:r>
                </w:p>
              </w:tc>
              <w:tc>
                <w:tcPr>
                  <w:tcW w:w="4630" w:type="dxa"/>
                  <w:vAlign w:val="center"/>
                </w:tcPr>
                <w:p w14:paraId="6BDF0A97">
                  <w:pPr>
                    <w:adjustRightInd w:val="0"/>
                    <w:snapToGrid w:val="0"/>
                    <w:jc w:val="center"/>
                    <w:rPr>
                      <w:bCs/>
                      <w:szCs w:val="21"/>
                      <w:highlight w:val="none"/>
                    </w:rPr>
                  </w:pPr>
                  <w:r>
                    <w:rPr>
                      <w:rFonts w:ascii="宋体" w:hAnsi="宋体"/>
                      <w:bCs/>
                      <w:szCs w:val="21"/>
                      <w:highlight w:val="none"/>
                    </w:rPr>
                    <w:t>用于炭化工序</w:t>
                  </w:r>
                </w:p>
              </w:tc>
              <w:tc>
                <w:tcPr>
                  <w:tcW w:w="681" w:type="dxa"/>
                  <w:vAlign w:val="center"/>
                </w:tcPr>
                <w:p w14:paraId="6F235A9C">
                  <w:pPr>
                    <w:adjustRightInd w:val="0"/>
                    <w:snapToGrid w:val="0"/>
                    <w:jc w:val="center"/>
                    <w:rPr>
                      <w:rFonts w:ascii="宋体" w:hAnsi="宋体"/>
                      <w:bCs/>
                      <w:szCs w:val="21"/>
                      <w:highlight w:val="none"/>
                    </w:rPr>
                  </w:pPr>
                  <w:r>
                    <w:rPr>
                      <w:rFonts w:hint="eastAsia" w:ascii="宋体" w:hAnsi="宋体"/>
                      <w:bCs/>
                      <w:szCs w:val="21"/>
                      <w:highlight w:val="none"/>
                      <w:lang w:val="en-US" w:eastAsia="zh-CN"/>
                    </w:rPr>
                    <w:t>新建</w:t>
                  </w:r>
                </w:p>
              </w:tc>
            </w:tr>
            <w:tr w14:paraId="4DA7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707" w:type="dxa"/>
                  <w:vMerge w:val="continue"/>
                  <w:vAlign w:val="center"/>
                </w:tcPr>
                <w:p w14:paraId="49B2CF6C">
                  <w:pPr>
                    <w:widowControl/>
                    <w:jc w:val="left"/>
                    <w:rPr>
                      <w:b/>
                      <w:szCs w:val="21"/>
                      <w:highlight w:val="none"/>
                    </w:rPr>
                  </w:pPr>
                </w:p>
              </w:tc>
              <w:tc>
                <w:tcPr>
                  <w:tcW w:w="1331" w:type="dxa"/>
                  <w:gridSpan w:val="2"/>
                  <w:shd w:val="clear" w:color="auto" w:fill="auto"/>
                  <w:vAlign w:val="center"/>
                </w:tcPr>
                <w:p w14:paraId="6F359A19">
                  <w:pPr>
                    <w:adjustRightInd w:val="0"/>
                    <w:snapToGrid w:val="0"/>
                    <w:spacing w:before="24" w:beforeLines="10"/>
                    <w:jc w:val="center"/>
                    <w:rPr>
                      <w:rFonts w:hint="default"/>
                      <w:bCs/>
                      <w:szCs w:val="21"/>
                      <w:highlight w:val="none"/>
                      <w:lang w:val="en-US" w:eastAsia="zh-CN"/>
                    </w:rPr>
                  </w:pPr>
                  <w:r>
                    <w:rPr>
                      <w:rFonts w:hint="eastAsia"/>
                      <w:bCs/>
                      <w:szCs w:val="21"/>
                      <w:highlight w:val="none"/>
                      <w:lang w:val="en-US" w:eastAsia="zh-CN"/>
                    </w:rPr>
                    <w:t>成品仓库</w:t>
                  </w:r>
                </w:p>
              </w:tc>
              <w:tc>
                <w:tcPr>
                  <w:tcW w:w="1461" w:type="dxa"/>
                  <w:shd w:val="clear" w:color="auto" w:fill="auto"/>
                  <w:vAlign w:val="center"/>
                </w:tcPr>
                <w:p w14:paraId="306D2E75">
                  <w:pPr>
                    <w:adjustRightInd w:val="0"/>
                    <w:snapToGrid w:val="0"/>
                    <w:spacing w:before="24" w:beforeLines="10"/>
                    <w:jc w:val="center"/>
                    <w:rPr>
                      <w:rFonts w:hint="default"/>
                      <w:bCs/>
                      <w:szCs w:val="21"/>
                      <w:highlight w:val="none"/>
                      <w:lang w:val="en-US" w:eastAsia="zh-CN"/>
                    </w:rPr>
                  </w:pPr>
                  <w:r>
                    <w:rPr>
                      <w:rFonts w:hint="eastAsia"/>
                      <w:bCs/>
                      <w:szCs w:val="21"/>
                      <w:highlight w:val="none"/>
                      <w:lang w:val="en-US" w:eastAsia="zh-CN"/>
                    </w:rPr>
                    <w:t>360</w:t>
                  </w:r>
                </w:p>
              </w:tc>
              <w:tc>
                <w:tcPr>
                  <w:tcW w:w="4630" w:type="dxa"/>
                  <w:shd w:val="clear" w:color="auto" w:fill="auto"/>
                  <w:vAlign w:val="center"/>
                </w:tcPr>
                <w:p w14:paraId="29443A62">
                  <w:pPr>
                    <w:adjustRightInd w:val="0"/>
                    <w:snapToGrid w:val="0"/>
                    <w:jc w:val="center"/>
                    <w:rPr>
                      <w:rFonts w:hint="default" w:ascii="宋体" w:hAnsi="宋体" w:eastAsia="宋体" w:cs="Times New Roman"/>
                      <w:bCs/>
                      <w:kern w:val="2"/>
                      <w:sz w:val="21"/>
                      <w:szCs w:val="21"/>
                      <w:highlight w:val="none"/>
                      <w:lang w:val="en-US" w:eastAsia="zh-CN" w:bidi="ar-SA"/>
                    </w:rPr>
                  </w:pPr>
                  <w:r>
                    <w:rPr>
                      <w:rFonts w:hint="eastAsia" w:ascii="宋体" w:hAnsi="宋体"/>
                      <w:bCs/>
                      <w:szCs w:val="21"/>
                      <w:highlight w:val="none"/>
                      <w:lang w:val="en-US" w:eastAsia="zh-CN"/>
                    </w:rPr>
                    <w:t>存放装箱成品</w:t>
                  </w:r>
                </w:p>
              </w:tc>
              <w:tc>
                <w:tcPr>
                  <w:tcW w:w="681" w:type="dxa"/>
                  <w:vAlign w:val="center"/>
                </w:tcPr>
                <w:p w14:paraId="6A9FC676">
                  <w:pPr>
                    <w:adjustRightInd w:val="0"/>
                    <w:snapToGrid w:val="0"/>
                    <w:jc w:val="center"/>
                    <w:rPr>
                      <w:rFonts w:ascii="宋体" w:hAnsi="宋体"/>
                      <w:bCs/>
                      <w:szCs w:val="21"/>
                      <w:highlight w:val="none"/>
                    </w:rPr>
                  </w:pPr>
                  <w:r>
                    <w:rPr>
                      <w:rFonts w:hint="eastAsia" w:ascii="宋体" w:hAnsi="宋体"/>
                      <w:bCs/>
                      <w:szCs w:val="21"/>
                      <w:highlight w:val="none"/>
                      <w:lang w:val="en-US" w:eastAsia="zh-CN"/>
                    </w:rPr>
                    <w:t>新建</w:t>
                  </w:r>
                </w:p>
              </w:tc>
            </w:tr>
            <w:tr w14:paraId="010B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7" w:type="dxa"/>
                  <w:vMerge w:val="restart"/>
                  <w:vAlign w:val="center"/>
                </w:tcPr>
                <w:p w14:paraId="1AC16632">
                  <w:pPr>
                    <w:pStyle w:val="19"/>
                    <w:adjustRightInd w:val="0"/>
                    <w:snapToGrid w:val="0"/>
                    <w:jc w:val="center"/>
                    <w:rPr>
                      <w:rFonts w:ascii="Times New Roman" w:hAnsi="Times New Roman" w:cs="Times New Roman"/>
                      <w:b/>
                      <w:highlight w:val="none"/>
                    </w:rPr>
                  </w:pPr>
                  <w:r>
                    <w:rPr>
                      <w:rFonts w:hAnsi="宋体" w:cs="Times New Roman"/>
                      <w:b/>
                      <w:highlight w:val="none"/>
                    </w:rPr>
                    <w:t>公用工程</w:t>
                  </w:r>
                </w:p>
              </w:tc>
              <w:tc>
                <w:tcPr>
                  <w:tcW w:w="2792" w:type="dxa"/>
                  <w:gridSpan w:val="3"/>
                  <w:vAlign w:val="center"/>
                </w:tcPr>
                <w:p w14:paraId="1EB32B00">
                  <w:pPr>
                    <w:adjustRightInd w:val="0"/>
                    <w:snapToGrid w:val="0"/>
                    <w:jc w:val="center"/>
                    <w:rPr>
                      <w:bCs/>
                      <w:szCs w:val="21"/>
                      <w:highlight w:val="none"/>
                    </w:rPr>
                  </w:pPr>
                  <w:r>
                    <w:rPr>
                      <w:rFonts w:ascii="宋体" w:hAnsi="宋体"/>
                      <w:bCs/>
                      <w:szCs w:val="21"/>
                      <w:highlight w:val="none"/>
                    </w:rPr>
                    <w:t>供电</w:t>
                  </w:r>
                </w:p>
              </w:tc>
              <w:tc>
                <w:tcPr>
                  <w:tcW w:w="4630" w:type="dxa"/>
                  <w:vAlign w:val="center"/>
                </w:tcPr>
                <w:p w14:paraId="78BCAEC4">
                  <w:pPr>
                    <w:adjustRightInd w:val="0"/>
                    <w:snapToGrid w:val="0"/>
                    <w:jc w:val="center"/>
                    <w:rPr>
                      <w:bCs/>
                      <w:szCs w:val="21"/>
                      <w:highlight w:val="none"/>
                    </w:rPr>
                  </w:pPr>
                  <w:r>
                    <w:rPr>
                      <w:rFonts w:ascii="宋体" w:hAnsi="宋体"/>
                      <w:bCs/>
                      <w:szCs w:val="21"/>
                      <w:highlight w:val="none"/>
                    </w:rPr>
                    <w:t>由当地供电所提供</w:t>
                  </w:r>
                </w:p>
              </w:tc>
              <w:tc>
                <w:tcPr>
                  <w:tcW w:w="681" w:type="dxa"/>
                  <w:vAlign w:val="center"/>
                </w:tcPr>
                <w:p w14:paraId="2B0D9049">
                  <w:pPr>
                    <w:adjustRightInd w:val="0"/>
                    <w:snapToGrid w:val="0"/>
                    <w:jc w:val="center"/>
                    <w:rPr>
                      <w:rFonts w:ascii="宋体" w:hAnsi="宋体"/>
                      <w:bCs/>
                      <w:szCs w:val="21"/>
                      <w:highlight w:val="none"/>
                    </w:rPr>
                  </w:pPr>
                  <w:r>
                    <w:rPr>
                      <w:rFonts w:hint="eastAsia" w:ascii="宋体" w:hAnsi="宋体"/>
                      <w:bCs/>
                      <w:szCs w:val="21"/>
                      <w:highlight w:val="none"/>
                      <w:lang w:val="en-US" w:eastAsia="zh-CN"/>
                    </w:rPr>
                    <w:t>/</w:t>
                  </w:r>
                </w:p>
              </w:tc>
            </w:tr>
            <w:tr w14:paraId="6364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continue"/>
                  <w:vAlign w:val="center"/>
                </w:tcPr>
                <w:p w14:paraId="69CE5608">
                  <w:pPr>
                    <w:widowControl/>
                    <w:jc w:val="left"/>
                    <w:rPr>
                      <w:b/>
                      <w:szCs w:val="21"/>
                      <w:highlight w:val="none"/>
                    </w:rPr>
                  </w:pPr>
                </w:p>
              </w:tc>
              <w:tc>
                <w:tcPr>
                  <w:tcW w:w="2792" w:type="dxa"/>
                  <w:gridSpan w:val="3"/>
                  <w:vAlign w:val="center"/>
                </w:tcPr>
                <w:p w14:paraId="50A99520">
                  <w:pPr>
                    <w:adjustRightInd w:val="0"/>
                    <w:snapToGrid w:val="0"/>
                    <w:jc w:val="center"/>
                    <w:rPr>
                      <w:bCs/>
                      <w:szCs w:val="21"/>
                      <w:highlight w:val="none"/>
                    </w:rPr>
                  </w:pPr>
                  <w:r>
                    <w:rPr>
                      <w:rFonts w:ascii="宋体" w:hAnsi="宋体"/>
                      <w:bCs/>
                      <w:szCs w:val="21"/>
                      <w:highlight w:val="none"/>
                    </w:rPr>
                    <w:t>供水</w:t>
                  </w:r>
                </w:p>
              </w:tc>
              <w:tc>
                <w:tcPr>
                  <w:tcW w:w="4630" w:type="dxa"/>
                  <w:vAlign w:val="center"/>
                </w:tcPr>
                <w:p w14:paraId="37730A0C">
                  <w:pPr>
                    <w:adjustRightInd w:val="0"/>
                    <w:snapToGrid w:val="0"/>
                    <w:jc w:val="center"/>
                    <w:rPr>
                      <w:bCs/>
                      <w:szCs w:val="21"/>
                      <w:highlight w:val="none"/>
                    </w:rPr>
                  </w:pPr>
                  <w:r>
                    <w:rPr>
                      <w:rFonts w:ascii="宋体" w:hAnsi="宋体"/>
                      <w:bCs/>
                      <w:szCs w:val="21"/>
                      <w:highlight w:val="none"/>
                    </w:rPr>
                    <w:t>由当地</w:t>
                  </w:r>
                  <w:r>
                    <w:rPr>
                      <w:rFonts w:hint="eastAsia" w:ascii="宋体" w:hAnsi="宋体"/>
                      <w:bCs/>
                      <w:szCs w:val="21"/>
                      <w:highlight w:val="none"/>
                      <w:lang w:val="en-US" w:eastAsia="zh-CN"/>
                    </w:rPr>
                    <w:t>自来水公司</w:t>
                  </w:r>
                  <w:r>
                    <w:rPr>
                      <w:rFonts w:ascii="宋体" w:hAnsi="宋体"/>
                      <w:bCs/>
                      <w:szCs w:val="21"/>
                      <w:highlight w:val="none"/>
                    </w:rPr>
                    <w:t>提供</w:t>
                  </w:r>
                </w:p>
              </w:tc>
              <w:tc>
                <w:tcPr>
                  <w:tcW w:w="681" w:type="dxa"/>
                  <w:vAlign w:val="center"/>
                </w:tcPr>
                <w:p w14:paraId="5C177DC2">
                  <w:pPr>
                    <w:adjustRightInd w:val="0"/>
                    <w:snapToGrid w:val="0"/>
                    <w:jc w:val="center"/>
                    <w:rPr>
                      <w:rFonts w:hint="default" w:ascii="宋体" w:hAnsi="宋体"/>
                      <w:bCs/>
                      <w:szCs w:val="21"/>
                      <w:highlight w:val="none"/>
                      <w:lang w:val="en-US"/>
                    </w:rPr>
                  </w:pPr>
                  <w:r>
                    <w:rPr>
                      <w:rFonts w:hint="eastAsia" w:ascii="宋体" w:hAnsi="宋体"/>
                      <w:bCs/>
                      <w:szCs w:val="21"/>
                      <w:highlight w:val="none"/>
                      <w:lang w:val="en-US" w:eastAsia="zh-CN"/>
                    </w:rPr>
                    <w:t>/</w:t>
                  </w:r>
                </w:p>
              </w:tc>
            </w:tr>
            <w:tr w14:paraId="774A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restart"/>
                  <w:vAlign w:val="center"/>
                </w:tcPr>
                <w:p w14:paraId="3FEB49C6">
                  <w:pPr>
                    <w:pStyle w:val="19"/>
                    <w:adjustRightInd w:val="0"/>
                    <w:snapToGrid w:val="0"/>
                    <w:jc w:val="center"/>
                    <w:rPr>
                      <w:rFonts w:ascii="Times New Roman" w:hAnsi="Times New Roman" w:cs="Times New Roman"/>
                      <w:b/>
                      <w:highlight w:val="none"/>
                    </w:rPr>
                  </w:pPr>
                  <w:r>
                    <w:rPr>
                      <w:rFonts w:hAnsi="宋体" w:cs="Times New Roman"/>
                      <w:b/>
                      <w:highlight w:val="none"/>
                    </w:rPr>
                    <w:t>环保工程</w:t>
                  </w:r>
                </w:p>
              </w:tc>
              <w:tc>
                <w:tcPr>
                  <w:tcW w:w="2792" w:type="dxa"/>
                  <w:gridSpan w:val="3"/>
                  <w:vAlign w:val="center"/>
                </w:tcPr>
                <w:p w14:paraId="0B61F7D0">
                  <w:pPr>
                    <w:adjustRightInd w:val="0"/>
                    <w:snapToGrid w:val="0"/>
                    <w:jc w:val="center"/>
                    <w:rPr>
                      <w:rFonts w:ascii="Calibri" w:hAnsi="Calibri"/>
                      <w:bCs/>
                      <w:szCs w:val="21"/>
                      <w:highlight w:val="none"/>
                    </w:rPr>
                  </w:pPr>
                  <w:r>
                    <w:rPr>
                      <w:rFonts w:ascii="宋体" w:hAnsi="宋体"/>
                      <w:bCs/>
                      <w:szCs w:val="21"/>
                      <w:highlight w:val="none"/>
                    </w:rPr>
                    <w:t>废水处理</w:t>
                  </w:r>
                </w:p>
              </w:tc>
              <w:tc>
                <w:tcPr>
                  <w:tcW w:w="4630" w:type="dxa"/>
                  <w:vAlign w:val="center"/>
                </w:tcPr>
                <w:p w14:paraId="6F7137FF">
                  <w:pPr>
                    <w:adjustRightInd w:val="0"/>
                    <w:snapToGrid w:val="0"/>
                    <w:rPr>
                      <w:bCs/>
                      <w:szCs w:val="21"/>
                      <w:highlight w:val="none"/>
                    </w:rPr>
                  </w:pPr>
                  <w:r>
                    <w:rPr>
                      <w:rFonts w:hint="eastAsia" w:ascii="宋体" w:hAnsi="宋体" w:cs="Times New Roman"/>
                      <w:bCs/>
                      <w:szCs w:val="21"/>
                      <w:highlight w:val="none"/>
                      <w:lang w:val="en-US" w:eastAsia="zh-CN"/>
                    </w:rPr>
                    <w:t>喷淋除尘脱硫塔</w:t>
                  </w:r>
                  <w:r>
                    <w:rPr>
                      <w:rFonts w:hint="eastAsia" w:ascii="宋体" w:hAnsi="宋体"/>
                      <w:bCs/>
                      <w:szCs w:val="21"/>
                      <w:highlight w:val="none"/>
                    </w:rPr>
                    <w:t>废水进入配套</w:t>
                  </w:r>
                  <w:r>
                    <w:rPr>
                      <w:rFonts w:hint="eastAsia" w:ascii="宋体" w:hAnsi="宋体"/>
                      <w:bCs/>
                      <w:szCs w:val="21"/>
                      <w:highlight w:val="none"/>
                      <w:lang w:eastAsia="zh-CN"/>
                    </w:rPr>
                    <w:t>的</w:t>
                  </w:r>
                  <w:r>
                    <w:rPr>
                      <w:rFonts w:hint="eastAsia" w:ascii="宋体" w:hAnsi="宋体"/>
                      <w:bCs/>
                      <w:szCs w:val="21"/>
                      <w:highlight w:val="none"/>
                    </w:rPr>
                    <w:t>循环沉淀池处理后循环利用</w:t>
                  </w:r>
                  <w:r>
                    <w:rPr>
                      <w:rFonts w:ascii="宋体" w:hAnsi="宋体"/>
                      <w:bCs/>
                      <w:szCs w:val="21"/>
                      <w:highlight w:val="none"/>
                    </w:rPr>
                    <w:t>，不外排；少量生活污水经三级化粪池处理</w:t>
                  </w:r>
                  <w:r>
                    <w:rPr>
                      <w:rFonts w:hint="eastAsia" w:ascii="宋体" w:hAnsi="宋体"/>
                      <w:bCs/>
                      <w:szCs w:val="21"/>
                      <w:highlight w:val="none"/>
                      <w:lang w:val="en-US" w:eastAsia="zh-CN"/>
                    </w:rPr>
                    <w:t>达标</w:t>
                  </w:r>
                  <w:r>
                    <w:rPr>
                      <w:rFonts w:ascii="宋体" w:hAnsi="宋体"/>
                      <w:bCs/>
                      <w:szCs w:val="21"/>
                      <w:highlight w:val="none"/>
                    </w:rPr>
                    <w:t>后用于周边</w:t>
                  </w:r>
                  <w:r>
                    <w:rPr>
                      <w:rFonts w:hint="eastAsia" w:ascii="宋体" w:hAnsi="宋体"/>
                      <w:bCs/>
                      <w:szCs w:val="21"/>
                      <w:highlight w:val="none"/>
                    </w:rPr>
                    <w:t>林地</w:t>
                  </w:r>
                  <w:r>
                    <w:rPr>
                      <w:rFonts w:ascii="宋体" w:hAnsi="宋体"/>
                      <w:bCs/>
                      <w:szCs w:val="21"/>
                      <w:highlight w:val="none"/>
                    </w:rPr>
                    <w:t>灌溉，不外排</w:t>
                  </w:r>
                  <w:r>
                    <w:rPr>
                      <w:rFonts w:hint="eastAsia" w:ascii="宋体" w:hAnsi="宋体"/>
                      <w:bCs/>
                      <w:szCs w:val="21"/>
                      <w:highlight w:val="none"/>
                    </w:rPr>
                    <w:t>。</w:t>
                  </w:r>
                </w:p>
              </w:tc>
              <w:tc>
                <w:tcPr>
                  <w:tcW w:w="681" w:type="dxa"/>
                  <w:vAlign w:val="center"/>
                </w:tcPr>
                <w:p w14:paraId="25F5CEBF">
                  <w:pPr>
                    <w:adjustRightInd w:val="0"/>
                    <w:snapToGrid w:val="0"/>
                    <w:jc w:val="center"/>
                    <w:rPr>
                      <w:rFonts w:hint="eastAsia" w:ascii="宋体" w:hAnsi="宋体"/>
                      <w:bCs/>
                      <w:szCs w:val="21"/>
                      <w:highlight w:val="none"/>
                    </w:rPr>
                  </w:pPr>
                  <w:r>
                    <w:rPr>
                      <w:rFonts w:hint="eastAsia" w:ascii="宋体" w:hAnsi="宋体"/>
                      <w:bCs/>
                      <w:szCs w:val="21"/>
                      <w:highlight w:val="none"/>
                      <w:lang w:val="en-US" w:eastAsia="zh-CN"/>
                    </w:rPr>
                    <w:t>新建</w:t>
                  </w:r>
                </w:p>
              </w:tc>
            </w:tr>
            <w:tr w14:paraId="0D94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continue"/>
                  <w:vAlign w:val="center"/>
                </w:tcPr>
                <w:p w14:paraId="427DCCC4">
                  <w:pPr>
                    <w:widowControl/>
                    <w:jc w:val="left"/>
                    <w:rPr>
                      <w:bCs/>
                      <w:szCs w:val="21"/>
                      <w:highlight w:val="none"/>
                    </w:rPr>
                  </w:pPr>
                </w:p>
              </w:tc>
              <w:tc>
                <w:tcPr>
                  <w:tcW w:w="2792" w:type="dxa"/>
                  <w:gridSpan w:val="3"/>
                  <w:vMerge w:val="restart"/>
                  <w:vAlign w:val="center"/>
                </w:tcPr>
                <w:p w14:paraId="0ECA0435">
                  <w:pPr>
                    <w:pStyle w:val="19"/>
                    <w:adjustRightInd w:val="0"/>
                    <w:snapToGrid w:val="0"/>
                    <w:jc w:val="center"/>
                    <w:rPr>
                      <w:highlight w:val="none"/>
                    </w:rPr>
                  </w:pPr>
                  <w:r>
                    <w:rPr>
                      <w:rFonts w:hint="eastAsia" w:hAnsi="宋体"/>
                      <w:bCs/>
                      <w:highlight w:val="none"/>
                    </w:rPr>
                    <w:t>废气处理</w:t>
                  </w:r>
                </w:p>
              </w:tc>
              <w:tc>
                <w:tcPr>
                  <w:tcW w:w="4630" w:type="dxa"/>
                  <w:vAlign w:val="center"/>
                </w:tcPr>
                <w:p w14:paraId="54BA0000">
                  <w:pPr>
                    <w:adjustRightInd w:val="0"/>
                    <w:snapToGrid w:val="0"/>
                    <w:rPr>
                      <w:rFonts w:ascii="Times New Roman" w:hAnsi="Times New Roman" w:cs="Times New Roman"/>
                      <w:bCs/>
                      <w:highlight w:val="none"/>
                    </w:rPr>
                  </w:pPr>
                  <w:r>
                    <w:rPr>
                      <w:rFonts w:hint="eastAsia" w:cs="Times New Roman"/>
                      <w:bCs/>
                      <w:sz w:val="21"/>
                      <w:szCs w:val="21"/>
                      <w:highlight w:val="none"/>
                      <w:lang w:val="en-US" w:eastAsia="zh-CN"/>
                    </w:rPr>
                    <w:t>粉碎粉尘经袋式除尘器处理达标后，经</w:t>
                  </w:r>
                  <w:r>
                    <w:rPr>
                      <w:rFonts w:hint="default" w:ascii="Times New Roman" w:hAnsi="Times New Roman" w:eastAsia="宋体" w:cs="Times New Roman"/>
                      <w:bCs/>
                      <w:sz w:val="21"/>
                      <w:szCs w:val="21"/>
                      <w:highlight w:val="none"/>
                      <w:lang w:val="en-US" w:eastAsia="zh-CN"/>
                    </w:rPr>
                    <w:t>15m排气筒</w:t>
                  </w: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w:t>
                  </w:r>
                  <w:r>
                    <w:rPr>
                      <w:rFonts w:hint="eastAsia" w:cs="Times New Roman"/>
                      <w:color w:val="000000" w:themeColor="text1"/>
                      <w:kern w:val="0"/>
                      <w:sz w:val="21"/>
                      <w:szCs w:val="21"/>
                      <w:highlight w:val="none"/>
                      <w:lang w:eastAsia="zh-CN" w:bidi="ar"/>
                      <w14:textFill>
                        <w14:solidFill>
                          <w14:schemeClr w14:val="tx1"/>
                        </w14:solidFill>
                      </w14:textFill>
                    </w:rPr>
                    <w:t>DA00</w:t>
                  </w:r>
                  <w:r>
                    <w:rPr>
                      <w:rFonts w:hint="eastAsia" w:cs="Times New Roman"/>
                      <w:color w:val="000000" w:themeColor="text1"/>
                      <w:kern w:val="0"/>
                      <w:sz w:val="21"/>
                      <w:szCs w:val="21"/>
                      <w:highlight w:val="none"/>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w:t>
                  </w:r>
                  <w:r>
                    <w:rPr>
                      <w:rFonts w:hint="default" w:ascii="Times New Roman" w:hAnsi="Times New Roman" w:eastAsia="宋体" w:cs="Times New Roman"/>
                      <w:bCs/>
                      <w:sz w:val="21"/>
                      <w:szCs w:val="21"/>
                      <w:highlight w:val="none"/>
                      <w:lang w:val="en-US" w:eastAsia="zh-CN"/>
                    </w:rPr>
                    <w:t>排放</w:t>
                  </w:r>
                  <w:r>
                    <w:rPr>
                      <w:rFonts w:hint="eastAsia" w:ascii="Times New Roman" w:hAnsi="Times New Roman" w:eastAsia="宋体" w:cs="Times New Roman"/>
                      <w:bCs/>
                      <w:sz w:val="21"/>
                      <w:szCs w:val="21"/>
                      <w:highlight w:val="none"/>
                      <w:lang w:val="en-US" w:eastAsia="zh-CN"/>
                    </w:rPr>
                    <w:t>。</w:t>
                  </w:r>
                </w:p>
              </w:tc>
              <w:tc>
                <w:tcPr>
                  <w:tcW w:w="681" w:type="dxa"/>
                  <w:vAlign w:val="center"/>
                </w:tcPr>
                <w:p w14:paraId="3DD2D6D2">
                  <w:pPr>
                    <w:pStyle w:val="19"/>
                    <w:adjustRightInd w:val="0"/>
                    <w:snapToGrid w:val="0"/>
                    <w:jc w:val="center"/>
                    <w:rPr>
                      <w:rFonts w:hint="eastAsia" w:hAnsi="宋体" w:cs="Times New Roman"/>
                      <w:highlight w:val="none"/>
                    </w:rPr>
                  </w:pPr>
                  <w:r>
                    <w:rPr>
                      <w:rFonts w:hint="eastAsia" w:ascii="宋体" w:hAnsi="宋体"/>
                      <w:bCs/>
                      <w:szCs w:val="21"/>
                      <w:highlight w:val="none"/>
                      <w:lang w:val="en-US" w:eastAsia="zh-CN"/>
                    </w:rPr>
                    <w:t>新建</w:t>
                  </w:r>
                </w:p>
              </w:tc>
            </w:tr>
            <w:tr w14:paraId="0D60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continue"/>
                  <w:vAlign w:val="center"/>
                </w:tcPr>
                <w:p w14:paraId="1DEA3B09">
                  <w:pPr>
                    <w:widowControl/>
                    <w:jc w:val="left"/>
                    <w:rPr>
                      <w:bCs/>
                      <w:szCs w:val="21"/>
                      <w:highlight w:val="none"/>
                    </w:rPr>
                  </w:pPr>
                </w:p>
              </w:tc>
              <w:tc>
                <w:tcPr>
                  <w:tcW w:w="2792" w:type="dxa"/>
                  <w:gridSpan w:val="3"/>
                  <w:vMerge w:val="continue"/>
                  <w:vAlign w:val="center"/>
                </w:tcPr>
                <w:p w14:paraId="5B254120">
                  <w:pPr>
                    <w:pStyle w:val="19"/>
                    <w:adjustRightInd w:val="0"/>
                    <w:snapToGrid w:val="0"/>
                    <w:jc w:val="center"/>
                    <w:rPr>
                      <w:rFonts w:hint="eastAsia" w:hAnsi="宋体"/>
                      <w:bCs/>
                      <w:highlight w:val="none"/>
                    </w:rPr>
                  </w:pPr>
                </w:p>
              </w:tc>
              <w:tc>
                <w:tcPr>
                  <w:tcW w:w="4630" w:type="dxa"/>
                  <w:vAlign w:val="center"/>
                </w:tcPr>
                <w:p w14:paraId="417EA1D7">
                  <w:pPr>
                    <w:adjustRightInd w:val="0"/>
                    <w:snapToGrid w:val="0"/>
                    <w:rPr>
                      <w:rFonts w:hint="default" w:ascii="Times New Roman" w:hAnsi="Times New Roman" w:cs="Times New Roman"/>
                      <w:bCs/>
                      <w:szCs w:val="21"/>
                      <w:highlight w:val="none"/>
                      <w:lang w:eastAsia="zh-CN"/>
                    </w:rPr>
                  </w:pPr>
                  <w:r>
                    <w:rPr>
                      <w:rFonts w:hint="default" w:ascii="Times New Roman" w:hAnsi="Times New Roman" w:cs="Times New Roman"/>
                      <w:bCs/>
                      <w:szCs w:val="21"/>
                      <w:highlight w:val="none"/>
                      <w:lang w:eastAsia="zh-CN"/>
                    </w:rPr>
                    <w:t>制棒废气、炭化废气通过管道收集返回烘干系统</w:t>
                  </w:r>
                  <w:r>
                    <w:rPr>
                      <w:rFonts w:hint="default" w:ascii="Times New Roman" w:hAnsi="Times New Roman" w:cs="Times New Roman"/>
                      <w:bCs/>
                      <w:szCs w:val="21"/>
                      <w:highlight w:val="none"/>
                      <w:lang w:val="en-US" w:eastAsia="zh-CN"/>
                    </w:rPr>
                    <w:t>燃</w:t>
                  </w:r>
                  <w:r>
                    <w:rPr>
                      <w:rFonts w:hint="default" w:ascii="Times New Roman" w:hAnsi="Times New Roman" w:cs="Times New Roman"/>
                      <w:bCs/>
                      <w:szCs w:val="21"/>
                      <w:highlight w:val="none"/>
                      <w:lang w:eastAsia="zh-CN"/>
                    </w:rPr>
                    <w:t>烧炉燃烧</w:t>
                  </w:r>
                  <w:r>
                    <w:rPr>
                      <w:rFonts w:hint="default" w:ascii="Times New Roman" w:hAnsi="Times New Roman" w:eastAsia="宋体" w:cs="Times New Roman"/>
                      <w:bCs/>
                      <w:szCs w:val="21"/>
                      <w:highlight w:val="none"/>
                      <w:lang w:eastAsia="zh-CN"/>
                    </w:rPr>
                    <w:t>后</w:t>
                  </w:r>
                  <w:r>
                    <w:rPr>
                      <w:rFonts w:hint="eastAsia" w:cs="Times New Roman"/>
                      <w:bCs/>
                      <w:szCs w:val="21"/>
                      <w:highlight w:val="none"/>
                      <w:lang w:eastAsia="zh-CN"/>
                    </w:rPr>
                    <w:t>，</w:t>
                  </w:r>
                  <w:r>
                    <w:rPr>
                      <w:rFonts w:hint="eastAsia" w:cs="Times New Roman"/>
                      <w:bCs/>
                      <w:szCs w:val="21"/>
                      <w:highlight w:val="none"/>
                      <w:lang w:val="en-US" w:eastAsia="zh-CN"/>
                    </w:rPr>
                    <w:t>汇同</w:t>
                  </w:r>
                  <w:r>
                    <w:rPr>
                      <w:rFonts w:hint="eastAsia" w:ascii="宋体" w:hAnsi="宋体" w:cs="Times New Roman"/>
                      <w:bCs/>
                      <w:szCs w:val="21"/>
                      <w:highlight w:val="none"/>
                      <w:lang w:val="en-US" w:eastAsia="zh-CN"/>
                    </w:rPr>
                    <w:t>烘干机</w:t>
                  </w:r>
                  <w:r>
                    <w:rPr>
                      <w:rFonts w:hint="default" w:ascii="Times New Roman" w:hAnsi="Times New Roman" w:cs="Times New Roman"/>
                      <w:bCs/>
                      <w:szCs w:val="21"/>
                      <w:highlight w:val="none"/>
                      <w:lang w:eastAsia="zh-CN"/>
                    </w:rPr>
                    <w:t>粉尘</w:t>
                  </w:r>
                  <w:r>
                    <w:rPr>
                      <w:rFonts w:hint="eastAsia" w:cs="Times New Roman"/>
                      <w:bCs/>
                      <w:szCs w:val="21"/>
                      <w:highlight w:val="none"/>
                      <w:lang w:eastAsia="zh-CN"/>
                    </w:rPr>
                    <w:t>、</w:t>
                  </w:r>
                  <w:r>
                    <w:rPr>
                      <w:rFonts w:hint="eastAsia" w:cs="Times New Roman"/>
                      <w:bCs/>
                      <w:szCs w:val="21"/>
                      <w:highlight w:val="none"/>
                      <w:lang w:val="en-US" w:eastAsia="zh-CN"/>
                    </w:rPr>
                    <w:t>烘干机配套燃烧炉燃料燃烧废气</w:t>
                  </w:r>
                  <w:r>
                    <w:rPr>
                      <w:rFonts w:hint="default" w:ascii="Times New Roman" w:hAnsi="Times New Roman" w:cs="Times New Roman"/>
                      <w:bCs/>
                      <w:szCs w:val="21"/>
                      <w:highlight w:val="none"/>
                      <w:lang w:val="en-US" w:eastAsia="zh-CN"/>
                    </w:rPr>
                    <w:t>经旋风</w:t>
                  </w:r>
                  <w:r>
                    <w:rPr>
                      <w:rFonts w:hint="eastAsia" w:cs="Times New Roman"/>
                      <w:bCs/>
                      <w:szCs w:val="21"/>
                      <w:highlight w:val="none"/>
                      <w:lang w:val="en-US" w:eastAsia="zh-CN"/>
                    </w:rPr>
                    <w:t>除尘器</w:t>
                  </w:r>
                  <w:r>
                    <w:rPr>
                      <w:rFonts w:hint="eastAsia" w:ascii="Times New Roman" w:hAnsi="Times New Roman" w:cs="Times New Roman"/>
                      <w:bCs/>
                      <w:szCs w:val="21"/>
                      <w:highlight w:val="none"/>
                      <w:lang w:val="en-US" w:eastAsia="zh-CN"/>
                    </w:rPr>
                    <w:t>处理</w:t>
                  </w:r>
                  <w:r>
                    <w:rPr>
                      <w:rFonts w:hint="eastAsia" w:cs="Times New Roman"/>
                      <w:bCs/>
                      <w:szCs w:val="21"/>
                      <w:highlight w:val="none"/>
                      <w:lang w:val="en-US" w:eastAsia="zh-CN"/>
                    </w:rPr>
                    <w:t>+喷淋除尘脱硫塔</w:t>
                  </w:r>
                  <w:r>
                    <w:rPr>
                      <w:rFonts w:hint="default" w:ascii="Times New Roman" w:hAnsi="Times New Roman" w:eastAsia="宋体" w:cs="Times New Roman"/>
                      <w:bCs/>
                      <w:szCs w:val="21"/>
                      <w:highlight w:val="none"/>
                      <w:lang w:eastAsia="zh-CN"/>
                    </w:rPr>
                    <w:t>处理达标</w:t>
                  </w:r>
                  <w:r>
                    <w:rPr>
                      <w:rFonts w:hint="default" w:ascii="Times New Roman" w:hAnsi="Times New Roman" w:cs="Times New Roman"/>
                      <w:bCs/>
                      <w:szCs w:val="21"/>
                      <w:highlight w:val="none"/>
                      <w:lang w:eastAsia="zh-CN"/>
                    </w:rPr>
                    <w:t>后通过</w:t>
                  </w:r>
                  <w:r>
                    <w:rPr>
                      <w:rFonts w:hint="default" w:ascii="Times New Roman" w:hAnsi="Times New Roman" w:cs="Times New Roman"/>
                      <w:bCs/>
                      <w:szCs w:val="21"/>
                      <w:highlight w:val="none"/>
                      <w:lang w:val="en-US" w:eastAsia="zh-CN"/>
                    </w:rPr>
                    <w:t>15</w:t>
                  </w:r>
                  <w:r>
                    <w:rPr>
                      <w:rFonts w:hint="default" w:ascii="Times New Roman" w:hAnsi="Times New Roman" w:cs="Times New Roman"/>
                      <w:bCs/>
                      <w:szCs w:val="21"/>
                      <w:highlight w:val="none"/>
                      <w:lang w:eastAsia="zh-CN"/>
                    </w:rPr>
                    <w:t>m高排气筒</w:t>
                  </w:r>
                  <w:r>
                    <w:rPr>
                      <w:rFonts w:hint="eastAsia" w:ascii="Times New Roman" w:hAnsi="Times New Roman" w:cs="Times New Roman"/>
                      <w:bCs/>
                      <w:szCs w:val="21"/>
                      <w:highlight w:val="none"/>
                      <w:lang w:eastAsia="zh-CN"/>
                    </w:rPr>
                    <w:t>（</w:t>
                  </w:r>
                  <w:r>
                    <w:rPr>
                      <w:rFonts w:hint="eastAsia" w:cs="Times New Roman"/>
                      <w:bCs/>
                      <w:szCs w:val="21"/>
                      <w:highlight w:val="none"/>
                      <w:lang w:val="en-US" w:eastAsia="zh-CN"/>
                    </w:rPr>
                    <w:t>DA002</w:t>
                  </w:r>
                  <w:r>
                    <w:rPr>
                      <w:rFonts w:hint="eastAsia" w:ascii="Times New Roman" w:hAnsi="Times New Roman" w:cs="Times New Roman"/>
                      <w:bCs/>
                      <w:szCs w:val="21"/>
                      <w:highlight w:val="none"/>
                      <w:lang w:eastAsia="zh-CN"/>
                    </w:rPr>
                    <w:t>）</w:t>
                  </w:r>
                  <w:r>
                    <w:rPr>
                      <w:rFonts w:hint="default" w:ascii="Times New Roman" w:hAnsi="Times New Roman" w:cs="Times New Roman"/>
                      <w:bCs/>
                      <w:szCs w:val="21"/>
                      <w:highlight w:val="none"/>
                      <w:lang w:eastAsia="zh-CN"/>
                    </w:rPr>
                    <w:t>外排</w:t>
                  </w:r>
                  <w:r>
                    <w:rPr>
                      <w:rFonts w:hint="eastAsia" w:cs="Times New Roman"/>
                      <w:bCs/>
                      <w:szCs w:val="21"/>
                      <w:highlight w:val="none"/>
                      <w:lang w:eastAsia="zh-CN"/>
                    </w:rPr>
                    <w:t>。</w:t>
                  </w:r>
                </w:p>
              </w:tc>
              <w:tc>
                <w:tcPr>
                  <w:tcW w:w="681" w:type="dxa"/>
                  <w:vAlign w:val="center"/>
                </w:tcPr>
                <w:p w14:paraId="1EF50B1A">
                  <w:pPr>
                    <w:pStyle w:val="19"/>
                    <w:adjustRightInd w:val="0"/>
                    <w:snapToGrid w:val="0"/>
                    <w:jc w:val="center"/>
                    <w:rPr>
                      <w:rFonts w:hint="eastAsia" w:ascii="宋体" w:hAnsi="宋体"/>
                      <w:bCs/>
                      <w:szCs w:val="21"/>
                      <w:highlight w:val="none"/>
                      <w:lang w:val="en-US" w:eastAsia="zh-CN"/>
                    </w:rPr>
                  </w:pPr>
                </w:p>
              </w:tc>
            </w:tr>
            <w:tr w14:paraId="1188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continue"/>
                  <w:vAlign w:val="center"/>
                </w:tcPr>
                <w:p w14:paraId="15C3C1CE">
                  <w:pPr>
                    <w:widowControl/>
                    <w:jc w:val="left"/>
                    <w:rPr>
                      <w:bCs/>
                      <w:szCs w:val="21"/>
                      <w:highlight w:val="none"/>
                    </w:rPr>
                  </w:pPr>
                </w:p>
              </w:tc>
              <w:tc>
                <w:tcPr>
                  <w:tcW w:w="2792" w:type="dxa"/>
                  <w:gridSpan w:val="3"/>
                  <w:vAlign w:val="center"/>
                </w:tcPr>
                <w:p w14:paraId="518D07D4">
                  <w:pPr>
                    <w:pStyle w:val="19"/>
                    <w:adjustRightInd w:val="0"/>
                    <w:snapToGrid w:val="0"/>
                    <w:jc w:val="center"/>
                    <w:rPr>
                      <w:bCs/>
                      <w:highlight w:val="none"/>
                    </w:rPr>
                  </w:pPr>
                  <w:r>
                    <w:rPr>
                      <w:rFonts w:hint="eastAsia" w:hAnsi="宋体"/>
                      <w:bCs/>
                      <w:highlight w:val="none"/>
                    </w:rPr>
                    <w:t>噪声防治</w:t>
                  </w:r>
                </w:p>
              </w:tc>
              <w:tc>
                <w:tcPr>
                  <w:tcW w:w="4630" w:type="dxa"/>
                  <w:vAlign w:val="center"/>
                </w:tcPr>
                <w:p w14:paraId="4A214F6D">
                  <w:pPr>
                    <w:pStyle w:val="19"/>
                    <w:adjustRightInd w:val="0"/>
                    <w:snapToGrid w:val="0"/>
                    <w:jc w:val="center"/>
                    <w:rPr>
                      <w:rFonts w:ascii="Times New Roman" w:hAnsi="Times New Roman" w:cs="Times New Roman"/>
                      <w:bCs/>
                      <w:highlight w:val="none"/>
                    </w:rPr>
                  </w:pPr>
                  <w:r>
                    <w:rPr>
                      <w:rFonts w:ascii="Times New Roman" w:hAnsi="Times New Roman" w:cs="Times New Roman"/>
                      <w:sz w:val="21"/>
                      <w:szCs w:val="21"/>
                      <w:highlight w:val="none"/>
                    </w:rPr>
                    <w:t>车间内高噪声设备采取隔声、消声、减振措施</w:t>
                  </w:r>
                </w:p>
              </w:tc>
              <w:tc>
                <w:tcPr>
                  <w:tcW w:w="681" w:type="dxa"/>
                  <w:vAlign w:val="center"/>
                </w:tcPr>
                <w:p w14:paraId="4AED2D3F">
                  <w:pPr>
                    <w:pStyle w:val="19"/>
                    <w:adjustRightInd w:val="0"/>
                    <w:snapToGrid w:val="0"/>
                    <w:jc w:val="center"/>
                    <w:rPr>
                      <w:rFonts w:hint="eastAsia" w:hAnsi="宋体"/>
                      <w:bCs/>
                      <w:highlight w:val="none"/>
                    </w:rPr>
                  </w:pPr>
                  <w:r>
                    <w:rPr>
                      <w:rFonts w:hint="eastAsia" w:ascii="宋体" w:hAnsi="宋体"/>
                      <w:bCs/>
                      <w:szCs w:val="21"/>
                      <w:highlight w:val="none"/>
                      <w:lang w:val="en-US" w:eastAsia="zh-CN"/>
                    </w:rPr>
                    <w:t>新建</w:t>
                  </w:r>
                </w:p>
              </w:tc>
            </w:tr>
            <w:tr w14:paraId="3572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continue"/>
                  <w:vAlign w:val="center"/>
                </w:tcPr>
                <w:p w14:paraId="3A147B36">
                  <w:pPr>
                    <w:widowControl/>
                    <w:jc w:val="left"/>
                    <w:rPr>
                      <w:bCs/>
                      <w:szCs w:val="21"/>
                      <w:highlight w:val="none"/>
                    </w:rPr>
                  </w:pPr>
                </w:p>
              </w:tc>
              <w:tc>
                <w:tcPr>
                  <w:tcW w:w="659" w:type="dxa"/>
                  <w:vMerge w:val="restart"/>
                  <w:vAlign w:val="center"/>
                </w:tcPr>
                <w:p w14:paraId="10673358">
                  <w:pPr>
                    <w:pStyle w:val="19"/>
                    <w:adjustRightInd w:val="0"/>
                    <w:snapToGrid w:val="0"/>
                    <w:jc w:val="center"/>
                    <w:rPr>
                      <w:rFonts w:hint="default" w:hAnsi="宋体" w:eastAsia="宋体"/>
                      <w:bCs/>
                      <w:highlight w:val="none"/>
                      <w:lang w:val="en-US" w:eastAsia="zh-CN"/>
                    </w:rPr>
                  </w:pPr>
                  <w:r>
                    <w:rPr>
                      <w:rFonts w:hint="eastAsia" w:hAnsi="宋体"/>
                      <w:bCs/>
                      <w:highlight w:val="none"/>
                      <w:lang w:val="en-US" w:eastAsia="zh-CN"/>
                    </w:rPr>
                    <w:t>固体处理</w:t>
                  </w:r>
                </w:p>
              </w:tc>
              <w:tc>
                <w:tcPr>
                  <w:tcW w:w="2133" w:type="dxa"/>
                  <w:gridSpan w:val="2"/>
                  <w:vAlign w:val="center"/>
                </w:tcPr>
                <w:p w14:paraId="0062AAC3">
                  <w:pPr>
                    <w:adjustRightInd w:val="0"/>
                    <w:snapToGrid w:val="0"/>
                    <w:jc w:val="center"/>
                    <w:rPr>
                      <w:rFonts w:hint="eastAsia"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lang w:eastAsia="zh-CN"/>
                    </w:rPr>
                    <w:t>生活垃圾</w:t>
                  </w:r>
                </w:p>
              </w:tc>
              <w:tc>
                <w:tcPr>
                  <w:tcW w:w="4630" w:type="dxa"/>
                  <w:vAlign w:val="center"/>
                </w:tcPr>
                <w:p w14:paraId="24CCBBB9">
                  <w:pPr>
                    <w:adjustRightInd w:val="0"/>
                    <w:snapToGrid w:val="0"/>
                    <w:jc w:val="center"/>
                    <w:rPr>
                      <w:rFonts w:hint="default" w:ascii="Times New Roman" w:hAnsi="Times New Roman" w:eastAsia="宋体" w:cs="Times New Roman"/>
                      <w:bCs/>
                      <w:szCs w:val="21"/>
                      <w:highlight w:val="none"/>
                      <w:lang w:val="en-US" w:eastAsia="zh-CN"/>
                    </w:rPr>
                  </w:pPr>
                  <w:r>
                    <w:rPr>
                      <w:rFonts w:hint="eastAsia" w:eastAsia="宋体" w:cs="Times New Roman"/>
                      <w:bCs/>
                      <w:szCs w:val="21"/>
                      <w:highlight w:val="none"/>
                      <w:lang w:val="en-US" w:eastAsia="zh-CN"/>
                    </w:rPr>
                    <w:t>由环卫部门定期清运处</w:t>
                  </w:r>
                  <w:r>
                    <w:rPr>
                      <w:rFonts w:hint="eastAsia" w:cs="Times New Roman"/>
                      <w:bCs/>
                      <w:szCs w:val="21"/>
                      <w:highlight w:val="none"/>
                      <w:lang w:val="en-US" w:eastAsia="zh-CN"/>
                    </w:rPr>
                    <w:t>理</w:t>
                  </w:r>
                </w:p>
              </w:tc>
              <w:tc>
                <w:tcPr>
                  <w:tcW w:w="681" w:type="dxa"/>
                  <w:vAlign w:val="center"/>
                </w:tcPr>
                <w:p w14:paraId="4E8F9D35">
                  <w:pPr>
                    <w:adjustRightInd w:val="0"/>
                    <w:snapToGrid w:val="0"/>
                    <w:jc w:val="center"/>
                    <w:rPr>
                      <w:rFonts w:hint="eastAsia" w:ascii="Times New Roman" w:hAnsi="Times New Roman" w:eastAsia="宋体" w:cs="Times New Roman"/>
                      <w:bCs/>
                      <w:szCs w:val="21"/>
                      <w:highlight w:val="none"/>
                      <w:lang w:val="en-US" w:eastAsia="zh-CN"/>
                    </w:rPr>
                  </w:pPr>
                  <w:r>
                    <w:rPr>
                      <w:rFonts w:hint="eastAsia" w:ascii="宋体" w:hAnsi="宋体"/>
                      <w:bCs/>
                      <w:szCs w:val="21"/>
                      <w:highlight w:val="none"/>
                      <w:lang w:val="en-US" w:eastAsia="zh-CN"/>
                    </w:rPr>
                    <w:t>新建</w:t>
                  </w:r>
                </w:p>
              </w:tc>
            </w:tr>
            <w:tr w14:paraId="4D66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continue"/>
                  <w:vAlign w:val="center"/>
                </w:tcPr>
                <w:p w14:paraId="440AFBE3">
                  <w:pPr>
                    <w:widowControl/>
                    <w:jc w:val="left"/>
                    <w:rPr>
                      <w:bCs/>
                      <w:szCs w:val="21"/>
                      <w:highlight w:val="none"/>
                    </w:rPr>
                  </w:pPr>
                </w:p>
              </w:tc>
              <w:tc>
                <w:tcPr>
                  <w:tcW w:w="659" w:type="dxa"/>
                  <w:vMerge w:val="continue"/>
                  <w:vAlign w:val="center"/>
                </w:tcPr>
                <w:p w14:paraId="2C455096">
                  <w:pPr>
                    <w:pStyle w:val="19"/>
                    <w:adjustRightInd w:val="0"/>
                    <w:snapToGrid w:val="0"/>
                    <w:jc w:val="center"/>
                    <w:rPr>
                      <w:rFonts w:hint="eastAsia" w:hAnsi="宋体"/>
                      <w:bCs/>
                      <w:highlight w:val="none"/>
                      <w:lang w:val="en-US" w:eastAsia="zh-CN"/>
                    </w:rPr>
                  </w:pPr>
                </w:p>
              </w:tc>
              <w:tc>
                <w:tcPr>
                  <w:tcW w:w="2133" w:type="dxa"/>
                  <w:gridSpan w:val="2"/>
                  <w:vAlign w:val="center"/>
                </w:tcPr>
                <w:p w14:paraId="60706709">
                  <w:pPr>
                    <w:adjustRightInd w:val="0"/>
                    <w:snapToGrid w:val="0"/>
                    <w:jc w:val="center"/>
                    <w:rPr>
                      <w:rFonts w:hint="default" w:ascii="Times New Roman" w:hAnsi="Times New Roman" w:eastAsia="宋体" w:cs="Times New Roman"/>
                      <w:bCs/>
                      <w:szCs w:val="21"/>
                      <w:highlight w:val="none"/>
                      <w:lang w:val="en-US" w:eastAsia="zh-CN"/>
                    </w:rPr>
                  </w:pPr>
                  <w:r>
                    <w:rPr>
                      <w:rFonts w:hint="eastAsia" w:eastAsia="宋体" w:cs="Times New Roman"/>
                      <w:bCs/>
                      <w:szCs w:val="21"/>
                      <w:highlight w:val="none"/>
                      <w:lang w:val="en-US" w:eastAsia="zh-CN"/>
                    </w:rPr>
                    <w:t>燃烧灰渣</w:t>
                  </w:r>
                </w:p>
              </w:tc>
              <w:tc>
                <w:tcPr>
                  <w:tcW w:w="4630" w:type="dxa"/>
                  <w:vAlign w:val="center"/>
                </w:tcPr>
                <w:p w14:paraId="1EB221D9">
                  <w:pPr>
                    <w:adjustRightInd w:val="0"/>
                    <w:snapToGrid w:val="0"/>
                    <w:jc w:val="center"/>
                    <w:rPr>
                      <w:rFonts w:hint="eastAsia"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lang w:eastAsia="zh-CN"/>
                    </w:rPr>
                    <w:t>集中收集用作农肥</w:t>
                  </w:r>
                </w:p>
              </w:tc>
              <w:tc>
                <w:tcPr>
                  <w:tcW w:w="681" w:type="dxa"/>
                  <w:vAlign w:val="center"/>
                </w:tcPr>
                <w:p w14:paraId="627D7B18">
                  <w:pPr>
                    <w:adjustRightInd w:val="0"/>
                    <w:snapToGrid w:val="0"/>
                    <w:jc w:val="center"/>
                    <w:rPr>
                      <w:rFonts w:hint="eastAsia" w:ascii="Times New Roman" w:hAnsi="Times New Roman" w:eastAsia="宋体" w:cs="Times New Roman"/>
                      <w:bCs/>
                      <w:szCs w:val="21"/>
                      <w:highlight w:val="none"/>
                      <w:lang w:val="en-US" w:eastAsia="zh-CN"/>
                    </w:rPr>
                  </w:pPr>
                  <w:r>
                    <w:rPr>
                      <w:rFonts w:hint="eastAsia" w:ascii="宋体" w:hAnsi="宋体"/>
                      <w:bCs/>
                      <w:szCs w:val="21"/>
                      <w:highlight w:val="none"/>
                      <w:lang w:val="en-US" w:eastAsia="zh-CN"/>
                    </w:rPr>
                    <w:t>新建</w:t>
                  </w:r>
                </w:p>
              </w:tc>
            </w:tr>
            <w:tr w14:paraId="3865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continue"/>
                  <w:vAlign w:val="center"/>
                </w:tcPr>
                <w:p w14:paraId="6E166B6E">
                  <w:pPr>
                    <w:widowControl/>
                    <w:jc w:val="left"/>
                    <w:rPr>
                      <w:bCs/>
                      <w:szCs w:val="21"/>
                      <w:highlight w:val="none"/>
                    </w:rPr>
                  </w:pPr>
                </w:p>
              </w:tc>
              <w:tc>
                <w:tcPr>
                  <w:tcW w:w="659" w:type="dxa"/>
                  <w:vMerge w:val="continue"/>
                  <w:vAlign w:val="center"/>
                </w:tcPr>
                <w:p w14:paraId="4876679C">
                  <w:pPr>
                    <w:pStyle w:val="19"/>
                    <w:adjustRightInd w:val="0"/>
                    <w:snapToGrid w:val="0"/>
                    <w:jc w:val="center"/>
                    <w:rPr>
                      <w:rFonts w:hint="eastAsia" w:hAnsi="宋体"/>
                      <w:bCs/>
                      <w:highlight w:val="none"/>
                      <w:lang w:val="en-US" w:eastAsia="zh-CN"/>
                    </w:rPr>
                  </w:pPr>
                </w:p>
              </w:tc>
              <w:tc>
                <w:tcPr>
                  <w:tcW w:w="2133" w:type="dxa"/>
                  <w:gridSpan w:val="2"/>
                  <w:vAlign w:val="center"/>
                </w:tcPr>
                <w:p w14:paraId="4D77DB7D">
                  <w:pPr>
                    <w:adjustRightInd w:val="0"/>
                    <w:snapToGrid w:val="0"/>
                    <w:jc w:val="center"/>
                    <w:rPr>
                      <w:rFonts w:hint="eastAsia" w:ascii="Times New Roman" w:hAnsi="Times New Roman" w:eastAsia="宋体" w:cs="Times New Roman"/>
                      <w:bCs/>
                      <w:szCs w:val="21"/>
                      <w:highlight w:val="none"/>
                      <w:lang w:val="en-US" w:eastAsia="zh-CN"/>
                    </w:rPr>
                  </w:pPr>
                  <w:r>
                    <w:rPr>
                      <w:rFonts w:hint="eastAsia" w:cs="Times New Roman"/>
                      <w:bCs/>
                      <w:szCs w:val="21"/>
                      <w:highlight w:val="none"/>
                      <w:lang w:val="en-US" w:eastAsia="zh-CN"/>
                    </w:rPr>
                    <w:t>碳化渣</w:t>
                  </w:r>
                </w:p>
              </w:tc>
              <w:tc>
                <w:tcPr>
                  <w:tcW w:w="4630" w:type="dxa"/>
                  <w:vAlign w:val="center"/>
                </w:tcPr>
                <w:p w14:paraId="337A8D90">
                  <w:pPr>
                    <w:adjustRightInd w:val="0"/>
                    <w:snapToGrid w:val="0"/>
                    <w:jc w:val="center"/>
                    <w:rPr>
                      <w:rFonts w:hint="eastAsia" w:ascii="Times New Roman" w:hAnsi="Times New Roman" w:eastAsia="宋体" w:cs="Times New Roman"/>
                      <w:bCs/>
                      <w:szCs w:val="21"/>
                      <w:highlight w:val="none"/>
                      <w:lang w:val="en-US" w:eastAsia="zh-CN"/>
                    </w:rPr>
                  </w:pPr>
                  <w:r>
                    <w:rPr>
                      <w:rFonts w:hint="eastAsia" w:ascii="Times New Roman" w:hAnsi="Times New Roman"/>
                      <w:color w:val="auto"/>
                      <w:highlight w:val="none"/>
                    </w:rPr>
                    <w:t>作炭化窑点火引燃材料</w:t>
                  </w:r>
                  <w:r>
                    <w:rPr>
                      <w:rFonts w:hint="eastAsia" w:ascii="Times New Roman" w:hAnsi="Times New Roman"/>
                      <w:color w:val="auto"/>
                      <w:highlight w:val="none"/>
                      <w:lang w:val="en-US" w:eastAsia="zh-CN"/>
                    </w:rPr>
                    <w:t>用</w:t>
                  </w:r>
                </w:p>
              </w:tc>
              <w:tc>
                <w:tcPr>
                  <w:tcW w:w="681" w:type="dxa"/>
                  <w:vAlign w:val="center"/>
                </w:tcPr>
                <w:p w14:paraId="6F8D0DBB">
                  <w:pPr>
                    <w:adjustRightInd w:val="0"/>
                    <w:snapToGrid w:val="0"/>
                    <w:jc w:val="center"/>
                    <w:rPr>
                      <w:rFonts w:hint="eastAsia" w:ascii="Times New Roman" w:hAnsi="Times New Roman" w:eastAsia="宋体" w:cs="Times New Roman"/>
                      <w:bCs/>
                      <w:szCs w:val="21"/>
                      <w:highlight w:val="none"/>
                      <w:lang w:val="en-US" w:eastAsia="zh-CN"/>
                    </w:rPr>
                  </w:pPr>
                  <w:r>
                    <w:rPr>
                      <w:rFonts w:hint="eastAsia" w:ascii="宋体" w:hAnsi="宋体"/>
                      <w:bCs/>
                      <w:szCs w:val="21"/>
                      <w:highlight w:val="none"/>
                      <w:lang w:val="en-US" w:eastAsia="zh-CN"/>
                    </w:rPr>
                    <w:t>新建</w:t>
                  </w:r>
                </w:p>
              </w:tc>
            </w:tr>
            <w:tr w14:paraId="4488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7" w:type="dxa"/>
                  <w:vMerge w:val="continue"/>
                  <w:vAlign w:val="center"/>
                </w:tcPr>
                <w:p w14:paraId="3A6B952F">
                  <w:pPr>
                    <w:widowControl/>
                    <w:jc w:val="left"/>
                    <w:rPr>
                      <w:bCs/>
                      <w:szCs w:val="21"/>
                      <w:highlight w:val="none"/>
                    </w:rPr>
                  </w:pPr>
                </w:p>
              </w:tc>
              <w:tc>
                <w:tcPr>
                  <w:tcW w:w="659" w:type="dxa"/>
                  <w:vMerge w:val="continue"/>
                  <w:vAlign w:val="center"/>
                </w:tcPr>
                <w:p w14:paraId="507A1D58">
                  <w:pPr>
                    <w:pStyle w:val="19"/>
                    <w:adjustRightInd w:val="0"/>
                    <w:snapToGrid w:val="0"/>
                    <w:jc w:val="center"/>
                    <w:rPr>
                      <w:rFonts w:hint="eastAsia" w:hAnsi="宋体"/>
                      <w:bCs/>
                      <w:highlight w:val="none"/>
                      <w:lang w:val="en-US" w:eastAsia="zh-CN"/>
                    </w:rPr>
                  </w:pPr>
                </w:p>
              </w:tc>
              <w:tc>
                <w:tcPr>
                  <w:tcW w:w="2133" w:type="dxa"/>
                  <w:gridSpan w:val="2"/>
                  <w:vAlign w:val="center"/>
                </w:tcPr>
                <w:p w14:paraId="577DEFB1">
                  <w:pPr>
                    <w:adjustRightInd w:val="0"/>
                    <w:snapToGrid w:val="0"/>
                    <w:jc w:val="center"/>
                    <w:rPr>
                      <w:rFonts w:hint="eastAsia" w:ascii="Times New Roman" w:hAnsi="Times New Roman" w:eastAsia="宋体" w:cs="Times New Roman"/>
                      <w:bCs/>
                      <w:szCs w:val="21"/>
                      <w:highlight w:val="none"/>
                      <w:lang w:val="en-US" w:eastAsia="zh-CN"/>
                    </w:rPr>
                  </w:pPr>
                  <w:r>
                    <w:rPr>
                      <w:rFonts w:hint="eastAsia" w:cs="Times New Roman"/>
                      <w:bCs/>
                      <w:szCs w:val="21"/>
                      <w:highlight w:val="none"/>
                      <w:lang w:val="en-US" w:eastAsia="zh-CN"/>
                    </w:rPr>
                    <w:t>旋风除尘器</w:t>
                  </w:r>
                  <w:r>
                    <w:rPr>
                      <w:rFonts w:hint="eastAsia" w:ascii="Times New Roman" w:hAnsi="Times New Roman" w:eastAsia="宋体" w:cs="Times New Roman"/>
                      <w:bCs/>
                      <w:szCs w:val="21"/>
                      <w:highlight w:val="none"/>
                      <w:lang w:val="en-US" w:eastAsia="zh-CN"/>
                    </w:rPr>
                    <w:t>收集粉尘</w:t>
                  </w:r>
                </w:p>
              </w:tc>
              <w:tc>
                <w:tcPr>
                  <w:tcW w:w="4630" w:type="dxa"/>
                  <w:vAlign w:val="center"/>
                </w:tcPr>
                <w:p w14:paraId="28D456F5">
                  <w:pPr>
                    <w:adjustRightInd w:val="0"/>
                    <w:snapToGrid w:val="0"/>
                    <w:jc w:val="center"/>
                    <w:rPr>
                      <w:rFonts w:hint="eastAsia"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lang w:val="en-US" w:eastAsia="zh-CN"/>
                    </w:rPr>
                    <w:t>回用于生产</w:t>
                  </w:r>
                </w:p>
              </w:tc>
              <w:tc>
                <w:tcPr>
                  <w:tcW w:w="681" w:type="dxa"/>
                  <w:vAlign w:val="center"/>
                </w:tcPr>
                <w:p w14:paraId="366B7EF9">
                  <w:pPr>
                    <w:adjustRightInd w:val="0"/>
                    <w:snapToGrid w:val="0"/>
                    <w:jc w:val="center"/>
                    <w:rPr>
                      <w:rFonts w:hint="eastAsia" w:ascii="Times New Roman" w:hAnsi="Times New Roman" w:eastAsia="宋体" w:cs="Times New Roman"/>
                      <w:bCs/>
                      <w:szCs w:val="21"/>
                      <w:highlight w:val="none"/>
                      <w:lang w:val="en-US" w:eastAsia="zh-CN"/>
                    </w:rPr>
                  </w:pPr>
                  <w:r>
                    <w:rPr>
                      <w:rFonts w:hint="eastAsia" w:ascii="宋体" w:hAnsi="宋体"/>
                      <w:bCs/>
                      <w:szCs w:val="21"/>
                      <w:highlight w:val="none"/>
                      <w:lang w:val="en-US" w:eastAsia="zh-CN"/>
                    </w:rPr>
                    <w:t>新建</w:t>
                  </w:r>
                </w:p>
              </w:tc>
            </w:tr>
            <w:tr w14:paraId="5479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7" w:type="dxa"/>
                  <w:vMerge w:val="continue"/>
                  <w:vAlign w:val="center"/>
                </w:tcPr>
                <w:p w14:paraId="52EB623B">
                  <w:pPr>
                    <w:widowControl/>
                    <w:jc w:val="left"/>
                    <w:rPr>
                      <w:bCs/>
                      <w:szCs w:val="21"/>
                      <w:highlight w:val="none"/>
                    </w:rPr>
                  </w:pPr>
                </w:p>
              </w:tc>
              <w:tc>
                <w:tcPr>
                  <w:tcW w:w="659" w:type="dxa"/>
                  <w:vMerge w:val="continue"/>
                  <w:vAlign w:val="center"/>
                </w:tcPr>
                <w:p w14:paraId="349DE3E8">
                  <w:pPr>
                    <w:pStyle w:val="19"/>
                    <w:adjustRightInd w:val="0"/>
                    <w:snapToGrid w:val="0"/>
                    <w:jc w:val="center"/>
                    <w:rPr>
                      <w:rFonts w:hint="eastAsia" w:hAnsi="宋体"/>
                      <w:bCs/>
                      <w:highlight w:val="none"/>
                      <w:lang w:val="en-US" w:eastAsia="zh-CN"/>
                    </w:rPr>
                  </w:pPr>
                </w:p>
              </w:tc>
              <w:tc>
                <w:tcPr>
                  <w:tcW w:w="2133" w:type="dxa"/>
                  <w:gridSpan w:val="2"/>
                  <w:vAlign w:val="center"/>
                </w:tcPr>
                <w:p w14:paraId="0FF4EC69">
                  <w:pPr>
                    <w:adjustRightInd w:val="0"/>
                    <w:snapToGrid w:val="0"/>
                    <w:jc w:val="center"/>
                    <w:rPr>
                      <w:rFonts w:hint="default" w:cs="Times New Roman"/>
                      <w:bCs/>
                      <w:szCs w:val="21"/>
                      <w:highlight w:val="none"/>
                      <w:lang w:val="en-US" w:eastAsia="zh-CN"/>
                    </w:rPr>
                  </w:pPr>
                  <w:r>
                    <w:rPr>
                      <w:rFonts w:hint="eastAsia" w:cs="Times New Roman"/>
                      <w:bCs/>
                      <w:szCs w:val="21"/>
                      <w:highlight w:val="none"/>
                      <w:lang w:val="en-US" w:eastAsia="zh-CN"/>
                    </w:rPr>
                    <w:t>喷淋除尘脱硫塔</w:t>
                  </w:r>
                  <w:r>
                    <w:rPr>
                      <w:rFonts w:hint="eastAsia" w:ascii="Times New Roman" w:hAnsi="Times New Roman" w:eastAsia="宋体" w:cs="Times New Roman"/>
                      <w:bCs/>
                      <w:szCs w:val="21"/>
                      <w:highlight w:val="none"/>
                      <w:lang w:val="en-US" w:eastAsia="zh-CN"/>
                    </w:rPr>
                    <w:t>沉</w:t>
                  </w:r>
                  <w:r>
                    <w:rPr>
                      <w:rFonts w:hint="eastAsia" w:cs="Times New Roman"/>
                      <w:bCs/>
                      <w:szCs w:val="21"/>
                      <w:highlight w:val="none"/>
                      <w:lang w:val="en-US" w:eastAsia="zh-CN"/>
                    </w:rPr>
                    <w:t>渣</w:t>
                  </w:r>
                </w:p>
              </w:tc>
              <w:tc>
                <w:tcPr>
                  <w:tcW w:w="4630" w:type="dxa"/>
                  <w:vAlign w:val="center"/>
                </w:tcPr>
                <w:p w14:paraId="4CE4F31B">
                  <w:pPr>
                    <w:adjustRightInd w:val="0"/>
                    <w:snapToGrid w:val="0"/>
                    <w:jc w:val="center"/>
                    <w:rPr>
                      <w:rFonts w:hint="eastAsia" w:ascii="Times New Roman" w:hAnsi="Times New Roman" w:eastAsia="宋体" w:cs="Times New Roman"/>
                      <w:bCs/>
                      <w:szCs w:val="21"/>
                      <w:highlight w:val="none"/>
                      <w:lang w:val="en-US" w:eastAsia="zh-CN"/>
                    </w:rPr>
                  </w:pPr>
                  <w:r>
                    <w:rPr>
                      <w:rFonts w:hint="eastAsia" w:eastAsia="宋体" w:cs="Times New Roman"/>
                      <w:bCs/>
                      <w:szCs w:val="21"/>
                      <w:highlight w:val="none"/>
                      <w:lang w:val="en-US" w:eastAsia="zh-CN"/>
                    </w:rPr>
                    <w:t>由</w:t>
                  </w:r>
                  <w:r>
                    <w:rPr>
                      <w:color w:val="000000" w:themeColor="text1"/>
                      <w:kern w:val="0"/>
                      <w:szCs w:val="21"/>
                      <w:highlight w:val="none"/>
                      <w:lang w:bidi="ar"/>
                      <w14:textFill>
                        <w14:solidFill>
                          <w14:schemeClr w14:val="tx1"/>
                        </w14:solidFill>
                      </w14:textFill>
                    </w:rPr>
                    <w:t>环卫部门清运处理</w:t>
                  </w:r>
                </w:p>
              </w:tc>
              <w:tc>
                <w:tcPr>
                  <w:tcW w:w="681" w:type="dxa"/>
                  <w:vAlign w:val="center"/>
                </w:tcPr>
                <w:p w14:paraId="1915535B">
                  <w:pPr>
                    <w:adjustRightInd w:val="0"/>
                    <w:snapToGrid w:val="0"/>
                    <w:jc w:val="center"/>
                    <w:rPr>
                      <w:rFonts w:hint="eastAsia" w:ascii="宋体" w:hAnsi="宋体"/>
                      <w:bCs/>
                      <w:szCs w:val="21"/>
                      <w:highlight w:val="none"/>
                      <w:lang w:val="en-US" w:eastAsia="zh-CN"/>
                    </w:rPr>
                  </w:pPr>
                  <w:r>
                    <w:rPr>
                      <w:rFonts w:hint="eastAsia" w:ascii="宋体" w:hAnsi="宋体"/>
                      <w:bCs/>
                      <w:szCs w:val="21"/>
                      <w:highlight w:val="none"/>
                      <w:lang w:val="en-US" w:eastAsia="zh-CN"/>
                    </w:rPr>
                    <w:t>新建</w:t>
                  </w:r>
                </w:p>
              </w:tc>
            </w:tr>
          </w:tbl>
          <w:p w14:paraId="14613FCA">
            <w:pPr>
              <w:keepNext w:val="0"/>
              <w:keepLines w:val="0"/>
              <w:pageBreakBefore w:val="0"/>
              <w:widowControl w:val="0"/>
              <w:tabs>
                <w:tab w:val="left" w:pos="1730"/>
              </w:tabs>
              <w:kinsoku/>
              <w:wordWrap/>
              <w:overflowPunct/>
              <w:topLinePunct w:val="0"/>
              <w:autoSpaceDE/>
              <w:autoSpaceDN/>
              <w:bidi w:val="0"/>
              <w:adjustRightInd w:val="0"/>
              <w:snapToGrid w:val="0"/>
              <w:spacing w:before="157" w:beforeLines="50" w:line="360" w:lineRule="auto"/>
              <w:ind w:left="476"/>
              <w:jc w:val="left"/>
              <w:textAlignment w:val="auto"/>
              <w:rPr>
                <w:b/>
                <w:bCs/>
                <w:spacing w:val="-2"/>
                <w:sz w:val="24"/>
                <w:highlight w:val="none"/>
              </w:rPr>
            </w:pPr>
          </w:p>
          <w:p w14:paraId="23B77B3F">
            <w:pPr>
              <w:keepNext w:val="0"/>
              <w:keepLines w:val="0"/>
              <w:pageBreakBefore w:val="0"/>
              <w:widowControl w:val="0"/>
              <w:tabs>
                <w:tab w:val="left" w:pos="1730"/>
              </w:tabs>
              <w:kinsoku/>
              <w:wordWrap/>
              <w:overflowPunct/>
              <w:topLinePunct w:val="0"/>
              <w:autoSpaceDE/>
              <w:autoSpaceDN/>
              <w:bidi w:val="0"/>
              <w:adjustRightInd w:val="0"/>
              <w:snapToGrid w:val="0"/>
              <w:spacing w:before="157" w:beforeLines="50" w:line="360" w:lineRule="auto"/>
              <w:ind w:left="476"/>
              <w:jc w:val="left"/>
              <w:textAlignment w:val="auto"/>
              <w:rPr>
                <w:b/>
                <w:bCs/>
                <w:spacing w:val="-2"/>
                <w:sz w:val="24"/>
                <w:highlight w:val="none"/>
              </w:rPr>
            </w:pPr>
            <w:r>
              <w:rPr>
                <w:b/>
                <w:bCs/>
                <w:spacing w:val="-2"/>
                <w:sz w:val="24"/>
                <w:highlight w:val="none"/>
              </w:rPr>
              <w:t>3.主要生产设备</w:t>
            </w:r>
          </w:p>
          <w:p w14:paraId="0A279185">
            <w:pPr>
              <w:adjustRightInd w:val="0"/>
              <w:snapToGrid w:val="0"/>
              <w:spacing w:line="360" w:lineRule="auto"/>
              <w:ind w:firstLine="472" w:firstLineChars="200"/>
              <w:jc w:val="left"/>
              <w:rPr>
                <w:spacing w:val="-2"/>
                <w:sz w:val="24"/>
                <w:highlight w:val="none"/>
              </w:rPr>
            </w:pPr>
            <w:r>
              <w:rPr>
                <w:spacing w:val="-2"/>
                <w:sz w:val="24"/>
                <w:highlight w:val="none"/>
              </w:rPr>
              <w:t>本项目主要生产设备见表2-</w:t>
            </w:r>
            <w:r>
              <w:rPr>
                <w:rFonts w:hint="eastAsia"/>
                <w:spacing w:val="-2"/>
                <w:sz w:val="24"/>
                <w:highlight w:val="none"/>
                <w:lang w:val="en-US" w:eastAsia="zh-CN"/>
              </w:rPr>
              <w:t>2</w:t>
            </w:r>
            <w:r>
              <w:rPr>
                <w:spacing w:val="-2"/>
                <w:sz w:val="24"/>
                <w:highlight w:val="none"/>
              </w:rPr>
              <w:t>。</w:t>
            </w:r>
          </w:p>
          <w:p w14:paraId="01061A95">
            <w:pPr>
              <w:adjustRightInd w:val="0"/>
              <w:snapToGrid w:val="0"/>
              <w:spacing w:line="360" w:lineRule="auto"/>
              <w:jc w:val="center"/>
              <w:rPr>
                <w:b/>
                <w:bCs/>
                <w:spacing w:val="-2"/>
                <w:sz w:val="24"/>
                <w:highlight w:val="none"/>
              </w:rPr>
            </w:pPr>
            <w:r>
              <w:rPr>
                <w:b/>
                <w:bCs/>
                <w:spacing w:val="-2"/>
                <w:sz w:val="24"/>
                <w:highlight w:val="none"/>
              </w:rPr>
              <w:t>表2-</w:t>
            </w:r>
            <w:r>
              <w:rPr>
                <w:rFonts w:hint="eastAsia"/>
                <w:b/>
                <w:bCs/>
                <w:spacing w:val="-2"/>
                <w:sz w:val="24"/>
                <w:highlight w:val="none"/>
                <w:lang w:val="en-US" w:eastAsia="zh-CN"/>
              </w:rPr>
              <w:t>2</w:t>
            </w:r>
            <w:r>
              <w:rPr>
                <w:b/>
                <w:bCs/>
                <w:spacing w:val="-2"/>
                <w:sz w:val="24"/>
                <w:highlight w:val="none"/>
              </w:rPr>
              <w:t xml:space="preserve"> 本项目主要生产设备一览表</w:t>
            </w:r>
          </w:p>
          <w:tbl>
            <w:tblPr>
              <w:tblStyle w:val="34"/>
              <w:tblW w:w="4956"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798"/>
              <w:gridCol w:w="1951"/>
              <w:gridCol w:w="954"/>
              <w:gridCol w:w="853"/>
              <w:gridCol w:w="2283"/>
            </w:tblGrid>
            <w:tr w14:paraId="680B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vAlign w:val="center"/>
                </w:tcPr>
                <w:p w14:paraId="3FC612BA">
                  <w:pPr>
                    <w:jc w:val="center"/>
                    <w:rPr>
                      <w:b/>
                      <w:szCs w:val="21"/>
                      <w:highlight w:val="none"/>
                    </w:rPr>
                  </w:pPr>
                  <w:r>
                    <w:rPr>
                      <w:rFonts w:ascii="宋体" w:hAnsi="宋体"/>
                      <w:b/>
                      <w:highlight w:val="none"/>
                    </w:rPr>
                    <w:t>序号</w:t>
                  </w:r>
                </w:p>
              </w:tc>
              <w:tc>
                <w:tcPr>
                  <w:tcW w:w="1030" w:type="pct"/>
                  <w:vAlign w:val="center"/>
                </w:tcPr>
                <w:p w14:paraId="78F4DC50">
                  <w:pPr>
                    <w:jc w:val="center"/>
                    <w:rPr>
                      <w:b/>
                      <w:highlight w:val="none"/>
                    </w:rPr>
                  </w:pPr>
                  <w:r>
                    <w:rPr>
                      <w:rFonts w:ascii="宋体" w:hAnsi="宋体"/>
                      <w:b/>
                      <w:highlight w:val="none"/>
                    </w:rPr>
                    <w:t>设备名称</w:t>
                  </w:r>
                </w:p>
              </w:tc>
              <w:tc>
                <w:tcPr>
                  <w:tcW w:w="1117" w:type="pct"/>
                  <w:vAlign w:val="center"/>
                </w:tcPr>
                <w:p w14:paraId="0EA287DD">
                  <w:pPr>
                    <w:jc w:val="center"/>
                    <w:rPr>
                      <w:b/>
                      <w:highlight w:val="none"/>
                    </w:rPr>
                  </w:pPr>
                  <w:r>
                    <w:rPr>
                      <w:rFonts w:ascii="宋体" w:hAnsi="宋体"/>
                      <w:b/>
                      <w:highlight w:val="none"/>
                    </w:rPr>
                    <w:t>规格</w:t>
                  </w:r>
                  <w:r>
                    <w:rPr>
                      <w:b/>
                      <w:highlight w:val="none"/>
                    </w:rPr>
                    <w:t>/</w:t>
                  </w:r>
                  <w:r>
                    <w:rPr>
                      <w:rFonts w:ascii="宋体" w:hAnsi="宋体"/>
                      <w:b/>
                      <w:highlight w:val="none"/>
                    </w:rPr>
                    <w:t>型号</w:t>
                  </w:r>
                </w:p>
              </w:tc>
              <w:tc>
                <w:tcPr>
                  <w:tcW w:w="546" w:type="pct"/>
                  <w:vAlign w:val="center"/>
                </w:tcPr>
                <w:p w14:paraId="007B78D9">
                  <w:pPr>
                    <w:jc w:val="center"/>
                    <w:rPr>
                      <w:b/>
                      <w:highlight w:val="none"/>
                    </w:rPr>
                  </w:pPr>
                  <w:r>
                    <w:rPr>
                      <w:rFonts w:ascii="宋体" w:hAnsi="宋体"/>
                      <w:b/>
                      <w:highlight w:val="none"/>
                    </w:rPr>
                    <w:t>单位</w:t>
                  </w:r>
                </w:p>
              </w:tc>
              <w:tc>
                <w:tcPr>
                  <w:tcW w:w="488" w:type="pct"/>
                  <w:vAlign w:val="center"/>
                </w:tcPr>
                <w:p w14:paraId="03438A8C">
                  <w:pPr>
                    <w:jc w:val="center"/>
                    <w:rPr>
                      <w:b/>
                      <w:highlight w:val="none"/>
                    </w:rPr>
                  </w:pPr>
                  <w:r>
                    <w:rPr>
                      <w:rFonts w:ascii="宋体" w:hAnsi="宋体"/>
                      <w:b/>
                      <w:highlight w:val="none"/>
                    </w:rPr>
                    <w:t>数量</w:t>
                  </w:r>
                </w:p>
              </w:tc>
              <w:tc>
                <w:tcPr>
                  <w:tcW w:w="1308" w:type="pct"/>
                  <w:vAlign w:val="center"/>
                </w:tcPr>
                <w:p w14:paraId="3B4BD92B">
                  <w:pPr>
                    <w:jc w:val="center"/>
                    <w:rPr>
                      <w:b/>
                      <w:highlight w:val="none"/>
                    </w:rPr>
                  </w:pPr>
                  <w:r>
                    <w:rPr>
                      <w:rFonts w:ascii="宋体" w:hAnsi="宋体"/>
                      <w:b/>
                      <w:highlight w:val="none"/>
                    </w:rPr>
                    <w:t>备</w:t>
                  </w:r>
                  <w:r>
                    <w:rPr>
                      <w:b/>
                      <w:highlight w:val="none"/>
                    </w:rPr>
                    <w:t xml:space="preserve">  </w:t>
                  </w:r>
                  <w:r>
                    <w:rPr>
                      <w:rFonts w:ascii="宋体" w:hAnsi="宋体"/>
                      <w:b/>
                      <w:highlight w:val="none"/>
                    </w:rPr>
                    <w:t>注</w:t>
                  </w:r>
                </w:p>
              </w:tc>
            </w:tr>
            <w:tr w14:paraId="382D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vAlign w:val="center"/>
                </w:tcPr>
                <w:p w14:paraId="51125B5C">
                  <w:pPr>
                    <w:widowControl/>
                    <w:jc w:val="center"/>
                    <w:textAlignment w:val="center"/>
                    <w:rPr>
                      <w:rFonts w:hint="eastAsia" w:eastAsia="宋体"/>
                      <w:bCs/>
                      <w:kern w:val="0"/>
                      <w:highlight w:val="none"/>
                      <w:lang w:val="en-US" w:eastAsia="zh-CN"/>
                    </w:rPr>
                  </w:pPr>
                  <w:r>
                    <w:rPr>
                      <w:rFonts w:hint="eastAsia"/>
                      <w:bCs/>
                      <w:kern w:val="0"/>
                      <w:highlight w:val="none"/>
                      <w:lang w:val="en-US" w:eastAsia="zh-CN"/>
                    </w:rPr>
                    <w:t>1</w:t>
                  </w:r>
                </w:p>
              </w:tc>
              <w:tc>
                <w:tcPr>
                  <w:tcW w:w="1030" w:type="pct"/>
                  <w:shd w:val="clear" w:color="auto" w:fill="auto"/>
                  <w:vAlign w:val="center"/>
                </w:tcPr>
                <w:p w14:paraId="0DDC1B83">
                  <w:pPr>
                    <w:jc w:val="center"/>
                    <w:rPr>
                      <w:rFonts w:hint="default" w:ascii="Times New Roman" w:hAnsi="Times New Roman" w:eastAsia="宋体" w:cs="Times New Roman"/>
                      <w:bCs/>
                      <w:kern w:val="2"/>
                      <w:sz w:val="21"/>
                      <w:szCs w:val="24"/>
                      <w:highlight w:val="none"/>
                      <w:lang w:val="en-US" w:eastAsia="zh-CN" w:bidi="ar-SA"/>
                    </w:rPr>
                  </w:pPr>
                  <w:r>
                    <w:rPr>
                      <w:rFonts w:hint="eastAsia" w:cs="Times New Roman"/>
                      <w:bCs/>
                      <w:kern w:val="2"/>
                      <w:sz w:val="21"/>
                      <w:szCs w:val="24"/>
                      <w:highlight w:val="none"/>
                      <w:lang w:val="en-US" w:eastAsia="zh-CN" w:bidi="ar-SA"/>
                    </w:rPr>
                    <w:t>粉碎机</w:t>
                  </w:r>
                </w:p>
              </w:tc>
              <w:tc>
                <w:tcPr>
                  <w:tcW w:w="1117" w:type="pct"/>
                  <w:shd w:val="clear" w:color="auto" w:fill="auto"/>
                  <w:vAlign w:val="center"/>
                </w:tcPr>
                <w:p w14:paraId="6D278DBC">
                  <w:pPr>
                    <w:jc w:val="center"/>
                    <w:rPr>
                      <w:rFonts w:hint="default" w:ascii="Times New Roman" w:hAnsi="Times New Roman" w:eastAsia="宋体" w:cs="Times New Roman"/>
                      <w:bCs/>
                      <w:kern w:val="2"/>
                      <w:sz w:val="21"/>
                      <w:szCs w:val="24"/>
                      <w:highlight w:val="none"/>
                      <w:lang w:val="en-US" w:eastAsia="zh-CN" w:bidi="ar-SA"/>
                    </w:rPr>
                  </w:pPr>
                  <w:r>
                    <w:rPr>
                      <w:rFonts w:hint="eastAsia" w:cs="Times New Roman"/>
                      <w:bCs/>
                      <w:kern w:val="2"/>
                      <w:sz w:val="21"/>
                      <w:szCs w:val="24"/>
                      <w:highlight w:val="none"/>
                      <w:lang w:val="en-US" w:eastAsia="zh-CN" w:bidi="ar-SA"/>
                    </w:rPr>
                    <w:t>/</w:t>
                  </w:r>
                </w:p>
              </w:tc>
              <w:tc>
                <w:tcPr>
                  <w:tcW w:w="546" w:type="pct"/>
                  <w:shd w:val="clear" w:color="auto" w:fill="auto"/>
                  <w:vAlign w:val="center"/>
                </w:tcPr>
                <w:p w14:paraId="12FBFD51">
                  <w:pPr>
                    <w:pStyle w:val="19"/>
                    <w:adjustRightInd w:val="0"/>
                    <w:snapToGrid w:val="0"/>
                    <w:jc w:val="center"/>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cs="Times New Roman"/>
                      <w:bCs/>
                      <w:kern w:val="2"/>
                      <w:sz w:val="21"/>
                      <w:szCs w:val="21"/>
                      <w:highlight w:val="none"/>
                      <w:lang w:val="en-US" w:eastAsia="zh-CN" w:bidi="ar-SA"/>
                    </w:rPr>
                    <w:t>台</w:t>
                  </w:r>
                </w:p>
              </w:tc>
              <w:tc>
                <w:tcPr>
                  <w:tcW w:w="488" w:type="pct"/>
                  <w:shd w:val="clear" w:color="auto" w:fill="auto"/>
                  <w:vAlign w:val="center"/>
                </w:tcPr>
                <w:p w14:paraId="5375326D">
                  <w:pPr>
                    <w:jc w:val="center"/>
                    <w:rPr>
                      <w:rFonts w:hint="default" w:ascii="Times New Roman" w:hAnsi="Times New Roman" w:eastAsia="宋体" w:cs="Times New Roman"/>
                      <w:bCs/>
                      <w:kern w:val="2"/>
                      <w:sz w:val="21"/>
                      <w:szCs w:val="24"/>
                      <w:highlight w:val="none"/>
                      <w:lang w:val="en-US" w:eastAsia="zh-CN" w:bidi="ar-SA"/>
                    </w:rPr>
                  </w:pPr>
                  <w:r>
                    <w:rPr>
                      <w:rFonts w:hint="eastAsia" w:cs="Times New Roman"/>
                      <w:bCs/>
                      <w:kern w:val="2"/>
                      <w:sz w:val="21"/>
                      <w:szCs w:val="24"/>
                      <w:highlight w:val="none"/>
                      <w:lang w:val="en-US" w:eastAsia="zh-CN" w:bidi="ar-SA"/>
                    </w:rPr>
                    <w:t>1</w:t>
                  </w:r>
                </w:p>
              </w:tc>
              <w:tc>
                <w:tcPr>
                  <w:tcW w:w="1308" w:type="pct"/>
                  <w:shd w:val="clear" w:color="auto" w:fill="auto"/>
                  <w:vAlign w:val="center"/>
                </w:tcPr>
                <w:p w14:paraId="63AE3297">
                  <w:pPr>
                    <w:jc w:val="center"/>
                    <w:rPr>
                      <w:rFonts w:hint="default" w:ascii="Times New Roman" w:hAnsi="Times New Roman" w:eastAsia="宋体" w:cs="Times New Roman"/>
                      <w:bCs/>
                      <w:kern w:val="2"/>
                      <w:sz w:val="21"/>
                      <w:szCs w:val="24"/>
                      <w:highlight w:val="none"/>
                      <w:lang w:val="en-US" w:eastAsia="zh-CN" w:bidi="ar-SA"/>
                    </w:rPr>
                  </w:pPr>
                  <w:r>
                    <w:rPr>
                      <w:rFonts w:hint="eastAsia" w:cs="Times New Roman"/>
                      <w:bCs/>
                      <w:kern w:val="2"/>
                      <w:sz w:val="21"/>
                      <w:szCs w:val="24"/>
                      <w:highlight w:val="none"/>
                      <w:lang w:val="en-US" w:eastAsia="zh-CN" w:bidi="ar-SA"/>
                    </w:rPr>
                    <w:t>原料粉碎</w:t>
                  </w:r>
                </w:p>
              </w:tc>
            </w:tr>
            <w:tr w14:paraId="7AD6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shd w:val="clear" w:color="auto" w:fill="auto"/>
                  <w:vAlign w:val="center"/>
                </w:tcPr>
                <w:p w14:paraId="6B146832">
                  <w:pPr>
                    <w:widowControl/>
                    <w:jc w:val="center"/>
                    <w:textAlignment w:val="center"/>
                    <w:rPr>
                      <w:rFonts w:hint="eastAsia"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2</w:t>
                  </w:r>
                </w:p>
              </w:tc>
              <w:tc>
                <w:tcPr>
                  <w:tcW w:w="1030" w:type="pct"/>
                  <w:shd w:val="clear" w:color="auto" w:fill="auto"/>
                  <w:vAlign w:val="center"/>
                </w:tcPr>
                <w:p w14:paraId="4ABC81C4">
                  <w:pPr>
                    <w:jc w:val="center"/>
                    <w:rPr>
                      <w:rFonts w:hint="eastAsia" w:ascii="Times New Roman" w:hAnsi="Times New Roman" w:eastAsia="宋体" w:cs="Times New Roman"/>
                      <w:bCs/>
                      <w:kern w:val="2"/>
                      <w:sz w:val="21"/>
                      <w:szCs w:val="24"/>
                      <w:highlight w:val="none"/>
                      <w:lang w:val="en-US" w:eastAsia="zh-CN" w:bidi="ar-SA"/>
                    </w:rPr>
                  </w:pPr>
                  <w:r>
                    <w:rPr>
                      <w:rFonts w:ascii="宋体" w:hAnsi="宋体"/>
                      <w:bCs/>
                      <w:highlight w:val="none"/>
                    </w:rPr>
                    <w:t>烘干</w:t>
                  </w:r>
                  <w:r>
                    <w:rPr>
                      <w:rFonts w:hint="eastAsia" w:ascii="宋体" w:hAnsi="宋体"/>
                      <w:bCs/>
                      <w:highlight w:val="none"/>
                      <w:lang w:val="en-US" w:eastAsia="zh-CN"/>
                    </w:rPr>
                    <w:t>机</w:t>
                  </w:r>
                </w:p>
              </w:tc>
              <w:tc>
                <w:tcPr>
                  <w:tcW w:w="1117" w:type="pct"/>
                  <w:shd w:val="clear" w:color="auto" w:fill="auto"/>
                  <w:vAlign w:val="center"/>
                </w:tcPr>
                <w:p w14:paraId="07FE7F66">
                  <w:pPr>
                    <w:jc w:val="center"/>
                    <w:rPr>
                      <w:rFonts w:hint="eastAsia" w:ascii="Times New Roman" w:hAnsi="Times New Roman" w:eastAsia="宋体" w:cs="Times New Roman"/>
                      <w:bCs/>
                      <w:kern w:val="2"/>
                      <w:sz w:val="21"/>
                      <w:szCs w:val="24"/>
                      <w:highlight w:val="none"/>
                      <w:lang w:val="en-US" w:eastAsia="zh-CN" w:bidi="ar-SA"/>
                    </w:rPr>
                  </w:pPr>
                  <w:r>
                    <w:rPr>
                      <w:rFonts w:hint="eastAsia"/>
                      <w:szCs w:val="21"/>
                      <w:highlight w:val="none"/>
                    </w:rPr>
                    <w:t>滚筒1</w:t>
                  </w:r>
                  <w:r>
                    <w:rPr>
                      <w:rFonts w:hint="eastAsia"/>
                      <w:szCs w:val="21"/>
                      <w:highlight w:val="none"/>
                      <w:lang w:val="en-US" w:eastAsia="zh-CN"/>
                    </w:rPr>
                    <w:t>6</w:t>
                  </w:r>
                  <w:r>
                    <w:rPr>
                      <w:rFonts w:hint="eastAsia"/>
                      <w:szCs w:val="21"/>
                      <w:highlight w:val="none"/>
                    </w:rPr>
                    <w:t>m</w:t>
                  </w:r>
                  <w:r>
                    <w:rPr>
                      <w:rFonts w:hint="eastAsia"/>
                      <w:szCs w:val="21"/>
                      <w:highlight w:val="none"/>
                      <w:lang w:val="en-US" w:eastAsia="zh-CN"/>
                    </w:rPr>
                    <w:t>×</w:t>
                  </w:r>
                  <w:r>
                    <w:rPr>
                      <w:rFonts w:hint="eastAsia"/>
                      <w:szCs w:val="21"/>
                      <w:highlight w:val="none"/>
                    </w:rPr>
                    <w:t>φ</w:t>
                  </w:r>
                  <w:r>
                    <w:rPr>
                      <w:rFonts w:hint="eastAsia"/>
                      <w:szCs w:val="21"/>
                      <w:highlight w:val="none"/>
                      <w:lang w:val="en-US" w:eastAsia="zh-CN"/>
                    </w:rPr>
                    <w:t>2.4</w:t>
                  </w:r>
                  <w:r>
                    <w:rPr>
                      <w:rFonts w:hint="eastAsia"/>
                      <w:szCs w:val="21"/>
                      <w:highlight w:val="none"/>
                    </w:rPr>
                    <w:t>m</w:t>
                  </w:r>
                </w:p>
              </w:tc>
              <w:tc>
                <w:tcPr>
                  <w:tcW w:w="546" w:type="pct"/>
                  <w:shd w:val="clear" w:color="auto" w:fill="auto"/>
                  <w:vAlign w:val="center"/>
                </w:tcPr>
                <w:p w14:paraId="7808DA90">
                  <w:pPr>
                    <w:pStyle w:val="19"/>
                    <w:adjustRightInd w:val="0"/>
                    <w:snapToGrid w:val="0"/>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cs="Times New Roman"/>
                      <w:bCs/>
                      <w:highlight w:val="none"/>
                      <w:lang w:val="en-US" w:eastAsia="zh-CN"/>
                    </w:rPr>
                    <w:t>套</w:t>
                  </w:r>
                </w:p>
              </w:tc>
              <w:tc>
                <w:tcPr>
                  <w:tcW w:w="488" w:type="pct"/>
                  <w:shd w:val="clear" w:color="auto" w:fill="auto"/>
                  <w:vAlign w:val="center"/>
                </w:tcPr>
                <w:p w14:paraId="7D1E7068">
                  <w:pPr>
                    <w:jc w:val="center"/>
                    <w:rPr>
                      <w:rFonts w:hint="eastAsia"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1</w:t>
                  </w:r>
                </w:p>
              </w:tc>
              <w:tc>
                <w:tcPr>
                  <w:tcW w:w="1308" w:type="pct"/>
                  <w:shd w:val="clear" w:color="auto" w:fill="auto"/>
                  <w:vAlign w:val="center"/>
                </w:tcPr>
                <w:p w14:paraId="3FD85B53">
                  <w:pPr>
                    <w:jc w:val="center"/>
                    <w:rPr>
                      <w:rFonts w:ascii="Times New Roman" w:hAnsi="Times New Roman" w:eastAsia="宋体" w:cs="Times New Roman"/>
                      <w:bCs/>
                      <w:kern w:val="2"/>
                      <w:sz w:val="21"/>
                      <w:szCs w:val="24"/>
                      <w:highlight w:val="none"/>
                      <w:lang w:val="en-US" w:eastAsia="zh-CN" w:bidi="ar-SA"/>
                    </w:rPr>
                  </w:pPr>
                  <w:r>
                    <w:rPr>
                      <w:rFonts w:ascii="宋体" w:hAnsi="宋体"/>
                      <w:bCs/>
                      <w:highlight w:val="none"/>
                    </w:rPr>
                    <w:t>粉料烘干</w:t>
                  </w:r>
                </w:p>
              </w:tc>
            </w:tr>
            <w:tr w14:paraId="66A4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shd w:val="clear" w:color="auto" w:fill="auto"/>
                  <w:vAlign w:val="center"/>
                </w:tcPr>
                <w:p w14:paraId="670ECE5D">
                  <w:pPr>
                    <w:widowControl/>
                    <w:jc w:val="center"/>
                    <w:textAlignment w:val="center"/>
                    <w:rPr>
                      <w:rFonts w:hint="eastAsia"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3</w:t>
                  </w:r>
                </w:p>
              </w:tc>
              <w:tc>
                <w:tcPr>
                  <w:tcW w:w="1030" w:type="pct"/>
                  <w:shd w:val="clear" w:color="auto" w:fill="auto"/>
                  <w:vAlign w:val="center"/>
                </w:tcPr>
                <w:p w14:paraId="18026007">
                  <w:pPr>
                    <w:jc w:val="center"/>
                    <w:rPr>
                      <w:rFonts w:hint="eastAsia" w:ascii="宋体" w:hAnsi="宋体" w:eastAsia="宋体"/>
                      <w:bCs/>
                      <w:highlight w:val="none"/>
                      <w:lang w:val="en-US" w:eastAsia="zh-CN"/>
                    </w:rPr>
                  </w:pPr>
                  <w:r>
                    <w:rPr>
                      <w:rFonts w:hint="eastAsia" w:ascii="宋体" w:hAnsi="宋体"/>
                      <w:bCs/>
                      <w:highlight w:val="none"/>
                      <w:lang w:val="en-US" w:eastAsia="zh-CN"/>
                    </w:rPr>
                    <w:t>燃烧炉</w:t>
                  </w:r>
                </w:p>
              </w:tc>
              <w:tc>
                <w:tcPr>
                  <w:tcW w:w="1117" w:type="pct"/>
                  <w:shd w:val="clear" w:color="auto" w:fill="auto"/>
                  <w:vAlign w:val="center"/>
                </w:tcPr>
                <w:p w14:paraId="0EF3CB5D">
                  <w:pPr>
                    <w:jc w:val="center"/>
                    <w:rPr>
                      <w:rFonts w:hint="eastAsia" w:eastAsia="宋体"/>
                      <w:szCs w:val="21"/>
                      <w:highlight w:val="none"/>
                      <w:lang w:val="en-US" w:eastAsia="zh-CN"/>
                    </w:rPr>
                  </w:pPr>
                  <w:r>
                    <w:rPr>
                      <w:rFonts w:hint="eastAsia"/>
                      <w:szCs w:val="21"/>
                      <w:highlight w:val="none"/>
                      <w:lang w:val="en-US" w:eastAsia="zh-CN"/>
                    </w:rPr>
                    <w:t>自制</w:t>
                  </w:r>
                </w:p>
              </w:tc>
              <w:tc>
                <w:tcPr>
                  <w:tcW w:w="546" w:type="pct"/>
                  <w:shd w:val="clear" w:color="auto" w:fill="auto"/>
                  <w:vAlign w:val="center"/>
                </w:tcPr>
                <w:p w14:paraId="62AF68D4">
                  <w:pPr>
                    <w:pStyle w:val="19"/>
                    <w:adjustRightInd w:val="0"/>
                    <w:snapToGrid w:val="0"/>
                    <w:jc w:val="center"/>
                    <w:rPr>
                      <w:rFonts w:hint="default" w:ascii="Times New Roman" w:hAnsi="Times New Roman" w:cs="Times New Roman"/>
                      <w:bCs/>
                      <w:highlight w:val="none"/>
                      <w:lang w:val="en-US" w:eastAsia="zh-CN"/>
                    </w:rPr>
                  </w:pPr>
                  <w:r>
                    <w:rPr>
                      <w:rFonts w:hint="eastAsia" w:ascii="Times New Roman" w:hAnsi="Times New Roman" w:cs="Times New Roman"/>
                      <w:bCs/>
                      <w:highlight w:val="none"/>
                      <w:lang w:val="en-US" w:eastAsia="zh-CN"/>
                    </w:rPr>
                    <w:t>台</w:t>
                  </w:r>
                </w:p>
              </w:tc>
              <w:tc>
                <w:tcPr>
                  <w:tcW w:w="488" w:type="pct"/>
                  <w:shd w:val="clear" w:color="auto" w:fill="auto"/>
                  <w:vAlign w:val="center"/>
                </w:tcPr>
                <w:p w14:paraId="5195A0DF">
                  <w:pPr>
                    <w:jc w:val="center"/>
                    <w:rPr>
                      <w:rFonts w:hint="default"/>
                      <w:bCs/>
                      <w:highlight w:val="none"/>
                      <w:lang w:val="en-US" w:eastAsia="zh-CN"/>
                    </w:rPr>
                  </w:pPr>
                  <w:r>
                    <w:rPr>
                      <w:rFonts w:hint="eastAsia"/>
                      <w:bCs/>
                      <w:highlight w:val="none"/>
                      <w:lang w:val="en-US" w:eastAsia="zh-CN"/>
                    </w:rPr>
                    <w:t>1</w:t>
                  </w:r>
                </w:p>
              </w:tc>
              <w:tc>
                <w:tcPr>
                  <w:tcW w:w="1308" w:type="pct"/>
                  <w:shd w:val="clear" w:color="auto" w:fill="auto"/>
                  <w:vAlign w:val="center"/>
                </w:tcPr>
                <w:p w14:paraId="113E3ED0">
                  <w:pPr>
                    <w:jc w:val="center"/>
                    <w:rPr>
                      <w:rFonts w:hint="default" w:ascii="宋体" w:hAnsi="宋体" w:eastAsia="宋体"/>
                      <w:bCs/>
                      <w:highlight w:val="none"/>
                      <w:lang w:val="en-US" w:eastAsia="zh-CN"/>
                    </w:rPr>
                  </w:pPr>
                  <w:r>
                    <w:rPr>
                      <w:rFonts w:hint="eastAsia" w:ascii="宋体" w:hAnsi="宋体"/>
                      <w:bCs/>
                      <w:highlight w:val="none"/>
                      <w:lang w:val="en-US" w:eastAsia="zh-CN"/>
                    </w:rPr>
                    <w:t>烘干机配套热源，燃烧制棒和炭化废气以及生物质成型燃料</w:t>
                  </w:r>
                </w:p>
              </w:tc>
            </w:tr>
            <w:tr w14:paraId="762A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shd w:val="clear" w:color="auto" w:fill="auto"/>
                  <w:vAlign w:val="center"/>
                </w:tcPr>
                <w:p w14:paraId="0BA2A1D1">
                  <w:pPr>
                    <w:widowControl/>
                    <w:jc w:val="center"/>
                    <w:textAlignment w:val="center"/>
                    <w:rPr>
                      <w:rFonts w:hint="eastAsia" w:ascii="Times New Roman" w:hAnsi="Times New Roman" w:eastAsia="宋体" w:cs="Times New Roman"/>
                      <w:bCs/>
                      <w:kern w:val="0"/>
                      <w:sz w:val="21"/>
                      <w:szCs w:val="24"/>
                      <w:highlight w:val="none"/>
                      <w:lang w:val="en-US" w:eastAsia="zh-CN" w:bidi="ar-SA"/>
                    </w:rPr>
                  </w:pPr>
                  <w:r>
                    <w:rPr>
                      <w:rFonts w:hint="eastAsia"/>
                      <w:bCs/>
                      <w:kern w:val="0"/>
                      <w:highlight w:val="none"/>
                      <w:lang w:val="en-US" w:eastAsia="zh-CN"/>
                    </w:rPr>
                    <w:t>4</w:t>
                  </w:r>
                </w:p>
              </w:tc>
              <w:tc>
                <w:tcPr>
                  <w:tcW w:w="1030" w:type="pct"/>
                  <w:shd w:val="clear" w:color="auto" w:fill="auto"/>
                  <w:vAlign w:val="center"/>
                </w:tcPr>
                <w:p w14:paraId="7B2F03E4">
                  <w:pPr>
                    <w:jc w:val="center"/>
                    <w:rPr>
                      <w:rFonts w:hint="default" w:ascii="Times New Roman" w:hAnsi="Times New Roman" w:eastAsia="宋体" w:cs="Times New Roman"/>
                      <w:bCs/>
                      <w:kern w:val="2"/>
                      <w:sz w:val="21"/>
                      <w:szCs w:val="24"/>
                      <w:highlight w:val="none"/>
                      <w:lang w:val="en-US" w:eastAsia="zh-CN" w:bidi="ar-SA"/>
                    </w:rPr>
                  </w:pPr>
                  <w:r>
                    <w:rPr>
                      <w:rFonts w:ascii="宋体" w:hAnsi="宋体"/>
                      <w:bCs/>
                      <w:highlight w:val="none"/>
                    </w:rPr>
                    <w:t>制棒机</w:t>
                  </w:r>
                </w:p>
              </w:tc>
              <w:tc>
                <w:tcPr>
                  <w:tcW w:w="1117" w:type="pct"/>
                  <w:shd w:val="clear" w:color="auto" w:fill="auto"/>
                  <w:vAlign w:val="center"/>
                </w:tcPr>
                <w:p w14:paraId="08D26A48">
                  <w:pPr>
                    <w:jc w:val="center"/>
                    <w:rPr>
                      <w:rFonts w:hint="eastAsia" w:ascii="Times New Roman" w:hAnsi="Times New Roman" w:eastAsia="宋体" w:cs="Times New Roman"/>
                      <w:bCs/>
                      <w:kern w:val="2"/>
                      <w:sz w:val="21"/>
                      <w:szCs w:val="24"/>
                      <w:highlight w:val="none"/>
                      <w:lang w:val="en-US" w:eastAsia="zh-CN" w:bidi="ar-SA"/>
                    </w:rPr>
                  </w:pPr>
                  <w:r>
                    <w:rPr>
                      <w:rFonts w:hint="eastAsia" w:ascii="Times New Roman" w:hAnsi="Times New Roman" w:cs="Times New Roman"/>
                      <w:color w:val="000000"/>
                      <w:szCs w:val="21"/>
                      <w:highlight w:val="none"/>
                      <w:lang w:bidi="ar"/>
                    </w:rPr>
                    <w:t>22kw</w:t>
                  </w:r>
                </w:p>
              </w:tc>
              <w:tc>
                <w:tcPr>
                  <w:tcW w:w="546" w:type="pct"/>
                  <w:shd w:val="clear" w:color="auto" w:fill="auto"/>
                  <w:vAlign w:val="center"/>
                </w:tcPr>
                <w:p w14:paraId="5D99F52B">
                  <w:pPr>
                    <w:pStyle w:val="19"/>
                    <w:adjustRightInd w:val="0"/>
                    <w:snapToGrid w:val="0"/>
                    <w:jc w:val="center"/>
                    <w:rPr>
                      <w:rFonts w:hint="default" w:ascii="Times New Roman" w:hAnsi="Times New Roman" w:eastAsia="宋体" w:cs="Times New Roman"/>
                      <w:bCs/>
                      <w:kern w:val="2"/>
                      <w:sz w:val="21"/>
                      <w:szCs w:val="21"/>
                      <w:highlight w:val="none"/>
                      <w:lang w:val="en-US" w:eastAsia="zh-CN" w:bidi="ar-SA"/>
                    </w:rPr>
                  </w:pPr>
                  <w:r>
                    <w:rPr>
                      <w:rFonts w:hAnsi="宋体" w:cs="Times New Roman"/>
                      <w:bCs/>
                      <w:highlight w:val="none"/>
                    </w:rPr>
                    <w:t>台</w:t>
                  </w:r>
                </w:p>
              </w:tc>
              <w:tc>
                <w:tcPr>
                  <w:tcW w:w="488" w:type="pct"/>
                  <w:shd w:val="clear" w:color="auto" w:fill="auto"/>
                  <w:vAlign w:val="center"/>
                </w:tcPr>
                <w:p w14:paraId="5083E8AF">
                  <w:pPr>
                    <w:jc w:val="center"/>
                    <w:rPr>
                      <w:rFonts w:hint="default"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8</w:t>
                  </w:r>
                </w:p>
              </w:tc>
              <w:tc>
                <w:tcPr>
                  <w:tcW w:w="1308" w:type="pct"/>
                  <w:shd w:val="clear" w:color="auto" w:fill="auto"/>
                  <w:vAlign w:val="center"/>
                </w:tcPr>
                <w:p w14:paraId="681FBCA5">
                  <w:pPr>
                    <w:jc w:val="center"/>
                    <w:rPr>
                      <w:rFonts w:hint="eastAsia" w:ascii="Times New Roman" w:hAnsi="Times New Roman" w:eastAsia="宋体" w:cs="Times New Roman"/>
                      <w:bCs/>
                      <w:kern w:val="2"/>
                      <w:sz w:val="21"/>
                      <w:szCs w:val="24"/>
                      <w:highlight w:val="none"/>
                      <w:lang w:val="en-US" w:eastAsia="zh-CN" w:bidi="ar-SA"/>
                    </w:rPr>
                  </w:pPr>
                  <w:r>
                    <w:rPr>
                      <w:rFonts w:ascii="宋体" w:hAnsi="宋体"/>
                      <w:bCs/>
                      <w:highlight w:val="none"/>
                    </w:rPr>
                    <w:t>制炭棒</w:t>
                  </w:r>
                </w:p>
              </w:tc>
            </w:tr>
            <w:tr w14:paraId="41BC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shd w:val="clear" w:color="auto" w:fill="auto"/>
                  <w:vAlign w:val="center"/>
                </w:tcPr>
                <w:p w14:paraId="6DC744A6">
                  <w:pPr>
                    <w:widowControl/>
                    <w:jc w:val="center"/>
                    <w:textAlignment w:val="center"/>
                    <w:rPr>
                      <w:rFonts w:hint="eastAsia"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5</w:t>
                  </w:r>
                </w:p>
              </w:tc>
              <w:tc>
                <w:tcPr>
                  <w:tcW w:w="1030" w:type="pct"/>
                  <w:shd w:val="clear" w:color="auto" w:fill="auto"/>
                  <w:vAlign w:val="center"/>
                </w:tcPr>
                <w:p w14:paraId="7BF92933">
                  <w:pPr>
                    <w:jc w:val="center"/>
                    <w:rPr>
                      <w:rFonts w:hint="default"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分离器</w:t>
                  </w:r>
                </w:p>
              </w:tc>
              <w:tc>
                <w:tcPr>
                  <w:tcW w:w="1117" w:type="pct"/>
                  <w:shd w:val="clear" w:color="auto" w:fill="auto"/>
                  <w:vAlign w:val="center"/>
                </w:tcPr>
                <w:p w14:paraId="542EE236">
                  <w:pPr>
                    <w:jc w:val="center"/>
                    <w:rPr>
                      <w:rFonts w:hint="eastAsia"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3</w:t>
                  </w:r>
                  <w:r>
                    <w:rPr>
                      <w:rFonts w:hint="eastAsia"/>
                      <w:szCs w:val="21"/>
                      <w:highlight w:val="none"/>
                      <w:lang w:val="en-US" w:eastAsia="zh-CN"/>
                    </w:rPr>
                    <w:t>×7.5</w:t>
                  </w:r>
                  <w:r>
                    <w:rPr>
                      <w:rFonts w:hint="eastAsia"/>
                      <w:szCs w:val="21"/>
                      <w:highlight w:val="none"/>
                    </w:rPr>
                    <w:t>m</w:t>
                  </w:r>
                </w:p>
              </w:tc>
              <w:tc>
                <w:tcPr>
                  <w:tcW w:w="546" w:type="pct"/>
                  <w:shd w:val="clear" w:color="auto" w:fill="auto"/>
                  <w:vAlign w:val="center"/>
                </w:tcPr>
                <w:p w14:paraId="413DBB50">
                  <w:pPr>
                    <w:pStyle w:val="19"/>
                    <w:adjustRightInd w:val="0"/>
                    <w:snapToGrid w:val="0"/>
                    <w:jc w:val="center"/>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cs="Times New Roman"/>
                      <w:bCs/>
                      <w:highlight w:val="none"/>
                      <w:lang w:val="en-US" w:eastAsia="zh-CN"/>
                    </w:rPr>
                    <w:t>台</w:t>
                  </w:r>
                </w:p>
              </w:tc>
              <w:tc>
                <w:tcPr>
                  <w:tcW w:w="488" w:type="pct"/>
                  <w:shd w:val="clear" w:color="auto" w:fill="auto"/>
                  <w:vAlign w:val="center"/>
                </w:tcPr>
                <w:p w14:paraId="50CC7009">
                  <w:pPr>
                    <w:jc w:val="center"/>
                    <w:rPr>
                      <w:rFonts w:hint="default"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1</w:t>
                  </w:r>
                </w:p>
              </w:tc>
              <w:tc>
                <w:tcPr>
                  <w:tcW w:w="1308" w:type="pct"/>
                  <w:shd w:val="clear" w:color="auto" w:fill="auto"/>
                  <w:vAlign w:val="center"/>
                </w:tcPr>
                <w:p w14:paraId="53F69BEF">
                  <w:pPr>
                    <w:jc w:val="center"/>
                    <w:rPr>
                      <w:rFonts w:hint="default"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w:t>
                  </w:r>
                </w:p>
              </w:tc>
            </w:tr>
            <w:tr w14:paraId="00B2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shd w:val="clear" w:color="auto" w:fill="auto"/>
                  <w:vAlign w:val="center"/>
                </w:tcPr>
                <w:p w14:paraId="536EA57A">
                  <w:pPr>
                    <w:widowControl/>
                    <w:jc w:val="center"/>
                    <w:textAlignment w:val="center"/>
                    <w:rPr>
                      <w:rFonts w:hint="eastAsia"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6</w:t>
                  </w:r>
                </w:p>
              </w:tc>
              <w:tc>
                <w:tcPr>
                  <w:tcW w:w="1030" w:type="pct"/>
                  <w:shd w:val="clear" w:color="auto" w:fill="auto"/>
                  <w:vAlign w:val="center"/>
                </w:tcPr>
                <w:p w14:paraId="21D5887E">
                  <w:pPr>
                    <w:jc w:val="center"/>
                    <w:rPr>
                      <w:rFonts w:hint="default" w:ascii="宋体" w:hAnsi="宋体" w:eastAsia="宋体" w:cs="Times New Roman"/>
                      <w:bCs/>
                      <w:kern w:val="2"/>
                      <w:sz w:val="21"/>
                      <w:szCs w:val="24"/>
                      <w:highlight w:val="none"/>
                      <w:lang w:val="en-US" w:eastAsia="zh-CN" w:bidi="ar-SA"/>
                    </w:rPr>
                  </w:pPr>
                  <w:r>
                    <w:rPr>
                      <w:rFonts w:hint="eastAsia" w:ascii="宋体" w:hAnsi="宋体"/>
                      <w:bCs/>
                      <w:highlight w:val="none"/>
                      <w:lang w:val="en-US" w:eastAsia="zh-CN"/>
                    </w:rPr>
                    <w:t>风冷桶</w:t>
                  </w:r>
                </w:p>
              </w:tc>
              <w:tc>
                <w:tcPr>
                  <w:tcW w:w="1117" w:type="pct"/>
                  <w:shd w:val="clear" w:color="auto" w:fill="auto"/>
                  <w:vAlign w:val="center"/>
                </w:tcPr>
                <w:p w14:paraId="1C996D32">
                  <w:pPr>
                    <w:jc w:val="center"/>
                    <w:rPr>
                      <w:rFonts w:hint="eastAsia" w:ascii="Times New Roman" w:hAnsi="Times New Roman" w:eastAsia="宋体" w:cs="Times New Roman"/>
                      <w:kern w:val="2"/>
                      <w:sz w:val="21"/>
                      <w:szCs w:val="21"/>
                      <w:highlight w:val="none"/>
                      <w:lang w:val="en-US" w:eastAsia="zh-CN" w:bidi="ar-SA"/>
                    </w:rPr>
                  </w:pPr>
                  <w:r>
                    <w:rPr>
                      <w:rFonts w:hint="eastAsia"/>
                      <w:bCs/>
                      <w:highlight w:val="none"/>
                      <w:lang w:val="en-US" w:eastAsia="zh-CN"/>
                    </w:rPr>
                    <w:t>2.5</w:t>
                  </w:r>
                  <w:r>
                    <w:rPr>
                      <w:rFonts w:hint="eastAsia"/>
                      <w:szCs w:val="21"/>
                      <w:highlight w:val="none"/>
                      <w:lang w:val="en-US" w:eastAsia="zh-CN"/>
                    </w:rPr>
                    <w:t>×</w:t>
                  </w:r>
                  <w:r>
                    <w:rPr>
                      <w:rFonts w:hint="eastAsia"/>
                      <w:szCs w:val="21"/>
                      <w:highlight w:val="none"/>
                    </w:rPr>
                    <w:t>φ</w:t>
                  </w:r>
                  <w:r>
                    <w:rPr>
                      <w:rFonts w:hint="eastAsia"/>
                      <w:szCs w:val="21"/>
                      <w:highlight w:val="none"/>
                      <w:lang w:val="en-US" w:eastAsia="zh-CN"/>
                    </w:rPr>
                    <w:t>5</w:t>
                  </w:r>
                  <w:r>
                    <w:rPr>
                      <w:rFonts w:hint="eastAsia"/>
                      <w:szCs w:val="21"/>
                      <w:highlight w:val="none"/>
                    </w:rPr>
                    <w:t>m</w:t>
                  </w:r>
                </w:p>
              </w:tc>
              <w:tc>
                <w:tcPr>
                  <w:tcW w:w="546" w:type="pct"/>
                  <w:shd w:val="clear" w:color="auto" w:fill="auto"/>
                  <w:vAlign w:val="center"/>
                </w:tcPr>
                <w:p w14:paraId="12976C92">
                  <w:pPr>
                    <w:pStyle w:val="19"/>
                    <w:adjustRightInd w:val="0"/>
                    <w:snapToGrid w:val="0"/>
                    <w:jc w:val="center"/>
                    <w:rPr>
                      <w:rFonts w:hint="default" w:ascii="Times New Roman" w:hAnsi="Times New Roman" w:eastAsia="宋体" w:cs="Times New Roman"/>
                      <w:bCs/>
                      <w:kern w:val="2"/>
                      <w:sz w:val="21"/>
                      <w:szCs w:val="21"/>
                      <w:highlight w:val="none"/>
                      <w:lang w:val="en-US" w:eastAsia="zh-CN" w:bidi="ar-SA"/>
                    </w:rPr>
                  </w:pPr>
                  <w:r>
                    <w:rPr>
                      <w:rFonts w:hint="eastAsia" w:ascii="Times New Roman" w:hAnsi="Times New Roman" w:cs="Times New Roman"/>
                      <w:bCs/>
                      <w:highlight w:val="none"/>
                      <w:lang w:val="en-US" w:eastAsia="zh-CN"/>
                    </w:rPr>
                    <w:t>台</w:t>
                  </w:r>
                </w:p>
              </w:tc>
              <w:tc>
                <w:tcPr>
                  <w:tcW w:w="488" w:type="pct"/>
                  <w:shd w:val="clear" w:color="auto" w:fill="auto"/>
                  <w:vAlign w:val="center"/>
                </w:tcPr>
                <w:p w14:paraId="0C6D95E6">
                  <w:pPr>
                    <w:jc w:val="center"/>
                    <w:rPr>
                      <w:rFonts w:hint="default"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1</w:t>
                  </w:r>
                </w:p>
              </w:tc>
              <w:tc>
                <w:tcPr>
                  <w:tcW w:w="1308" w:type="pct"/>
                  <w:shd w:val="clear" w:color="auto" w:fill="auto"/>
                  <w:vAlign w:val="center"/>
                </w:tcPr>
                <w:p w14:paraId="7C22BB03">
                  <w:pPr>
                    <w:jc w:val="center"/>
                    <w:rPr>
                      <w:rFonts w:hint="default" w:ascii="宋体" w:hAnsi="宋体" w:eastAsia="宋体" w:cs="Times New Roman"/>
                      <w:bCs/>
                      <w:kern w:val="2"/>
                      <w:sz w:val="21"/>
                      <w:szCs w:val="24"/>
                      <w:highlight w:val="none"/>
                      <w:lang w:val="en-US" w:eastAsia="zh-CN" w:bidi="ar-SA"/>
                    </w:rPr>
                  </w:pPr>
                  <w:r>
                    <w:rPr>
                      <w:rFonts w:hint="eastAsia" w:ascii="宋体" w:hAnsi="宋体"/>
                      <w:bCs/>
                      <w:highlight w:val="none"/>
                      <w:lang w:val="en-US" w:eastAsia="zh-CN"/>
                    </w:rPr>
                    <w:t>/</w:t>
                  </w:r>
                </w:p>
              </w:tc>
            </w:tr>
            <w:tr w14:paraId="578D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shd w:val="clear" w:color="auto" w:fill="auto"/>
                  <w:vAlign w:val="center"/>
                </w:tcPr>
                <w:p w14:paraId="6680923E">
                  <w:pPr>
                    <w:widowControl/>
                    <w:jc w:val="center"/>
                    <w:textAlignment w:val="center"/>
                    <w:rPr>
                      <w:rFonts w:hint="eastAsia"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7</w:t>
                  </w:r>
                </w:p>
              </w:tc>
              <w:tc>
                <w:tcPr>
                  <w:tcW w:w="1030" w:type="pct"/>
                  <w:vAlign w:val="center"/>
                </w:tcPr>
                <w:p w14:paraId="18546D4F">
                  <w:pPr>
                    <w:jc w:val="center"/>
                    <w:rPr>
                      <w:rFonts w:hint="eastAsia" w:ascii="Times New Roman" w:hAnsi="Times New Roman" w:eastAsia="宋体" w:cs="Times New Roman"/>
                      <w:bCs/>
                      <w:kern w:val="2"/>
                      <w:sz w:val="21"/>
                      <w:szCs w:val="24"/>
                      <w:highlight w:val="none"/>
                      <w:lang w:val="en-US" w:eastAsia="zh-CN" w:bidi="ar-SA"/>
                    </w:rPr>
                  </w:pPr>
                  <w:r>
                    <w:rPr>
                      <w:rFonts w:ascii="宋体" w:hAnsi="宋体"/>
                      <w:bCs/>
                      <w:highlight w:val="none"/>
                    </w:rPr>
                    <w:t>炭化</w:t>
                  </w:r>
                  <w:r>
                    <w:rPr>
                      <w:rFonts w:hint="eastAsia" w:ascii="宋体" w:hAnsi="宋体"/>
                      <w:bCs/>
                      <w:highlight w:val="none"/>
                      <w:lang w:val="en-US" w:eastAsia="zh-CN"/>
                    </w:rPr>
                    <w:t>窑</w:t>
                  </w:r>
                </w:p>
              </w:tc>
              <w:tc>
                <w:tcPr>
                  <w:tcW w:w="1117" w:type="pct"/>
                  <w:vAlign w:val="center"/>
                </w:tcPr>
                <w:p w14:paraId="459746C6">
                  <w:pPr>
                    <w:jc w:val="center"/>
                    <w:rPr>
                      <w:rFonts w:ascii="Times New Roman" w:hAnsi="Times New Roman" w:eastAsia="宋体" w:cs="Times New Roman"/>
                      <w:bCs/>
                      <w:kern w:val="2"/>
                      <w:sz w:val="21"/>
                      <w:szCs w:val="24"/>
                      <w:highlight w:val="none"/>
                      <w:lang w:val="en-US" w:eastAsia="zh-CN" w:bidi="ar-SA"/>
                    </w:rPr>
                  </w:pPr>
                  <w:r>
                    <w:rPr>
                      <w:rFonts w:hint="eastAsia" w:cs="Times New Roman"/>
                      <w:color w:val="auto"/>
                      <w:szCs w:val="21"/>
                      <w:highlight w:val="none"/>
                      <w:lang w:val="en-US" w:eastAsia="zh-CN" w:bidi="ar"/>
                    </w:rPr>
                    <w:t>1.5×1.5×1.5</w:t>
                  </w:r>
                  <w:r>
                    <w:rPr>
                      <w:rFonts w:hint="eastAsia" w:ascii="Times New Roman" w:hAnsi="Times New Roman" w:cs="Times New Roman"/>
                      <w:color w:val="auto"/>
                      <w:szCs w:val="21"/>
                      <w:highlight w:val="none"/>
                      <w:lang w:bidi="ar"/>
                    </w:rPr>
                    <w:t>m</w:t>
                  </w:r>
                </w:p>
              </w:tc>
              <w:tc>
                <w:tcPr>
                  <w:tcW w:w="546" w:type="pct"/>
                  <w:vAlign w:val="center"/>
                </w:tcPr>
                <w:p w14:paraId="020372B1">
                  <w:pPr>
                    <w:pStyle w:val="19"/>
                    <w:adjustRightInd w:val="0"/>
                    <w:snapToGrid w:val="0"/>
                    <w:jc w:val="center"/>
                    <w:rPr>
                      <w:rFonts w:ascii="Times New Roman" w:hAnsi="Times New Roman" w:eastAsia="宋体" w:cs="Times New Roman"/>
                      <w:bCs/>
                      <w:kern w:val="2"/>
                      <w:sz w:val="21"/>
                      <w:szCs w:val="21"/>
                      <w:highlight w:val="none"/>
                      <w:lang w:val="en-US" w:eastAsia="zh-CN" w:bidi="ar-SA"/>
                    </w:rPr>
                  </w:pPr>
                  <w:r>
                    <w:rPr>
                      <w:rFonts w:hAnsi="宋体" w:cs="Times New Roman"/>
                      <w:bCs/>
                      <w:highlight w:val="none"/>
                    </w:rPr>
                    <w:t>个</w:t>
                  </w:r>
                </w:p>
              </w:tc>
              <w:tc>
                <w:tcPr>
                  <w:tcW w:w="488" w:type="pct"/>
                  <w:vAlign w:val="center"/>
                </w:tcPr>
                <w:p w14:paraId="6A549B2A">
                  <w:pPr>
                    <w:jc w:val="center"/>
                    <w:rPr>
                      <w:rFonts w:hint="default"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32</w:t>
                  </w:r>
                </w:p>
              </w:tc>
              <w:tc>
                <w:tcPr>
                  <w:tcW w:w="1308" w:type="pct"/>
                  <w:vAlign w:val="center"/>
                </w:tcPr>
                <w:p w14:paraId="2FC7790E">
                  <w:pPr>
                    <w:jc w:val="center"/>
                    <w:rPr>
                      <w:rFonts w:ascii="宋体" w:hAnsi="宋体" w:eastAsia="宋体" w:cs="Times New Roman"/>
                      <w:bCs/>
                      <w:kern w:val="2"/>
                      <w:sz w:val="21"/>
                      <w:szCs w:val="24"/>
                      <w:highlight w:val="none"/>
                      <w:lang w:val="en-US" w:eastAsia="zh-CN" w:bidi="ar-SA"/>
                    </w:rPr>
                  </w:pPr>
                  <w:r>
                    <w:rPr>
                      <w:rFonts w:ascii="宋体" w:hAnsi="宋体"/>
                      <w:bCs/>
                      <w:highlight w:val="none"/>
                    </w:rPr>
                    <w:t>炭化</w:t>
                  </w:r>
                </w:p>
              </w:tc>
            </w:tr>
            <w:tr w14:paraId="70BC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shd w:val="clear" w:color="auto" w:fill="auto"/>
                  <w:vAlign w:val="center"/>
                </w:tcPr>
                <w:p w14:paraId="232214DF">
                  <w:pPr>
                    <w:widowControl/>
                    <w:jc w:val="center"/>
                    <w:textAlignment w:val="center"/>
                    <w:rPr>
                      <w:rFonts w:hint="eastAsia"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8</w:t>
                  </w:r>
                </w:p>
              </w:tc>
              <w:tc>
                <w:tcPr>
                  <w:tcW w:w="1030" w:type="pct"/>
                  <w:vAlign w:val="center"/>
                </w:tcPr>
                <w:p w14:paraId="4751A7DF">
                  <w:pPr>
                    <w:jc w:val="center"/>
                    <w:rPr>
                      <w:rFonts w:hint="default" w:ascii="宋体" w:hAnsi="宋体" w:eastAsia="宋体"/>
                      <w:bCs/>
                      <w:highlight w:val="none"/>
                      <w:lang w:val="en-US" w:eastAsia="zh-CN"/>
                    </w:rPr>
                  </w:pPr>
                  <w:r>
                    <w:rPr>
                      <w:rFonts w:hint="eastAsia" w:ascii="宋体" w:hAnsi="宋体"/>
                      <w:bCs/>
                      <w:highlight w:val="none"/>
                      <w:lang w:val="en-US" w:eastAsia="zh-CN"/>
                    </w:rPr>
                    <w:t>传送带</w:t>
                  </w:r>
                </w:p>
              </w:tc>
              <w:tc>
                <w:tcPr>
                  <w:tcW w:w="1117" w:type="pct"/>
                  <w:vAlign w:val="center"/>
                </w:tcPr>
                <w:p w14:paraId="47F57C4E">
                  <w:pPr>
                    <w:jc w:val="center"/>
                    <w:rPr>
                      <w:rFonts w:hint="default" w:cs="Times New Roman"/>
                      <w:color w:val="auto"/>
                      <w:szCs w:val="21"/>
                      <w:highlight w:val="none"/>
                      <w:lang w:val="en-US" w:eastAsia="zh-CN" w:bidi="ar"/>
                    </w:rPr>
                  </w:pPr>
                  <w:r>
                    <w:rPr>
                      <w:rFonts w:hint="eastAsia" w:cs="Times New Roman"/>
                      <w:color w:val="auto"/>
                      <w:szCs w:val="21"/>
                      <w:highlight w:val="none"/>
                      <w:lang w:val="en-US" w:eastAsia="zh-CN" w:bidi="ar"/>
                    </w:rPr>
                    <w:t>3kw</w:t>
                  </w:r>
                </w:p>
              </w:tc>
              <w:tc>
                <w:tcPr>
                  <w:tcW w:w="546" w:type="pct"/>
                  <w:vAlign w:val="center"/>
                </w:tcPr>
                <w:p w14:paraId="0619CE9A">
                  <w:pPr>
                    <w:pStyle w:val="19"/>
                    <w:adjustRightInd w:val="0"/>
                    <w:snapToGrid w:val="0"/>
                    <w:jc w:val="center"/>
                    <w:rPr>
                      <w:rFonts w:hint="eastAsia" w:hAnsi="宋体" w:eastAsia="宋体" w:cs="Times New Roman"/>
                      <w:bCs/>
                      <w:highlight w:val="none"/>
                      <w:lang w:val="en-US" w:eastAsia="zh-CN"/>
                    </w:rPr>
                  </w:pPr>
                  <w:r>
                    <w:rPr>
                      <w:rFonts w:hint="eastAsia" w:hAnsi="宋体" w:cs="Times New Roman"/>
                      <w:bCs/>
                      <w:highlight w:val="none"/>
                      <w:lang w:val="en-US" w:eastAsia="zh-CN"/>
                    </w:rPr>
                    <w:t>台</w:t>
                  </w:r>
                </w:p>
              </w:tc>
              <w:tc>
                <w:tcPr>
                  <w:tcW w:w="488" w:type="pct"/>
                  <w:vAlign w:val="center"/>
                </w:tcPr>
                <w:p w14:paraId="08279B51">
                  <w:pPr>
                    <w:jc w:val="center"/>
                    <w:rPr>
                      <w:rFonts w:hint="default"/>
                      <w:bCs/>
                      <w:highlight w:val="none"/>
                      <w:lang w:val="en-US" w:eastAsia="zh-CN"/>
                    </w:rPr>
                  </w:pPr>
                  <w:r>
                    <w:rPr>
                      <w:rFonts w:hint="eastAsia"/>
                      <w:bCs/>
                      <w:highlight w:val="none"/>
                      <w:lang w:val="en-US" w:eastAsia="zh-CN"/>
                    </w:rPr>
                    <w:t>2</w:t>
                  </w:r>
                </w:p>
              </w:tc>
              <w:tc>
                <w:tcPr>
                  <w:tcW w:w="1308" w:type="pct"/>
                  <w:vAlign w:val="center"/>
                </w:tcPr>
                <w:p w14:paraId="26B35575">
                  <w:pPr>
                    <w:jc w:val="center"/>
                    <w:rPr>
                      <w:rFonts w:hint="eastAsia" w:ascii="宋体" w:hAnsi="宋体" w:eastAsia="宋体"/>
                      <w:bCs/>
                      <w:highlight w:val="none"/>
                      <w:lang w:val="en-US" w:eastAsia="zh-CN"/>
                    </w:rPr>
                  </w:pPr>
                  <w:r>
                    <w:rPr>
                      <w:rFonts w:hint="eastAsia" w:ascii="宋体" w:hAnsi="宋体"/>
                      <w:bCs/>
                      <w:highlight w:val="none"/>
                      <w:lang w:val="en-US" w:eastAsia="zh-CN"/>
                    </w:rPr>
                    <w:t>/</w:t>
                  </w:r>
                </w:p>
              </w:tc>
            </w:tr>
            <w:tr w14:paraId="5A2E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shd w:val="clear" w:color="auto" w:fill="auto"/>
                  <w:vAlign w:val="center"/>
                </w:tcPr>
                <w:p w14:paraId="7E75560D">
                  <w:pPr>
                    <w:widowControl/>
                    <w:jc w:val="center"/>
                    <w:textAlignment w:val="center"/>
                    <w:rPr>
                      <w:rFonts w:hint="eastAsia"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9</w:t>
                  </w:r>
                </w:p>
              </w:tc>
              <w:tc>
                <w:tcPr>
                  <w:tcW w:w="1030" w:type="pct"/>
                  <w:vAlign w:val="center"/>
                </w:tcPr>
                <w:p w14:paraId="638F0AC5">
                  <w:pPr>
                    <w:jc w:val="center"/>
                    <w:rPr>
                      <w:rFonts w:hint="eastAsia" w:ascii="宋体" w:hAnsi="宋体" w:eastAsia="宋体"/>
                      <w:bCs/>
                      <w:highlight w:val="none"/>
                      <w:lang w:val="en-US" w:eastAsia="zh-CN"/>
                    </w:rPr>
                  </w:pPr>
                  <w:r>
                    <w:rPr>
                      <w:rFonts w:hint="eastAsia" w:ascii="宋体" w:hAnsi="宋体"/>
                      <w:bCs/>
                      <w:highlight w:val="none"/>
                      <w:lang w:val="en-US" w:eastAsia="zh-CN"/>
                    </w:rPr>
                    <w:t>航吊</w:t>
                  </w:r>
                </w:p>
              </w:tc>
              <w:tc>
                <w:tcPr>
                  <w:tcW w:w="1117" w:type="pct"/>
                  <w:vAlign w:val="center"/>
                </w:tcPr>
                <w:p w14:paraId="43C7B8DD">
                  <w:pPr>
                    <w:jc w:val="center"/>
                    <w:rPr>
                      <w:rFonts w:hint="default" w:cs="Times New Roman"/>
                      <w:color w:val="auto"/>
                      <w:szCs w:val="21"/>
                      <w:highlight w:val="none"/>
                      <w:lang w:val="en-US" w:eastAsia="zh-CN" w:bidi="ar"/>
                    </w:rPr>
                  </w:pPr>
                  <w:r>
                    <w:rPr>
                      <w:rFonts w:hint="eastAsia" w:cs="Times New Roman"/>
                      <w:color w:val="auto"/>
                      <w:szCs w:val="21"/>
                      <w:highlight w:val="none"/>
                      <w:lang w:val="en-US" w:eastAsia="zh-CN" w:bidi="ar"/>
                    </w:rPr>
                    <w:t>2t</w:t>
                  </w:r>
                </w:p>
              </w:tc>
              <w:tc>
                <w:tcPr>
                  <w:tcW w:w="546" w:type="pct"/>
                  <w:vAlign w:val="center"/>
                </w:tcPr>
                <w:p w14:paraId="5A74D65D">
                  <w:pPr>
                    <w:pStyle w:val="19"/>
                    <w:adjustRightInd w:val="0"/>
                    <w:snapToGrid w:val="0"/>
                    <w:jc w:val="center"/>
                    <w:rPr>
                      <w:rFonts w:hint="default" w:hAnsi="宋体" w:eastAsia="宋体" w:cs="Times New Roman"/>
                      <w:bCs/>
                      <w:highlight w:val="none"/>
                      <w:lang w:val="en-US" w:eastAsia="zh-CN"/>
                    </w:rPr>
                  </w:pPr>
                  <w:r>
                    <w:rPr>
                      <w:rFonts w:hint="eastAsia" w:hAnsi="宋体" w:cs="Times New Roman"/>
                      <w:bCs/>
                      <w:highlight w:val="none"/>
                      <w:lang w:val="en-US" w:eastAsia="zh-CN"/>
                    </w:rPr>
                    <w:t>台</w:t>
                  </w:r>
                </w:p>
              </w:tc>
              <w:tc>
                <w:tcPr>
                  <w:tcW w:w="488" w:type="pct"/>
                  <w:vAlign w:val="center"/>
                </w:tcPr>
                <w:p w14:paraId="5C6E8412">
                  <w:pPr>
                    <w:jc w:val="center"/>
                    <w:rPr>
                      <w:rFonts w:hint="default"/>
                      <w:bCs/>
                      <w:highlight w:val="none"/>
                      <w:lang w:val="en-US" w:eastAsia="zh-CN"/>
                    </w:rPr>
                  </w:pPr>
                  <w:r>
                    <w:rPr>
                      <w:rFonts w:hint="eastAsia"/>
                      <w:bCs/>
                      <w:highlight w:val="none"/>
                      <w:lang w:val="en-US" w:eastAsia="zh-CN"/>
                    </w:rPr>
                    <w:t>2</w:t>
                  </w:r>
                </w:p>
              </w:tc>
              <w:tc>
                <w:tcPr>
                  <w:tcW w:w="1308" w:type="pct"/>
                  <w:vAlign w:val="center"/>
                </w:tcPr>
                <w:p w14:paraId="3DB513EE">
                  <w:pPr>
                    <w:jc w:val="center"/>
                    <w:rPr>
                      <w:rFonts w:hint="eastAsia" w:ascii="宋体" w:hAnsi="宋体" w:eastAsia="宋体"/>
                      <w:bCs/>
                      <w:highlight w:val="none"/>
                      <w:lang w:val="en-US" w:eastAsia="zh-CN"/>
                    </w:rPr>
                  </w:pPr>
                  <w:r>
                    <w:rPr>
                      <w:rFonts w:hint="eastAsia" w:ascii="宋体" w:hAnsi="宋体"/>
                      <w:bCs/>
                      <w:highlight w:val="none"/>
                      <w:lang w:val="en-US" w:eastAsia="zh-CN"/>
                    </w:rPr>
                    <w:t>/</w:t>
                  </w:r>
                </w:p>
              </w:tc>
            </w:tr>
            <w:tr w14:paraId="281E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shd w:val="clear" w:color="auto" w:fill="auto"/>
                  <w:vAlign w:val="center"/>
                </w:tcPr>
                <w:p w14:paraId="2B5D9207">
                  <w:pPr>
                    <w:widowControl/>
                    <w:jc w:val="center"/>
                    <w:textAlignment w:val="center"/>
                    <w:rPr>
                      <w:rFonts w:hint="default"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10</w:t>
                  </w:r>
                </w:p>
              </w:tc>
              <w:tc>
                <w:tcPr>
                  <w:tcW w:w="1030" w:type="pct"/>
                  <w:vAlign w:val="center"/>
                </w:tcPr>
                <w:p w14:paraId="328F4580">
                  <w:pPr>
                    <w:jc w:val="center"/>
                    <w:rPr>
                      <w:rFonts w:hint="eastAsia" w:ascii="宋体" w:hAnsi="宋体" w:eastAsia="宋体"/>
                      <w:bCs/>
                      <w:highlight w:val="none"/>
                      <w:lang w:val="en-US" w:eastAsia="zh-CN"/>
                    </w:rPr>
                  </w:pPr>
                  <w:r>
                    <w:rPr>
                      <w:rFonts w:hint="eastAsia" w:ascii="宋体" w:hAnsi="宋体"/>
                      <w:bCs/>
                      <w:highlight w:val="none"/>
                      <w:lang w:val="en-US" w:eastAsia="zh-CN"/>
                    </w:rPr>
                    <w:t>蛟龙</w:t>
                  </w:r>
                </w:p>
              </w:tc>
              <w:tc>
                <w:tcPr>
                  <w:tcW w:w="1117" w:type="pct"/>
                  <w:vAlign w:val="center"/>
                </w:tcPr>
                <w:p w14:paraId="1785DA0D">
                  <w:pPr>
                    <w:jc w:val="center"/>
                    <w:rPr>
                      <w:rFonts w:hint="default" w:cs="Times New Roman"/>
                      <w:color w:val="auto"/>
                      <w:szCs w:val="21"/>
                      <w:highlight w:val="none"/>
                      <w:lang w:val="en-US" w:eastAsia="zh-CN" w:bidi="ar"/>
                    </w:rPr>
                  </w:pPr>
                  <w:r>
                    <w:rPr>
                      <w:rFonts w:hint="eastAsia" w:cs="Times New Roman"/>
                      <w:color w:val="auto"/>
                      <w:szCs w:val="21"/>
                      <w:highlight w:val="none"/>
                      <w:lang w:val="en-US" w:eastAsia="zh-CN" w:bidi="ar"/>
                    </w:rPr>
                    <w:t>3kw</w:t>
                  </w:r>
                </w:p>
              </w:tc>
              <w:tc>
                <w:tcPr>
                  <w:tcW w:w="546" w:type="pct"/>
                  <w:vAlign w:val="center"/>
                </w:tcPr>
                <w:p w14:paraId="33A4C0FE">
                  <w:pPr>
                    <w:pStyle w:val="19"/>
                    <w:adjustRightInd w:val="0"/>
                    <w:snapToGrid w:val="0"/>
                    <w:jc w:val="center"/>
                    <w:rPr>
                      <w:rFonts w:hint="eastAsia" w:hAnsi="宋体" w:eastAsia="宋体" w:cs="Times New Roman"/>
                      <w:bCs/>
                      <w:highlight w:val="none"/>
                      <w:lang w:val="en-US" w:eastAsia="zh-CN"/>
                    </w:rPr>
                  </w:pPr>
                  <w:r>
                    <w:rPr>
                      <w:rFonts w:hint="eastAsia" w:hAnsi="宋体" w:cs="Times New Roman"/>
                      <w:bCs/>
                      <w:highlight w:val="none"/>
                      <w:lang w:val="en-US" w:eastAsia="zh-CN"/>
                    </w:rPr>
                    <w:t>台</w:t>
                  </w:r>
                </w:p>
              </w:tc>
              <w:tc>
                <w:tcPr>
                  <w:tcW w:w="488" w:type="pct"/>
                  <w:vAlign w:val="center"/>
                </w:tcPr>
                <w:p w14:paraId="5C5CE0D2">
                  <w:pPr>
                    <w:jc w:val="center"/>
                    <w:rPr>
                      <w:rFonts w:hint="default"/>
                      <w:bCs/>
                      <w:highlight w:val="none"/>
                      <w:lang w:val="en-US" w:eastAsia="zh-CN"/>
                    </w:rPr>
                  </w:pPr>
                  <w:r>
                    <w:rPr>
                      <w:rFonts w:hint="eastAsia"/>
                      <w:bCs/>
                      <w:highlight w:val="none"/>
                      <w:lang w:val="en-US" w:eastAsia="zh-CN"/>
                    </w:rPr>
                    <w:t>2</w:t>
                  </w:r>
                </w:p>
              </w:tc>
              <w:tc>
                <w:tcPr>
                  <w:tcW w:w="1308" w:type="pct"/>
                  <w:vAlign w:val="center"/>
                </w:tcPr>
                <w:p w14:paraId="55EF4084">
                  <w:pPr>
                    <w:jc w:val="center"/>
                    <w:rPr>
                      <w:rFonts w:hint="eastAsia" w:ascii="宋体" w:hAnsi="宋体" w:eastAsia="宋体"/>
                      <w:bCs/>
                      <w:highlight w:val="none"/>
                      <w:lang w:val="en-US" w:eastAsia="zh-CN"/>
                    </w:rPr>
                  </w:pPr>
                  <w:r>
                    <w:rPr>
                      <w:rFonts w:hint="eastAsia" w:ascii="宋体" w:hAnsi="宋体"/>
                      <w:bCs/>
                      <w:highlight w:val="none"/>
                      <w:lang w:val="en-US" w:eastAsia="zh-CN"/>
                    </w:rPr>
                    <w:t>/</w:t>
                  </w:r>
                </w:p>
              </w:tc>
            </w:tr>
            <w:tr w14:paraId="62B2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8" w:type="pct"/>
                  <w:vAlign w:val="center"/>
                </w:tcPr>
                <w:p w14:paraId="261EAB2D">
                  <w:pPr>
                    <w:widowControl/>
                    <w:jc w:val="center"/>
                    <w:textAlignment w:val="center"/>
                    <w:rPr>
                      <w:rFonts w:hint="default" w:eastAsia="宋体"/>
                      <w:bCs/>
                      <w:highlight w:val="none"/>
                      <w:lang w:val="en-US" w:eastAsia="zh-CN"/>
                    </w:rPr>
                  </w:pPr>
                  <w:r>
                    <w:rPr>
                      <w:rFonts w:hint="eastAsia"/>
                      <w:bCs/>
                      <w:highlight w:val="none"/>
                      <w:lang w:val="en-US" w:eastAsia="zh-CN"/>
                    </w:rPr>
                    <w:t>11</w:t>
                  </w:r>
                </w:p>
              </w:tc>
              <w:tc>
                <w:tcPr>
                  <w:tcW w:w="1030" w:type="pct"/>
                  <w:vAlign w:val="center"/>
                </w:tcPr>
                <w:p w14:paraId="6BFE3E64">
                  <w:pPr>
                    <w:jc w:val="center"/>
                    <w:rPr>
                      <w:rFonts w:hint="default" w:ascii="Times New Roman" w:hAnsi="Times New Roman" w:eastAsia="宋体" w:cs="Times New Roman"/>
                      <w:bCs/>
                      <w:kern w:val="2"/>
                      <w:sz w:val="21"/>
                      <w:szCs w:val="24"/>
                      <w:highlight w:val="none"/>
                      <w:lang w:val="en-US" w:eastAsia="zh-CN" w:bidi="ar-SA"/>
                    </w:rPr>
                  </w:pPr>
                  <w:r>
                    <w:rPr>
                      <w:rFonts w:hint="eastAsia" w:cs="Times New Roman"/>
                      <w:bCs/>
                      <w:kern w:val="2"/>
                      <w:sz w:val="21"/>
                      <w:szCs w:val="24"/>
                      <w:highlight w:val="none"/>
                      <w:lang w:val="en-US" w:eastAsia="zh-CN" w:bidi="ar-SA"/>
                    </w:rPr>
                    <w:t>喷淋除尘脱硫塔</w:t>
                  </w:r>
                </w:p>
              </w:tc>
              <w:tc>
                <w:tcPr>
                  <w:tcW w:w="1117" w:type="pct"/>
                  <w:vAlign w:val="center"/>
                </w:tcPr>
                <w:p w14:paraId="66C91BD0">
                  <w:pPr>
                    <w:jc w:val="center"/>
                    <w:rPr>
                      <w:rFonts w:hint="default" w:ascii="Times New Roman" w:hAnsi="Times New Roman" w:eastAsia="宋体" w:cs="Times New Roman"/>
                      <w:bCs/>
                      <w:kern w:val="2"/>
                      <w:sz w:val="21"/>
                      <w:szCs w:val="24"/>
                      <w:highlight w:val="none"/>
                      <w:lang w:val="en-US" w:eastAsia="zh-CN" w:bidi="ar-SA"/>
                    </w:rPr>
                  </w:pPr>
                  <w:r>
                    <w:rPr>
                      <w:rFonts w:hint="eastAsia" w:cs="Times New Roman"/>
                      <w:bCs/>
                      <w:kern w:val="2"/>
                      <w:sz w:val="21"/>
                      <w:szCs w:val="24"/>
                      <w:highlight w:val="none"/>
                      <w:lang w:val="en-US" w:eastAsia="zh-CN" w:bidi="ar-SA"/>
                    </w:rPr>
                    <w:t>自制</w:t>
                  </w:r>
                </w:p>
              </w:tc>
              <w:tc>
                <w:tcPr>
                  <w:tcW w:w="546" w:type="pct"/>
                  <w:vAlign w:val="center"/>
                </w:tcPr>
                <w:p w14:paraId="10357E9A">
                  <w:pPr>
                    <w:pStyle w:val="19"/>
                    <w:adjustRightInd w:val="0"/>
                    <w:snapToGrid w:val="0"/>
                    <w:jc w:val="center"/>
                    <w:rPr>
                      <w:rFonts w:hint="default" w:ascii="宋体" w:hAnsi="宋体" w:eastAsia="宋体" w:cs="Times New Roman"/>
                      <w:bCs/>
                      <w:kern w:val="2"/>
                      <w:sz w:val="21"/>
                      <w:szCs w:val="21"/>
                      <w:highlight w:val="none"/>
                      <w:lang w:val="en-US" w:eastAsia="zh-CN" w:bidi="ar-SA"/>
                    </w:rPr>
                  </w:pPr>
                  <w:r>
                    <w:rPr>
                      <w:rFonts w:hint="eastAsia" w:hAnsi="宋体" w:cs="Times New Roman"/>
                      <w:bCs/>
                      <w:kern w:val="2"/>
                      <w:sz w:val="21"/>
                      <w:szCs w:val="21"/>
                      <w:highlight w:val="none"/>
                      <w:lang w:val="en-US" w:eastAsia="zh-CN" w:bidi="ar-SA"/>
                    </w:rPr>
                    <w:t>套</w:t>
                  </w:r>
                </w:p>
              </w:tc>
              <w:tc>
                <w:tcPr>
                  <w:tcW w:w="488" w:type="pct"/>
                  <w:vAlign w:val="center"/>
                </w:tcPr>
                <w:p w14:paraId="181B1C16">
                  <w:pPr>
                    <w:jc w:val="center"/>
                    <w:rPr>
                      <w:rFonts w:hint="eastAsia" w:ascii="Times New Roman" w:hAnsi="Times New Roman" w:eastAsia="宋体" w:cs="Times New Roman"/>
                      <w:bCs/>
                      <w:kern w:val="2"/>
                      <w:sz w:val="21"/>
                      <w:szCs w:val="24"/>
                      <w:highlight w:val="none"/>
                      <w:lang w:val="en-US" w:eastAsia="zh-CN" w:bidi="ar-SA"/>
                    </w:rPr>
                  </w:pPr>
                  <w:r>
                    <w:rPr>
                      <w:rFonts w:hint="eastAsia"/>
                      <w:bCs/>
                      <w:highlight w:val="none"/>
                      <w:lang w:val="en-US" w:eastAsia="zh-CN"/>
                    </w:rPr>
                    <w:t>1</w:t>
                  </w:r>
                </w:p>
              </w:tc>
              <w:tc>
                <w:tcPr>
                  <w:tcW w:w="1308" w:type="pct"/>
                  <w:vAlign w:val="center"/>
                </w:tcPr>
                <w:p w14:paraId="1A8E05AF">
                  <w:pPr>
                    <w:jc w:val="center"/>
                    <w:rPr>
                      <w:rFonts w:hint="eastAsia" w:ascii="宋体" w:hAnsi="宋体" w:eastAsia="宋体" w:cs="Times New Roman"/>
                      <w:bCs/>
                      <w:kern w:val="2"/>
                      <w:sz w:val="21"/>
                      <w:szCs w:val="24"/>
                      <w:highlight w:val="none"/>
                      <w:lang w:val="en-US" w:eastAsia="zh-CN" w:bidi="ar-SA"/>
                    </w:rPr>
                  </w:pPr>
                  <w:r>
                    <w:rPr>
                      <w:rFonts w:hint="eastAsia" w:ascii="Times New Roman" w:hAnsi="Times New Roman" w:cs="Times New Roman"/>
                      <w:color w:val="000000"/>
                      <w:szCs w:val="21"/>
                      <w:highlight w:val="none"/>
                      <w:lang w:bidi="ar"/>
                    </w:rPr>
                    <w:t>处理烘干</w:t>
                  </w:r>
                  <w:r>
                    <w:rPr>
                      <w:rFonts w:hint="eastAsia" w:cs="Times New Roman"/>
                      <w:color w:val="000000"/>
                      <w:szCs w:val="21"/>
                      <w:highlight w:val="none"/>
                      <w:lang w:eastAsia="zh-CN" w:bidi="ar"/>
                    </w:rPr>
                    <w:t>、</w:t>
                  </w:r>
                  <w:r>
                    <w:rPr>
                      <w:rFonts w:hint="eastAsia" w:cs="Times New Roman"/>
                      <w:color w:val="000000"/>
                      <w:szCs w:val="21"/>
                      <w:highlight w:val="none"/>
                      <w:lang w:val="en-US" w:eastAsia="zh-CN" w:bidi="ar"/>
                    </w:rPr>
                    <w:t>制棒和炭化</w:t>
                  </w:r>
                  <w:r>
                    <w:rPr>
                      <w:rFonts w:hint="eastAsia" w:ascii="Times New Roman" w:hAnsi="Times New Roman" w:cs="Times New Roman"/>
                      <w:color w:val="000000"/>
                      <w:szCs w:val="21"/>
                      <w:highlight w:val="none"/>
                      <w:lang w:bidi="ar"/>
                    </w:rPr>
                    <w:t>尾气</w:t>
                  </w:r>
                </w:p>
              </w:tc>
            </w:tr>
          </w:tbl>
          <w:p w14:paraId="5A6A430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74" w:firstLineChars="200"/>
              <w:jc w:val="left"/>
              <w:textAlignment w:val="auto"/>
              <w:rPr>
                <w:b/>
                <w:bCs/>
                <w:spacing w:val="-2"/>
                <w:sz w:val="24"/>
                <w:highlight w:val="none"/>
              </w:rPr>
            </w:pPr>
            <w:r>
              <w:rPr>
                <w:b/>
                <w:bCs/>
                <w:spacing w:val="-2"/>
                <w:sz w:val="24"/>
                <w:highlight w:val="none"/>
              </w:rPr>
              <w:t>4.主要原辅材料</w:t>
            </w:r>
          </w:p>
          <w:p w14:paraId="403BE8A9">
            <w:pPr>
              <w:spacing w:line="360" w:lineRule="auto"/>
              <w:ind w:firstLine="480" w:firstLineChars="200"/>
              <w:rPr>
                <w:color w:val="auto"/>
                <w:sz w:val="24"/>
                <w:highlight w:val="none"/>
              </w:rPr>
            </w:pPr>
            <w:r>
              <w:rPr>
                <w:color w:val="auto"/>
                <w:sz w:val="24"/>
                <w:highlight w:val="none"/>
              </w:rPr>
              <w:t>①本项目使用的原料主要为回收当地</w:t>
            </w:r>
            <w:r>
              <w:rPr>
                <w:rFonts w:hint="eastAsia"/>
                <w:color w:val="auto"/>
                <w:sz w:val="24"/>
                <w:highlight w:val="none"/>
                <w:lang w:val="en-US" w:eastAsia="zh-CN"/>
              </w:rPr>
              <w:t>木</w:t>
            </w:r>
            <w:r>
              <w:rPr>
                <w:color w:val="auto"/>
                <w:sz w:val="24"/>
                <w:highlight w:val="none"/>
              </w:rPr>
              <w:t>制品厂生产过程中产生的</w:t>
            </w:r>
            <w:r>
              <w:rPr>
                <w:rFonts w:hint="eastAsia"/>
                <w:color w:val="auto"/>
                <w:sz w:val="24"/>
                <w:highlight w:val="none"/>
                <w:lang w:val="en-US" w:eastAsia="zh-CN"/>
              </w:rPr>
              <w:t>木糠（木粉）</w:t>
            </w:r>
            <w:r>
              <w:rPr>
                <w:color w:val="auto"/>
                <w:sz w:val="24"/>
                <w:highlight w:val="none"/>
              </w:rPr>
              <w:t>，年消耗量约</w:t>
            </w:r>
            <w:r>
              <w:rPr>
                <w:rFonts w:hint="eastAsia"/>
                <w:color w:val="auto"/>
                <w:sz w:val="24"/>
                <w:highlight w:val="none"/>
                <w:lang w:val="en-US" w:eastAsia="zh-CN"/>
              </w:rPr>
              <w:t>11243</w:t>
            </w:r>
            <w:r>
              <w:rPr>
                <w:color w:val="auto"/>
                <w:sz w:val="24"/>
                <w:highlight w:val="none"/>
              </w:rPr>
              <w:t>吨。</w:t>
            </w:r>
            <w:r>
              <w:rPr>
                <w:rFonts w:hint="eastAsia"/>
                <w:color w:val="auto"/>
                <w:sz w:val="24"/>
                <w:highlight w:val="none"/>
                <w:lang w:val="en-US" w:eastAsia="zh-CN"/>
              </w:rPr>
              <w:t>木糠</w:t>
            </w:r>
            <w:r>
              <w:rPr>
                <w:color w:val="auto"/>
                <w:sz w:val="24"/>
                <w:highlight w:val="none"/>
              </w:rPr>
              <w:t>属竹木质材料，根据经验数据，竹木质材料灰分含量8%~9%，含硫率约0.02 %。另外，根据业主提供资料，本项目</w:t>
            </w:r>
            <w:r>
              <w:rPr>
                <w:rFonts w:hint="eastAsia"/>
                <w:color w:val="auto"/>
                <w:sz w:val="24"/>
                <w:highlight w:val="none"/>
                <w:lang w:val="en-US" w:eastAsia="zh-CN"/>
              </w:rPr>
              <w:t>木糠（木粉）</w:t>
            </w:r>
            <w:r>
              <w:rPr>
                <w:color w:val="auto"/>
                <w:sz w:val="24"/>
                <w:highlight w:val="none"/>
              </w:rPr>
              <w:t>含水率约50%；根据同类型企业生产经验，约</w:t>
            </w:r>
            <w:r>
              <w:rPr>
                <w:rFonts w:hint="eastAsia"/>
                <w:color w:val="auto"/>
                <w:sz w:val="24"/>
                <w:highlight w:val="none"/>
                <w:lang w:val="en-US" w:eastAsia="zh-CN"/>
              </w:rPr>
              <w:t>5.6</w:t>
            </w:r>
            <w:r>
              <w:rPr>
                <w:color w:val="auto"/>
                <w:sz w:val="24"/>
                <w:highlight w:val="none"/>
              </w:rPr>
              <w:t>吨原料</w:t>
            </w:r>
            <w:r>
              <w:rPr>
                <w:rFonts w:hint="eastAsia"/>
                <w:color w:val="auto"/>
                <w:sz w:val="24"/>
                <w:highlight w:val="none"/>
                <w:lang w:val="en-US" w:eastAsia="zh-CN"/>
              </w:rPr>
              <w:t>木糠（木</w:t>
            </w:r>
            <w:r>
              <w:rPr>
                <w:color w:val="auto"/>
                <w:sz w:val="24"/>
                <w:highlight w:val="none"/>
              </w:rPr>
              <w:t>粉</w:t>
            </w:r>
            <w:r>
              <w:rPr>
                <w:rFonts w:hint="eastAsia"/>
                <w:color w:val="auto"/>
                <w:sz w:val="24"/>
                <w:highlight w:val="none"/>
                <w:lang w:val="en-US" w:eastAsia="zh-CN"/>
              </w:rPr>
              <w:t>）</w:t>
            </w:r>
            <w:r>
              <w:rPr>
                <w:color w:val="auto"/>
                <w:sz w:val="24"/>
                <w:highlight w:val="none"/>
              </w:rPr>
              <w:t>可生产1吨产品</w:t>
            </w:r>
            <w:r>
              <w:rPr>
                <w:rFonts w:hint="eastAsia"/>
                <w:color w:val="auto"/>
                <w:sz w:val="24"/>
                <w:highlight w:val="none"/>
                <w:lang w:eastAsia="zh-CN"/>
              </w:rPr>
              <w:t>环保</w:t>
            </w:r>
            <w:r>
              <w:rPr>
                <w:color w:val="auto"/>
                <w:sz w:val="24"/>
                <w:highlight w:val="none"/>
              </w:rPr>
              <w:t>机制炭。</w:t>
            </w:r>
          </w:p>
          <w:p w14:paraId="51829550">
            <w:pPr>
              <w:spacing w:line="360" w:lineRule="auto"/>
              <w:ind w:firstLine="480" w:firstLineChars="200"/>
              <w:rPr>
                <w:color w:val="auto"/>
                <w:sz w:val="24"/>
                <w:highlight w:val="none"/>
              </w:rPr>
            </w:pPr>
            <w:r>
              <w:rPr>
                <w:rFonts w:hint="eastAsia" w:ascii="宋体" w:hAnsi="宋体"/>
                <w:color w:val="auto"/>
                <w:sz w:val="24"/>
                <w:highlight w:val="none"/>
              </w:rPr>
              <w:t>②</w:t>
            </w:r>
            <w:r>
              <w:rPr>
                <w:rFonts w:ascii="宋体" w:hAnsi="宋体"/>
                <w:color w:val="auto"/>
                <w:sz w:val="24"/>
                <w:highlight w:val="none"/>
              </w:rPr>
              <w:t>本项目使用</w:t>
            </w:r>
            <w:r>
              <w:rPr>
                <w:rFonts w:hint="eastAsia" w:ascii="宋体" w:hAnsi="宋体"/>
                <w:color w:val="auto"/>
                <w:sz w:val="24"/>
                <w:highlight w:val="none"/>
              </w:rPr>
              <w:t>外购的</w:t>
            </w:r>
            <w:r>
              <w:rPr>
                <w:rFonts w:hint="eastAsia" w:ascii="宋体" w:hAnsi="宋体"/>
                <w:color w:val="auto"/>
                <w:sz w:val="24"/>
                <w:highlight w:val="none"/>
                <w:lang w:val="en-US" w:eastAsia="zh-CN"/>
              </w:rPr>
              <w:t>生物质成型燃料</w:t>
            </w:r>
            <w:r>
              <w:rPr>
                <w:rFonts w:hint="eastAsia" w:ascii="宋体" w:hAnsi="宋体"/>
                <w:color w:val="auto"/>
                <w:sz w:val="24"/>
                <w:highlight w:val="none"/>
              </w:rPr>
              <w:t>作为烘干燃料为烘干工序提供热源</w:t>
            </w:r>
            <w:r>
              <w:rPr>
                <w:rFonts w:ascii="宋体" w:hAnsi="宋体"/>
                <w:color w:val="auto"/>
                <w:sz w:val="24"/>
                <w:highlight w:val="none"/>
              </w:rPr>
              <w:t>，燃料用量约</w:t>
            </w:r>
            <w:r>
              <w:rPr>
                <w:rFonts w:hint="eastAsia"/>
                <w:color w:val="auto"/>
                <w:sz w:val="24"/>
                <w:highlight w:val="none"/>
                <w:lang w:val="en-US" w:eastAsia="zh-CN"/>
              </w:rPr>
              <w:t>300</w:t>
            </w:r>
            <w:r>
              <w:rPr>
                <w:color w:val="auto"/>
                <w:sz w:val="24"/>
                <w:highlight w:val="none"/>
              </w:rPr>
              <w:t>t</w:t>
            </w:r>
            <w:r>
              <w:rPr>
                <w:rFonts w:hint="eastAsia"/>
                <w:color w:val="auto"/>
                <w:sz w:val="24"/>
                <w:highlight w:val="none"/>
              </w:rPr>
              <w:t>/a</w:t>
            </w:r>
            <w:r>
              <w:rPr>
                <w:rFonts w:ascii="宋体" w:hAnsi="宋体"/>
                <w:color w:val="auto"/>
                <w:sz w:val="24"/>
                <w:highlight w:val="none"/>
              </w:rPr>
              <w:t>。</w:t>
            </w:r>
          </w:p>
          <w:p w14:paraId="4E170178">
            <w:pPr>
              <w:adjustRightInd w:val="0"/>
              <w:snapToGrid w:val="0"/>
              <w:spacing w:line="360" w:lineRule="auto"/>
              <w:ind w:firstLine="360" w:firstLineChars="150"/>
              <w:jc w:val="left"/>
              <w:rPr>
                <w:snapToGrid w:val="0"/>
                <w:color w:val="auto"/>
                <w:sz w:val="24"/>
                <w:highlight w:val="none"/>
              </w:rPr>
            </w:pPr>
            <w:r>
              <w:rPr>
                <w:color w:val="auto"/>
                <w:sz w:val="24"/>
                <w:highlight w:val="none"/>
              </w:rPr>
              <w:t>本项目主要原辅料消耗情况见表2-3所示。</w:t>
            </w:r>
          </w:p>
          <w:p w14:paraId="699C653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eastAsiaTheme="minorEastAsia"/>
                <w:b/>
                <w:bCs/>
                <w:color w:val="auto"/>
                <w:sz w:val="24"/>
                <w:highlight w:val="none"/>
              </w:rPr>
            </w:pPr>
            <w:r>
              <w:rPr>
                <w:rFonts w:eastAsiaTheme="minorEastAsia"/>
                <w:b/>
                <w:bCs/>
                <w:color w:val="auto"/>
                <w:sz w:val="24"/>
                <w:highlight w:val="none"/>
              </w:rPr>
              <w:t>表2-3 项目主要</w:t>
            </w:r>
            <w:r>
              <w:rPr>
                <w:b/>
                <w:bCs/>
                <w:color w:val="auto"/>
                <w:sz w:val="24"/>
                <w:highlight w:val="none"/>
              </w:rPr>
              <w:t>原辅材料一览表</w:t>
            </w:r>
            <w:r>
              <w:rPr>
                <w:rFonts w:eastAsiaTheme="minorEastAsia"/>
                <w:b/>
                <w:bCs/>
                <w:color w:val="auto"/>
                <w:sz w:val="24"/>
                <w:highlight w:val="none"/>
              </w:rPr>
              <w:t>（单位：t/a）</w:t>
            </w:r>
          </w:p>
          <w:tbl>
            <w:tblPr>
              <w:tblStyle w:val="34"/>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488"/>
              <w:gridCol w:w="938"/>
              <w:gridCol w:w="1622"/>
              <w:gridCol w:w="2103"/>
            </w:tblGrid>
            <w:tr w14:paraId="65F6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852" w:type="dxa"/>
                  <w:tcBorders>
                    <w:top w:val="single" w:color="auto" w:sz="4" w:space="0"/>
                    <w:left w:val="single" w:color="auto" w:sz="4" w:space="0"/>
                    <w:bottom w:val="single" w:color="auto" w:sz="4" w:space="0"/>
                    <w:right w:val="single" w:color="auto" w:sz="4" w:space="0"/>
                  </w:tcBorders>
                  <w:vAlign w:val="center"/>
                </w:tcPr>
                <w:p w14:paraId="2D997E42">
                  <w:pPr>
                    <w:adjustRightInd w:val="0"/>
                    <w:snapToGrid w:val="0"/>
                    <w:jc w:val="center"/>
                    <w:rPr>
                      <w:color w:val="auto"/>
                      <w:szCs w:val="21"/>
                      <w:highlight w:val="none"/>
                    </w:rPr>
                  </w:pPr>
                  <w:r>
                    <w:rPr>
                      <w:rFonts w:ascii="宋体" w:hAnsi="宋体"/>
                      <w:b/>
                      <w:bCs/>
                      <w:color w:val="auto"/>
                      <w:highlight w:val="none"/>
                    </w:rPr>
                    <w:t>原辅材料名称</w:t>
                  </w:r>
                </w:p>
              </w:tc>
              <w:tc>
                <w:tcPr>
                  <w:tcW w:w="1488" w:type="dxa"/>
                  <w:tcBorders>
                    <w:top w:val="single" w:color="auto" w:sz="4" w:space="0"/>
                    <w:left w:val="single" w:color="auto" w:sz="4" w:space="0"/>
                    <w:bottom w:val="single" w:color="auto" w:sz="4" w:space="0"/>
                    <w:right w:val="single" w:color="auto" w:sz="4" w:space="0"/>
                  </w:tcBorders>
                  <w:vAlign w:val="center"/>
                </w:tcPr>
                <w:p w14:paraId="21791C0B">
                  <w:pPr>
                    <w:adjustRightInd w:val="0"/>
                    <w:snapToGrid w:val="0"/>
                    <w:jc w:val="center"/>
                    <w:rPr>
                      <w:color w:val="auto"/>
                      <w:highlight w:val="none"/>
                    </w:rPr>
                  </w:pPr>
                  <w:r>
                    <w:rPr>
                      <w:rFonts w:ascii="宋体" w:hAnsi="宋体"/>
                      <w:b/>
                      <w:bCs/>
                      <w:color w:val="auto"/>
                      <w:highlight w:val="none"/>
                    </w:rPr>
                    <w:t>年用量</w:t>
                  </w:r>
                  <w:r>
                    <w:rPr>
                      <w:rFonts w:ascii="宋体" w:hAnsi="宋体"/>
                      <w:b/>
                      <w:bCs/>
                      <w:color w:val="auto"/>
                      <w:kern w:val="0"/>
                      <w:highlight w:val="none"/>
                    </w:rPr>
                    <w:t>（</w:t>
                  </w:r>
                  <w:r>
                    <w:rPr>
                      <w:b/>
                      <w:bCs/>
                      <w:color w:val="auto"/>
                      <w:kern w:val="0"/>
                      <w:highlight w:val="none"/>
                    </w:rPr>
                    <w:t>t</w:t>
                  </w:r>
                  <w:r>
                    <w:rPr>
                      <w:rFonts w:ascii="宋体" w:hAnsi="宋体"/>
                      <w:b/>
                      <w:bCs/>
                      <w:color w:val="auto"/>
                      <w:kern w:val="0"/>
                      <w:highlight w:val="none"/>
                    </w:rPr>
                    <w:t>）</w:t>
                  </w:r>
                </w:p>
              </w:tc>
              <w:tc>
                <w:tcPr>
                  <w:tcW w:w="938" w:type="dxa"/>
                  <w:tcBorders>
                    <w:top w:val="single" w:color="auto" w:sz="4" w:space="0"/>
                    <w:left w:val="single" w:color="auto" w:sz="4" w:space="0"/>
                    <w:bottom w:val="single" w:color="auto" w:sz="4" w:space="0"/>
                    <w:right w:val="single" w:color="auto" w:sz="4" w:space="0"/>
                  </w:tcBorders>
                  <w:vAlign w:val="center"/>
                </w:tcPr>
                <w:p w14:paraId="53FCBFD9">
                  <w:pPr>
                    <w:widowControl/>
                    <w:adjustRightInd w:val="0"/>
                    <w:snapToGrid w:val="0"/>
                    <w:jc w:val="center"/>
                    <w:textAlignment w:val="center"/>
                    <w:rPr>
                      <w:b/>
                      <w:bCs/>
                      <w:color w:val="auto"/>
                      <w:highlight w:val="none"/>
                    </w:rPr>
                  </w:pPr>
                  <w:r>
                    <w:rPr>
                      <w:rFonts w:ascii="宋体" w:hAnsi="宋体"/>
                      <w:b/>
                      <w:bCs/>
                      <w:color w:val="auto"/>
                      <w:kern w:val="0"/>
                      <w:highlight w:val="none"/>
                    </w:rPr>
                    <w:t>形态</w:t>
                  </w:r>
                </w:p>
              </w:tc>
              <w:tc>
                <w:tcPr>
                  <w:tcW w:w="1622" w:type="dxa"/>
                  <w:tcBorders>
                    <w:top w:val="single" w:color="auto" w:sz="4" w:space="0"/>
                    <w:left w:val="single" w:color="auto" w:sz="4" w:space="0"/>
                    <w:bottom w:val="single" w:color="auto" w:sz="4" w:space="0"/>
                    <w:right w:val="single" w:color="auto" w:sz="4" w:space="0"/>
                  </w:tcBorders>
                  <w:vAlign w:val="center"/>
                </w:tcPr>
                <w:p w14:paraId="4412B134">
                  <w:pPr>
                    <w:widowControl/>
                    <w:adjustRightInd w:val="0"/>
                    <w:snapToGrid w:val="0"/>
                    <w:jc w:val="center"/>
                    <w:textAlignment w:val="center"/>
                    <w:rPr>
                      <w:b/>
                      <w:bCs/>
                      <w:color w:val="auto"/>
                      <w:highlight w:val="none"/>
                    </w:rPr>
                  </w:pPr>
                  <w:r>
                    <w:rPr>
                      <w:rFonts w:ascii="宋体" w:hAnsi="宋体"/>
                      <w:b/>
                      <w:bCs/>
                      <w:color w:val="auto"/>
                      <w:kern w:val="0"/>
                      <w:highlight w:val="none"/>
                    </w:rPr>
                    <w:t>最大贮存（</w:t>
                  </w:r>
                  <w:r>
                    <w:rPr>
                      <w:b/>
                      <w:bCs/>
                      <w:color w:val="auto"/>
                      <w:kern w:val="0"/>
                      <w:highlight w:val="none"/>
                    </w:rPr>
                    <w:t>t</w:t>
                  </w:r>
                  <w:r>
                    <w:rPr>
                      <w:rFonts w:ascii="宋体" w:hAnsi="宋体"/>
                      <w:b/>
                      <w:bCs/>
                      <w:color w:val="auto"/>
                      <w:kern w:val="0"/>
                      <w:highlight w:val="none"/>
                    </w:rPr>
                    <w:t>）</w:t>
                  </w:r>
                </w:p>
              </w:tc>
              <w:tc>
                <w:tcPr>
                  <w:tcW w:w="2103" w:type="dxa"/>
                  <w:tcBorders>
                    <w:top w:val="single" w:color="auto" w:sz="4" w:space="0"/>
                    <w:left w:val="single" w:color="auto" w:sz="4" w:space="0"/>
                    <w:bottom w:val="single" w:color="auto" w:sz="4" w:space="0"/>
                    <w:right w:val="single" w:color="auto" w:sz="4" w:space="0"/>
                  </w:tcBorders>
                  <w:vAlign w:val="center"/>
                </w:tcPr>
                <w:p w14:paraId="6C5837D9">
                  <w:pPr>
                    <w:widowControl/>
                    <w:adjustRightInd w:val="0"/>
                    <w:snapToGrid w:val="0"/>
                    <w:jc w:val="center"/>
                    <w:textAlignment w:val="center"/>
                    <w:rPr>
                      <w:b/>
                      <w:bCs/>
                      <w:color w:val="auto"/>
                      <w:kern w:val="0"/>
                      <w:highlight w:val="none"/>
                    </w:rPr>
                  </w:pPr>
                  <w:r>
                    <w:rPr>
                      <w:rFonts w:hint="eastAsia" w:ascii="宋体" w:hAnsi="宋体"/>
                      <w:b/>
                      <w:bCs/>
                      <w:color w:val="auto"/>
                      <w:kern w:val="0"/>
                      <w:highlight w:val="none"/>
                    </w:rPr>
                    <w:t>备注</w:t>
                  </w:r>
                </w:p>
              </w:tc>
            </w:tr>
            <w:tr w14:paraId="1052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52" w:type="dxa"/>
                  <w:tcBorders>
                    <w:top w:val="single" w:color="auto" w:sz="4" w:space="0"/>
                    <w:left w:val="single" w:color="auto" w:sz="4" w:space="0"/>
                    <w:bottom w:val="single" w:color="auto" w:sz="4" w:space="0"/>
                    <w:right w:val="single" w:color="auto" w:sz="4" w:space="0"/>
                  </w:tcBorders>
                  <w:vAlign w:val="center"/>
                </w:tcPr>
                <w:p w14:paraId="424BE5DA">
                  <w:pPr>
                    <w:adjustRightInd w:val="0"/>
                    <w:snapToGrid w:val="0"/>
                    <w:jc w:val="center"/>
                    <w:rPr>
                      <w:rFonts w:hint="eastAsia" w:eastAsia="宋体"/>
                      <w:color w:val="auto"/>
                      <w:highlight w:val="none"/>
                      <w:lang w:eastAsia="zh-CN"/>
                    </w:rPr>
                  </w:pPr>
                  <w:r>
                    <w:rPr>
                      <w:rFonts w:hint="eastAsia" w:ascii="宋体" w:hAnsi="宋体"/>
                      <w:color w:val="auto"/>
                      <w:highlight w:val="none"/>
                      <w:lang w:val="en-US" w:eastAsia="zh-CN"/>
                    </w:rPr>
                    <w:t>木糠（木粉）</w:t>
                  </w:r>
                </w:p>
              </w:tc>
              <w:tc>
                <w:tcPr>
                  <w:tcW w:w="1488" w:type="dxa"/>
                  <w:tcBorders>
                    <w:top w:val="single" w:color="auto" w:sz="4" w:space="0"/>
                    <w:left w:val="single" w:color="auto" w:sz="4" w:space="0"/>
                    <w:bottom w:val="single" w:color="auto" w:sz="4" w:space="0"/>
                    <w:right w:val="single" w:color="auto" w:sz="4" w:space="0"/>
                  </w:tcBorders>
                  <w:vAlign w:val="center"/>
                </w:tcPr>
                <w:p w14:paraId="5073A868">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11243</w:t>
                  </w:r>
                </w:p>
              </w:tc>
              <w:tc>
                <w:tcPr>
                  <w:tcW w:w="938" w:type="dxa"/>
                  <w:tcBorders>
                    <w:top w:val="single" w:color="auto" w:sz="4" w:space="0"/>
                    <w:left w:val="single" w:color="auto" w:sz="4" w:space="0"/>
                    <w:bottom w:val="single" w:color="auto" w:sz="4" w:space="0"/>
                    <w:right w:val="single" w:color="auto" w:sz="4" w:space="0"/>
                  </w:tcBorders>
                  <w:vAlign w:val="center"/>
                </w:tcPr>
                <w:p w14:paraId="4C6D4C29">
                  <w:pPr>
                    <w:adjustRightInd w:val="0"/>
                    <w:snapToGrid w:val="0"/>
                    <w:jc w:val="center"/>
                    <w:rPr>
                      <w:color w:val="auto"/>
                      <w:highlight w:val="none"/>
                    </w:rPr>
                  </w:pPr>
                  <w:r>
                    <w:rPr>
                      <w:rFonts w:ascii="宋体" w:hAnsi="宋体"/>
                      <w:color w:val="auto"/>
                      <w:highlight w:val="none"/>
                    </w:rPr>
                    <w:t>固体</w:t>
                  </w:r>
                </w:p>
              </w:tc>
              <w:tc>
                <w:tcPr>
                  <w:tcW w:w="1622" w:type="dxa"/>
                  <w:tcBorders>
                    <w:top w:val="single" w:color="auto" w:sz="4" w:space="0"/>
                    <w:left w:val="single" w:color="auto" w:sz="4" w:space="0"/>
                    <w:right w:val="single" w:color="auto" w:sz="4" w:space="0"/>
                  </w:tcBorders>
                  <w:vAlign w:val="center"/>
                </w:tcPr>
                <w:p w14:paraId="62E0733B">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300</w:t>
                  </w:r>
                </w:p>
              </w:tc>
              <w:tc>
                <w:tcPr>
                  <w:tcW w:w="2103" w:type="dxa"/>
                  <w:tcBorders>
                    <w:top w:val="single" w:color="auto" w:sz="4" w:space="0"/>
                    <w:left w:val="single" w:color="auto" w:sz="4" w:space="0"/>
                    <w:bottom w:val="single" w:color="auto" w:sz="4" w:space="0"/>
                    <w:right w:val="single" w:color="auto" w:sz="4" w:space="0"/>
                  </w:tcBorders>
                  <w:vAlign w:val="center"/>
                </w:tcPr>
                <w:p w14:paraId="742BAD65">
                  <w:pPr>
                    <w:adjustRightInd w:val="0"/>
                    <w:snapToGrid w:val="0"/>
                    <w:jc w:val="center"/>
                    <w:rPr>
                      <w:color w:val="auto"/>
                      <w:highlight w:val="none"/>
                    </w:rPr>
                  </w:pPr>
                  <w:r>
                    <w:rPr>
                      <w:rFonts w:hint="eastAsia" w:ascii="宋体" w:hAnsi="宋体"/>
                      <w:color w:val="auto"/>
                      <w:highlight w:val="none"/>
                    </w:rPr>
                    <w:t>/</w:t>
                  </w:r>
                </w:p>
              </w:tc>
            </w:tr>
            <w:tr w14:paraId="1610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2" w:type="dxa"/>
                  <w:tcBorders>
                    <w:top w:val="single" w:color="auto" w:sz="4" w:space="0"/>
                    <w:left w:val="single" w:color="auto" w:sz="4" w:space="0"/>
                    <w:bottom w:val="single" w:color="auto" w:sz="4" w:space="0"/>
                    <w:right w:val="single" w:color="auto" w:sz="4" w:space="0"/>
                  </w:tcBorders>
                  <w:vAlign w:val="center"/>
                </w:tcPr>
                <w:p w14:paraId="2BE05AB1">
                  <w:pPr>
                    <w:adjustRightInd w:val="0"/>
                    <w:snapToGrid w:val="0"/>
                    <w:jc w:val="center"/>
                    <w:rPr>
                      <w:rFonts w:hint="default" w:eastAsia="宋体"/>
                      <w:color w:val="auto"/>
                      <w:highlight w:val="none"/>
                      <w:lang w:val="en-US" w:eastAsia="zh-CN"/>
                    </w:rPr>
                  </w:pPr>
                  <w:r>
                    <w:rPr>
                      <w:rFonts w:hint="eastAsia" w:ascii="宋体" w:hAnsi="宋体"/>
                      <w:color w:val="auto"/>
                      <w:highlight w:val="none"/>
                      <w:lang w:val="en-US" w:eastAsia="zh-CN"/>
                    </w:rPr>
                    <w:t>生物质成型燃料</w:t>
                  </w:r>
                </w:p>
              </w:tc>
              <w:tc>
                <w:tcPr>
                  <w:tcW w:w="1488" w:type="dxa"/>
                  <w:tcBorders>
                    <w:top w:val="single" w:color="auto" w:sz="4" w:space="0"/>
                    <w:left w:val="single" w:color="auto" w:sz="4" w:space="0"/>
                    <w:bottom w:val="single" w:color="auto" w:sz="4" w:space="0"/>
                    <w:right w:val="single" w:color="auto" w:sz="4" w:space="0"/>
                  </w:tcBorders>
                  <w:vAlign w:val="center"/>
                </w:tcPr>
                <w:p w14:paraId="0FA90CA6">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300</w:t>
                  </w:r>
                </w:p>
              </w:tc>
              <w:tc>
                <w:tcPr>
                  <w:tcW w:w="938" w:type="dxa"/>
                  <w:tcBorders>
                    <w:top w:val="single" w:color="auto" w:sz="4" w:space="0"/>
                    <w:left w:val="single" w:color="auto" w:sz="4" w:space="0"/>
                    <w:bottom w:val="single" w:color="auto" w:sz="4" w:space="0"/>
                    <w:right w:val="single" w:color="auto" w:sz="4" w:space="0"/>
                  </w:tcBorders>
                  <w:vAlign w:val="center"/>
                </w:tcPr>
                <w:p w14:paraId="057A2CCA">
                  <w:pPr>
                    <w:adjustRightInd w:val="0"/>
                    <w:snapToGrid w:val="0"/>
                    <w:jc w:val="center"/>
                    <w:rPr>
                      <w:color w:val="auto"/>
                      <w:highlight w:val="none"/>
                    </w:rPr>
                  </w:pPr>
                  <w:r>
                    <w:rPr>
                      <w:rFonts w:ascii="宋体" w:hAnsi="宋体"/>
                      <w:color w:val="auto"/>
                      <w:highlight w:val="none"/>
                    </w:rPr>
                    <w:t>固体</w:t>
                  </w:r>
                </w:p>
              </w:tc>
              <w:tc>
                <w:tcPr>
                  <w:tcW w:w="1622" w:type="dxa"/>
                  <w:tcBorders>
                    <w:left w:val="single" w:color="auto" w:sz="4" w:space="0"/>
                    <w:right w:val="single" w:color="auto" w:sz="4" w:space="0"/>
                  </w:tcBorders>
                  <w:vAlign w:val="center"/>
                </w:tcPr>
                <w:p w14:paraId="2040A2E9">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10</w:t>
                  </w:r>
                </w:p>
              </w:tc>
              <w:tc>
                <w:tcPr>
                  <w:tcW w:w="2103" w:type="dxa"/>
                  <w:tcBorders>
                    <w:top w:val="single" w:color="auto" w:sz="4" w:space="0"/>
                    <w:left w:val="single" w:color="auto" w:sz="4" w:space="0"/>
                    <w:bottom w:val="single" w:color="auto" w:sz="4" w:space="0"/>
                    <w:right w:val="single" w:color="auto" w:sz="4" w:space="0"/>
                  </w:tcBorders>
                  <w:vAlign w:val="center"/>
                </w:tcPr>
                <w:p w14:paraId="4F5E93E9">
                  <w:pPr>
                    <w:adjustRightInd w:val="0"/>
                    <w:snapToGrid w:val="0"/>
                    <w:jc w:val="center"/>
                    <w:rPr>
                      <w:color w:val="auto"/>
                      <w:highlight w:val="none"/>
                    </w:rPr>
                  </w:pPr>
                  <w:r>
                    <w:rPr>
                      <w:rFonts w:hint="eastAsia" w:ascii="宋体" w:hAnsi="宋体"/>
                      <w:color w:val="auto"/>
                      <w:highlight w:val="none"/>
                    </w:rPr>
                    <w:t>作为燃料提供热源</w:t>
                  </w:r>
                </w:p>
              </w:tc>
            </w:tr>
            <w:tr w14:paraId="5917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52" w:type="dxa"/>
                  <w:tcBorders>
                    <w:top w:val="single" w:color="auto" w:sz="4" w:space="0"/>
                    <w:left w:val="single" w:color="auto" w:sz="4" w:space="0"/>
                    <w:bottom w:val="single" w:color="auto" w:sz="4" w:space="0"/>
                    <w:right w:val="single" w:color="auto" w:sz="4" w:space="0"/>
                  </w:tcBorders>
                  <w:vAlign w:val="center"/>
                </w:tcPr>
                <w:p w14:paraId="7F921C60">
                  <w:pPr>
                    <w:adjustRightInd w:val="0"/>
                    <w:snapToGrid w:val="0"/>
                    <w:jc w:val="center"/>
                    <w:rPr>
                      <w:rFonts w:hint="default" w:ascii="宋体" w:hAnsi="宋体"/>
                      <w:color w:val="auto"/>
                      <w:highlight w:val="none"/>
                      <w:lang w:val="en-US" w:eastAsia="zh-CN"/>
                    </w:rPr>
                  </w:pPr>
                  <w:r>
                    <w:rPr>
                      <w:rFonts w:hint="eastAsia" w:ascii="宋体" w:hAnsi="宋体"/>
                      <w:color w:val="auto"/>
                      <w:highlight w:val="none"/>
                      <w:lang w:val="en-US" w:eastAsia="zh-CN"/>
                    </w:rPr>
                    <w:t>氢氧化钠</w:t>
                  </w:r>
                </w:p>
              </w:tc>
              <w:tc>
                <w:tcPr>
                  <w:tcW w:w="1488" w:type="dxa"/>
                  <w:tcBorders>
                    <w:top w:val="single" w:color="auto" w:sz="4" w:space="0"/>
                    <w:left w:val="single" w:color="auto" w:sz="4" w:space="0"/>
                    <w:bottom w:val="single" w:color="auto" w:sz="4" w:space="0"/>
                    <w:right w:val="single" w:color="auto" w:sz="4" w:space="0"/>
                  </w:tcBorders>
                  <w:vAlign w:val="center"/>
                </w:tcPr>
                <w:p w14:paraId="0604BD96">
                  <w:pPr>
                    <w:adjustRightInd w:val="0"/>
                    <w:snapToGrid w:val="0"/>
                    <w:jc w:val="center"/>
                    <w:rPr>
                      <w:rFonts w:hint="default"/>
                      <w:color w:val="auto"/>
                      <w:highlight w:val="none"/>
                      <w:lang w:val="en-US" w:eastAsia="zh-CN"/>
                    </w:rPr>
                  </w:pPr>
                  <w:r>
                    <w:rPr>
                      <w:rFonts w:hint="eastAsia"/>
                      <w:color w:val="auto"/>
                      <w:highlight w:val="none"/>
                      <w:lang w:val="en-US" w:eastAsia="zh-CN"/>
                    </w:rPr>
                    <w:t>0.5</w:t>
                  </w:r>
                </w:p>
              </w:tc>
              <w:tc>
                <w:tcPr>
                  <w:tcW w:w="938" w:type="dxa"/>
                  <w:tcBorders>
                    <w:top w:val="single" w:color="auto" w:sz="4" w:space="0"/>
                    <w:left w:val="single" w:color="auto" w:sz="4" w:space="0"/>
                    <w:bottom w:val="single" w:color="auto" w:sz="4" w:space="0"/>
                    <w:right w:val="single" w:color="auto" w:sz="4" w:space="0"/>
                  </w:tcBorders>
                  <w:vAlign w:val="center"/>
                </w:tcPr>
                <w:p w14:paraId="6AC58847">
                  <w:pPr>
                    <w:adjustRightInd w:val="0"/>
                    <w:snapToGrid w:val="0"/>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固体</w:t>
                  </w:r>
                </w:p>
              </w:tc>
              <w:tc>
                <w:tcPr>
                  <w:tcW w:w="1622" w:type="dxa"/>
                  <w:tcBorders>
                    <w:left w:val="single" w:color="auto" w:sz="4" w:space="0"/>
                    <w:bottom w:val="single" w:color="auto" w:sz="4" w:space="0"/>
                    <w:right w:val="single" w:color="auto" w:sz="4" w:space="0"/>
                  </w:tcBorders>
                  <w:vAlign w:val="center"/>
                </w:tcPr>
                <w:p w14:paraId="7D746A2A">
                  <w:pPr>
                    <w:adjustRightInd w:val="0"/>
                    <w:snapToGrid w:val="0"/>
                    <w:jc w:val="center"/>
                    <w:rPr>
                      <w:rFonts w:hint="default" w:eastAsia="宋体"/>
                      <w:color w:val="auto"/>
                      <w:highlight w:val="none"/>
                      <w:lang w:val="en-US" w:eastAsia="zh-CN"/>
                    </w:rPr>
                  </w:pPr>
                  <w:r>
                    <w:rPr>
                      <w:rFonts w:hint="eastAsia"/>
                      <w:color w:val="auto"/>
                      <w:highlight w:val="none"/>
                      <w:lang w:val="en-US" w:eastAsia="zh-CN"/>
                    </w:rPr>
                    <w:t>0.05</w:t>
                  </w:r>
                </w:p>
              </w:tc>
              <w:tc>
                <w:tcPr>
                  <w:tcW w:w="2103" w:type="dxa"/>
                  <w:tcBorders>
                    <w:top w:val="single" w:color="auto" w:sz="4" w:space="0"/>
                    <w:left w:val="single" w:color="auto" w:sz="4" w:space="0"/>
                    <w:bottom w:val="single" w:color="auto" w:sz="4" w:space="0"/>
                    <w:right w:val="single" w:color="auto" w:sz="4" w:space="0"/>
                  </w:tcBorders>
                  <w:vAlign w:val="center"/>
                </w:tcPr>
                <w:p w14:paraId="555A01CC">
                  <w:pPr>
                    <w:adjustRightInd w:val="0"/>
                    <w:snapToGrid w:val="0"/>
                    <w:jc w:val="center"/>
                    <w:rPr>
                      <w:rFonts w:hint="eastAsia" w:ascii="宋体" w:hAnsi="宋体"/>
                      <w:color w:val="auto"/>
                      <w:highlight w:val="none"/>
                    </w:rPr>
                  </w:pPr>
                  <w:r>
                    <w:rPr>
                      <w:rFonts w:hint="eastAsia" w:ascii="Times New Roman" w:hAnsi="Times New Roman" w:cs="Times New Roman"/>
                      <w:szCs w:val="21"/>
                      <w:highlight w:val="none"/>
                    </w:rPr>
                    <w:t>用于尾气脱硫</w:t>
                  </w:r>
                </w:p>
              </w:tc>
            </w:tr>
          </w:tbl>
          <w:p w14:paraId="5C132FFF">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firstLine="482" w:firstLineChars="200"/>
              <w:textAlignment w:val="baseline"/>
              <w:rPr>
                <w:rFonts w:hint="eastAsia" w:cs="Times New Roman"/>
                <w:b/>
                <w:bCs/>
                <w:color w:val="000000"/>
                <w:kern w:val="0"/>
                <w:sz w:val="24"/>
                <w:szCs w:val="20"/>
                <w:highlight w:val="none"/>
                <w:lang w:val="en-US" w:eastAsia="zh-CN"/>
              </w:rPr>
            </w:pPr>
          </w:p>
          <w:p w14:paraId="5A43DA62">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left="0" w:firstLine="482" w:firstLineChars="200"/>
              <w:textAlignment w:val="baseline"/>
              <w:rPr>
                <w:rFonts w:hint="default" w:cs="Times New Roman"/>
                <w:b/>
                <w:bCs/>
                <w:color w:val="000000"/>
                <w:kern w:val="0"/>
                <w:sz w:val="24"/>
                <w:szCs w:val="20"/>
                <w:highlight w:val="none"/>
                <w:lang w:val="en-US" w:eastAsia="zh-CN"/>
              </w:rPr>
            </w:pPr>
            <w:r>
              <w:rPr>
                <w:rFonts w:hint="eastAsia" w:cs="Times New Roman"/>
                <w:b/>
                <w:bCs/>
                <w:color w:val="000000"/>
                <w:kern w:val="0"/>
                <w:sz w:val="24"/>
                <w:szCs w:val="20"/>
                <w:highlight w:val="none"/>
                <w:lang w:val="en-US" w:eastAsia="zh-CN"/>
              </w:rPr>
              <w:t>5.物料平衡</w:t>
            </w:r>
          </w:p>
          <w:p w14:paraId="4308F273">
            <w:pPr>
              <w:keepNext w:val="0"/>
              <w:keepLines w:val="0"/>
              <w:pageBreakBefore w:val="0"/>
              <w:widowControl w:val="0"/>
              <w:numPr>
                <w:ilvl w:val="0"/>
                <w:numId w:val="0"/>
              </w:numPr>
              <w:kinsoku/>
              <w:wordWrap/>
              <w:overflowPunct/>
              <w:topLinePunct w:val="0"/>
              <w:autoSpaceDE/>
              <w:autoSpaceDN/>
              <w:bidi w:val="0"/>
              <w:adjustRightInd w:val="0"/>
              <w:snapToGrid w:val="0"/>
              <w:spacing w:before="0" w:line="360" w:lineRule="auto"/>
              <w:ind w:firstLine="480" w:firstLineChars="200"/>
              <w:jc w:val="left"/>
              <w:textAlignment w:val="auto"/>
              <w:outlineLvl w:val="9"/>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根据《生物质热解气化原理与技术》（化学工业出版社 2013年4月出版）中典型的热解产物实验数据，热解产物的大致产率为（其产物质量分数对应于绝干木材）：木炭33%~38%，木醋液及木焦油45%~50%，木煤气16%~18%，损耗（固体残渣）0.3%~1%。结合污染源核算，项目炭化过程物料平衡如下表所示。</w:t>
            </w:r>
          </w:p>
          <w:p w14:paraId="1E669087">
            <w:pPr>
              <w:keepNext w:val="0"/>
              <w:keepLines w:val="0"/>
              <w:pageBreakBefore w:val="0"/>
              <w:widowControl/>
              <w:tabs>
                <w:tab w:val="left" w:pos="3126"/>
                <w:tab w:val="center" w:pos="4686"/>
              </w:tabs>
              <w:kinsoku/>
              <w:wordWrap/>
              <w:overflowPunct/>
              <w:topLinePunct w:val="0"/>
              <w:autoSpaceDE/>
              <w:autoSpaceDN/>
              <w:bidi w:val="0"/>
              <w:adjustRightInd w:val="0"/>
              <w:snapToGrid w:val="0"/>
              <w:spacing w:after="0" w:line="360" w:lineRule="auto"/>
              <w:jc w:val="center"/>
              <w:textAlignment w:val="auto"/>
              <w:rPr>
                <w:rFonts w:hint="eastAsia"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表</w:t>
            </w:r>
            <w:r>
              <w:rPr>
                <w:rFonts w:hint="eastAsia" w:cs="Times New Roman"/>
                <w:b/>
                <w:bCs/>
                <w:color w:val="000000"/>
                <w:sz w:val="24"/>
                <w:szCs w:val="24"/>
                <w:highlight w:val="none"/>
                <w:lang w:val="en-US" w:eastAsia="zh-CN"/>
              </w:rPr>
              <w:t>2-4a</w:t>
            </w:r>
            <w:r>
              <w:rPr>
                <w:rFonts w:hint="eastAsia" w:ascii="Times New Roman" w:hAnsi="Times New Roman" w:eastAsia="宋体" w:cs="Times New Roman"/>
                <w:b/>
                <w:bCs/>
                <w:color w:val="000000"/>
                <w:sz w:val="24"/>
                <w:szCs w:val="24"/>
                <w:highlight w:val="none"/>
                <w:lang w:val="en-US" w:eastAsia="zh-CN"/>
              </w:rPr>
              <w:t xml:space="preserve"> 项目炭化过程物料平衡表</w:t>
            </w:r>
          </w:p>
          <w:tbl>
            <w:tblPr>
              <w:tblStyle w:val="34"/>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9"/>
              <w:gridCol w:w="1926"/>
              <w:gridCol w:w="1368"/>
              <w:gridCol w:w="1525"/>
              <w:gridCol w:w="1490"/>
            </w:tblGrid>
            <w:tr w14:paraId="6EE68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849" w:type="dxa"/>
                  <w:tcBorders>
                    <w:tl2br w:val="nil"/>
                    <w:tr2bl w:val="nil"/>
                  </w:tcBorders>
                  <w:noWrap w:val="0"/>
                  <w:vAlign w:val="center"/>
                </w:tcPr>
                <w:p w14:paraId="65E90E2F">
                  <w:pPr>
                    <w:spacing w:after="0" w:line="240" w:lineRule="auto"/>
                    <w:jc w:val="center"/>
                    <w:rPr>
                      <w:rFonts w:hint="eastAsia"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折算原料干重t/a</w:t>
                  </w:r>
                </w:p>
              </w:tc>
              <w:tc>
                <w:tcPr>
                  <w:tcW w:w="1926" w:type="dxa"/>
                  <w:tcBorders>
                    <w:tl2br w:val="nil"/>
                    <w:tr2bl w:val="nil"/>
                  </w:tcBorders>
                  <w:noWrap w:val="0"/>
                  <w:vAlign w:val="center"/>
                </w:tcPr>
                <w:p w14:paraId="4A9CC6FF">
                  <w:pPr>
                    <w:spacing w:after="0" w:line="240" w:lineRule="auto"/>
                    <w:jc w:val="center"/>
                    <w:rPr>
                      <w:rFonts w:hint="eastAsia"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碳化产物</w:t>
                  </w:r>
                </w:p>
              </w:tc>
              <w:tc>
                <w:tcPr>
                  <w:tcW w:w="1368" w:type="dxa"/>
                  <w:tcBorders>
                    <w:tl2br w:val="nil"/>
                    <w:tr2bl w:val="nil"/>
                  </w:tcBorders>
                  <w:noWrap w:val="0"/>
                  <w:vAlign w:val="center"/>
                </w:tcPr>
                <w:p w14:paraId="2BD2957A">
                  <w:pPr>
                    <w:spacing w:after="0" w:line="240" w:lineRule="auto"/>
                    <w:jc w:val="center"/>
                    <w:rPr>
                      <w:rFonts w:hint="eastAsia"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计算系数%</w:t>
                  </w:r>
                </w:p>
              </w:tc>
              <w:tc>
                <w:tcPr>
                  <w:tcW w:w="1525" w:type="dxa"/>
                  <w:tcBorders>
                    <w:tl2br w:val="nil"/>
                    <w:tr2bl w:val="nil"/>
                  </w:tcBorders>
                  <w:noWrap w:val="0"/>
                  <w:vAlign w:val="center"/>
                </w:tcPr>
                <w:p w14:paraId="52B17E3C">
                  <w:pPr>
                    <w:spacing w:after="0" w:line="240" w:lineRule="auto"/>
                    <w:jc w:val="center"/>
                    <w:rPr>
                      <w:rFonts w:hint="eastAsia"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产生量t/a</w:t>
                  </w:r>
                </w:p>
              </w:tc>
              <w:tc>
                <w:tcPr>
                  <w:tcW w:w="1490" w:type="dxa"/>
                  <w:tcBorders>
                    <w:tl2br w:val="nil"/>
                    <w:tr2bl w:val="nil"/>
                  </w:tcBorders>
                  <w:noWrap w:val="0"/>
                  <w:vAlign w:val="center"/>
                </w:tcPr>
                <w:p w14:paraId="5049F291">
                  <w:pPr>
                    <w:spacing w:after="0" w:line="240" w:lineRule="auto"/>
                    <w:jc w:val="center"/>
                    <w:rPr>
                      <w:rFonts w:hint="eastAsia" w:ascii="Times New Roman" w:hAnsi="Times New Roman" w:eastAsia="宋体" w:cs="Times New Roman"/>
                      <w:b/>
                      <w:bCs/>
                      <w:color w:val="000000"/>
                      <w:sz w:val="21"/>
                      <w:szCs w:val="21"/>
                      <w:highlight w:val="none"/>
                      <w:lang w:val="en-US" w:eastAsia="zh-CN"/>
                    </w:rPr>
                  </w:pPr>
                  <w:r>
                    <w:rPr>
                      <w:rFonts w:hint="eastAsia" w:ascii="Times New Roman" w:hAnsi="Times New Roman" w:eastAsia="宋体" w:cs="Times New Roman"/>
                      <w:b/>
                      <w:bCs/>
                      <w:color w:val="000000"/>
                      <w:sz w:val="21"/>
                      <w:szCs w:val="21"/>
                      <w:highlight w:val="none"/>
                      <w:lang w:val="en-US" w:eastAsia="zh-CN"/>
                    </w:rPr>
                    <w:t>备注</w:t>
                  </w:r>
                </w:p>
              </w:tc>
            </w:tr>
            <w:tr w14:paraId="79482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jc w:val="center"/>
              </w:trPr>
              <w:tc>
                <w:tcPr>
                  <w:tcW w:w="1849" w:type="dxa"/>
                  <w:vMerge w:val="restart"/>
                  <w:tcBorders>
                    <w:tl2br w:val="nil"/>
                    <w:tr2bl w:val="nil"/>
                  </w:tcBorders>
                  <w:noWrap w:val="0"/>
                  <w:vAlign w:val="center"/>
                </w:tcPr>
                <w:p w14:paraId="2CD029FF">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5555</w:t>
                  </w:r>
                  <w:r>
                    <w:rPr>
                      <w:rFonts w:hint="eastAsia" w:cs="Times New Roman"/>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56（进入碳化窑的物料干重）</w:t>
                  </w:r>
                </w:p>
              </w:tc>
              <w:tc>
                <w:tcPr>
                  <w:tcW w:w="1926" w:type="dxa"/>
                  <w:tcBorders>
                    <w:tl2br w:val="nil"/>
                    <w:tr2bl w:val="nil"/>
                  </w:tcBorders>
                  <w:noWrap w:val="0"/>
                  <w:vAlign w:val="center"/>
                </w:tcPr>
                <w:p w14:paraId="265823D2">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机制炭</w:t>
                  </w:r>
                </w:p>
              </w:tc>
              <w:tc>
                <w:tcPr>
                  <w:tcW w:w="1368" w:type="dxa"/>
                  <w:tcBorders>
                    <w:tl2br w:val="nil"/>
                    <w:tr2bl w:val="nil"/>
                  </w:tcBorders>
                  <w:noWrap w:val="0"/>
                  <w:vAlign w:val="center"/>
                </w:tcPr>
                <w:p w14:paraId="11A4BF62">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36</w:t>
                  </w:r>
                </w:p>
              </w:tc>
              <w:tc>
                <w:tcPr>
                  <w:tcW w:w="1525" w:type="dxa"/>
                  <w:tcBorders>
                    <w:tl2br w:val="nil"/>
                    <w:tr2bl w:val="nil"/>
                  </w:tcBorders>
                  <w:noWrap w:val="0"/>
                  <w:vAlign w:val="center"/>
                </w:tcPr>
                <w:p w14:paraId="138419DD">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200</w:t>
                  </w:r>
                  <w:r>
                    <w:rPr>
                      <w:rFonts w:hint="eastAsia" w:cs="Times New Roman"/>
                      <w:color w:val="000000"/>
                      <w:sz w:val="21"/>
                      <w:szCs w:val="21"/>
                      <w:highlight w:val="none"/>
                      <w:lang w:val="en-US" w:eastAsia="zh-CN"/>
                    </w:rPr>
                    <w:t>0</w:t>
                  </w:r>
                </w:p>
              </w:tc>
              <w:tc>
                <w:tcPr>
                  <w:tcW w:w="1490" w:type="dxa"/>
                  <w:tcBorders>
                    <w:tl2br w:val="nil"/>
                    <w:tr2bl w:val="nil"/>
                  </w:tcBorders>
                  <w:noWrap w:val="0"/>
                  <w:vAlign w:val="center"/>
                </w:tcPr>
                <w:p w14:paraId="70BAE5A5">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产品</w:t>
                  </w:r>
                </w:p>
              </w:tc>
            </w:tr>
            <w:tr w14:paraId="32CF4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1849" w:type="dxa"/>
                  <w:vMerge w:val="continue"/>
                  <w:tcBorders>
                    <w:tl2br w:val="nil"/>
                    <w:tr2bl w:val="nil"/>
                  </w:tcBorders>
                  <w:noWrap w:val="0"/>
                  <w:vAlign w:val="center"/>
                </w:tcPr>
                <w:p w14:paraId="17FB5A5C">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926" w:type="dxa"/>
                  <w:tcBorders>
                    <w:tl2br w:val="nil"/>
                    <w:tr2bl w:val="nil"/>
                  </w:tcBorders>
                  <w:noWrap w:val="0"/>
                  <w:vAlign w:val="center"/>
                </w:tcPr>
                <w:p w14:paraId="7C20F6E0">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木醋液</w:t>
                  </w:r>
                </w:p>
              </w:tc>
              <w:tc>
                <w:tcPr>
                  <w:tcW w:w="1368" w:type="dxa"/>
                  <w:tcBorders>
                    <w:tl2br w:val="nil"/>
                    <w:tr2bl w:val="nil"/>
                  </w:tcBorders>
                  <w:noWrap w:val="0"/>
                  <w:vAlign w:val="center"/>
                </w:tcPr>
                <w:p w14:paraId="47EF3B54">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40.5</w:t>
                  </w:r>
                </w:p>
              </w:tc>
              <w:tc>
                <w:tcPr>
                  <w:tcW w:w="1525" w:type="dxa"/>
                  <w:tcBorders>
                    <w:tl2br w:val="nil"/>
                    <w:tr2bl w:val="nil"/>
                  </w:tcBorders>
                  <w:noWrap w:val="0"/>
                  <w:vAlign w:val="center"/>
                </w:tcPr>
                <w:p w14:paraId="674175AC">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2250</w:t>
                  </w:r>
                </w:p>
              </w:tc>
              <w:tc>
                <w:tcPr>
                  <w:tcW w:w="1490" w:type="dxa"/>
                  <w:vMerge w:val="restart"/>
                  <w:tcBorders>
                    <w:tl2br w:val="nil"/>
                    <w:tr2bl w:val="nil"/>
                  </w:tcBorders>
                  <w:noWrap w:val="0"/>
                  <w:vAlign w:val="center"/>
                </w:tcPr>
                <w:p w14:paraId="3323BAA1">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炭化气</w:t>
                  </w:r>
                </w:p>
              </w:tc>
            </w:tr>
            <w:tr w14:paraId="01113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1849" w:type="dxa"/>
                  <w:vMerge w:val="continue"/>
                  <w:tcBorders>
                    <w:tl2br w:val="nil"/>
                    <w:tr2bl w:val="nil"/>
                  </w:tcBorders>
                  <w:noWrap w:val="0"/>
                  <w:vAlign w:val="center"/>
                </w:tcPr>
                <w:p w14:paraId="2382DA84">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926" w:type="dxa"/>
                  <w:tcBorders>
                    <w:tl2br w:val="nil"/>
                    <w:tr2bl w:val="nil"/>
                  </w:tcBorders>
                  <w:noWrap w:val="0"/>
                  <w:vAlign w:val="center"/>
                </w:tcPr>
                <w:p w14:paraId="11BFF44E">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木焦油</w:t>
                  </w:r>
                </w:p>
              </w:tc>
              <w:tc>
                <w:tcPr>
                  <w:tcW w:w="1368" w:type="dxa"/>
                  <w:tcBorders>
                    <w:tl2br w:val="nil"/>
                    <w:tr2bl w:val="nil"/>
                  </w:tcBorders>
                  <w:noWrap w:val="0"/>
                  <w:vAlign w:val="center"/>
                </w:tcPr>
                <w:p w14:paraId="2E51A6F2">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4.5</w:t>
                  </w:r>
                </w:p>
              </w:tc>
              <w:tc>
                <w:tcPr>
                  <w:tcW w:w="1525" w:type="dxa"/>
                  <w:tcBorders>
                    <w:tl2br w:val="nil"/>
                    <w:tr2bl w:val="nil"/>
                  </w:tcBorders>
                  <w:noWrap w:val="0"/>
                  <w:vAlign w:val="center"/>
                </w:tcPr>
                <w:p w14:paraId="769C237C">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250</w:t>
                  </w:r>
                </w:p>
              </w:tc>
              <w:tc>
                <w:tcPr>
                  <w:tcW w:w="1490" w:type="dxa"/>
                  <w:vMerge w:val="continue"/>
                  <w:tcBorders>
                    <w:tl2br w:val="nil"/>
                    <w:tr2bl w:val="nil"/>
                  </w:tcBorders>
                  <w:noWrap w:val="0"/>
                  <w:vAlign w:val="center"/>
                </w:tcPr>
                <w:p w14:paraId="4433F5A3">
                  <w:pPr>
                    <w:spacing w:after="0" w:line="240" w:lineRule="auto"/>
                    <w:jc w:val="center"/>
                    <w:rPr>
                      <w:rFonts w:hint="eastAsia" w:ascii="Times New Roman" w:hAnsi="Times New Roman" w:eastAsia="宋体" w:cs="Times New Roman"/>
                      <w:color w:val="000000"/>
                      <w:sz w:val="21"/>
                      <w:szCs w:val="21"/>
                      <w:highlight w:val="none"/>
                      <w:lang w:val="en-US" w:eastAsia="zh-CN"/>
                    </w:rPr>
                  </w:pPr>
                </w:p>
              </w:tc>
            </w:tr>
            <w:tr w14:paraId="0D351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jc w:val="center"/>
              </w:trPr>
              <w:tc>
                <w:tcPr>
                  <w:tcW w:w="1849" w:type="dxa"/>
                  <w:vMerge w:val="continue"/>
                  <w:tcBorders>
                    <w:tl2br w:val="nil"/>
                    <w:tr2bl w:val="nil"/>
                  </w:tcBorders>
                  <w:noWrap w:val="0"/>
                  <w:vAlign w:val="center"/>
                </w:tcPr>
                <w:p w14:paraId="569ABCB7">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926" w:type="dxa"/>
                  <w:tcBorders>
                    <w:tl2br w:val="nil"/>
                    <w:tr2bl w:val="nil"/>
                  </w:tcBorders>
                  <w:noWrap w:val="0"/>
                  <w:vAlign w:val="center"/>
                </w:tcPr>
                <w:p w14:paraId="099712E7">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木煤气（可燃气体）</w:t>
                  </w:r>
                </w:p>
              </w:tc>
              <w:tc>
                <w:tcPr>
                  <w:tcW w:w="1368" w:type="dxa"/>
                  <w:tcBorders>
                    <w:tl2br w:val="nil"/>
                    <w:tr2bl w:val="nil"/>
                  </w:tcBorders>
                  <w:noWrap w:val="0"/>
                  <w:vAlign w:val="center"/>
                </w:tcPr>
                <w:p w14:paraId="20DD496F">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18</w:t>
                  </w:r>
                </w:p>
              </w:tc>
              <w:tc>
                <w:tcPr>
                  <w:tcW w:w="1525" w:type="dxa"/>
                  <w:tcBorders>
                    <w:tl2br w:val="nil"/>
                    <w:tr2bl w:val="nil"/>
                  </w:tcBorders>
                  <w:noWrap w:val="0"/>
                  <w:vAlign w:val="center"/>
                </w:tcPr>
                <w:p w14:paraId="62FC8428">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100</w:t>
                  </w:r>
                  <w:r>
                    <w:rPr>
                      <w:rFonts w:hint="eastAsia" w:cs="Times New Roman"/>
                      <w:color w:val="000000"/>
                      <w:sz w:val="21"/>
                      <w:szCs w:val="21"/>
                      <w:highlight w:val="none"/>
                      <w:lang w:val="en-US" w:eastAsia="zh-CN"/>
                    </w:rPr>
                    <w:t>0</w:t>
                  </w:r>
                </w:p>
              </w:tc>
              <w:tc>
                <w:tcPr>
                  <w:tcW w:w="1490" w:type="dxa"/>
                  <w:vMerge w:val="continue"/>
                  <w:tcBorders>
                    <w:tl2br w:val="nil"/>
                    <w:tr2bl w:val="nil"/>
                  </w:tcBorders>
                  <w:noWrap w:val="0"/>
                  <w:vAlign w:val="center"/>
                </w:tcPr>
                <w:p w14:paraId="597BCE21">
                  <w:pPr>
                    <w:spacing w:after="0" w:line="240" w:lineRule="auto"/>
                    <w:jc w:val="center"/>
                    <w:rPr>
                      <w:rFonts w:hint="eastAsia" w:ascii="Times New Roman" w:hAnsi="Times New Roman" w:eastAsia="宋体" w:cs="Times New Roman"/>
                      <w:color w:val="000000"/>
                      <w:sz w:val="21"/>
                      <w:szCs w:val="21"/>
                      <w:highlight w:val="none"/>
                      <w:lang w:val="en-US" w:eastAsia="zh-CN"/>
                    </w:rPr>
                  </w:pPr>
                </w:p>
              </w:tc>
            </w:tr>
            <w:tr w14:paraId="12808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849" w:type="dxa"/>
                  <w:vMerge w:val="continue"/>
                  <w:tcBorders>
                    <w:tl2br w:val="nil"/>
                    <w:tr2bl w:val="nil"/>
                  </w:tcBorders>
                  <w:noWrap w:val="0"/>
                  <w:vAlign w:val="center"/>
                </w:tcPr>
                <w:p w14:paraId="3C4AAD4F">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926" w:type="dxa"/>
                  <w:tcBorders>
                    <w:tl2br w:val="nil"/>
                    <w:tr2bl w:val="nil"/>
                  </w:tcBorders>
                  <w:noWrap w:val="0"/>
                  <w:vAlign w:val="center"/>
                </w:tcPr>
                <w:p w14:paraId="2BE3FDF7">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颗粒物</w:t>
                  </w:r>
                </w:p>
              </w:tc>
              <w:tc>
                <w:tcPr>
                  <w:tcW w:w="1368" w:type="dxa"/>
                  <w:vMerge w:val="restart"/>
                  <w:tcBorders>
                    <w:tl2br w:val="nil"/>
                    <w:tr2bl w:val="nil"/>
                  </w:tcBorders>
                  <w:noWrap w:val="0"/>
                  <w:vAlign w:val="center"/>
                </w:tcPr>
                <w:p w14:paraId="02774A15">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w:t>
                  </w:r>
                </w:p>
              </w:tc>
              <w:tc>
                <w:tcPr>
                  <w:tcW w:w="1525" w:type="dxa"/>
                  <w:tcBorders>
                    <w:tl2br w:val="nil"/>
                    <w:tr2bl w:val="nil"/>
                  </w:tcBorders>
                  <w:noWrap w:val="0"/>
                  <w:vAlign w:val="center"/>
                </w:tcPr>
                <w:p w14:paraId="3F1E119D">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5.9</w:t>
                  </w:r>
                </w:p>
              </w:tc>
              <w:tc>
                <w:tcPr>
                  <w:tcW w:w="1490" w:type="dxa"/>
                  <w:vMerge w:val="continue"/>
                  <w:tcBorders>
                    <w:tl2br w:val="nil"/>
                    <w:tr2bl w:val="nil"/>
                  </w:tcBorders>
                  <w:noWrap w:val="0"/>
                  <w:vAlign w:val="center"/>
                </w:tcPr>
                <w:p w14:paraId="03F73F99">
                  <w:pPr>
                    <w:spacing w:after="0" w:line="240" w:lineRule="auto"/>
                    <w:jc w:val="center"/>
                    <w:rPr>
                      <w:rFonts w:hint="eastAsia" w:ascii="Times New Roman" w:hAnsi="Times New Roman" w:eastAsia="宋体" w:cs="Times New Roman"/>
                      <w:color w:val="000000"/>
                      <w:sz w:val="21"/>
                      <w:szCs w:val="21"/>
                      <w:highlight w:val="none"/>
                      <w:lang w:val="en-US" w:eastAsia="zh-CN"/>
                    </w:rPr>
                  </w:pPr>
                </w:p>
              </w:tc>
            </w:tr>
            <w:tr w14:paraId="7971F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849" w:type="dxa"/>
                  <w:vMerge w:val="continue"/>
                  <w:tcBorders>
                    <w:tl2br w:val="nil"/>
                    <w:tr2bl w:val="nil"/>
                  </w:tcBorders>
                  <w:noWrap w:val="0"/>
                  <w:vAlign w:val="center"/>
                </w:tcPr>
                <w:p w14:paraId="56E3683B">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926" w:type="dxa"/>
                  <w:tcBorders>
                    <w:tl2br w:val="nil"/>
                    <w:tr2bl w:val="nil"/>
                  </w:tcBorders>
                  <w:noWrap w:val="0"/>
                  <w:vAlign w:val="center"/>
                </w:tcPr>
                <w:p w14:paraId="227BB406">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二氧化硫</w:t>
                  </w:r>
                </w:p>
              </w:tc>
              <w:tc>
                <w:tcPr>
                  <w:tcW w:w="1368" w:type="dxa"/>
                  <w:vMerge w:val="continue"/>
                  <w:tcBorders>
                    <w:tl2br w:val="nil"/>
                    <w:tr2bl w:val="nil"/>
                  </w:tcBorders>
                  <w:noWrap w:val="0"/>
                  <w:vAlign w:val="center"/>
                </w:tcPr>
                <w:p w14:paraId="6D43A556">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525" w:type="dxa"/>
                  <w:tcBorders>
                    <w:tl2br w:val="nil"/>
                    <w:tr2bl w:val="nil"/>
                  </w:tcBorders>
                  <w:noWrap w:val="0"/>
                  <w:vAlign w:val="center"/>
                </w:tcPr>
                <w:p w14:paraId="23557F94">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17.6</w:t>
                  </w:r>
                </w:p>
              </w:tc>
              <w:tc>
                <w:tcPr>
                  <w:tcW w:w="1490" w:type="dxa"/>
                  <w:vMerge w:val="continue"/>
                  <w:tcBorders>
                    <w:tl2br w:val="nil"/>
                    <w:tr2bl w:val="nil"/>
                  </w:tcBorders>
                  <w:noWrap w:val="0"/>
                  <w:vAlign w:val="center"/>
                </w:tcPr>
                <w:p w14:paraId="529EDBE6">
                  <w:pPr>
                    <w:spacing w:after="0" w:line="240" w:lineRule="auto"/>
                    <w:jc w:val="center"/>
                    <w:rPr>
                      <w:rFonts w:hint="eastAsia" w:ascii="Times New Roman" w:hAnsi="Times New Roman" w:eastAsia="宋体" w:cs="Times New Roman"/>
                      <w:color w:val="000000"/>
                      <w:sz w:val="21"/>
                      <w:szCs w:val="21"/>
                      <w:highlight w:val="none"/>
                      <w:lang w:val="en-US" w:eastAsia="zh-CN"/>
                    </w:rPr>
                  </w:pPr>
                </w:p>
              </w:tc>
            </w:tr>
            <w:tr w14:paraId="2B352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1849" w:type="dxa"/>
                  <w:vMerge w:val="continue"/>
                  <w:tcBorders>
                    <w:tl2br w:val="nil"/>
                    <w:tr2bl w:val="nil"/>
                  </w:tcBorders>
                  <w:noWrap w:val="0"/>
                  <w:vAlign w:val="center"/>
                </w:tcPr>
                <w:p w14:paraId="0A80F814">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926" w:type="dxa"/>
                  <w:tcBorders>
                    <w:tl2br w:val="nil"/>
                    <w:tr2bl w:val="nil"/>
                  </w:tcBorders>
                  <w:noWrap w:val="0"/>
                  <w:vAlign w:val="center"/>
                </w:tcPr>
                <w:p w14:paraId="7BDEA21C">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氮氧化物</w:t>
                  </w:r>
                </w:p>
              </w:tc>
              <w:tc>
                <w:tcPr>
                  <w:tcW w:w="1368" w:type="dxa"/>
                  <w:vMerge w:val="continue"/>
                  <w:tcBorders>
                    <w:tl2br w:val="nil"/>
                    <w:tr2bl w:val="nil"/>
                  </w:tcBorders>
                  <w:noWrap w:val="0"/>
                  <w:vAlign w:val="center"/>
                </w:tcPr>
                <w:p w14:paraId="3EBB43EF">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525" w:type="dxa"/>
                  <w:tcBorders>
                    <w:tl2br w:val="nil"/>
                    <w:tr2bl w:val="nil"/>
                  </w:tcBorders>
                  <w:noWrap w:val="0"/>
                  <w:vAlign w:val="center"/>
                </w:tcPr>
                <w:p w14:paraId="0D00BFF1">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5.8</w:t>
                  </w:r>
                </w:p>
              </w:tc>
              <w:tc>
                <w:tcPr>
                  <w:tcW w:w="1490" w:type="dxa"/>
                  <w:vMerge w:val="continue"/>
                  <w:tcBorders>
                    <w:tl2br w:val="nil"/>
                    <w:tr2bl w:val="nil"/>
                  </w:tcBorders>
                  <w:noWrap w:val="0"/>
                  <w:vAlign w:val="center"/>
                </w:tcPr>
                <w:p w14:paraId="02428997">
                  <w:pPr>
                    <w:spacing w:after="0" w:line="240" w:lineRule="auto"/>
                    <w:jc w:val="center"/>
                    <w:rPr>
                      <w:rFonts w:hint="eastAsia" w:ascii="Times New Roman" w:hAnsi="Times New Roman" w:eastAsia="宋体" w:cs="Times New Roman"/>
                      <w:color w:val="000000"/>
                      <w:sz w:val="21"/>
                      <w:szCs w:val="21"/>
                      <w:highlight w:val="none"/>
                      <w:lang w:val="en-US" w:eastAsia="zh-CN"/>
                    </w:rPr>
                  </w:pPr>
                </w:p>
              </w:tc>
            </w:tr>
            <w:tr w14:paraId="6AD6E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849" w:type="dxa"/>
                  <w:vMerge w:val="continue"/>
                  <w:tcBorders>
                    <w:tl2br w:val="nil"/>
                    <w:tr2bl w:val="nil"/>
                  </w:tcBorders>
                  <w:noWrap w:val="0"/>
                  <w:vAlign w:val="center"/>
                </w:tcPr>
                <w:p w14:paraId="0ECC192B">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926" w:type="dxa"/>
                  <w:tcBorders>
                    <w:tl2br w:val="nil"/>
                    <w:tr2bl w:val="nil"/>
                  </w:tcBorders>
                  <w:noWrap w:val="0"/>
                  <w:vAlign w:val="center"/>
                </w:tcPr>
                <w:p w14:paraId="2ADF41B9">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损耗</w:t>
                  </w:r>
                </w:p>
              </w:tc>
              <w:tc>
                <w:tcPr>
                  <w:tcW w:w="1368" w:type="dxa"/>
                  <w:tcBorders>
                    <w:tl2br w:val="nil"/>
                    <w:tr2bl w:val="nil"/>
                  </w:tcBorders>
                  <w:noWrap w:val="0"/>
                  <w:vAlign w:val="center"/>
                </w:tcPr>
                <w:p w14:paraId="7DC98563">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0.47</w:t>
                  </w:r>
                </w:p>
              </w:tc>
              <w:tc>
                <w:tcPr>
                  <w:tcW w:w="1525" w:type="dxa"/>
                  <w:tcBorders>
                    <w:tl2br w:val="nil"/>
                    <w:tr2bl w:val="nil"/>
                  </w:tcBorders>
                  <w:noWrap w:val="0"/>
                  <w:vAlign w:val="center"/>
                </w:tcPr>
                <w:p w14:paraId="024C2315">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26.26</w:t>
                  </w:r>
                </w:p>
              </w:tc>
              <w:tc>
                <w:tcPr>
                  <w:tcW w:w="1490" w:type="dxa"/>
                  <w:tcBorders>
                    <w:tl2br w:val="nil"/>
                    <w:tr2bl w:val="nil"/>
                  </w:tcBorders>
                  <w:noWrap w:val="0"/>
                  <w:vAlign w:val="center"/>
                </w:tcPr>
                <w:p w14:paraId="310A81AC">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固体残渣</w:t>
                  </w:r>
                </w:p>
              </w:tc>
            </w:tr>
          </w:tbl>
          <w:p w14:paraId="77703927">
            <w:pPr>
              <w:keepNext w:val="0"/>
              <w:keepLines w:val="0"/>
              <w:pageBreakBefore w:val="0"/>
              <w:widowControl/>
              <w:tabs>
                <w:tab w:val="left" w:pos="3126"/>
                <w:tab w:val="center" w:pos="4686"/>
              </w:tabs>
              <w:kinsoku/>
              <w:wordWrap/>
              <w:overflowPunct/>
              <w:topLinePunct w:val="0"/>
              <w:autoSpaceDE/>
              <w:autoSpaceDN/>
              <w:bidi w:val="0"/>
              <w:adjustRightInd w:val="0"/>
              <w:snapToGrid w:val="0"/>
              <w:spacing w:before="157" w:beforeLines="50" w:after="0" w:line="360" w:lineRule="auto"/>
              <w:jc w:val="center"/>
              <w:textAlignment w:val="auto"/>
              <w:rPr>
                <w:rFonts w:hint="default" w:ascii="Times New Roman" w:hAnsi="Times New Roman" w:eastAsia="宋体" w:cs="Times New Roman"/>
                <w:b/>
                <w:bCs/>
                <w:color w:val="000000"/>
                <w:sz w:val="24"/>
                <w:szCs w:val="24"/>
                <w:highlight w:val="none"/>
                <w:lang w:val="en-US" w:eastAsia="zh-CN"/>
              </w:rPr>
            </w:pPr>
            <w:r>
              <w:rPr>
                <w:rFonts w:hint="eastAsia" w:ascii="Times New Roman" w:hAnsi="Times New Roman" w:eastAsia="宋体" w:cs="Times New Roman"/>
                <w:b/>
                <w:bCs/>
                <w:color w:val="000000"/>
                <w:sz w:val="24"/>
                <w:szCs w:val="24"/>
                <w:highlight w:val="none"/>
                <w:lang w:val="en-US" w:eastAsia="zh-CN"/>
              </w:rPr>
              <w:t>表</w:t>
            </w:r>
            <w:r>
              <w:rPr>
                <w:rFonts w:hint="eastAsia" w:cs="Times New Roman"/>
                <w:b/>
                <w:bCs/>
                <w:color w:val="000000"/>
                <w:sz w:val="24"/>
                <w:szCs w:val="24"/>
                <w:highlight w:val="none"/>
                <w:lang w:val="en-US" w:eastAsia="zh-CN"/>
              </w:rPr>
              <w:t xml:space="preserve">2-4b  </w:t>
            </w:r>
            <w:r>
              <w:rPr>
                <w:rFonts w:hint="eastAsia" w:ascii="Times New Roman" w:hAnsi="Times New Roman" w:eastAsia="宋体" w:cs="Times New Roman"/>
                <w:b/>
                <w:bCs/>
                <w:color w:val="000000"/>
                <w:sz w:val="24"/>
                <w:szCs w:val="24"/>
                <w:highlight w:val="none"/>
                <w:lang w:val="en-US" w:eastAsia="zh-CN"/>
              </w:rPr>
              <w:t>项目物料平衡分析表    单位</w:t>
            </w:r>
            <w:r>
              <w:rPr>
                <w:rFonts w:hint="eastAsia" w:cs="Times New Roman"/>
                <w:color w:val="000000"/>
                <w:sz w:val="24"/>
                <w:szCs w:val="24"/>
                <w:highlight w:val="none"/>
                <w:lang w:val="en-US" w:eastAsia="zh-CN"/>
              </w:rPr>
              <w:t>t</w:t>
            </w:r>
            <w:r>
              <w:rPr>
                <w:rFonts w:hint="eastAsia" w:ascii="Times New Roman" w:hAnsi="Times New Roman" w:eastAsia="宋体" w:cs="Times New Roman"/>
                <w:color w:val="000000"/>
                <w:sz w:val="24"/>
                <w:szCs w:val="24"/>
                <w:highlight w:val="none"/>
                <w:lang w:val="en-US" w:eastAsia="zh-CN"/>
              </w:rPr>
              <w:t>/a</w:t>
            </w:r>
          </w:p>
          <w:tbl>
            <w:tblPr>
              <w:tblStyle w:val="35"/>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211"/>
              <w:gridCol w:w="947"/>
              <w:gridCol w:w="1717"/>
              <w:gridCol w:w="3782"/>
            </w:tblGrid>
            <w:tr w14:paraId="21D3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51" w:type="dxa"/>
                  <w:tcBorders>
                    <w:tl2br w:val="nil"/>
                    <w:tr2bl w:val="nil"/>
                  </w:tcBorders>
                  <w:noWrap w:val="0"/>
                  <w:vAlign w:val="center"/>
                </w:tcPr>
                <w:p w14:paraId="532419CB">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投入物料</w:t>
                  </w:r>
                </w:p>
              </w:tc>
              <w:tc>
                <w:tcPr>
                  <w:tcW w:w="3875" w:type="dxa"/>
                  <w:gridSpan w:val="3"/>
                  <w:tcBorders>
                    <w:tl2br w:val="nil"/>
                    <w:tr2bl w:val="nil"/>
                  </w:tcBorders>
                  <w:noWrap w:val="0"/>
                  <w:vAlign w:val="center"/>
                </w:tcPr>
                <w:p w14:paraId="48501180">
                  <w:pPr>
                    <w:spacing w:after="0" w:line="240" w:lineRule="auto"/>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产出物料</w:t>
                  </w:r>
                </w:p>
              </w:tc>
              <w:tc>
                <w:tcPr>
                  <w:tcW w:w="3782" w:type="dxa"/>
                  <w:vMerge w:val="restart"/>
                  <w:tcBorders>
                    <w:tl2br w:val="nil"/>
                    <w:tr2bl w:val="nil"/>
                  </w:tcBorders>
                  <w:noWrap w:val="0"/>
                  <w:vAlign w:val="center"/>
                </w:tcPr>
                <w:p w14:paraId="44424B22">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备注</w:t>
                  </w:r>
                </w:p>
              </w:tc>
            </w:tr>
            <w:tr w14:paraId="5A30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151" w:type="dxa"/>
                  <w:tcBorders>
                    <w:tl2br w:val="nil"/>
                    <w:tr2bl w:val="nil"/>
                  </w:tcBorders>
                  <w:noWrap w:val="0"/>
                  <w:vAlign w:val="center"/>
                </w:tcPr>
                <w:p w14:paraId="3AB3C0D1">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原料</w:t>
                  </w:r>
                </w:p>
              </w:tc>
              <w:tc>
                <w:tcPr>
                  <w:tcW w:w="1211" w:type="dxa"/>
                  <w:tcBorders>
                    <w:tl2br w:val="nil"/>
                    <w:tr2bl w:val="nil"/>
                  </w:tcBorders>
                  <w:noWrap w:val="0"/>
                  <w:vAlign w:val="center"/>
                </w:tcPr>
                <w:p w14:paraId="5B3CCA1A">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物料名称</w:t>
                  </w:r>
                </w:p>
              </w:tc>
              <w:tc>
                <w:tcPr>
                  <w:tcW w:w="947" w:type="dxa"/>
                  <w:tcBorders>
                    <w:tl2br w:val="nil"/>
                    <w:tr2bl w:val="nil"/>
                  </w:tcBorders>
                  <w:noWrap w:val="0"/>
                  <w:vAlign w:val="center"/>
                </w:tcPr>
                <w:p w14:paraId="6CDDA7A3">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数量</w:t>
                  </w:r>
                </w:p>
              </w:tc>
              <w:tc>
                <w:tcPr>
                  <w:tcW w:w="1717" w:type="dxa"/>
                  <w:tcBorders>
                    <w:tl2br w:val="nil"/>
                    <w:tr2bl w:val="nil"/>
                  </w:tcBorders>
                  <w:noWrap w:val="0"/>
                  <w:vAlign w:val="center"/>
                </w:tcPr>
                <w:p w14:paraId="7EF134ED">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去向</w:t>
                  </w:r>
                </w:p>
              </w:tc>
              <w:tc>
                <w:tcPr>
                  <w:tcW w:w="3782" w:type="dxa"/>
                  <w:vMerge w:val="continue"/>
                  <w:tcBorders>
                    <w:tl2br w:val="nil"/>
                    <w:tr2bl w:val="nil"/>
                  </w:tcBorders>
                  <w:noWrap w:val="0"/>
                  <w:vAlign w:val="center"/>
                </w:tcPr>
                <w:p w14:paraId="022FF0FD">
                  <w:pPr>
                    <w:spacing w:after="0" w:line="240" w:lineRule="auto"/>
                    <w:jc w:val="center"/>
                    <w:rPr>
                      <w:rFonts w:hint="eastAsia" w:ascii="Times New Roman" w:hAnsi="Times New Roman" w:eastAsia="宋体" w:cs="Times New Roman"/>
                      <w:color w:val="000000"/>
                      <w:sz w:val="21"/>
                      <w:szCs w:val="21"/>
                      <w:highlight w:val="none"/>
                      <w:lang w:val="en-US" w:eastAsia="zh-CN"/>
                    </w:rPr>
                  </w:pPr>
                </w:p>
              </w:tc>
            </w:tr>
            <w:tr w14:paraId="161B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Merge w:val="restart"/>
                  <w:tcBorders>
                    <w:tl2br w:val="nil"/>
                    <w:tr2bl w:val="nil"/>
                  </w:tcBorders>
                  <w:noWrap w:val="0"/>
                  <w:vAlign w:val="center"/>
                </w:tcPr>
                <w:p w14:paraId="58D3B0AF">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b w:val="0"/>
                      <w:bCs/>
                      <w:color w:val="000000"/>
                      <w:sz w:val="21"/>
                      <w:szCs w:val="21"/>
                      <w:highlight w:val="none"/>
                      <w:lang w:val="en-US" w:eastAsia="zh-CN"/>
                    </w:rPr>
                    <w:t>木糠</w:t>
                  </w:r>
                  <w:r>
                    <w:rPr>
                      <w:rFonts w:hint="eastAsia" w:ascii="Times New Roman" w:hAnsi="Times New Roman" w:eastAsia="宋体" w:cs="Times New Roman"/>
                      <w:color w:val="000000"/>
                      <w:sz w:val="21"/>
                      <w:szCs w:val="21"/>
                      <w:highlight w:val="none"/>
                      <w:lang w:val="en-US" w:eastAsia="zh-CN"/>
                    </w:rPr>
                    <w:t>112</w:t>
                  </w:r>
                  <w:r>
                    <w:rPr>
                      <w:rFonts w:hint="eastAsia" w:cs="Times New Roman"/>
                      <w:color w:val="000000"/>
                      <w:sz w:val="21"/>
                      <w:szCs w:val="21"/>
                      <w:highlight w:val="none"/>
                      <w:lang w:val="en-US" w:eastAsia="zh-CN"/>
                    </w:rPr>
                    <w:t>43</w:t>
                  </w:r>
                  <w:r>
                    <w:rPr>
                      <w:rFonts w:hint="eastAsia" w:ascii="Times New Roman" w:hAnsi="Times New Roman" w:eastAsia="宋体" w:cs="Times New Roman"/>
                      <w:color w:val="000000"/>
                      <w:sz w:val="21"/>
                      <w:szCs w:val="21"/>
                      <w:highlight w:val="none"/>
                      <w:lang w:val="en-US" w:eastAsia="zh-CN"/>
                    </w:rPr>
                    <w:t>t/a</w:t>
                  </w:r>
                </w:p>
                <w:p w14:paraId="5E2EF24E">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（含水率50%）</w:t>
                  </w:r>
                </w:p>
              </w:tc>
              <w:tc>
                <w:tcPr>
                  <w:tcW w:w="1211" w:type="dxa"/>
                  <w:tcBorders>
                    <w:tl2br w:val="nil"/>
                    <w:tr2bl w:val="nil"/>
                  </w:tcBorders>
                  <w:noWrap w:val="0"/>
                  <w:vAlign w:val="center"/>
                </w:tcPr>
                <w:p w14:paraId="4E73A7AE">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机制炭</w:t>
                  </w:r>
                </w:p>
              </w:tc>
              <w:tc>
                <w:tcPr>
                  <w:tcW w:w="947" w:type="dxa"/>
                  <w:tcBorders>
                    <w:tl2br w:val="nil"/>
                    <w:tr2bl w:val="nil"/>
                  </w:tcBorders>
                  <w:noWrap w:val="0"/>
                  <w:vAlign w:val="center"/>
                </w:tcPr>
                <w:p w14:paraId="54E9B5AC">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200</w:t>
                  </w:r>
                  <w:r>
                    <w:rPr>
                      <w:rFonts w:hint="eastAsia" w:cs="Times New Roman"/>
                      <w:color w:val="000000"/>
                      <w:sz w:val="21"/>
                      <w:szCs w:val="21"/>
                      <w:highlight w:val="none"/>
                      <w:lang w:val="en-US" w:eastAsia="zh-CN"/>
                    </w:rPr>
                    <w:t>0</w:t>
                  </w:r>
                </w:p>
              </w:tc>
              <w:tc>
                <w:tcPr>
                  <w:tcW w:w="1717" w:type="dxa"/>
                  <w:tcBorders>
                    <w:tl2br w:val="nil"/>
                    <w:tr2bl w:val="nil"/>
                  </w:tcBorders>
                  <w:noWrap w:val="0"/>
                  <w:vAlign w:val="center"/>
                </w:tcPr>
                <w:p w14:paraId="46D03B10">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外售</w:t>
                  </w:r>
                </w:p>
              </w:tc>
              <w:tc>
                <w:tcPr>
                  <w:tcW w:w="3782" w:type="dxa"/>
                  <w:tcBorders>
                    <w:tl2br w:val="nil"/>
                    <w:tr2bl w:val="nil"/>
                  </w:tcBorders>
                  <w:noWrap w:val="0"/>
                  <w:vAlign w:val="center"/>
                </w:tcPr>
                <w:p w14:paraId="6063E2AE">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w:t>
                  </w:r>
                </w:p>
              </w:tc>
            </w:tr>
            <w:tr w14:paraId="22FD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151" w:type="dxa"/>
                  <w:vMerge w:val="continue"/>
                  <w:tcBorders>
                    <w:tl2br w:val="nil"/>
                    <w:tr2bl w:val="nil"/>
                  </w:tcBorders>
                  <w:noWrap w:val="0"/>
                  <w:vAlign w:val="center"/>
                </w:tcPr>
                <w:p w14:paraId="0375AB73">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211" w:type="dxa"/>
                  <w:tcBorders>
                    <w:tl2br w:val="nil"/>
                    <w:tr2bl w:val="nil"/>
                  </w:tcBorders>
                  <w:noWrap w:val="0"/>
                  <w:vAlign w:val="center"/>
                </w:tcPr>
                <w:p w14:paraId="4D15C335">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木醋液</w:t>
                  </w:r>
                </w:p>
              </w:tc>
              <w:tc>
                <w:tcPr>
                  <w:tcW w:w="947" w:type="dxa"/>
                  <w:tcBorders>
                    <w:tl2br w:val="nil"/>
                    <w:tr2bl w:val="nil"/>
                  </w:tcBorders>
                  <w:noWrap w:val="0"/>
                  <w:vAlign w:val="center"/>
                </w:tcPr>
                <w:p w14:paraId="184A97F9">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w:t>
                  </w:r>
                  <w:r>
                    <w:rPr>
                      <w:rFonts w:hint="eastAsia" w:cs="Times New Roman"/>
                      <w:color w:val="000000"/>
                      <w:sz w:val="21"/>
                      <w:szCs w:val="21"/>
                      <w:highlight w:val="none"/>
                      <w:lang w:val="en-US" w:eastAsia="zh-CN"/>
                    </w:rPr>
                    <w:t>250</w:t>
                  </w:r>
                </w:p>
              </w:tc>
              <w:tc>
                <w:tcPr>
                  <w:tcW w:w="1717" w:type="dxa"/>
                  <w:vMerge w:val="restart"/>
                  <w:tcBorders>
                    <w:tl2br w:val="nil"/>
                    <w:tr2bl w:val="nil"/>
                  </w:tcBorders>
                  <w:noWrap w:val="0"/>
                  <w:vAlign w:val="center"/>
                </w:tcPr>
                <w:p w14:paraId="10A5AE18">
                  <w:pPr>
                    <w:spacing w:after="0" w:line="240" w:lineRule="auto"/>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通过密闭管道引至烘干机配置的燃烧炉作为燃料燃烧</w:t>
                  </w:r>
                </w:p>
              </w:tc>
              <w:tc>
                <w:tcPr>
                  <w:tcW w:w="3782" w:type="dxa"/>
                  <w:tcBorders>
                    <w:tl2br w:val="nil"/>
                    <w:tr2bl w:val="nil"/>
                  </w:tcBorders>
                  <w:noWrap w:val="0"/>
                  <w:vAlign w:val="center"/>
                </w:tcPr>
                <w:p w14:paraId="7D11F86C">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cs="Times New Roman"/>
                      <w:color w:val="000000"/>
                      <w:sz w:val="21"/>
                      <w:szCs w:val="21"/>
                      <w:highlight w:val="none"/>
                      <w:lang w:val="en-US" w:eastAsia="zh-CN"/>
                    </w:rPr>
                  </w:pPr>
                  <w:r>
                    <w:rPr>
                      <w:rFonts w:hint="eastAsia" w:ascii="Times New Roman" w:hAnsi="Times New Roman" w:eastAsia="宋体" w:cs="Times New Roman"/>
                      <w:sz w:val="21"/>
                      <w:highlight w:val="none"/>
                      <w:lang w:val="en-US" w:eastAsia="zh-CN"/>
                    </w:rPr>
                    <w:t>根据《基于Aspen Plus模拟精馏技术分离木醋液中有机物的研究》（王淑波、敖红伟、古丽格娜·买买提），木醋液组成中以水的含量最高，占总重量的80%~93%，其他组分为酚类、醛类、酮类、有机酸等有机物，水分不可燃，本次评价水分占比取80%。</w:t>
                  </w:r>
                </w:p>
              </w:tc>
            </w:tr>
            <w:tr w14:paraId="3D6E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51" w:type="dxa"/>
                  <w:vMerge w:val="continue"/>
                  <w:tcBorders>
                    <w:tl2br w:val="nil"/>
                    <w:tr2bl w:val="nil"/>
                  </w:tcBorders>
                  <w:noWrap w:val="0"/>
                  <w:vAlign w:val="center"/>
                </w:tcPr>
                <w:p w14:paraId="355D59E6">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211" w:type="dxa"/>
                  <w:tcBorders>
                    <w:tl2br w:val="nil"/>
                    <w:tr2bl w:val="nil"/>
                  </w:tcBorders>
                  <w:noWrap w:val="0"/>
                  <w:vAlign w:val="center"/>
                </w:tcPr>
                <w:p w14:paraId="747F360B">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木焦油</w:t>
                  </w:r>
                </w:p>
              </w:tc>
              <w:tc>
                <w:tcPr>
                  <w:tcW w:w="947" w:type="dxa"/>
                  <w:tcBorders>
                    <w:tl2br w:val="nil"/>
                    <w:tr2bl w:val="nil"/>
                  </w:tcBorders>
                  <w:noWrap w:val="0"/>
                  <w:vAlign w:val="center"/>
                </w:tcPr>
                <w:p w14:paraId="38656BBB">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250</w:t>
                  </w:r>
                </w:p>
              </w:tc>
              <w:tc>
                <w:tcPr>
                  <w:tcW w:w="1717" w:type="dxa"/>
                  <w:vMerge w:val="continue"/>
                  <w:tcBorders>
                    <w:tl2br w:val="nil"/>
                    <w:tr2bl w:val="nil"/>
                  </w:tcBorders>
                  <w:noWrap w:val="0"/>
                  <w:vAlign w:val="center"/>
                </w:tcPr>
                <w:p w14:paraId="04CD0A9A">
                  <w:pPr>
                    <w:spacing w:after="0" w:line="240" w:lineRule="auto"/>
                    <w:jc w:val="center"/>
                    <w:rPr>
                      <w:rFonts w:hint="eastAsia" w:cs="Times New Roman"/>
                      <w:color w:val="000000"/>
                      <w:sz w:val="21"/>
                      <w:szCs w:val="21"/>
                      <w:highlight w:val="none"/>
                      <w:lang w:val="en-US" w:eastAsia="zh-CN"/>
                    </w:rPr>
                  </w:pPr>
                </w:p>
              </w:tc>
              <w:tc>
                <w:tcPr>
                  <w:tcW w:w="3782" w:type="dxa"/>
                  <w:tcBorders>
                    <w:tl2br w:val="nil"/>
                    <w:tr2bl w:val="nil"/>
                  </w:tcBorders>
                  <w:noWrap w:val="0"/>
                  <w:vAlign w:val="center"/>
                </w:tcPr>
                <w:p w14:paraId="67455E00">
                  <w:pPr>
                    <w:spacing w:after="0" w:line="240" w:lineRule="auto"/>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w:t>
                  </w:r>
                </w:p>
              </w:tc>
            </w:tr>
            <w:tr w14:paraId="5080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51" w:type="dxa"/>
                  <w:vMerge w:val="continue"/>
                  <w:tcBorders>
                    <w:tl2br w:val="nil"/>
                    <w:tr2bl w:val="nil"/>
                  </w:tcBorders>
                  <w:noWrap w:val="0"/>
                  <w:vAlign w:val="center"/>
                </w:tcPr>
                <w:p w14:paraId="69CDDA63">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211" w:type="dxa"/>
                  <w:tcBorders>
                    <w:tl2br w:val="nil"/>
                    <w:tr2bl w:val="nil"/>
                  </w:tcBorders>
                  <w:noWrap w:val="0"/>
                  <w:vAlign w:val="center"/>
                </w:tcPr>
                <w:p w14:paraId="4EC66DFB">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木煤气</w:t>
                  </w:r>
                </w:p>
              </w:tc>
              <w:tc>
                <w:tcPr>
                  <w:tcW w:w="947" w:type="dxa"/>
                  <w:tcBorders>
                    <w:tl2br w:val="nil"/>
                    <w:tr2bl w:val="nil"/>
                  </w:tcBorders>
                  <w:noWrap w:val="0"/>
                  <w:vAlign w:val="center"/>
                </w:tcPr>
                <w:p w14:paraId="0C520C39">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100</w:t>
                  </w:r>
                  <w:r>
                    <w:rPr>
                      <w:rFonts w:hint="eastAsia" w:cs="Times New Roman"/>
                      <w:color w:val="000000"/>
                      <w:sz w:val="21"/>
                      <w:szCs w:val="21"/>
                      <w:highlight w:val="none"/>
                      <w:lang w:val="en-US" w:eastAsia="zh-CN"/>
                    </w:rPr>
                    <w:t>0</w:t>
                  </w:r>
                </w:p>
              </w:tc>
              <w:tc>
                <w:tcPr>
                  <w:tcW w:w="1717" w:type="dxa"/>
                  <w:vMerge w:val="continue"/>
                  <w:tcBorders>
                    <w:tl2br w:val="nil"/>
                    <w:tr2bl w:val="nil"/>
                  </w:tcBorders>
                  <w:noWrap w:val="0"/>
                  <w:vAlign w:val="center"/>
                </w:tcPr>
                <w:p w14:paraId="06C62F62">
                  <w:pPr>
                    <w:spacing w:after="0" w:line="240" w:lineRule="auto"/>
                    <w:jc w:val="center"/>
                    <w:rPr>
                      <w:rFonts w:hint="eastAsia" w:cs="Times New Roman"/>
                      <w:color w:val="000000"/>
                      <w:sz w:val="21"/>
                      <w:szCs w:val="21"/>
                      <w:highlight w:val="none"/>
                      <w:lang w:val="en-US" w:eastAsia="zh-CN"/>
                    </w:rPr>
                  </w:pPr>
                </w:p>
              </w:tc>
              <w:tc>
                <w:tcPr>
                  <w:tcW w:w="3782" w:type="dxa"/>
                  <w:tcBorders>
                    <w:tl2br w:val="nil"/>
                    <w:tr2bl w:val="nil"/>
                  </w:tcBorders>
                  <w:noWrap w:val="0"/>
                  <w:vAlign w:val="center"/>
                </w:tcPr>
                <w:p w14:paraId="518D4165">
                  <w:pPr>
                    <w:spacing w:after="0" w:line="240" w:lineRule="auto"/>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w:t>
                  </w:r>
                </w:p>
              </w:tc>
            </w:tr>
            <w:tr w14:paraId="23B2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51" w:type="dxa"/>
                  <w:vMerge w:val="continue"/>
                  <w:tcBorders>
                    <w:tl2br w:val="nil"/>
                    <w:tr2bl w:val="nil"/>
                  </w:tcBorders>
                  <w:noWrap w:val="0"/>
                  <w:vAlign w:val="center"/>
                </w:tcPr>
                <w:p w14:paraId="4F2C09C7">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211" w:type="dxa"/>
                  <w:tcBorders>
                    <w:tl2br w:val="nil"/>
                    <w:tr2bl w:val="nil"/>
                  </w:tcBorders>
                  <w:noWrap w:val="0"/>
                  <w:vAlign w:val="center"/>
                </w:tcPr>
                <w:p w14:paraId="67DAD769">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炭化产生的颗粒物</w:t>
                  </w:r>
                </w:p>
              </w:tc>
              <w:tc>
                <w:tcPr>
                  <w:tcW w:w="947" w:type="dxa"/>
                  <w:tcBorders>
                    <w:tl2br w:val="nil"/>
                    <w:tr2bl w:val="nil"/>
                  </w:tcBorders>
                  <w:noWrap w:val="0"/>
                  <w:vAlign w:val="center"/>
                </w:tcPr>
                <w:p w14:paraId="5601139C">
                  <w:pPr>
                    <w:spacing w:after="0" w:line="240" w:lineRule="auto"/>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5.9</w:t>
                  </w:r>
                </w:p>
              </w:tc>
              <w:tc>
                <w:tcPr>
                  <w:tcW w:w="1717" w:type="dxa"/>
                  <w:vMerge w:val="continue"/>
                  <w:tcBorders>
                    <w:tl2br w:val="nil"/>
                    <w:tr2bl w:val="nil"/>
                  </w:tcBorders>
                  <w:noWrap w:val="0"/>
                  <w:vAlign w:val="center"/>
                </w:tcPr>
                <w:p w14:paraId="14D972EA">
                  <w:pPr>
                    <w:spacing w:after="0" w:line="240" w:lineRule="auto"/>
                    <w:jc w:val="center"/>
                    <w:rPr>
                      <w:rFonts w:hint="default" w:cs="Times New Roman"/>
                      <w:color w:val="000000"/>
                      <w:sz w:val="21"/>
                      <w:szCs w:val="21"/>
                      <w:highlight w:val="none"/>
                      <w:lang w:val="en-US" w:eastAsia="zh-CN"/>
                    </w:rPr>
                  </w:pPr>
                </w:p>
              </w:tc>
              <w:tc>
                <w:tcPr>
                  <w:tcW w:w="3782" w:type="dxa"/>
                  <w:tcBorders>
                    <w:tl2br w:val="nil"/>
                    <w:tr2bl w:val="nil"/>
                  </w:tcBorders>
                  <w:noWrap w:val="0"/>
                  <w:vAlign w:val="center"/>
                </w:tcPr>
                <w:p w14:paraId="47CFCE8E">
                  <w:pPr>
                    <w:spacing w:after="0" w:line="240" w:lineRule="auto"/>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w:t>
                  </w:r>
                </w:p>
              </w:tc>
            </w:tr>
            <w:tr w14:paraId="3150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51" w:type="dxa"/>
                  <w:vMerge w:val="continue"/>
                  <w:tcBorders>
                    <w:tl2br w:val="nil"/>
                    <w:tr2bl w:val="nil"/>
                  </w:tcBorders>
                  <w:noWrap w:val="0"/>
                  <w:vAlign w:val="center"/>
                </w:tcPr>
                <w:p w14:paraId="502AC2B5">
                  <w:pPr>
                    <w:spacing w:after="0" w:line="240" w:lineRule="auto"/>
                    <w:jc w:val="center"/>
                    <w:rPr>
                      <w:rFonts w:hint="eastAsia" w:ascii="Times New Roman" w:hAnsi="Times New Roman" w:eastAsia="宋体" w:cs="Times New Roman"/>
                      <w:color w:val="000000"/>
                      <w:sz w:val="21"/>
                      <w:szCs w:val="21"/>
                      <w:highlight w:val="none"/>
                      <w:lang w:val="en-US" w:eastAsia="zh-CN"/>
                    </w:rPr>
                  </w:pPr>
                </w:p>
              </w:tc>
              <w:tc>
                <w:tcPr>
                  <w:tcW w:w="1211" w:type="dxa"/>
                  <w:tcBorders>
                    <w:tl2br w:val="nil"/>
                    <w:tr2bl w:val="nil"/>
                  </w:tcBorders>
                  <w:noWrap w:val="0"/>
                  <w:vAlign w:val="center"/>
                </w:tcPr>
                <w:p w14:paraId="5A49ADA4">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二氧化硫</w:t>
                  </w:r>
                </w:p>
              </w:tc>
              <w:tc>
                <w:tcPr>
                  <w:tcW w:w="947" w:type="dxa"/>
                  <w:tcBorders>
                    <w:tl2br w:val="nil"/>
                    <w:tr2bl w:val="nil"/>
                  </w:tcBorders>
                  <w:noWrap w:val="0"/>
                  <w:vAlign w:val="center"/>
                </w:tcPr>
                <w:p w14:paraId="2160D48F">
                  <w:pPr>
                    <w:spacing w:after="0" w:line="240" w:lineRule="auto"/>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17.6</w:t>
                  </w:r>
                </w:p>
              </w:tc>
              <w:tc>
                <w:tcPr>
                  <w:tcW w:w="1717" w:type="dxa"/>
                  <w:vMerge w:val="continue"/>
                  <w:tcBorders>
                    <w:tl2br w:val="nil"/>
                    <w:tr2bl w:val="nil"/>
                  </w:tcBorders>
                  <w:noWrap w:val="0"/>
                  <w:vAlign w:val="center"/>
                </w:tcPr>
                <w:p w14:paraId="72B21367">
                  <w:pPr>
                    <w:spacing w:after="0" w:line="240" w:lineRule="auto"/>
                    <w:jc w:val="center"/>
                    <w:rPr>
                      <w:rFonts w:hint="eastAsia" w:cs="Times New Roman"/>
                      <w:color w:val="000000"/>
                      <w:sz w:val="21"/>
                      <w:szCs w:val="21"/>
                      <w:highlight w:val="none"/>
                      <w:lang w:val="en-US" w:eastAsia="zh-CN"/>
                    </w:rPr>
                  </w:pPr>
                </w:p>
              </w:tc>
              <w:tc>
                <w:tcPr>
                  <w:tcW w:w="3782" w:type="dxa"/>
                  <w:tcBorders>
                    <w:tl2br w:val="nil"/>
                    <w:tr2bl w:val="nil"/>
                  </w:tcBorders>
                  <w:noWrap w:val="0"/>
                  <w:vAlign w:val="center"/>
                </w:tcPr>
                <w:p w14:paraId="069CC920">
                  <w:pPr>
                    <w:spacing w:after="0" w:line="240" w:lineRule="auto"/>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w:t>
                  </w:r>
                </w:p>
              </w:tc>
            </w:tr>
            <w:tr w14:paraId="3A79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51" w:type="dxa"/>
                  <w:vMerge w:val="continue"/>
                  <w:tcBorders>
                    <w:tl2br w:val="nil"/>
                    <w:tr2bl w:val="nil"/>
                  </w:tcBorders>
                  <w:noWrap w:val="0"/>
                  <w:vAlign w:val="center"/>
                </w:tcPr>
                <w:p w14:paraId="1F4F2FEC">
                  <w:pPr>
                    <w:spacing w:after="0" w:line="240" w:lineRule="auto"/>
                    <w:jc w:val="center"/>
                    <w:rPr>
                      <w:rFonts w:hint="default" w:ascii="Times New Roman" w:hAnsi="Times New Roman" w:eastAsia="宋体" w:cs="Times New Roman"/>
                      <w:color w:val="000000"/>
                      <w:sz w:val="21"/>
                      <w:szCs w:val="21"/>
                      <w:highlight w:val="none"/>
                      <w:lang w:val="en-US" w:eastAsia="zh-CN"/>
                    </w:rPr>
                  </w:pPr>
                </w:p>
              </w:tc>
              <w:tc>
                <w:tcPr>
                  <w:tcW w:w="1211" w:type="dxa"/>
                  <w:tcBorders>
                    <w:tl2br w:val="nil"/>
                    <w:tr2bl w:val="nil"/>
                  </w:tcBorders>
                  <w:noWrap w:val="0"/>
                  <w:vAlign w:val="center"/>
                </w:tcPr>
                <w:p w14:paraId="171E2F2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宋体" w:cs="Times New Roman"/>
                      <w:sz w:val="21"/>
                      <w:highlight w:val="none"/>
                      <w:lang w:val="en-US" w:eastAsia="zh-CN"/>
                    </w:rPr>
                  </w:pPr>
                  <w:r>
                    <w:rPr>
                      <w:rFonts w:hint="eastAsia" w:ascii="Times New Roman" w:hAnsi="Times New Roman" w:eastAsia="宋体" w:cs="Times New Roman"/>
                      <w:sz w:val="21"/>
                      <w:highlight w:val="none"/>
                      <w:lang w:val="en-US" w:eastAsia="zh-CN"/>
                    </w:rPr>
                    <w:t>氮氧化物</w:t>
                  </w:r>
                </w:p>
              </w:tc>
              <w:tc>
                <w:tcPr>
                  <w:tcW w:w="947" w:type="dxa"/>
                  <w:tcBorders>
                    <w:tl2br w:val="nil"/>
                    <w:tr2bl w:val="nil"/>
                  </w:tcBorders>
                  <w:noWrap w:val="0"/>
                  <w:vAlign w:val="center"/>
                </w:tcPr>
                <w:p w14:paraId="2AE077CC">
                  <w:pPr>
                    <w:spacing w:after="0" w:line="240" w:lineRule="auto"/>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5.8</w:t>
                  </w:r>
                </w:p>
              </w:tc>
              <w:tc>
                <w:tcPr>
                  <w:tcW w:w="1717" w:type="dxa"/>
                  <w:vMerge w:val="continue"/>
                  <w:tcBorders>
                    <w:tl2br w:val="nil"/>
                    <w:tr2bl w:val="nil"/>
                  </w:tcBorders>
                  <w:noWrap w:val="0"/>
                  <w:vAlign w:val="center"/>
                </w:tcPr>
                <w:p w14:paraId="48759FDC">
                  <w:pPr>
                    <w:spacing w:after="0" w:line="240" w:lineRule="auto"/>
                    <w:jc w:val="center"/>
                    <w:rPr>
                      <w:rFonts w:hint="default" w:cs="Times New Roman"/>
                      <w:color w:val="000000"/>
                      <w:sz w:val="21"/>
                      <w:szCs w:val="21"/>
                      <w:highlight w:val="none"/>
                      <w:lang w:val="en-US" w:eastAsia="zh-CN"/>
                    </w:rPr>
                  </w:pPr>
                </w:p>
              </w:tc>
              <w:tc>
                <w:tcPr>
                  <w:tcW w:w="3782" w:type="dxa"/>
                  <w:tcBorders>
                    <w:tl2br w:val="nil"/>
                    <w:tr2bl w:val="nil"/>
                  </w:tcBorders>
                  <w:noWrap w:val="0"/>
                  <w:vAlign w:val="center"/>
                </w:tcPr>
                <w:p w14:paraId="4A8855D3">
                  <w:pPr>
                    <w:spacing w:after="0" w:line="240" w:lineRule="auto"/>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w:t>
                  </w:r>
                </w:p>
              </w:tc>
            </w:tr>
            <w:tr w14:paraId="59CF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51" w:type="dxa"/>
                  <w:vMerge w:val="continue"/>
                  <w:tcBorders>
                    <w:tl2br w:val="nil"/>
                    <w:tr2bl w:val="nil"/>
                  </w:tcBorders>
                  <w:noWrap w:val="0"/>
                  <w:vAlign w:val="center"/>
                </w:tcPr>
                <w:p w14:paraId="71230460">
                  <w:pPr>
                    <w:spacing w:after="0" w:line="240" w:lineRule="auto"/>
                    <w:jc w:val="center"/>
                    <w:rPr>
                      <w:rFonts w:hint="default" w:ascii="Times New Roman" w:hAnsi="Times New Roman" w:eastAsia="宋体" w:cs="Times New Roman"/>
                      <w:color w:val="000000"/>
                      <w:sz w:val="21"/>
                      <w:szCs w:val="21"/>
                      <w:highlight w:val="none"/>
                      <w:lang w:val="en-US" w:eastAsia="zh-CN"/>
                    </w:rPr>
                  </w:pPr>
                </w:p>
              </w:tc>
              <w:tc>
                <w:tcPr>
                  <w:tcW w:w="1211" w:type="dxa"/>
                  <w:tcBorders>
                    <w:tl2br w:val="nil"/>
                    <w:tr2bl w:val="nil"/>
                  </w:tcBorders>
                  <w:shd w:val="clear" w:color="auto" w:fill="auto"/>
                  <w:noWrap w:val="0"/>
                  <w:vAlign w:val="center"/>
                </w:tcPr>
                <w:p w14:paraId="5B529EAB">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宋体"/>
                      <w:kern w:val="2"/>
                      <w:sz w:val="21"/>
                      <w:szCs w:val="24"/>
                      <w:highlight w:val="none"/>
                      <w:lang w:val="en-US" w:eastAsia="zh-CN" w:bidi="ar-SA"/>
                    </w:rPr>
                  </w:pPr>
                  <w:r>
                    <w:rPr>
                      <w:rFonts w:hint="eastAsia" w:eastAsia="宋体"/>
                      <w:sz w:val="21"/>
                      <w:highlight w:val="none"/>
                      <w:lang w:val="en-US" w:eastAsia="zh-CN"/>
                    </w:rPr>
                    <w:t>炭化残渣</w:t>
                  </w:r>
                </w:p>
              </w:tc>
              <w:tc>
                <w:tcPr>
                  <w:tcW w:w="947" w:type="dxa"/>
                  <w:tcBorders>
                    <w:tl2br w:val="nil"/>
                    <w:tr2bl w:val="nil"/>
                  </w:tcBorders>
                  <w:shd w:val="clear" w:color="auto" w:fill="auto"/>
                  <w:noWrap w:val="0"/>
                  <w:vAlign w:val="center"/>
                </w:tcPr>
                <w:p w14:paraId="148DB096">
                  <w:pPr>
                    <w:spacing w:after="0" w:line="240" w:lineRule="auto"/>
                    <w:jc w:val="center"/>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26.26</w:t>
                  </w:r>
                </w:p>
              </w:tc>
              <w:tc>
                <w:tcPr>
                  <w:tcW w:w="1717" w:type="dxa"/>
                  <w:tcBorders>
                    <w:tl2br w:val="nil"/>
                    <w:tr2bl w:val="nil"/>
                  </w:tcBorders>
                  <w:shd w:val="clear" w:color="auto" w:fill="auto"/>
                  <w:noWrap w:val="0"/>
                  <w:vAlign w:val="center"/>
                </w:tcPr>
                <w:p w14:paraId="16B89017">
                  <w:pPr>
                    <w:spacing w:after="0" w:line="240" w:lineRule="auto"/>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olor w:val="auto"/>
                      <w:highlight w:val="none"/>
                    </w:rPr>
                    <w:t>作炭化窑点火引燃材料</w:t>
                  </w:r>
                  <w:r>
                    <w:rPr>
                      <w:rFonts w:hint="eastAsia" w:ascii="Times New Roman" w:hAnsi="Times New Roman"/>
                      <w:color w:val="auto"/>
                      <w:highlight w:val="none"/>
                      <w:lang w:val="en-US" w:eastAsia="zh-CN"/>
                    </w:rPr>
                    <w:t>用</w:t>
                  </w:r>
                </w:p>
              </w:tc>
              <w:tc>
                <w:tcPr>
                  <w:tcW w:w="3782" w:type="dxa"/>
                  <w:tcBorders>
                    <w:tl2br w:val="nil"/>
                    <w:tr2bl w:val="nil"/>
                  </w:tcBorders>
                  <w:shd w:val="clear" w:color="auto" w:fill="auto"/>
                  <w:noWrap w:val="0"/>
                  <w:vAlign w:val="center"/>
                </w:tcPr>
                <w:p w14:paraId="4F5D6EC3">
                  <w:pPr>
                    <w:spacing w:after="0" w:line="240" w:lineRule="auto"/>
                    <w:jc w:val="center"/>
                    <w:rPr>
                      <w:rFonts w:hint="eastAsia" w:ascii="Times New Roman" w:hAnsi="Times New Roman" w:eastAsia="宋体"/>
                      <w:color w:val="auto"/>
                      <w:highlight w:val="none"/>
                      <w:lang w:val="en-US" w:eastAsia="zh-CN"/>
                    </w:rPr>
                  </w:pPr>
                  <w:r>
                    <w:rPr>
                      <w:rFonts w:hint="eastAsia"/>
                      <w:color w:val="auto"/>
                      <w:highlight w:val="none"/>
                      <w:lang w:val="en-US" w:eastAsia="zh-CN"/>
                    </w:rPr>
                    <w:t>/</w:t>
                  </w:r>
                </w:p>
              </w:tc>
            </w:tr>
            <w:tr w14:paraId="3894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51" w:type="dxa"/>
                  <w:vMerge w:val="continue"/>
                  <w:tcBorders>
                    <w:tl2br w:val="nil"/>
                    <w:tr2bl w:val="nil"/>
                  </w:tcBorders>
                  <w:noWrap w:val="0"/>
                  <w:vAlign w:val="center"/>
                </w:tcPr>
                <w:p w14:paraId="7B51CA9D">
                  <w:pPr>
                    <w:spacing w:after="0" w:line="240" w:lineRule="auto"/>
                    <w:jc w:val="center"/>
                    <w:rPr>
                      <w:rFonts w:hint="default" w:ascii="Times New Roman" w:hAnsi="Times New Roman" w:eastAsia="宋体" w:cs="Times New Roman"/>
                      <w:color w:val="000000"/>
                      <w:sz w:val="21"/>
                      <w:szCs w:val="21"/>
                      <w:highlight w:val="none"/>
                      <w:lang w:val="en-US" w:eastAsia="zh-CN"/>
                    </w:rPr>
                  </w:pPr>
                </w:p>
              </w:tc>
              <w:tc>
                <w:tcPr>
                  <w:tcW w:w="1211" w:type="dxa"/>
                  <w:tcBorders>
                    <w:tl2br w:val="nil"/>
                    <w:tr2bl w:val="nil"/>
                  </w:tcBorders>
                  <w:shd w:val="clear" w:color="auto" w:fill="auto"/>
                  <w:noWrap w:val="0"/>
                  <w:vAlign w:val="center"/>
                </w:tcPr>
                <w:p w14:paraId="531B2003">
                  <w:pPr>
                    <w:spacing w:after="0" w:line="240" w:lineRule="auto"/>
                    <w:jc w:val="center"/>
                    <w:rPr>
                      <w:rFonts w:hint="default" w:ascii="Times New Roman" w:hAnsi="Times New Roman" w:eastAsia="宋体" w:cs="宋体"/>
                      <w:kern w:val="2"/>
                      <w:sz w:val="21"/>
                      <w:szCs w:val="24"/>
                      <w:highlight w:val="none"/>
                      <w:lang w:val="en-US" w:eastAsia="zh-CN" w:bidi="ar-SA"/>
                    </w:rPr>
                  </w:pPr>
                  <w:r>
                    <w:rPr>
                      <w:sz w:val="21"/>
                      <w:highlight w:val="none"/>
                    </w:rPr>
                    <w:t>水蒸气</w:t>
                  </w:r>
                </w:p>
              </w:tc>
              <w:tc>
                <w:tcPr>
                  <w:tcW w:w="947" w:type="dxa"/>
                  <w:tcBorders>
                    <w:tl2br w:val="nil"/>
                    <w:tr2bl w:val="nil"/>
                  </w:tcBorders>
                  <w:shd w:val="clear" w:color="auto" w:fill="auto"/>
                  <w:noWrap w:val="0"/>
                  <w:vAlign w:val="center"/>
                </w:tcPr>
                <w:p w14:paraId="1FECB625">
                  <w:pPr>
                    <w:spacing w:after="0" w:line="240" w:lineRule="auto"/>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5621.43</w:t>
                  </w:r>
                </w:p>
              </w:tc>
              <w:tc>
                <w:tcPr>
                  <w:tcW w:w="1717" w:type="dxa"/>
                  <w:tcBorders>
                    <w:tl2br w:val="nil"/>
                    <w:tr2bl w:val="nil"/>
                  </w:tcBorders>
                  <w:shd w:val="clear" w:color="auto" w:fill="auto"/>
                  <w:noWrap w:val="0"/>
                  <w:vAlign w:val="center"/>
                </w:tcPr>
                <w:p w14:paraId="097F4369">
                  <w:pPr>
                    <w:spacing w:after="0" w:line="240" w:lineRule="auto"/>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损耗</w:t>
                  </w:r>
                </w:p>
              </w:tc>
              <w:tc>
                <w:tcPr>
                  <w:tcW w:w="3782" w:type="dxa"/>
                  <w:tcBorders>
                    <w:tl2br w:val="nil"/>
                    <w:tr2bl w:val="nil"/>
                  </w:tcBorders>
                  <w:shd w:val="clear" w:color="auto" w:fill="auto"/>
                  <w:noWrap w:val="0"/>
                  <w:vAlign w:val="center"/>
                </w:tcPr>
                <w:p w14:paraId="4D464971">
                  <w:pPr>
                    <w:spacing w:after="0" w:line="240" w:lineRule="auto"/>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w:t>
                  </w:r>
                </w:p>
              </w:tc>
            </w:tr>
            <w:tr w14:paraId="6459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51" w:type="dxa"/>
                  <w:vMerge w:val="continue"/>
                  <w:tcBorders>
                    <w:tl2br w:val="nil"/>
                    <w:tr2bl w:val="nil"/>
                  </w:tcBorders>
                  <w:noWrap w:val="0"/>
                  <w:vAlign w:val="center"/>
                </w:tcPr>
                <w:p w14:paraId="70A2EB51">
                  <w:pPr>
                    <w:spacing w:after="0" w:line="240" w:lineRule="auto"/>
                    <w:jc w:val="center"/>
                    <w:rPr>
                      <w:rFonts w:hint="default" w:ascii="Times New Roman" w:hAnsi="Times New Roman" w:eastAsia="宋体" w:cs="Times New Roman"/>
                      <w:color w:val="000000"/>
                      <w:sz w:val="21"/>
                      <w:szCs w:val="21"/>
                      <w:highlight w:val="none"/>
                      <w:lang w:val="en-US" w:eastAsia="zh-CN"/>
                    </w:rPr>
                  </w:pPr>
                </w:p>
              </w:tc>
              <w:tc>
                <w:tcPr>
                  <w:tcW w:w="1211" w:type="dxa"/>
                  <w:tcBorders>
                    <w:tl2br w:val="nil"/>
                    <w:tr2bl w:val="nil"/>
                  </w:tcBorders>
                  <w:shd w:val="clear" w:color="auto" w:fill="auto"/>
                  <w:noWrap w:val="0"/>
                  <w:vAlign w:val="center"/>
                </w:tcPr>
                <w:p w14:paraId="34654BD1">
                  <w:pPr>
                    <w:spacing w:after="0" w:line="240" w:lineRule="auto"/>
                    <w:jc w:val="center"/>
                    <w:rPr>
                      <w:rFonts w:hint="default" w:ascii="Times New Roman" w:hAnsi="Times New Roman" w:eastAsia="宋体" w:cs="宋体"/>
                      <w:kern w:val="2"/>
                      <w:sz w:val="21"/>
                      <w:szCs w:val="24"/>
                      <w:highlight w:val="none"/>
                      <w:lang w:val="en-US" w:eastAsia="zh-CN" w:bidi="ar-SA"/>
                    </w:rPr>
                  </w:pPr>
                  <w:r>
                    <w:rPr>
                      <w:rFonts w:hint="eastAsia" w:ascii="Times New Roman" w:hAnsi="Times New Roman" w:eastAsia="宋体" w:cs="宋体"/>
                      <w:sz w:val="21"/>
                      <w:highlight w:val="none"/>
                      <w:lang w:val="en-US" w:eastAsia="zh-CN"/>
                    </w:rPr>
                    <w:t>装卸、</w:t>
                  </w:r>
                  <w:r>
                    <w:rPr>
                      <w:rFonts w:hint="eastAsia" w:cs="宋体"/>
                      <w:sz w:val="21"/>
                      <w:highlight w:val="none"/>
                      <w:lang w:val="en-US" w:eastAsia="zh-CN"/>
                    </w:rPr>
                    <w:t>粉碎、</w:t>
                  </w:r>
                  <w:r>
                    <w:rPr>
                      <w:rFonts w:hint="eastAsia" w:ascii="Times New Roman" w:hAnsi="Times New Roman" w:eastAsia="宋体" w:cs="宋体"/>
                      <w:sz w:val="21"/>
                      <w:highlight w:val="none"/>
                      <w:lang w:val="en-US" w:eastAsia="zh-CN"/>
                    </w:rPr>
                    <w:t>烘干和制棒产生的颗粒物</w:t>
                  </w:r>
                </w:p>
              </w:tc>
              <w:tc>
                <w:tcPr>
                  <w:tcW w:w="947" w:type="dxa"/>
                  <w:tcBorders>
                    <w:tl2br w:val="nil"/>
                    <w:tr2bl w:val="nil"/>
                  </w:tcBorders>
                  <w:shd w:val="clear" w:color="auto" w:fill="auto"/>
                  <w:noWrap w:val="0"/>
                  <w:vAlign w:val="center"/>
                </w:tcPr>
                <w:p w14:paraId="26285D14">
                  <w:pPr>
                    <w:spacing w:after="0" w:line="240" w:lineRule="auto"/>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66.01</w:t>
                  </w:r>
                </w:p>
              </w:tc>
              <w:tc>
                <w:tcPr>
                  <w:tcW w:w="1717" w:type="dxa"/>
                  <w:tcBorders>
                    <w:tl2br w:val="nil"/>
                    <w:tr2bl w:val="nil"/>
                  </w:tcBorders>
                  <w:shd w:val="clear" w:color="auto" w:fill="auto"/>
                  <w:noWrap w:val="0"/>
                  <w:vAlign w:val="center"/>
                </w:tcPr>
                <w:p w14:paraId="324EFFF5">
                  <w:pPr>
                    <w:spacing w:after="0" w:line="240" w:lineRule="auto"/>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lang w:val="en-US" w:eastAsia="zh-CN"/>
                    </w:rPr>
                    <w:t>装卸粉尘无组织排放，烘干、制棒颗粒物经布旋风+喷淋除尘脱硫塔处理</w:t>
                  </w:r>
                </w:p>
              </w:tc>
              <w:tc>
                <w:tcPr>
                  <w:tcW w:w="3782" w:type="dxa"/>
                  <w:tcBorders>
                    <w:tl2br w:val="nil"/>
                    <w:tr2bl w:val="nil"/>
                  </w:tcBorders>
                  <w:shd w:val="clear" w:color="auto" w:fill="auto"/>
                  <w:noWrap w:val="0"/>
                  <w:vAlign w:val="center"/>
                </w:tcPr>
                <w:p w14:paraId="0A0113E3">
                  <w:pPr>
                    <w:spacing w:after="0" w:line="240" w:lineRule="auto"/>
                    <w:jc w:val="center"/>
                    <w:rPr>
                      <w:rFonts w:hint="default" w:cs="Times New Roman"/>
                      <w:color w:val="000000"/>
                      <w:sz w:val="21"/>
                      <w:szCs w:val="21"/>
                      <w:highlight w:val="none"/>
                      <w:lang w:val="en-US" w:eastAsia="zh-CN"/>
                    </w:rPr>
                  </w:pPr>
                  <w:r>
                    <w:rPr>
                      <w:rFonts w:hint="eastAsia" w:cs="Times New Roman"/>
                      <w:color w:val="000000"/>
                      <w:sz w:val="21"/>
                      <w:szCs w:val="21"/>
                      <w:highlight w:val="none"/>
                      <w:lang w:val="en-US" w:eastAsia="zh-CN"/>
                    </w:rPr>
                    <w:t>/</w:t>
                  </w:r>
                </w:p>
              </w:tc>
            </w:tr>
            <w:tr w14:paraId="1F83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51" w:type="dxa"/>
                  <w:vMerge w:val="continue"/>
                  <w:tcBorders>
                    <w:tl2br w:val="nil"/>
                    <w:tr2bl w:val="nil"/>
                  </w:tcBorders>
                  <w:noWrap w:val="0"/>
                  <w:vAlign w:val="center"/>
                </w:tcPr>
                <w:p w14:paraId="609AA84A">
                  <w:pPr>
                    <w:spacing w:after="0" w:line="240" w:lineRule="auto"/>
                    <w:jc w:val="center"/>
                    <w:rPr>
                      <w:rFonts w:hint="default" w:ascii="Times New Roman" w:hAnsi="Times New Roman" w:eastAsia="宋体" w:cs="Times New Roman"/>
                      <w:color w:val="000000"/>
                      <w:sz w:val="21"/>
                      <w:szCs w:val="21"/>
                      <w:highlight w:val="none"/>
                      <w:lang w:val="en-US" w:eastAsia="zh-CN"/>
                    </w:rPr>
                  </w:pPr>
                </w:p>
              </w:tc>
              <w:tc>
                <w:tcPr>
                  <w:tcW w:w="3875" w:type="dxa"/>
                  <w:gridSpan w:val="3"/>
                  <w:tcBorders>
                    <w:tl2br w:val="nil"/>
                    <w:tr2bl w:val="nil"/>
                  </w:tcBorders>
                  <w:noWrap w:val="0"/>
                  <w:vAlign w:val="center"/>
                </w:tcPr>
                <w:p w14:paraId="2C00655C">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合计：112</w:t>
                  </w:r>
                  <w:r>
                    <w:rPr>
                      <w:rFonts w:hint="eastAsia" w:cs="Times New Roman"/>
                      <w:color w:val="000000"/>
                      <w:sz w:val="21"/>
                      <w:szCs w:val="21"/>
                      <w:highlight w:val="none"/>
                      <w:lang w:val="en-US" w:eastAsia="zh-CN"/>
                    </w:rPr>
                    <w:t>43</w:t>
                  </w:r>
                  <w:r>
                    <w:rPr>
                      <w:rFonts w:hint="eastAsia" w:ascii="Times New Roman" w:hAnsi="Times New Roman" w:eastAsia="宋体" w:cs="Times New Roman"/>
                      <w:color w:val="000000"/>
                      <w:sz w:val="21"/>
                      <w:szCs w:val="21"/>
                      <w:highlight w:val="none"/>
                      <w:lang w:val="en-US" w:eastAsia="zh-CN"/>
                    </w:rPr>
                    <w:t>t/a</w:t>
                  </w:r>
                </w:p>
              </w:tc>
              <w:tc>
                <w:tcPr>
                  <w:tcW w:w="3782" w:type="dxa"/>
                  <w:tcBorders>
                    <w:tl2br w:val="nil"/>
                    <w:tr2bl w:val="nil"/>
                  </w:tcBorders>
                  <w:noWrap w:val="0"/>
                  <w:vAlign w:val="center"/>
                </w:tcPr>
                <w:p w14:paraId="44560D10">
                  <w:pPr>
                    <w:spacing w:after="0" w:line="240" w:lineRule="auto"/>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w:t>
                  </w:r>
                </w:p>
              </w:tc>
            </w:tr>
          </w:tbl>
          <w:p w14:paraId="6521A1E6">
            <w:pPr>
              <w:keepNext w:val="0"/>
              <w:keepLines w:val="0"/>
              <w:pageBreakBefore w:val="0"/>
              <w:widowControl w:val="0"/>
              <w:tabs>
                <w:tab w:val="left" w:pos="312"/>
              </w:tabs>
              <w:kinsoku/>
              <w:wordWrap/>
              <w:overflowPunct/>
              <w:topLinePunct w:val="0"/>
              <w:autoSpaceDE/>
              <w:autoSpaceDN/>
              <w:bidi w:val="0"/>
              <w:adjustRightInd w:val="0"/>
              <w:snapToGrid w:val="0"/>
              <w:spacing w:before="157" w:beforeLines="50" w:line="360" w:lineRule="auto"/>
              <w:ind w:firstLine="482" w:firstLineChars="200"/>
              <w:jc w:val="left"/>
              <w:textAlignment w:val="auto"/>
              <w:rPr>
                <w:b/>
                <w:bCs/>
                <w:sz w:val="24"/>
                <w:szCs w:val="21"/>
                <w:highlight w:val="none"/>
              </w:rPr>
            </w:pPr>
            <w:r>
              <w:rPr>
                <w:rFonts w:hint="eastAsia"/>
                <w:b/>
                <w:bCs/>
                <w:sz w:val="24"/>
                <w:szCs w:val="21"/>
                <w:highlight w:val="none"/>
                <w:lang w:val="en-US" w:eastAsia="zh-CN"/>
              </w:rPr>
              <w:t>6</w:t>
            </w:r>
            <w:r>
              <w:rPr>
                <w:b/>
                <w:bCs/>
                <w:sz w:val="24"/>
                <w:szCs w:val="21"/>
                <w:highlight w:val="none"/>
              </w:rPr>
              <w:t>.能耗、水耗</w:t>
            </w:r>
          </w:p>
          <w:p w14:paraId="61D44AE6">
            <w:pPr>
              <w:pStyle w:val="19"/>
              <w:spacing w:line="360" w:lineRule="auto"/>
              <w:ind w:firstLine="480" w:firstLineChars="200"/>
              <w:rPr>
                <w:rFonts w:ascii="Times New Roman" w:hAnsi="Times New Roman" w:cs="Times New Roman"/>
                <w:sz w:val="24"/>
                <w:szCs w:val="24"/>
                <w:highlight w:val="none"/>
              </w:rPr>
            </w:pPr>
            <w:r>
              <w:rPr>
                <w:rFonts w:hAnsi="宋体" w:cs="Times New Roman"/>
                <w:sz w:val="24"/>
                <w:szCs w:val="24"/>
                <w:highlight w:val="none"/>
              </w:rPr>
              <w:t>用电</w:t>
            </w:r>
            <w:r>
              <w:rPr>
                <w:rFonts w:hint="eastAsia" w:hAnsi="宋体" w:cs="Times New Roman"/>
                <w:sz w:val="24"/>
                <w:szCs w:val="24"/>
                <w:highlight w:val="none"/>
              </w:rPr>
              <w:t>：</w:t>
            </w:r>
            <w:r>
              <w:rPr>
                <w:rFonts w:hAnsi="宋体" w:cs="Times New Roman"/>
                <w:sz w:val="24"/>
                <w:szCs w:val="24"/>
                <w:highlight w:val="none"/>
              </w:rPr>
              <w:t>本项目用电由</w:t>
            </w:r>
            <w:r>
              <w:rPr>
                <w:rFonts w:hint="eastAsia" w:hAnsi="宋体" w:cs="Times New Roman"/>
                <w:sz w:val="24"/>
                <w:szCs w:val="24"/>
                <w:highlight w:val="none"/>
              </w:rPr>
              <w:t>当地</w:t>
            </w:r>
            <w:r>
              <w:rPr>
                <w:rFonts w:hAnsi="宋体" w:cs="Times New Roman"/>
                <w:sz w:val="24"/>
                <w:szCs w:val="24"/>
                <w:highlight w:val="none"/>
              </w:rPr>
              <w:t>市政电网供电，用电</w:t>
            </w:r>
            <w:r>
              <w:rPr>
                <w:rFonts w:ascii="Times New Roman" w:hAnsi="Times New Roman" w:cs="Times New Roman"/>
                <w:sz w:val="24"/>
                <w:szCs w:val="24"/>
                <w:highlight w:val="none"/>
              </w:rPr>
              <w:t>量约</w:t>
            </w:r>
            <w:r>
              <w:rPr>
                <w:rFonts w:hint="eastAsia" w:ascii="Times New Roman" w:hAnsi="Times New Roman" w:cs="Times New Roman"/>
                <w:sz w:val="24"/>
                <w:szCs w:val="24"/>
                <w:highlight w:val="none"/>
                <w:lang w:val="en-US" w:eastAsia="zh-CN"/>
              </w:rPr>
              <w:t>80</w:t>
            </w:r>
            <w:r>
              <w:rPr>
                <w:rFonts w:ascii="Times New Roman" w:hAnsi="Times New Roman" w:cs="Times New Roman"/>
                <w:sz w:val="24"/>
                <w:szCs w:val="24"/>
                <w:highlight w:val="none"/>
              </w:rPr>
              <w:t>万kWh/a。</w:t>
            </w:r>
          </w:p>
          <w:p w14:paraId="23E61A19">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Times New Roman"/>
                <w:sz w:val="24"/>
                <w:szCs w:val="24"/>
                <w:highlight w:val="none"/>
              </w:rPr>
            </w:pPr>
            <w:r>
              <w:rPr>
                <w:rFonts w:hAnsi="宋体" w:cs="Times New Roman"/>
                <w:sz w:val="24"/>
                <w:szCs w:val="24"/>
                <w:highlight w:val="none"/>
              </w:rPr>
              <w:t>用水：项目用水</w:t>
            </w:r>
            <w:r>
              <w:rPr>
                <w:rFonts w:hint="eastAsia" w:hAnsi="宋体" w:cs="Times New Roman"/>
                <w:sz w:val="24"/>
                <w:szCs w:val="24"/>
                <w:highlight w:val="none"/>
              </w:rPr>
              <w:t>总</w:t>
            </w:r>
            <w:r>
              <w:rPr>
                <w:rFonts w:hint="default" w:ascii="Times New Roman" w:hAnsi="Times New Roman" w:eastAsia="宋体" w:cs="Times New Roman"/>
                <w:sz w:val="24"/>
                <w:szCs w:val="24"/>
                <w:highlight w:val="none"/>
              </w:rPr>
              <w:t>量为合计</w:t>
            </w:r>
            <w:r>
              <w:rPr>
                <w:rFonts w:hint="eastAsia" w:ascii="Times New Roman" w:hAnsi="Times New Roman" w:cs="Times New Roman"/>
                <w:sz w:val="24"/>
                <w:szCs w:val="24"/>
                <w:highlight w:val="none"/>
                <w:lang w:val="en-US" w:eastAsia="zh-CN"/>
              </w:rPr>
              <w:t>3819</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/a</w:t>
            </w:r>
            <w:r>
              <w:rPr>
                <w:rFonts w:hint="eastAsia" w:ascii="Times New Roman" w:hAnsi="Times New Roman" w:eastAsia="宋体" w:cs="Times New Roman"/>
                <w:sz w:val="24"/>
                <w:szCs w:val="24"/>
                <w:highlight w:val="none"/>
                <w:lang w:eastAsia="zh-CN"/>
              </w:rPr>
              <w:t>，</w:t>
            </w:r>
            <w:r>
              <w:rPr>
                <w:rFonts w:hint="eastAsia" w:ascii="Times New Roman" w:hAnsi="Times New Roman" w:cs="Times New Roman"/>
                <w:sz w:val="24"/>
                <w:szCs w:val="24"/>
                <w:highlight w:val="none"/>
                <w:lang w:val="en-US" w:eastAsia="zh-CN"/>
              </w:rPr>
              <w:t>12.73</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/d（按300d/a计）；主要为</w:t>
            </w:r>
            <w:r>
              <w:rPr>
                <w:rFonts w:hint="eastAsia" w:ascii="Times New Roman" w:hAnsi="Times New Roman" w:cs="Times New Roman"/>
                <w:sz w:val="24"/>
                <w:szCs w:val="24"/>
                <w:highlight w:val="none"/>
                <w:lang w:val="en-US" w:eastAsia="zh-CN"/>
              </w:rPr>
              <w:t>喷淋除尘脱硫塔喷淋</w:t>
            </w:r>
            <w:r>
              <w:rPr>
                <w:rFonts w:hint="default" w:ascii="Times New Roman" w:hAnsi="Times New Roman" w:eastAsia="宋体" w:cs="Times New Roman"/>
                <w:sz w:val="24"/>
                <w:szCs w:val="24"/>
                <w:highlight w:val="none"/>
              </w:rPr>
              <w:t>用水、生活用水、机制炭成品降温用水；其中循环用水</w:t>
            </w:r>
            <w:r>
              <w:rPr>
                <w:rFonts w:hint="eastAsia" w:ascii="Times New Roman" w:hAnsi="Times New Roman" w:cs="Times New Roman"/>
                <w:sz w:val="24"/>
                <w:szCs w:val="24"/>
                <w:highlight w:val="none"/>
                <w:lang w:val="en-US" w:eastAsia="zh-CN"/>
              </w:rPr>
              <w:t>9</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/d，</w:t>
            </w:r>
            <w:r>
              <w:rPr>
                <w:rFonts w:hint="eastAsia" w:ascii="Times New Roman" w:hAnsi="Times New Roman" w:cs="Times New Roman"/>
                <w:sz w:val="24"/>
                <w:szCs w:val="24"/>
                <w:highlight w:val="none"/>
                <w:lang w:val="en-US" w:eastAsia="zh-CN"/>
              </w:rPr>
              <w:t>27</w:t>
            </w:r>
            <w:r>
              <w:rPr>
                <w:rFonts w:hint="eastAsia" w:ascii="Times New Roman" w:hAnsi="Times New Roman" w:eastAsia="宋体" w:cs="Times New Roman"/>
                <w:sz w:val="24"/>
                <w:szCs w:val="24"/>
                <w:highlight w:val="none"/>
                <w:lang w:val="en-US" w:eastAsia="zh-CN"/>
              </w:rPr>
              <w:t>00</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/a；新鲜用水</w:t>
            </w:r>
            <w:r>
              <w:rPr>
                <w:rFonts w:hint="eastAsia" w:ascii="Times New Roman" w:hAnsi="Times New Roman" w:cs="Times New Roman"/>
                <w:sz w:val="24"/>
                <w:szCs w:val="24"/>
                <w:highlight w:val="none"/>
                <w:lang w:val="en-US" w:eastAsia="zh-CN"/>
              </w:rPr>
              <w:t>3.73</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/d，</w:t>
            </w:r>
            <w:r>
              <w:rPr>
                <w:rFonts w:hint="eastAsia" w:ascii="Times New Roman" w:hAnsi="Times New Roman" w:cs="Times New Roman"/>
                <w:sz w:val="24"/>
                <w:szCs w:val="24"/>
                <w:highlight w:val="none"/>
                <w:lang w:val="en-US" w:eastAsia="zh-CN"/>
              </w:rPr>
              <w:t>1119</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/a；本项目水平衡图见图2-1。</w:t>
            </w:r>
          </w:p>
          <w:p w14:paraId="02574F2F">
            <w:pPr>
              <w:pStyle w:val="14"/>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eastAsia="宋体"/>
                <w:highlight w:val="none"/>
                <w:lang w:eastAsia="zh-CN"/>
              </w:rPr>
            </w:pPr>
            <w:r>
              <w:rPr>
                <w:rFonts w:hint="eastAsia" w:eastAsia="宋体"/>
                <w:highlight w:val="none"/>
                <w:lang w:eastAsia="zh-CN"/>
              </w:rPr>
              <w:drawing>
                <wp:inline distT="0" distB="0" distL="114300" distR="114300">
                  <wp:extent cx="3938270" cy="2228215"/>
                  <wp:effectExtent l="0" t="0" r="5080" b="635"/>
                  <wp:docPr id="6" name="图片 6" descr="水平衡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水平衡000"/>
                          <pic:cNvPicPr>
                            <a:picLocks noChangeAspect="1"/>
                          </pic:cNvPicPr>
                        </pic:nvPicPr>
                        <pic:blipFill>
                          <a:blip r:embed="rId8"/>
                          <a:stretch>
                            <a:fillRect/>
                          </a:stretch>
                        </pic:blipFill>
                        <pic:spPr>
                          <a:xfrm>
                            <a:off x="0" y="0"/>
                            <a:ext cx="3938270" cy="2228215"/>
                          </a:xfrm>
                          <a:prstGeom prst="rect">
                            <a:avLst/>
                          </a:prstGeom>
                        </pic:spPr>
                      </pic:pic>
                    </a:graphicData>
                  </a:graphic>
                </wp:inline>
              </w:drawing>
            </w:r>
          </w:p>
          <w:p w14:paraId="031CF13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b/>
                <w:bCs/>
                <w:highlight w:val="none"/>
              </w:rPr>
            </w:pPr>
            <w:r>
              <w:rPr>
                <w:rFonts w:hint="eastAsia" w:hAnsi="宋体"/>
                <w:b/>
                <w:bCs/>
                <w:sz w:val="24"/>
                <w:highlight w:val="none"/>
              </w:rPr>
              <w:t>图2</w:t>
            </w:r>
            <w:r>
              <w:rPr>
                <w:rFonts w:hAnsi="宋体"/>
                <w:b/>
                <w:bCs/>
                <w:sz w:val="24"/>
                <w:highlight w:val="none"/>
              </w:rPr>
              <w:t xml:space="preserve">-1 </w:t>
            </w:r>
            <w:r>
              <w:rPr>
                <w:rFonts w:hint="eastAsia" w:hAnsi="宋体"/>
                <w:b/>
                <w:bCs/>
                <w:sz w:val="24"/>
                <w:highlight w:val="none"/>
              </w:rPr>
              <w:t>本项目水平衡图（</w:t>
            </w:r>
            <w:r>
              <w:rPr>
                <w:rFonts w:hint="eastAsia"/>
                <w:b/>
                <w:bCs/>
                <w:sz w:val="24"/>
                <w:highlight w:val="none"/>
              </w:rPr>
              <w:t>单位：m</w:t>
            </w:r>
            <w:r>
              <w:rPr>
                <w:rFonts w:hint="eastAsia"/>
                <w:b/>
                <w:bCs/>
                <w:sz w:val="24"/>
                <w:highlight w:val="none"/>
                <w:vertAlign w:val="superscript"/>
              </w:rPr>
              <w:t>3</w:t>
            </w:r>
            <w:r>
              <w:rPr>
                <w:rFonts w:hint="eastAsia"/>
                <w:b/>
                <w:bCs/>
                <w:sz w:val="24"/>
                <w:highlight w:val="none"/>
              </w:rPr>
              <w:t>/</w:t>
            </w:r>
            <w:r>
              <w:rPr>
                <w:rFonts w:hint="eastAsia"/>
                <w:b/>
                <w:bCs/>
                <w:sz w:val="24"/>
                <w:highlight w:val="none"/>
                <w:lang w:val="en-US" w:eastAsia="zh-CN"/>
              </w:rPr>
              <w:t>d</w:t>
            </w:r>
            <w:r>
              <w:rPr>
                <w:rFonts w:hint="eastAsia"/>
                <w:b/>
                <w:bCs/>
                <w:sz w:val="24"/>
                <w:highlight w:val="none"/>
              </w:rPr>
              <w:t>）</w:t>
            </w:r>
          </w:p>
          <w:p w14:paraId="47418638">
            <w:pPr>
              <w:keepNext w:val="0"/>
              <w:keepLines w:val="0"/>
              <w:pageBreakBefore w:val="0"/>
              <w:widowControl w:val="0"/>
              <w:tabs>
                <w:tab w:val="left" w:pos="312"/>
              </w:tabs>
              <w:kinsoku/>
              <w:wordWrap/>
              <w:overflowPunct/>
              <w:topLinePunct w:val="0"/>
              <w:autoSpaceDE/>
              <w:autoSpaceDN/>
              <w:bidi w:val="0"/>
              <w:adjustRightInd w:val="0"/>
              <w:snapToGrid w:val="0"/>
              <w:spacing w:line="360" w:lineRule="auto"/>
              <w:ind w:firstLine="482" w:firstLineChars="200"/>
              <w:jc w:val="left"/>
              <w:textAlignment w:val="auto"/>
              <w:rPr>
                <w:b/>
                <w:color w:val="000000" w:themeColor="text1"/>
                <w:sz w:val="24"/>
                <w:szCs w:val="21"/>
                <w:highlight w:val="none"/>
                <w14:textFill>
                  <w14:solidFill>
                    <w14:schemeClr w14:val="tx1"/>
                  </w14:solidFill>
                </w14:textFill>
              </w:rPr>
            </w:pPr>
            <w:r>
              <w:rPr>
                <w:rFonts w:hint="eastAsia"/>
                <w:b/>
                <w:color w:val="000000" w:themeColor="text1"/>
                <w:sz w:val="24"/>
                <w:szCs w:val="21"/>
                <w:highlight w:val="none"/>
                <w:lang w:val="en-US" w:eastAsia="zh-CN"/>
                <w14:textFill>
                  <w14:solidFill>
                    <w14:schemeClr w14:val="tx1"/>
                  </w14:solidFill>
                </w14:textFill>
              </w:rPr>
              <w:t>7</w:t>
            </w:r>
            <w:r>
              <w:rPr>
                <w:b/>
                <w:color w:val="000000" w:themeColor="text1"/>
                <w:sz w:val="24"/>
                <w:szCs w:val="21"/>
                <w:highlight w:val="none"/>
                <w14:textFill>
                  <w14:solidFill>
                    <w14:schemeClr w14:val="tx1"/>
                  </w14:solidFill>
                </w14:textFill>
              </w:rPr>
              <w:t>.劳动定员与工作制度</w:t>
            </w:r>
          </w:p>
          <w:p w14:paraId="6AC4576E">
            <w:pPr>
              <w:widowControl/>
              <w:spacing w:line="360" w:lineRule="auto"/>
              <w:ind w:firstLine="480" w:firstLineChars="200"/>
              <w:rPr>
                <w:rFonts w:hint="eastAsia" w:ascii="Times New Roman" w:hAnsi="Times New Roman" w:cs="Times New Roman"/>
                <w:b/>
                <w:bCs/>
                <w:color w:val="auto"/>
                <w:sz w:val="24"/>
                <w:szCs w:val="24"/>
                <w:highlight w:val="none"/>
              </w:rPr>
            </w:pPr>
            <w:r>
              <w:rPr>
                <w:rFonts w:hAnsi="宋体" w:cs="Times New Roman"/>
                <w:color w:val="auto"/>
                <w:sz w:val="24"/>
                <w:szCs w:val="24"/>
                <w:highlight w:val="none"/>
              </w:rPr>
              <w:t>本项目劳动定员</w:t>
            </w:r>
            <w:r>
              <w:rPr>
                <w:rFonts w:hint="eastAsia" w:cs="Times New Roman"/>
                <w:color w:val="auto"/>
                <w:sz w:val="24"/>
                <w:szCs w:val="24"/>
                <w:highlight w:val="none"/>
                <w:lang w:val="en-US" w:eastAsia="zh-CN"/>
              </w:rPr>
              <w:t>10</w:t>
            </w:r>
            <w:r>
              <w:rPr>
                <w:rFonts w:hAnsi="宋体" w:cs="Times New Roman"/>
                <w:color w:val="auto"/>
                <w:sz w:val="24"/>
                <w:szCs w:val="24"/>
                <w:highlight w:val="none"/>
              </w:rPr>
              <w:t>人，</w:t>
            </w:r>
            <w:r>
              <w:rPr>
                <w:rFonts w:hint="eastAsia" w:hAnsi="宋体" w:cs="Times New Roman"/>
                <w:color w:val="auto"/>
                <w:sz w:val="24"/>
                <w:szCs w:val="24"/>
                <w:highlight w:val="none"/>
                <w:lang w:val="en-US" w:eastAsia="zh-CN"/>
              </w:rPr>
              <w:t>不</w:t>
            </w:r>
            <w:r>
              <w:rPr>
                <w:rFonts w:hAnsi="宋体" w:cs="Times New Roman"/>
                <w:color w:val="auto"/>
                <w:sz w:val="24"/>
                <w:szCs w:val="24"/>
                <w:highlight w:val="none"/>
              </w:rPr>
              <w:t>在厂区</w:t>
            </w:r>
            <w:r>
              <w:rPr>
                <w:rFonts w:hint="eastAsia" w:hAnsi="宋体" w:cs="Times New Roman"/>
                <w:color w:val="auto"/>
                <w:sz w:val="24"/>
                <w:szCs w:val="24"/>
                <w:highlight w:val="none"/>
                <w:lang w:val="en-US" w:eastAsia="zh-CN"/>
              </w:rPr>
              <w:t>食宿</w:t>
            </w:r>
            <w:r>
              <w:rPr>
                <w:rFonts w:hAnsi="宋体" w:cs="Times New Roman"/>
                <w:color w:val="auto"/>
                <w:sz w:val="24"/>
                <w:szCs w:val="24"/>
                <w:highlight w:val="none"/>
              </w:rPr>
              <w:t>。全年工作</w:t>
            </w:r>
            <w:r>
              <w:rPr>
                <w:rFonts w:hint="eastAsia" w:ascii="Times New Roman" w:hAnsi="Times New Roman" w:cs="Times New Roman"/>
                <w:color w:val="auto"/>
                <w:sz w:val="24"/>
                <w:szCs w:val="24"/>
                <w:highlight w:val="none"/>
              </w:rPr>
              <w:t>300</w:t>
            </w:r>
            <w:r>
              <w:rPr>
                <w:rFonts w:hint="eastAsia" w:hAnsi="宋体" w:cs="Times New Roman"/>
                <w:color w:val="auto"/>
                <w:sz w:val="24"/>
                <w:szCs w:val="24"/>
                <w:highlight w:val="none"/>
              </w:rPr>
              <w:t>天，</w:t>
            </w:r>
            <w:r>
              <w:rPr>
                <w:rFonts w:hint="eastAsia" w:hAnsi="宋体" w:cs="Times New Roman"/>
                <w:color w:val="auto"/>
                <w:sz w:val="24"/>
                <w:szCs w:val="24"/>
                <w:highlight w:val="none"/>
                <w:lang w:val="en-US" w:eastAsia="zh-CN"/>
              </w:rPr>
              <w:t>碳化工序按每天三班制，其它工序每天一班制，每班8小时</w:t>
            </w:r>
            <w:r>
              <w:rPr>
                <w:rFonts w:hint="eastAsia" w:cs="Times New Roman"/>
                <w:color w:val="auto"/>
                <w:sz w:val="24"/>
                <w:szCs w:val="24"/>
                <w:highlight w:val="none"/>
                <w:lang w:val="en-US" w:eastAsia="zh-CN"/>
              </w:rPr>
              <w:t>。</w:t>
            </w:r>
          </w:p>
          <w:p w14:paraId="1E37B765">
            <w:pPr>
              <w:pStyle w:val="14"/>
              <w:rPr>
                <w:highlight w:val="none"/>
              </w:rPr>
            </w:pPr>
          </w:p>
          <w:p w14:paraId="4FD6FC95">
            <w:pPr>
              <w:rPr>
                <w:highlight w:val="none"/>
              </w:rPr>
            </w:pPr>
          </w:p>
          <w:p w14:paraId="71F9AB2B">
            <w:pPr>
              <w:pStyle w:val="10"/>
              <w:rPr>
                <w:highlight w:val="none"/>
              </w:rPr>
            </w:pPr>
          </w:p>
          <w:p w14:paraId="4DA3CEBB">
            <w:pPr>
              <w:pStyle w:val="10"/>
              <w:rPr>
                <w:highlight w:val="none"/>
              </w:rPr>
            </w:pPr>
          </w:p>
          <w:p w14:paraId="7CB39AC6">
            <w:pPr>
              <w:pStyle w:val="10"/>
              <w:rPr>
                <w:highlight w:val="none"/>
              </w:rPr>
            </w:pPr>
          </w:p>
          <w:p w14:paraId="2F6CDF52">
            <w:pPr>
              <w:pStyle w:val="10"/>
              <w:rPr>
                <w:highlight w:val="none"/>
              </w:rPr>
            </w:pPr>
          </w:p>
          <w:p w14:paraId="2E56BE6E">
            <w:pPr>
              <w:pStyle w:val="10"/>
              <w:rPr>
                <w:highlight w:val="none"/>
              </w:rPr>
            </w:pPr>
          </w:p>
          <w:p w14:paraId="476471DD">
            <w:pPr>
              <w:pStyle w:val="10"/>
              <w:rPr>
                <w:highlight w:val="none"/>
              </w:rPr>
            </w:pPr>
          </w:p>
          <w:p w14:paraId="7D3B9EAD">
            <w:pPr>
              <w:pStyle w:val="10"/>
              <w:rPr>
                <w:highlight w:val="none"/>
              </w:rPr>
            </w:pPr>
          </w:p>
          <w:p w14:paraId="57DD5E91">
            <w:pPr>
              <w:pStyle w:val="10"/>
              <w:rPr>
                <w:highlight w:val="none"/>
              </w:rPr>
            </w:pPr>
          </w:p>
          <w:p w14:paraId="2CAE9F68">
            <w:pPr>
              <w:pStyle w:val="10"/>
              <w:rPr>
                <w:highlight w:val="none"/>
              </w:rPr>
            </w:pPr>
          </w:p>
          <w:p w14:paraId="70D7961C">
            <w:pPr>
              <w:pStyle w:val="10"/>
              <w:rPr>
                <w:highlight w:val="none"/>
              </w:rPr>
            </w:pPr>
          </w:p>
          <w:p w14:paraId="01BAFD62">
            <w:pPr>
              <w:pStyle w:val="10"/>
              <w:rPr>
                <w:highlight w:val="none"/>
              </w:rPr>
            </w:pPr>
          </w:p>
          <w:p w14:paraId="2C198E3D">
            <w:pPr>
              <w:pStyle w:val="10"/>
              <w:rPr>
                <w:highlight w:val="none"/>
              </w:rPr>
            </w:pPr>
          </w:p>
          <w:p w14:paraId="5CE62C71">
            <w:pPr>
              <w:pStyle w:val="10"/>
              <w:rPr>
                <w:highlight w:val="none"/>
              </w:rPr>
            </w:pPr>
          </w:p>
          <w:p w14:paraId="200E786A">
            <w:pPr>
              <w:pStyle w:val="10"/>
              <w:ind w:left="0" w:leftChars="0" w:firstLine="0" w:firstLineChars="0"/>
              <w:rPr>
                <w:highlight w:val="none"/>
              </w:rPr>
            </w:pPr>
          </w:p>
          <w:p w14:paraId="0DF54E54">
            <w:pPr>
              <w:pStyle w:val="10"/>
              <w:rPr>
                <w:highlight w:val="none"/>
              </w:rPr>
            </w:pPr>
          </w:p>
          <w:p w14:paraId="197EFB1F">
            <w:pPr>
              <w:pStyle w:val="10"/>
              <w:rPr>
                <w:highlight w:val="none"/>
              </w:rPr>
            </w:pPr>
          </w:p>
          <w:p w14:paraId="2C79B3CC">
            <w:pPr>
              <w:pStyle w:val="10"/>
              <w:rPr>
                <w:highlight w:val="none"/>
              </w:rPr>
            </w:pPr>
          </w:p>
          <w:p w14:paraId="5DFCA909">
            <w:pPr>
              <w:pStyle w:val="10"/>
              <w:ind w:left="0" w:leftChars="0" w:firstLine="0" w:firstLineChars="0"/>
              <w:rPr>
                <w:highlight w:val="none"/>
              </w:rPr>
            </w:pPr>
          </w:p>
        </w:tc>
      </w:tr>
      <w:tr w14:paraId="7E364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50" w:type="dxa"/>
            <w:vAlign w:val="center"/>
          </w:tcPr>
          <w:p w14:paraId="583DF105">
            <w:pPr>
              <w:pStyle w:val="29"/>
              <w:adjustRightInd w:val="0"/>
              <w:snapToGrid w:val="0"/>
              <w:spacing w:before="0" w:beforeAutospacing="0" w:after="0" w:afterAutospacing="0"/>
              <w:jc w:val="center"/>
              <w:rPr>
                <w:rFonts w:ascii="Times New Roman" w:hAnsi="Times New Roman"/>
                <w:sz w:val="21"/>
                <w:szCs w:val="21"/>
                <w:highlight w:val="none"/>
              </w:rPr>
            </w:pPr>
            <w:r>
              <w:rPr>
                <w:rFonts w:ascii="Times New Roman" w:hAnsi="Times New Roman"/>
                <w:sz w:val="24"/>
                <w:szCs w:val="24"/>
                <w:highlight w:val="none"/>
              </w:rPr>
              <w:t>工艺流程和产排污</w:t>
            </w:r>
            <w:r>
              <w:rPr>
                <w:rFonts w:ascii="Times New Roman" w:hAnsi="Times New Roman" w:eastAsia="宋体" w:cs="Times New Roman"/>
                <w:sz w:val="24"/>
                <w:szCs w:val="24"/>
                <w:highlight w:val="none"/>
              </w:rPr>
              <w:t>环节</w:t>
            </w:r>
          </w:p>
        </w:tc>
        <w:tc>
          <w:tcPr>
            <w:tcW w:w="9029" w:type="dxa"/>
          </w:tcPr>
          <w:p w14:paraId="5563D558">
            <w:pPr>
              <w:autoSpaceDE w:val="0"/>
              <w:autoSpaceDN w:val="0"/>
              <w:adjustRightInd w:val="0"/>
              <w:snapToGrid w:val="0"/>
              <w:spacing w:line="360" w:lineRule="auto"/>
              <w:ind w:firstLine="482" w:firstLineChars="200"/>
              <w:rPr>
                <w:b/>
                <w:bCs/>
                <w:color w:val="000000"/>
                <w:kern w:val="0"/>
                <w:sz w:val="24"/>
                <w:highlight w:val="none"/>
              </w:rPr>
            </w:pPr>
            <w:r>
              <w:rPr>
                <w:b/>
                <w:bCs/>
                <w:color w:val="000000"/>
                <w:kern w:val="0"/>
                <w:sz w:val="24"/>
                <w:highlight w:val="none"/>
              </w:rPr>
              <w:t>（一）施工期</w:t>
            </w:r>
          </w:p>
          <w:p w14:paraId="47AC778C">
            <w:pPr>
              <w:widowControl/>
              <w:adjustRightInd w:val="0"/>
              <w:snapToGrid w:val="0"/>
              <w:spacing w:line="360" w:lineRule="auto"/>
              <w:ind w:firstLine="480" w:firstLineChars="200"/>
              <w:rPr>
                <w:color w:val="000000"/>
                <w:sz w:val="24"/>
                <w:highlight w:val="none"/>
              </w:rPr>
            </w:pPr>
            <w:r>
              <w:rPr>
                <w:rFonts w:hint="eastAsia"/>
                <w:color w:val="000000"/>
                <w:sz w:val="24"/>
                <w:highlight w:val="none"/>
                <w:lang w:val="en-US" w:eastAsia="zh-CN"/>
              </w:rPr>
              <w:t>本</w:t>
            </w:r>
            <w:r>
              <w:rPr>
                <w:color w:val="000000"/>
                <w:sz w:val="24"/>
                <w:highlight w:val="none"/>
              </w:rPr>
              <w:t>项目施工期包括建（构）筑物建设以及设备的安装，其工艺流程及产污环节详见图2-2。</w:t>
            </w:r>
          </w:p>
          <w:p w14:paraId="436C41CD">
            <w:pPr>
              <w:spacing w:line="360" w:lineRule="auto"/>
              <w:jc w:val="center"/>
              <w:rPr>
                <w:color w:val="000000"/>
                <w:sz w:val="24"/>
                <w:highlight w:val="none"/>
              </w:rPr>
            </w:pPr>
            <w:r>
              <w:rPr>
                <w:highlight w:val="none"/>
              </w:rPr>
              <mc:AlternateContent>
                <mc:Choice Requires="wpc">
                  <w:drawing>
                    <wp:inline distT="0" distB="0" distL="114300" distR="114300">
                      <wp:extent cx="5418455" cy="1797685"/>
                      <wp:effectExtent l="5080" t="0" r="0" b="0"/>
                      <wp:docPr id="33" name="画布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文本框 87"/>
                              <wps:cNvSpPr txBox="1"/>
                              <wps:spPr>
                                <a:xfrm>
                                  <a:off x="0" y="737235"/>
                                  <a:ext cx="746760" cy="29083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37826816">
                                    <w:pPr>
                                      <w:keepNext w:val="0"/>
                                      <w:keepLines w:val="0"/>
                                      <w:pageBreakBefore w:val="0"/>
                                      <w:widowControl w:val="0"/>
                                      <w:kinsoku/>
                                      <w:wordWrap/>
                                      <w:overflowPunct/>
                                      <w:topLinePunct w:val="0"/>
                                      <w:bidi w:val="0"/>
                                      <w:adjustRightInd/>
                                      <w:snapToGrid/>
                                      <w:jc w:val="center"/>
                                      <w:textAlignment w:val="auto"/>
                                    </w:pPr>
                                    <w:r>
                                      <w:rPr>
                                        <w:rFonts w:hint="eastAsia"/>
                                      </w:rPr>
                                      <w:t>基础施工</w:t>
                                    </w:r>
                                  </w:p>
                                </w:txbxContent>
                              </wps:txbx>
                              <wps:bodyPr upright="1"/>
                            </wps:wsp>
                            <wps:wsp>
                              <wps:cNvPr id="15" name="文本框 88"/>
                              <wps:cNvSpPr txBox="1"/>
                              <wps:spPr>
                                <a:xfrm>
                                  <a:off x="1076325" y="735965"/>
                                  <a:ext cx="734695" cy="3048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77DE50E5">
                                    <w:pPr>
                                      <w:keepNext w:val="0"/>
                                      <w:keepLines w:val="0"/>
                                      <w:pageBreakBefore w:val="0"/>
                                      <w:widowControl w:val="0"/>
                                      <w:kinsoku/>
                                      <w:wordWrap/>
                                      <w:overflowPunct/>
                                      <w:topLinePunct w:val="0"/>
                                      <w:bidi w:val="0"/>
                                      <w:adjustRightInd/>
                                      <w:snapToGrid/>
                                      <w:jc w:val="center"/>
                                      <w:textAlignment w:val="auto"/>
                                    </w:pPr>
                                    <w:r>
                                      <w:rPr>
                                        <w:rFonts w:hint="eastAsia" w:ascii="Times New Roman" w:hAnsi="Times New Roman" w:cs="Times New Roman"/>
                                      </w:rPr>
                                      <w:t>主体</w:t>
                                    </w:r>
                                    <w:r>
                                      <w:rPr>
                                        <w:rFonts w:hint="eastAsia"/>
                                      </w:rPr>
                                      <w:t>工程</w:t>
                                    </w:r>
                                  </w:p>
                                </w:txbxContent>
                              </wps:txbx>
                              <wps:bodyPr upright="1"/>
                            </wps:wsp>
                            <wps:wsp>
                              <wps:cNvPr id="16" name="文本框 89"/>
                              <wps:cNvSpPr txBox="1"/>
                              <wps:spPr>
                                <a:xfrm>
                                  <a:off x="2205990" y="733425"/>
                                  <a:ext cx="797560" cy="30416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5835F3F5">
                                    <w:pPr>
                                      <w:keepNext w:val="0"/>
                                      <w:keepLines w:val="0"/>
                                      <w:pageBreakBefore w:val="0"/>
                                      <w:widowControl w:val="0"/>
                                      <w:kinsoku/>
                                      <w:wordWrap/>
                                      <w:overflowPunct/>
                                      <w:topLinePunct w:val="0"/>
                                      <w:bidi w:val="0"/>
                                      <w:adjustRightInd/>
                                      <w:snapToGrid/>
                                      <w:jc w:val="center"/>
                                      <w:textAlignment w:val="auto"/>
                                    </w:pPr>
                                    <w:r>
                                      <w:rPr>
                                        <w:rFonts w:hint="eastAsia"/>
                                      </w:rPr>
                                      <w:t>装修工程</w:t>
                                    </w:r>
                                  </w:p>
                                </w:txbxContent>
                              </wps:txbx>
                              <wps:bodyPr upright="1"/>
                            </wps:wsp>
                            <wps:wsp>
                              <wps:cNvPr id="18" name="直接箭头连接符 91"/>
                              <wps:cNvCnPr/>
                              <wps:spPr>
                                <a:xfrm>
                                  <a:off x="752475" y="873125"/>
                                  <a:ext cx="323850" cy="635"/>
                                </a:xfrm>
                                <a:prstGeom prst="straightConnector1">
                                  <a:avLst/>
                                </a:prstGeom>
                                <a:ln w="9525" cap="flat" cmpd="sng">
                                  <a:solidFill>
                                    <a:srgbClr val="000000"/>
                                  </a:solidFill>
                                  <a:prstDash val="solid"/>
                                  <a:headEnd type="none" w="med" len="med"/>
                                  <a:tailEnd type="triangle" w="med" len="med"/>
                                </a:ln>
                              </wps:spPr>
                              <wps:bodyPr/>
                            </wps:wsp>
                            <wps:wsp>
                              <wps:cNvPr id="19" name="直接箭头连接符 92"/>
                              <wps:cNvCnPr>
                                <a:stCxn id="15" idx="3"/>
                                <a:endCxn id="16" idx="1"/>
                              </wps:cNvCnPr>
                              <wps:spPr>
                                <a:xfrm flipV="1">
                                  <a:off x="1811020" y="885825"/>
                                  <a:ext cx="394970" cy="2540"/>
                                </a:xfrm>
                                <a:prstGeom prst="straightConnector1">
                                  <a:avLst/>
                                </a:prstGeom>
                                <a:ln w="9525" cap="flat" cmpd="sng">
                                  <a:solidFill>
                                    <a:srgbClr val="000000"/>
                                  </a:solidFill>
                                  <a:prstDash val="solid"/>
                                  <a:headEnd type="none" w="med" len="med"/>
                                  <a:tailEnd type="triangle" w="med" len="med"/>
                                </a:ln>
                              </wps:spPr>
                              <wps:bodyPr/>
                            </wps:wsp>
                            <wps:wsp>
                              <wps:cNvPr id="20" name="直接箭头连接符 94"/>
                              <wps:cNvCnPr>
                                <a:stCxn id="7" idx="0"/>
                                <a:endCxn id="23" idx="2"/>
                              </wps:cNvCnPr>
                              <wps:spPr>
                                <a:xfrm flipH="1" flipV="1">
                                  <a:off x="370825" y="506078"/>
                                  <a:ext cx="2540" cy="231140"/>
                                </a:xfrm>
                                <a:prstGeom prst="straightConnector1">
                                  <a:avLst/>
                                </a:prstGeom>
                                <a:ln w="9525" cap="flat" cmpd="sng">
                                  <a:solidFill>
                                    <a:srgbClr val="000000"/>
                                  </a:solidFill>
                                  <a:prstDash val="dash"/>
                                  <a:headEnd type="none" w="med" len="med"/>
                                  <a:tailEnd type="triangle" w="med" len="med"/>
                                </a:ln>
                              </wps:spPr>
                              <wps:bodyPr/>
                            </wps:wsp>
                            <wps:wsp>
                              <wps:cNvPr id="21" name="直接箭头连接符 95"/>
                              <wps:cNvCnPr>
                                <a:stCxn id="15" idx="0"/>
                                <a:endCxn id="24" idx="2"/>
                              </wps:cNvCnPr>
                              <wps:spPr>
                                <a:xfrm flipH="1" flipV="1">
                                  <a:off x="1439545" y="513080"/>
                                  <a:ext cx="4445" cy="222885"/>
                                </a:xfrm>
                                <a:prstGeom prst="straightConnector1">
                                  <a:avLst/>
                                </a:prstGeom>
                                <a:ln w="9525" cap="flat" cmpd="sng">
                                  <a:solidFill>
                                    <a:srgbClr val="000000"/>
                                  </a:solidFill>
                                  <a:prstDash val="dash"/>
                                  <a:headEnd type="none" w="med" len="med"/>
                                  <a:tailEnd type="triangle" w="med" len="med"/>
                                </a:ln>
                              </wps:spPr>
                              <wps:bodyPr/>
                            </wps:wsp>
                            <wps:wsp>
                              <wps:cNvPr id="22" name="直接箭头连接符 96"/>
                              <wps:cNvCnPr>
                                <a:stCxn id="16" idx="0"/>
                                <a:endCxn id="25" idx="2"/>
                              </wps:cNvCnPr>
                              <wps:spPr>
                                <a:xfrm flipH="1" flipV="1">
                                  <a:off x="2599103" y="522517"/>
                                  <a:ext cx="5715" cy="210820"/>
                                </a:xfrm>
                                <a:prstGeom prst="straightConnector1">
                                  <a:avLst/>
                                </a:prstGeom>
                                <a:ln w="9525" cap="flat" cmpd="sng">
                                  <a:solidFill>
                                    <a:srgbClr val="000000"/>
                                  </a:solidFill>
                                  <a:prstDash val="dash"/>
                                  <a:headEnd type="none" w="med" len="med"/>
                                  <a:tailEnd type="triangle" w="med" len="med"/>
                                </a:ln>
                              </wps:spPr>
                              <wps:bodyPr/>
                            </wps:wsp>
                            <wps:wsp>
                              <wps:cNvPr id="23" name="文本框 97"/>
                              <wps:cNvSpPr txBox="1"/>
                              <wps:spPr>
                                <a:xfrm>
                                  <a:off x="38100" y="134620"/>
                                  <a:ext cx="664845" cy="371475"/>
                                </a:xfrm>
                                <a:prstGeom prst="rect">
                                  <a:avLst/>
                                </a:prstGeom>
                                <a:gradFill rotWithShape="0">
                                  <a:gsLst>
                                    <a:gs pos="0">
                                      <a:srgbClr val="FFFFFF"/>
                                    </a:gs>
                                    <a:gs pos="100000">
                                      <a:srgbClr val="FFFFFF"/>
                                    </a:gs>
                                  </a:gsLst>
                                  <a:lin ang="0"/>
                                  <a:tileRect/>
                                </a:gradFill>
                                <a:ln w="9525" cap="flat" cmpd="sng">
                                  <a:solidFill>
                                    <a:srgbClr val="000000"/>
                                  </a:solidFill>
                                  <a:prstDash val="dash"/>
                                  <a:miter/>
                                  <a:headEnd type="none" w="med" len="med"/>
                                  <a:tailEnd type="none" w="med" len="med"/>
                                </a:ln>
                              </wps:spPr>
                              <wps:txbx>
                                <w:txbxContent>
                                  <w:p w14:paraId="5BD260BE">
                                    <w:pPr>
                                      <w:keepNext w:val="0"/>
                                      <w:keepLines w:val="0"/>
                                      <w:pageBreakBefore w:val="0"/>
                                      <w:widowControl w:val="0"/>
                                      <w:kinsoku/>
                                      <w:wordWrap/>
                                      <w:overflowPunct/>
                                      <w:topLinePunct w:val="0"/>
                                      <w:bidi w:val="0"/>
                                      <w:adjustRightInd/>
                                      <w:snapToGrid/>
                                      <w:jc w:val="center"/>
                                      <w:textAlignment w:val="auto"/>
                                      <w:rPr>
                                        <w:sz w:val="18"/>
                                        <w:szCs w:val="18"/>
                                      </w:rPr>
                                    </w:pPr>
                                    <w:r>
                                      <w:rPr>
                                        <w:rFonts w:hint="eastAsia"/>
                                        <w:sz w:val="18"/>
                                        <w:szCs w:val="18"/>
                                      </w:rPr>
                                      <w:t>噪声、扬尘、弃土</w:t>
                                    </w:r>
                                  </w:p>
                                </w:txbxContent>
                              </wps:txbx>
                              <wps:bodyPr upright="1"/>
                            </wps:wsp>
                            <wps:wsp>
                              <wps:cNvPr id="24" name="文本框 98"/>
                              <wps:cNvSpPr txBox="1"/>
                              <wps:spPr>
                                <a:xfrm>
                                  <a:off x="934085" y="139700"/>
                                  <a:ext cx="1010285" cy="373380"/>
                                </a:xfrm>
                                <a:prstGeom prst="rect">
                                  <a:avLst/>
                                </a:prstGeom>
                                <a:gradFill rotWithShape="0">
                                  <a:gsLst>
                                    <a:gs pos="0">
                                      <a:srgbClr val="FFFFFF"/>
                                    </a:gs>
                                    <a:gs pos="100000">
                                      <a:srgbClr val="FFFFFF"/>
                                    </a:gs>
                                  </a:gsLst>
                                  <a:lin ang="0"/>
                                  <a:tileRect/>
                                </a:gradFill>
                                <a:ln w="9525" cap="flat" cmpd="sng">
                                  <a:solidFill>
                                    <a:srgbClr val="000000"/>
                                  </a:solidFill>
                                  <a:prstDash val="dash"/>
                                  <a:miter/>
                                  <a:headEnd type="none" w="med" len="med"/>
                                  <a:tailEnd type="none" w="med" len="med"/>
                                </a:ln>
                              </wps:spPr>
                              <wps:txbx>
                                <w:txbxContent>
                                  <w:p w14:paraId="1B05FA61">
                                    <w:pPr>
                                      <w:jc w:val="center"/>
                                    </w:pPr>
                                    <w:r>
                                      <w:rPr>
                                        <w:rFonts w:hint="eastAsia"/>
                                        <w:sz w:val="18"/>
                                        <w:szCs w:val="18"/>
                                      </w:rPr>
                                      <w:t>噪声、扬尘、建筑垃圾、废水</w:t>
                                    </w:r>
                                  </w:p>
                                </w:txbxContent>
                              </wps:txbx>
                              <wps:bodyPr upright="1"/>
                            </wps:wsp>
                            <wps:wsp>
                              <wps:cNvPr id="25" name="文本框 99"/>
                              <wps:cNvSpPr txBox="1"/>
                              <wps:spPr>
                                <a:xfrm>
                                  <a:off x="2159635" y="139065"/>
                                  <a:ext cx="878840" cy="383540"/>
                                </a:xfrm>
                                <a:prstGeom prst="rect">
                                  <a:avLst/>
                                </a:prstGeom>
                                <a:gradFill rotWithShape="0">
                                  <a:gsLst>
                                    <a:gs pos="0">
                                      <a:srgbClr val="FFFFFF"/>
                                    </a:gs>
                                    <a:gs pos="100000">
                                      <a:srgbClr val="FFFFFF"/>
                                    </a:gs>
                                  </a:gsLst>
                                  <a:lin ang="0"/>
                                  <a:tileRect/>
                                </a:gradFill>
                                <a:ln w="9525" cap="flat" cmpd="sng">
                                  <a:solidFill>
                                    <a:srgbClr val="000000"/>
                                  </a:solidFill>
                                  <a:prstDash val="dash"/>
                                  <a:miter/>
                                  <a:headEnd type="none" w="med" len="med"/>
                                  <a:tailEnd type="none" w="med" len="med"/>
                                </a:ln>
                              </wps:spPr>
                              <wps:txbx>
                                <w:txbxContent>
                                  <w:p w14:paraId="71E16586">
                                    <w:pPr>
                                      <w:jc w:val="center"/>
                                      <w:rPr>
                                        <w:rFonts w:hint="eastAsia" w:ascii="Times New Roman" w:hAnsi="Times New Roman" w:cs="Times New Roman"/>
                                        <w:sz w:val="18"/>
                                        <w:szCs w:val="18"/>
                                      </w:rPr>
                                    </w:pPr>
                                    <w:r>
                                      <w:rPr>
                                        <w:rFonts w:hint="eastAsia" w:ascii="Times New Roman" w:hAnsi="Times New Roman" w:cs="Times New Roman"/>
                                        <w:sz w:val="18"/>
                                        <w:szCs w:val="18"/>
                                      </w:rPr>
                                      <w:t>噪声、废气、建筑垃圾</w:t>
                                    </w:r>
                                  </w:p>
                                </w:txbxContent>
                              </wps:txbx>
                              <wps:bodyPr upright="1"/>
                            </wps:wsp>
                            <wps:wsp>
                              <wps:cNvPr id="29" name="文本框 103"/>
                              <wps:cNvSpPr txBox="1"/>
                              <wps:spPr>
                                <a:xfrm>
                                  <a:off x="4454525" y="1454150"/>
                                  <a:ext cx="772795" cy="313055"/>
                                </a:xfrm>
                                <a:prstGeom prst="rect">
                                  <a:avLst/>
                                </a:prstGeom>
                                <a:gradFill rotWithShape="0">
                                  <a:gsLst>
                                    <a:gs pos="0">
                                      <a:srgbClr val="FFFFFF"/>
                                    </a:gs>
                                    <a:gs pos="100000">
                                      <a:srgbClr val="FFFFFF"/>
                                    </a:gs>
                                  </a:gsLst>
                                  <a:lin ang="0"/>
                                  <a:tileRect/>
                                </a:gradFill>
                                <a:ln w="9525" cap="flat" cmpd="sng">
                                  <a:noFill/>
                                  <a:prstDash val="solid"/>
                                  <a:miter/>
                                  <a:headEnd type="none" w="med" len="med"/>
                                  <a:tailEnd type="none" w="med" len="med"/>
                                </a:ln>
                              </wps:spPr>
                              <wps:txbx>
                                <w:txbxContent>
                                  <w:p w14:paraId="72B098F8">
                                    <w:pPr>
                                      <w:keepNext w:val="0"/>
                                      <w:keepLines w:val="0"/>
                                      <w:pageBreakBefore w:val="0"/>
                                      <w:widowControl w:val="0"/>
                                      <w:kinsoku/>
                                      <w:wordWrap/>
                                      <w:overflowPunct/>
                                      <w:topLinePunct w:val="0"/>
                                      <w:bidi w:val="0"/>
                                      <w:adjustRightInd/>
                                      <w:snapToGrid/>
                                      <w:jc w:val="center"/>
                                      <w:textAlignment w:val="auto"/>
                                      <w:rPr>
                                        <w:rFonts w:hint="default" w:eastAsia="宋体"/>
                                        <w:lang w:val="en-US" w:eastAsia="zh-CN"/>
                                      </w:rPr>
                                    </w:pPr>
                                    <w:r>
                                      <w:rPr>
                                        <w:rFonts w:hint="eastAsia"/>
                                        <w:lang w:val="en-US" w:eastAsia="zh-CN"/>
                                      </w:rPr>
                                      <w:t>投入运营</w:t>
                                    </w:r>
                                  </w:p>
                                </w:txbxContent>
                              </wps:txbx>
                              <wps:bodyPr upright="1"/>
                            </wps:wsp>
                            <wps:wsp>
                              <wps:cNvPr id="32" name="直接箭头连接符 136"/>
                              <wps:cNvCnPr>
                                <a:stCxn id="110" idx="2"/>
                                <a:endCxn id="29" idx="0"/>
                              </wps:cNvCnPr>
                              <wps:spPr>
                                <a:xfrm>
                                  <a:off x="4836168" y="1045121"/>
                                  <a:ext cx="5080" cy="408940"/>
                                </a:xfrm>
                                <a:prstGeom prst="straightConnector1">
                                  <a:avLst/>
                                </a:prstGeom>
                                <a:ln w="9525" cap="flat" cmpd="sng">
                                  <a:solidFill>
                                    <a:srgbClr val="000000"/>
                                  </a:solidFill>
                                  <a:prstDash val="solid"/>
                                  <a:headEnd type="none" w="med" len="med"/>
                                  <a:tailEnd type="triangle" w="med" len="med"/>
                                </a:ln>
                              </wps:spPr>
                              <wps:bodyPr/>
                            </wps:wsp>
                            <wps:wsp>
                              <wps:cNvPr id="107" name="直接箭头连接符 92"/>
                              <wps:cNvCnPr>
                                <a:stCxn id="109" idx="3"/>
                                <a:endCxn id="110" idx="1"/>
                              </wps:cNvCnPr>
                              <wps:spPr>
                                <a:xfrm>
                                  <a:off x="4206875" y="889635"/>
                                  <a:ext cx="230505" cy="3810"/>
                                </a:xfrm>
                                <a:prstGeom prst="straightConnector1">
                                  <a:avLst/>
                                </a:prstGeom>
                                <a:ln w="9525" cap="flat" cmpd="sng">
                                  <a:solidFill>
                                    <a:srgbClr val="000000"/>
                                  </a:solidFill>
                                  <a:prstDash val="solid"/>
                                  <a:headEnd type="none" w="med" len="med"/>
                                  <a:tailEnd type="triangle" w="med" len="med"/>
                                </a:ln>
                              </wps:spPr>
                              <wps:bodyPr/>
                            </wps:wsp>
                            <wps:wsp>
                              <wps:cNvPr id="108" name="直接箭头连接符 92"/>
                              <wps:cNvCnPr>
                                <a:stCxn id="16" idx="3"/>
                                <a:endCxn id="109" idx="1"/>
                              </wps:cNvCnPr>
                              <wps:spPr>
                                <a:xfrm>
                                  <a:off x="3003550" y="885825"/>
                                  <a:ext cx="405765" cy="3810"/>
                                </a:xfrm>
                                <a:prstGeom prst="straightConnector1">
                                  <a:avLst/>
                                </a:prstGeom>
                                <a:ln w="9525" cap="flat" cmpd="sng">
                                  <a:solidFill>
                                    <a:srgbClr val="000000"/>
                                  </a:solidFill>
                                  <a:prstDash val="solid"/>
                                  <a:headEnd type="none" w="med" len="med"/>
                                  <a:tailEnd type="triangle" w="med" len="med"/>
                                </a:ln>
                              </wps:spPr>
                              <wps:bodyPr/>
                            </wps:wsp>
                            <wps:wsp>
                              <wps:cNvPr id="109" name="文本框 89"/>
                              <wps:cNvSpPr txBox="1"/>
                              <wps:spPr>
                                <a:xfrm>
                                  <a:off x="3409315" y="737235"/>
                                  <a:ext cx="797560" cy="30416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7BA1FCC8">
                                    <w:pPr>
                                      <w:keepNext w:val="0"/>
                                      <w:keepLines w:val="0"/>
                                      <w:pageBreakBefore w:val="0"/>
                                      <w:widowControl w:val="0"/>
                                      <w:kinsoku/>
                                      <w:wordWrap/>
                                      <w:overflowPunct/>
                                      <w:topLinePunct w:val="0"/>
                                      <w:bidi w:val="0"/>
                                      <w:adjustRightInd/>
                                      <w:snapToGrid/>
                                      <w:jc w:val="center"/>
                                      <w:textAlignment w:val="auto"/>
                                      <w:rPr>
                                        <w:rFonts w:hint="default" w:eastAsia="宋体"/>
                                        <w:lang w:val="en-US" w:eastAsia="zh-CN"/>
                                      </w:rPr>
                                    </w:pPr>
                                    <w:r>
                                      <w:rPr>
                                        <w:rFonts w:hint="eastAsia"/>
                                        <w:lang w:val="en-US" w:eastAsia="zh-CN"/>
                                      </w:rPr>
                                      <w:t>设备安装</w:t>
                                    </w:r>
                                  </w:p>
                                </w:txbxContent>
                              </wps:txbx>
                              <wps:bodyPr upright="1"/>
                            </wps:wsp>
                            <wps:wsp>
                              <wps:cNvPr id="110" name="文本框 89"/>
                              <wps:cNvSpPr txBox="1"/>
                              <wps:spPr>
                                <a:xfrm>
                                  <a:off x="4437380" y="741045"/>
                                  <a:ext cx="797560" cy="30416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2D802492">
                                    <w:pPr>
                                      <w:keepNext w:val="0"/>
                                      <w:keepLines w:val="0"/>
                                      <w:pageBreakBefore w:val="0"/>
                                      <w:widowControl w:val="0"/>
                                      <w:kinsoku/>
                                      <w:wordWrap/>
                                      <w:overflowPunct/>
                                      <w:topLinePunct w:val="0"/>
                                      <w:bidi w:val="0"/>
                                      <w:adjustRightInd/>
                                      <w:snapToGrid/>
                                      <w:jc w:val="center"/>
                                      <w:textAlignment w:val="auto"/>
                                      <w:rPr>
                                        <w:rFonts w:hint="eastAsia" w:eastAsia="宋体"/>
                                        <w:lang w:val="en-US" w:eastAsia="zh-CN"/>
                                      </w:rPr>
                                    </w:pPr>
                                    <w:r>
                                      <w:rPr>
                                        <w:rFonts w:hint="eastAsia"/>
                                        <w:lang w:val="en-US" w:eastAsia="zh-CN"/>
                                      </w:rPr>
                                      <w:t>工程验收</w:t>
                                    </w:r>
                                  </w:p>
                                </w:txbxContent>
                              </wps:txbx>
                              <wps:bodyPr upright="1"/>
                            </wps:wsp>
                            <wps:wsp>
                              <wps:cNvPr id="111" name="文本框 99"/>
                              <wps:cNvSpPr txBox="1"/>
                              <wps:spPr>
                                <a:xfrm>
                                  <a:off x="3361690" y="142875"/>
                                  <a:ext cx="879475" cy="383540"/>
                                </a:xfrm>
                                <a:prstGeom prst="rect">
                                  <a:avLst/>
                                </a:prstGeom>
                                <a:gradFill rotWithShape="0">
                                  <a:gsLst>
                                    <a:gs pos="0">
                                      <a:srgbClr val="FFFFFF"/>
                                    </a:gs>
                                    <a:gs pos="100000">
                                      <a:srgbClr val="FFFFFF"/>
                                    </a:gs>
                                  </a:gsLst>
                                  <a:lin ang="0"/>
                                  <a:tileRect/>
                                </a:gradFill>
                                <a:ln w="9525" cap="flat" cmpd="sng">
                                  <a:solidFill>
                                    <a:srgbClr val="000000"/>
                                  </a:solidFill>
                                  <a:prstDash val="dash"/>
                                  <a:miter/>
                                  <a:headEnd type="none" w="med" len="med"/>
                                  <a:tailEnd type="none" w="med" len="med"/>
                                </a:ln>
                              </wps:spPr>
                              <wps:txbx>
                                <w:txbxContent>
                                  <w:p w14:paraId="01B4C056">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噪声、废气、</w:t>
                                    </w:r>
                                    <w:r>
                                      <w:rPr>
                                        <w:rFonts w:hint="eastAsia" w:ascii="Times New Roman" w:hAnsi="Times New Roman" w:cs="Times New Roman"/>
                                        <w:sz w:val="18"/>
                                        <w:szCs w:val="18"/>
                                        <w:lang w:val="en-US" w:eastAsia="zh-CN"/>
                                      </w:rPr>
                                      <w:t>包装材料</w:t>
                                    </w:r>
                                  </w:p>
                                </w:txbxContent>
                              </wps:txbx>
                              <wps:bodyPr upright="1"/>
                            </wps:wsp>
                            <wps:wsp>
                              <wps:cNvPr id="112" name="直接箭头连接符 96"/>
                              <wps:cNvCnPr>
                                <a:stCxn id="109" idx="0"/>
                                <a:endCxn id="111" idx="2"/>
                              </wps:cNvCnPr>
                              <wps:spPr>
                                <a:xfrm flipH="1" flipV="1">
                                  <a:off x="3801745" y="526415"/>
                                  <a:ext cx="6350" cy="210820"/>
                                </a:xfrm>
                                <a:prstGeom prst="straightConnector1">
                                  <a:avLst/>
                                </a:prstGeom>
                                <a:ln w="9525" cap="flat" cmpd="sng">
                                  <a:solidFill>
                                    <a:srgbClr val="000000"/>
                                  </a:solidFill>
                                  <a:prstDash val="dash"/>
                                  <a:headEnd type="none" w="med" len="med"/>
                                  <a:tailEnd type="triangle" w="med" len="med"/>
                                </a:ln>
                              </wps:spPr>
                              <wps:bodyPr/>
                            </wps:wsp>
                          </wpc:wpc>
                        </a:graphicData>
                      </a:graphic>
                    </wp:inline>
                  </w:drawing>
                </mc:Choice>
                <mc:Fallback>
                  <w:pict>
                    <v:group id="画布 106" o:spid="_x0000_s1026" o:spt="203" style="height:141.55pt;width:426.65pt;" coordsize="5418455,1797685" editas="canvas" o:gfxdata="UEsDBAoAAAAAAIdO4kAAAAAAAAAAAAAAAAAEAAAAZHJzL1BLAwQUAAAACACHTuJAEpIwd9cAAAAF&#10;AQAADwAAAGRycy9kb3ducmV2LnhtbE2PQUvDQBCF70L/wzKCF7GbNFhCzKaHQrGIUExrz9vsmASz&#10;s2l2m9R/7+hFLwOP93jvm3x1tZ0YcfCtIwXxPAKBVDnTUq3gsN88pCB80GR05wgVfKGHVTG7yXVm&#10;3ERvOJahFlxCPtMKmhD6TEpfNWi1n7seib0PN1gdWA61NIOeuNx2chFFS2l1S7zQ6B7XDVaf5cUq&#10;mKrdeNy/Psvd/XHr6Lw9r8v3F6XubuPoCUTAa/gLww8+o0PBTCd3IeNFp4AfCb+XvfQxSUCcFCzS&#10;JAZZ5PI/ffENUEsDBBQAAAAIAIdO4kDT2eSuyQYAAKU1AAAOAAAAZHJzL2Uyb0RvYy54bWztW8tu&#10;20YU3RfoPxDcN5oHySGFyAFqJ+miaIOmjzVNUhIBvjCkLXldoNl1VXTTokCBtqu0qywKdNGvidPP&#10;6L3DISnJtOTIjpPA9EKmOMPhzJ0zd849d3T/wTJNjNNIlnGeTUx6j5hGlAV5GGezifnVl48+ck2j&#10;rPws9JM8iybmWVSaDw4+/OD+ohhHLJ/nSRhJAxrJyvGimJjzqirGo1EZzKPUL+/lRZRB4TSXqV/B&#10;VzkbhdJfQOtpMmKEOKNFLsNC5kFUlnD3qC40dYvyKg3m02kcREd5cJJGWVW3KqPEr2BI5TwuSvNA&#10;9XY6jYLq8+m0jCojmZgw0kp9wkvg+hg/Rwf3/fFM+sU8DnQX/Kt0YWNMqR9n8NK2qSO/8o0TGV9o&#10;Ko0DmZf5tLoX5OmoHoiyCIyCkg3bPJb5SaHGMhsvZkVrdJioDavv3Wzw2ekTacThxOTcNDI/hRl/&#10;9cM/L//+1qDEQfMsitkYaj2WxdPiidQ3ZvU3HPFyKlP8D2MxlsqwZ61ho2VlBHDTtqhr2bZpBFBG&#10;hScc165NH8xhfi48F8wf7nhy1Lx4hP1ru7MoAJRlZ6nyepZ6OveLSE1AiTbQlhKNoc5/fHb+8/Pz&#10;X78zXFGbSlVDOxnV8uMcRk6b+yXcvNRcggvGtUUamwnLEQ7AFE3GPOJyBdZ23P64kGX1OMpTAy8m&#10;pgSsKwj6p5+WFcwTVG2qaGSGj+IkMWRefRNXczU2nClVWMIz9YVR5GC1+nYpZ8eHiTROfVg+j9Qf&#10;jgdanpWrtSnBP9XS9kfUk/pVSZwZPjodvQqrOIm+gEHoF0hfdRdfk2TGYmJ6NkME+eBzprDW4TIt&#10;ALdlNqtfnCdx+8RaL1TnGuuVq9XQPkd+Oa8HqIpqWKZxFUnoiD+eR374MAuN6qyApZGBSzSxM2kU&#10;mkYSgQfFK1Wz8uPkKjXBBkkGRkSs1qjAq2p5vIRm8PI4D88AQSeFjGdzmFmFIVUdoF1XeeMYp2Dq&#10;2husgNzFgWIPYS28DsgpEQ7HyQMoC257zibUueV4OLdQzonlApTgRWCnxrc0OB6gPkB9nW681sbX&#10;786p0wN1b0+oM0ZszwO3raDOLUC9cg6tV/eE3Xh1gDqtl8IA9cGrg1t9814duL3meD+9OP/+91d/&#10;/fnytxf//fsLXj//w/BaugIe/jDTdK/Zpjp/rLmesJklarfuCk43sc4Zd23NYJya3lwO9LKSPm53&#10;h3mWAQnIJVWu7hIyc/uMYF8eUMkYSE4S9bOGfi5QEwDcAnGzvcVN39sBD7biFREeSJDK6nCZqQgC&#10;OUMcAunl2udlYVsEPlYVdVxGI6wmFKvs2JgmcfE10h5sXkONupQSVvtV17XdC1jzLE80bNm2dhCI&#10;AWwd8XxbYMPJ3OqLrK1ggyBMAUoHD1GHNQaBrCpSaFVLaDvWPkGs9aKOC4JIw83cJg4RigD742Yz&#10;Zwi0OkDjlL6XoAsh+qlX611wcAzmeSvmFFvTEc4WB9cDOuvGQEct7tmWRh3lxG3epiURy8JCJQsw&#10;Br4Qp+8921fvGOrYDtRpnU3F1T2oa/bOBgcrrq7Zca/v6hiELZSA60Rfx5hNlaLV+Tpb4PauUEfB&#10;Kaq+DKhbk4DeLTKH2+CmguPtK1NyFyQ+hQ0KWk09+x02HMcCeVfrN4JiTLDVJw1S5XWlys6B3nml&#10;ksHOewHn+yqVHrcI7KjoBCmHgKJxuXrrpZCjYViulErBeb03X+4HB6QPSK/zojcgVGIkcgHpewuV&#10;FHR4EGU01MmmJu8K122iG+7ynSH1gPQB6TeH9FaI6rJPSE6BVeyRfoJ4yVK5Q/TqcE1BlISWOv4i&#10;BBNt/gkiLshUD/wFNrnLRPksx0SyMuGQQc1m/WklviPqo3xH2EeBcHc6FqB1Je6D9dGpX9slrhUR&#10;1XK5Qx3IAeBCIJZNQQ9ZWwg2ig2K3AAN8t5LQWsliX8XFC1IrTek4FV/SmeHZk8aKPWI9i0Cr6Da&#10;r8KMEcdt8kKuYhlrKGPgYUlDoiGw3O5sB63+7Wv1oPhcD2WNhNUDshaArwcyTgi3MbsIvqwvIWQR&#10;WwCnrSO1AWS9Z5beLcGKIhI24xt33/gGAnmPo2QJ+Og9XjccxEASh2779pPpd160gmT2DWLdsrhA&#10;KUph3UJmt07r4MDtcOhowPrbOkpK26xrF817e/t1DGH0ATtqMeSZa+TSFZ46k6QU2kG3uoVj00Mu&#10;ov1lAKU7gn5vR8zfkuFGoepiforLqNMDtgf96jTLlnMtLqGiOWLAHFDE1hcRCMNaB2BDsveaJ/dg&#10;otSvd9QhDf1LI/x50Op3ddKv+3XVwf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5CQAAW0NvbnRlbnRfVHlwZXNdLnhtbFBLAQIUAAoAAAAAAIdO&#10;4kAAAAAAAAAAAAAAAAAGAAAAAAAAAAAAEAAAABsIAABfcmVscy9QSwECFAAUAAAACACHTuJAihRm&#10;PNEAAACUAQAACwAAAAAAAAABACAAAAA/CAAAX3JlbHMvLnJlbHNQSwECFAAKAAAAAACHTuJAAAAA&#10;AAAAAAAAAAAABAAAAAAAAAAAABAAAAAAAAAAZHJzL1BLAQIUABQAAAAIAIdO4kASkjB31wAAAAUB&#10;AAAPAAAAAAAAAAEAIAAAACIAAABkcnMvZG93bnJldi54bWxQSwECFAAUAAAACACHTuJA09nkrskG&#10;AAClNQAADgAAAAAAAAABACAAAAAmAQAAZHJzL2Uyb0RvYy54bWxQSwUGAAAAAAYABgBZAQAAYQoA&#10;AAAA&#10;">
                      <o:lock v:ext="edit" aspectratio="f"/>
                      <v:shape id="画布 106" o:spid="_x0000_s1026" style="position:absolute;left:0;top:0;height:1797685;width:5418455;" filled="f" stroked="f" coordsize="21600,21600" o:gfxdata="UEsDBAoAAAAAAIdO4kAAAAAAAAAAAAAAAAAEAAAAZHJzL1BLAwQUAAAACACHTuJAEpIwd9cAAAAF&#10;AQAADwAAAGRycy9kb3ducmV2LnhtbE2PQUvDQBCF70L/wzKCF7GbNFhCzKaHQrGIUExrz9vsmASz&#10;s2l2m9R/7+hFLwOP93jvm3x1tZ0YcfCtIwXxPAKBVDnTUq3gsN88pCB80GR05wgVfKGHVTG7yXVm&#10;3ERvOJahFlxCPtMKmhD6TEpfNWi1n7seib0PN1gdWA61NIOeuNx2chFFS2l1S7zQ6B7XDVaf5cUq&#10;mKrdeNy/Psvd/XHr6Lw9r8v3F6XubuPoCUTAa/gLww8+o0PBTCd3IeNFp4AfCb+XvfQxSUCcFCzS&#10;JAZZ5PI/ffENUEsDBBQAAAAIAIdO4kBG+LUqfAYAAB81AAAOAAAAZHJzL2Uyb0RvYy54bWztm8tu&#10;4zYUhvcF+g6C9h2LpK5GnAGadNpF0Q46vawVSbYF6AZJEzsv0O5m2U2LAgXarqZdzb5P00wfo/8h&#10;Jct2fEmcTKZBlEWiiDRFkR8Pz/kPffR0nibaeVRWcZ6NdPbE0LUoC/IwziYj/Zuvn33k6lpV+1no&#10;J3kWjfSLqNKfHn/4wdGsGEY8n+ZJGJUaGsmq4awY6dO6LoaDQRVMo9SvnuRFlKFwnJepX+PfcjII&#10;S3+G1tNkwA3DHszyMizKPIiqCndPVaHetFhep8F8PI6D6DQPXqZRVqtWyyjxa7xSNY2LSj+WvR2P&#10;o6D+cjyuolpLRjretJa/8RBcn9HvwfGRP5yUfjGNg6YL/nW6sPZOqR9neOiiqVO/9rWXZXylqTQO&#10;yrzKx/WTIE8H6kXkiOAtmLE2Nid+du6rlwkw1m0HcXWH7Z5NqN9Z/ixOEozGAK0P6R79nWG2IypO&#10;stVK6o6s29SZFcChKhZgVLfr4oupX0RyGqth8MX581KLw5Hu6Frmp4Dy8scfLn9+ffnr95rr0BzS&#10;01HtRYGK9fzjfA6y2/sVblLv5+Mypb8YdA3lIOACLQqHC0thEM1rLUCJY9qOjeIA5dwzXCExGXQt&#10;FGVVfxrlqUYXI70EZXLy/fPPq5rG0B+2VeiBwCuk0dXKvP4urqfy3agDsrDCZ9SFVuQYNXW7Kidn&#10;J0mpnfsA95n8oU6i5Um1XJsZ9CNb2v0R+cnmUUmcaT4t94b/Ok6ir/ASzQOa7tJjkkybjXTP4haG&#10;w8dqH2OV4TItMBtVNlEPzpNYviB9YqUXsnPt6FXL1Wh8Tv1qql5QFqlJSOM6KtERfziN/PCTLNTq&#10;iwIznsEY6dSZNAp1LYlgu+hK1qz9OLlOTYwBgQxsq6Gigq7q+dkczdDlWR5egKCXRRlPpphZyZCs&#10;DrRVlXfOOMNQX4HcpRc9AHJmOLagyZOoW569jrowbY/mFuXCMF2ghAdhnNrF0nLco96jvrrR32gn&#10;22zOmb0Bde9A1Dk3LM9rrbowQb00Dgur7jlWa9WBOlNLoUe9t+ow/O/eqsOrVlb97U9vLl/9/vav&#10;P//57c2/f/9C16//0LyFuwI35iR7Xjb2fovz4ljcdJRZdx3B1lkXXLhW48HYyr3ZDnpVlz5tdyd5&#10;lsEJyEsmTd0WZ+b+PYJD/YC6jOHkJNFmr2GzL6AcANoCabO9x03f24MHX7KKhId0teqTeSb9YvIZ&#10;4hCuq2hsXhYuimBjZVHnyzSEKYdiGTBtnMTFt+T2UPONn8xcxgyu7KrrWu4V1jzTc1pv2TL3OBA9&#10;bJ3j+b5go8ncaYvMnbAhCJNANcFD1LHGRVMkaZVLaDdrnxFrG6kTjkGkkd9qGbbhSAfYH7abOSfQ&#10;VIAmGHuQ0IWIftRqfQwGjmOedzInvbUmwtlh4DZAZ94ZdMwUnmU21DFhuO3TGmHANKlQygKcwxbS&#10;9D2wffWRUcf3UGfvtHQUn2wzde2Oe3tTxxG2MAOmk2wd5xaTilZn6yyHtndJHYNRfIgb7COjDnO5&#10;ruB4h8qUwoXEJ9lg0GrU7Hds2LbptjZJOIxigp02qZcqbytVdig/eqWSY+e9wvmhSqUnTAM7KhlB&#10;JhBQrG29DNkRTuVSqXSEUHvz9t23J70nXWUk70CopEjkCukHC5UMOjxEmQZ1Y12Tdx3XbaMb4Yq9&#10;IXVPek/63ZG+EKK6FCs5p40cecMcK+IlU+YOyarjmkGUREud/+I43FnknxBxWb3/QrZma6p1kaZX&#10;GebTPoO64ZSA2BP1MbEn7GNwuGXcJ4M70LokcWF9dCHhbolrSUQ1XWEzGzkAWgiGaTHoISsLwSKx&#10;QTo3cIO8ByloLSXxH4OihdR66xRsSens0eyNFqUNov2CwGuo9suYccN227yQK72MFco4LKzROtEI&#10;LHcHi71W//61eig+t6OslbA2QLYA8GaQCcMQFmUXYcs2JYRMw3Lg06pIrYds45ml/1n2kUhYj2/c&#10;Q+MbBPKeIMkSfGw8XtcfxKDTgGS27z+Z/uhFKySz75B10xQOSVGSdZM8u1W3zulZ71l/f0dJ2SLr&#10;2kXz3sF2nUKY5oAdMzn5mSvOpet48kySVGh73eoejk33uYjFNwMY2xP0e3ti/oUz3CpUXczPaBl1&#10;esDuoF+eZtlxrsU1mNMeMeA2FLHVRQRhuNEBeJ/sveXJPUwUvsJSBPKQRvMdH/pizvL/8qRf972m&#10;4/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EpIwd9cAAAAFAQAADwAAAAAAAAABACAAAAAiAAAA&#10;ZHJzL2Rvd25yZXYueG1sUEsBAhQAFAAAAAgAh07iQEb4tSp8BgAAHzUAAA4AAAAAAAAAAQAgAAAA&#10;JgEAAGRycy9lMm9Eb2MueG1sUEsFBgAAAAAGAAYAWQEAABQKAAAAAA==&#10;">
                        <v:fill on="f" focussize="0,0"/>
                        <v:stroke on="f"/>
                        <v:imagedata o:title=""/>
                        <o:lock v:ext="edit" aspectratio="t"/>
                      </v:shape>
                      <v:shape id="文本框 87" o:spid="_x0000_s1026" o:spt="202" type="#_x0000_t202" style="position:absolute;left:0;top:737235;height:290830;width:746760;" fillcolor="#FFFFFF" filled="t" stroked="t" coordsize="21600,21600" o:gfxdata="UEsDBAoAAAAAAIdO4kAAAAAAAAAAAAAAAAAEAAAAZHJzL1BLAwQUAAAACACHTuJARKvm9tUAAAAF&#10;AQAADwAAAGRycy9kb3ducmV2LnhtbE2PS2vDMBCE74X8B7GFXkojOabBuJZDKfSQW16HHtfWxjax&#10;Vo6lvPrrq/TSXhaGGWa+LRZX24szjb5zrCGZKhDEtTMdNxp228+XDIQPyAZ7x6ThRh4W5eShwNy4&#10;C6/pvAmNiCXsc9TQhjDkUvq6JYt+6gbi6O3daDFEOTbSjHiJ5baXM6Xm0mLHcaHFgT5aqg+bk9Xw&#10;fMyUtVR9rZb75PswLOfbd0atnx4T9QYi0DX8heGOH9GhjEyVO7HxotcQHwm/N3rZa5qCqDTMsjQB&#10;WRbyP335A1BLAwQUAAAACACHTuJAffVUM0wCAADCBAAADgAAAGRycy9lMm9Eb2MueG1srVTNjtMw&#10;EL4j8Q6W7zRpS382aroSlHJBgFgQZ9dxEkv+k+026QvAG3Disneea5+DsZ12yyKhHsghmXjG33zz&#10;zdir214KdGDWca1KPB7lGDFFdcVVU+Ivn7cvlhg5T1RFhFasxEfm8O36+bNVZwo20a0WFbMIQJQr&#10;OlPi1ntTZJmjLZPEjbRhCpy1tpJ4+LVNVlnSAboU2STP51mnbWWspsw5WN0kJx4Q7TWAuq45ZRtN&#10;95Ipn1AtE8RDSa7lxuF1ZFvXjPoPde2YR6LEUKmPb0gC9i68s/WKFI0lpuV0oECuofCkJkm4gqRn&#10;qA3xBO0t/wtKcmq107UfUS2zVEhUBKoY50+0uWuJYbEWkNqZs+ju/8HS94ePFvGqxAuMFJHQ8Icf&#10;3x9+/nq4/4aWi6BPZ1wBYXcGAn3/SvcwNad1B4uh7L62MnyhIAR+UPcIiNPFZDpLErPeIwqexcv5&#10;Yg5uCv7JTb6cxhZkjwjGOv+WaYmCUWILHYzCksM754ENhJ5CBr2rLRcCWe2/ct9GyQKB6HSwJxnI&#10;aFAtLTvb7F4Liw4EhmIbn0ASkBt3GT3OwxOR/r0l7hxSCa4QCUdpmC3PBfsERQwJLIl0QxqhUFfi&#10;m9lkBnIQOEk1TDCY0kA3nGpSYi34eccfLCK5k3ruMizosyGuTQVGV2qC5J5ZIEKKlpHqjaqQPxro&#10;uIKDjgMZySqMBIN7IVgx0hMurokEDYQCEcO0pKkIlu93PcAEc6erI0zQ3ljetNDZOEMxHEY7qZ+O&#10;YTg7l/8R9PHqW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Kvm9tUAAAAFAQAADwAAAAAAAAAB&#10;ACAAAAAiAAAAZHJzL2Rvd25yZXYueG1sUEsBAhQAFAAAAAgAh07iQH31VDNMAgAAwgQAAA4AAAAA&#10;AAAAAQAgAAAAJAEAAGRycy9lMm9Eb2MueG1sUEsFBgAAAAAGAAYAWQEAAOIFAAAAAA==&#10;">
                        <v:fill type="gradient" on="t" color2="#FFFFFF" angle="90" focus="100%" focussize="0,0">
                          <o:fill type="gradientUnscaled" v:ext="backwardCompatible"/>
                        </v:fill>
                        <v:stroke color="#000000" joinstyle="miter"/>
                        <v:imagedata o:title=""/>
                        <o:lock v:ext="edit" aspectratio="f"/>
                        <v:textbox>
                          <w:txbxContent>
                            <w:p w14:paraId="37826816">
                              <w:pPr>
                                <w:keepNext w:val="0"/>
                                <w:keepLines w:val="0"/>
                                <w:pageBreakBefore w:val="0"/>
                                <w:widowControl w:val="0"/>
                                <w:kinsoku/>
                                <w:wordWrap/>
                                <w:overflowPunct/>
                                <w:topLinePunct w:val="0"/>
                                <w:bidi w:val="0"/>
                                <w:adjustRightInd/>
                                <w:snapToGrid/>
                                <w:jc w:val="center"/>
                                <w:textAlignment w:val="auto"/>
                              </w:pPr>
                              <w:r>
                                <w:rPr>
                                  <w:rFonts w:hint="eastAsia"/>
                                </w:rPr>
                                <w:t>基础施工</w:t>
                              </w:r>
                            </w:p>
                          </w:txbxContent>
                        </v:textbox>
                      </v:shape>
                      <v:shape id="文本框 88" o:spid="_x0000_s1026" o:spt="202" type="#_x0000_t202" style="position:absolute;left:1076325;top:735965;height:304800;width:734695;" fillcolor="#FFFFFF" filled="t" stroked="t" coordsize="21600,21600" o:gfxdata="UEsDBAoAAAAAAIdO4kAAAAAAAAAAAAAAAAAEAAAAZHJzL1BLAwQUAAAACACHTuJARKvm9tUAAAAF&#10;AQAADwAAAGRycy9kb3ducmV2LnhtbE2PS2vDMBCE74X8B7GFXkojOabBuJZDKfSQW16HHtfWxjax&#10;Vo6lvPrrq/TSXhaGGWa+LRZX24szjb5zrCGZKhDEtTMdNxp228+XDIQPyAZ7x6ThRh4W5eShwNy4&#10;C6/pvAmNiCXsc9TQhjDkUvq6JYt+6gbi6O3daDFEOTbSjHiJ5baXM6Xm0mLHcaHFgT5aqg+bk9Xw&#10;fMyUtVR9rZb75PswLOfbd0atnx4T9QYi0DX8heGOH9GhjEyVO7HxotcQHwm/N3rZa5qCqDTMsjQB&#10;WRbyP335A1BLAwQUAAAACACHTuJAHfG/IlACAADJBAAADgAAAGRycy9lMm9Eb2MueG1srVTLrtMw&#10;EN0j8Q+W9zRpe/uKml4JStkgQFwQa9dxEkt+yXab9AfgD1ixYc939TsY221vuUioC7JIJp7jMzNn&#10;xl7e91KgPbOOa1Xi4SDHiCmqK66aEn/+tHkxx8h5oioitGIlPjCH71fPny07U7CRbrWomEVAolzR&#10;mRK33psiyxxtmSRuoA1T4Ky1lcTDr22yypIO2KXIRnk+zTptK2M1Zc7B6jo58YnR3kKo65pTttZ0&#10;J5nyidUyQTyU5FpuHF7FbOuaUf++rh3zSJQYKvXxDUHA3oZ3tlqSorHEtJyeUiC3pPCkJkm4gqAX&#10;qjXxBO0s/4tKcmq107UfUC2zVEhUBKoY5k+0eWiJYbEWkNqZi+ju/9HSd/sPFvEKJmGCkSISOn78&#10;/u3449fx51c0nweBOuMKwD0YQPr+pe4BfF53sBjq7msrwxcqQsGfz6bjETAeSjwbTxbTSVKa9R5R&#10;8M/Gd9MFuCn4x/ndPI+dyB55jHX+DdMSBaPEFhoZ9SX7t85DTgA9Q06yVxsuBLLaf+G+jcqF/kan&#10;gz3JQEaDeGnZ2Wb7Sli0JzAbm/iEJIG5cdfoYR6eyPTvLXHnKZTgCpFwok4j5rlgH6GIUwBLYroh&#10;jFCoK/FiEtSiBA5UDYMMpjTQFKeaFFgLftnxRxYxubN67hoW9FkT16YCoys1QXLPLCRCipaR6rWq&#10;kD8Y6LuC845DMpJVGAkG10OwItITLm5BggZCgYhhZtJsBMv32x5ogrnV1QHmaGcsb1robJykCIcJ&#10;T+qn0xiO0PV/JH28gV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Sr5vbVAAAABQEAAA8AAAAA&#10;AAAAAQAgAAAAIgAAAGRycy9kb3ducmV2LnhtbFBLAQIUABQAAAAIAIdO4kAd8b8iUAIAAMkEAAAO&#10;AAAAAAAAAAEAIAAAACQ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77DE50E5">
                              <w:pPr>
                                <w:keepNext w:val="0"/>
                                <w:keepLines w:val="0"/>
                                <w:pageBreakBefore w:val="0"/>
                                <w:widowControl w:val="0"/>
                                <w:kinsoku/>
                                <w:wordWrap/>
                                <w:overflowPunct/>
                                <w:topLinePunct w:val="0"/>
                                <w:bidi w:val="0"/>
                                <w:adjustRightInd/>
                                <w:snapToGrid/>
                                <w:jc w:val="center"/>
                                <w:textAlignment w:val="auto"/>
                              </w:pPr>
                              <w:r>
                                <w:rPr>
                                  <w:rFonts w:hint="eastAsia" w:ascii="Times New Roman" w:hAnsi="Times New Roman" w:cs="Times New Roman"/>
                                </w:rPr>
                                <w:t>主体</w:t>
                              </w:r>
                              <w:r>
                                <w:rPr>
                                  <w:rFonts w:hint="eastAsia"/>
                                </w:rPr>
                                <w:t>工程</w:t>
                              </w:r>
                            </w:p>
                          </w:txbxContent>
                        </v:textbox>
                      </v:shape>
                      <v:shape id="文本框 89" o:spid="_x0000_s1026" o:spt="202" type="#_x0000_t202" style="position:absolute;left:2205990;top:733425;height:304165;width:797560;" fillcolor="#FFFFFF" filled="t" stroked="t" coordsize="21600,21600" o:gfxdata="UEsDBAoAAAAAAIdO4kAAAAAAAAAAAAAAAAAEAAAAZHJzL1BLAwQUAAAACACHTuJARKvm9tUAAAAF&#10;AQAADwAAAGRycy9kb3ducmV2LnhtbE2PS2vDMBCE74X8B7GFXkojOabBuJZDKfSQW16HHtfWxjax&#10;Vo6lvPrrq/TSXhaGGWa+LRZX24szjb5zrCGZKhDEtTMdNxp228+XDIQPyAZ7x6ThRh4W5eShwNy4&#10;C6/pvAmNiCXsc9TQhjDkUvq6JYt+6gbi6O3daDFEOTbSjHiJ5baXM6Xm0mLHcaHFgT5aqg+bk9Xw&#10;fMyUtVR9rZb75PswLOfbd0atnx4T9QYi0DX8heGOH9GhjEyVO7HxotcQHwm/N3rZa5qCqDTMsjQB&#10;WRbyP335A1BLAwQUAAAACACHTuJAhBkl4FICAADJBAAADgAAAGRycy9lMm9Eb2MueG1srVTNjtMw&#10;EL4j8Q6W7zRpu223UdOVoJQLAsSCOLuOk1jyn2y3SV8A3oATF+48V5+DsZ3tlkVCPZBDMvGMv/nm&#10;m7FXd70U6MCs41qVeDzKMWKK6oqrpsSfP21f3GLkPFEVEVqxEh+Zw3fr589WnSnYRLdaVMwiAFGu&#10;6EyJW+9NkWWOtkwSN9KGKXDW2kri4dc2WWVJB+hSZJM8n2edtpWxmjLnYHWTnHhAtNcA6rrmlG00&#10;3UumfEK1TBAPJbmWG4fXkW1dM+rf17VjHokSQ6U+viEJ2LvwztYrUjSWmJbTgQK5hsKTmiThCpKe&#10;oTbEE7S3/C8oyanVTtd+RLXMUiFREahinD/R5r4lhsVaQGpnzqK7/wdL3x0+WMQrmIQ5RopI6Pjp&#10;+7fTj1+nn1/R7TII1BlXQNy9gUjfv9Q9BD+sO1gMdfe1leELFSHwTyb5bLkEkY8lXkynN5NZUpr1&#10;HlHwL5aL2RzcFPzT/GY8j/7sEcdY598wLVEwSmyhkVFfcnjrPHCC0IeQQfZqy4VAVvsv3LdRudDf&#10;6HSwJxnIaBAvLTvb7F4Jiw4EZmMbn0ASkBt3GT3OwxOR/r0l7hxSCa4QCSdqGDHPBfsIRQwJLIl0&#10;QxqhUFfi5QwkQpTAgaphkMGUBpriVJMSa8HPO/5gEcnFJJDeXYYFfTbEtanA6EpNkNwzC0RI0TJS&#10;vVYV8kcDfVdw3nEgI1mFkWBwPQQrRnrCxTWRQEIoEDHMTJqNYPl+1wNMMHe6OsIc7Y3lTQudjZMU&#10;w2HCk/rpNIYjdPkfQR9voP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Kvm9tUAAAAFAQAADwAA&#10;AAAAAAABACAAAAAiAAAAZHJzL2Rvd25yZXYueG1sUEsBAhQAFAAAAAgAh07iQIQZJeBSAgAAyQQA&#10;AA4AAAAAAAAAAQAgAAAAJAEAAGRycy9lMm9Eb2MueG1sUEsFBgAAAAAGAAYAWQEAAOgFAAAAAA==&#10;">
                        <v:fill type="gradient" on="t" color2="#FFFFFF" angle="90" focus="100%" focussize="0,0">
                          <o:fill type="gradientUnscaled" v:ext="backwardCompatible"/>
                        </v:fill>
                        <v:stroke color="#000000" joinstyle="miter"/>
                        <v:imagedata o:title=""/>
                        <o:lock v:ext="edit" aspectratio="f"/>
                        <v:textbox>
                          <w:txbxContent>
                            <w:p w14:paraId="5835F3F5">
                              <w:pPr>
                                <w:keepNext w:val="0"/>
                                <w:keepLines w:val="0"/>
                                <w:pageBreakBefore w:val="0"/>
                                <w:widowControl w:val="0"/>
                                <w:kinsoku/>
                                <w:wordWrap/>
                                <w:overflowPunct/>
                                <w:topLinePunct w:val="0"/>
                                <w:bidi w:val="0"/>
                                <w:adjustRightInd/>
                                <w:snapToGrid/>
                                <w:jc w:val="center"/>
                                <w:textAlignment w:val="auto"/>
                              </w:pPr>
                              <w:r>
                                <w:rPr>
                                  <w:rFonts w:hint="eastAsia"/>
                                </w:rPr>
                                <w:t>装修工程</w:t>
                              </w:r>
                            </w:p>
                          </w:txbxContent>
                        </v:textbox>
                      </v:shape>
                      <v:shape id="直接箭头连接符 91" o:spid="_x0000_s1026" o:spt="32" type="#_x0000_t32" style="position:absolute;left:752475;top:873125;height:635;width:323850;" filled="f" stroked="t" coordsize="21600,21600" o:gfxdata="UEsDBAoAAAAAAIdO4kAAAAAAAAAAAAAAAAAEAAAAZHJzL1BLAwQUAAAACACHTuJAZY7XEtcAAAAF&#10;AQAADwAAAGRycy9kb3ducmV2LnhtbE2PzWrDMBCE74W+g9hCb43smBrXtRxIQqkvDTQJpUfF2lqi&#10;1spYyl+fPmovzWVhmGHm22p2sj074OiNIwHpJAGG1DplqBOw3bw8FMB8kKRk7wgFnNHDrL69qWSp&#10;3JHe8bAOHYsl5EspQIcwlJz7VqOVfuIGpOh9udHKEOXYcTXKYyy3PZ8mSc6tNBQXtBxwobH9Xu+t&#10;gLD8POv8o50/mdXm9S03P03TLIW4v0uTZ2ABT+E/DL/4ER3qyLRze1Ke9QLiI+HvRq94zDJgOwHT&#10;IkuB1xW/pq8vUEsDBBQAAAAIAIdO4kABEn3CFQIAAP0DAAAOAAAAZHJzL2Uyb0RvYy54bWytU0uO&#10;EzEQ3SNxB8t70vmQSaaVziwShg2CSMABKra725J/sj3p5BJcAIkVsAJWs+c0MByDsjtMYBDSLOhF&#10;d7nL9eq95/LiYq8V2QkfpDUVHQ2GlAjDLJemqejrV5eP5pSECIaDskZU9CACvVg+fLDoXCnGtrWK&#10;C08QxISycxVtY3RlUQTWCg1hYJ0wmKyt1xBx6ZuCe+gQXatiPByeFZ313HnLRAj4d90n6RHR3wfQ&#10;1rVkYm3ZlRYm9qheKIgoKbTSBbrMbOtasPiiroOIRFUUlcb8xiYYb9O7WC6gbDy4VrIjBbgPhTua&#10;NEiDTW+h1hCBXHn5F5SWzNtg6zhgVhe9kOwIqhgN73jzsgUnsha0Orhb08P/g2XPdxtPJMdJwHM3&#10;oPHEb95ef3/z4ebL52/vr398fZfiTx/J+SiZ1blQYs3KbPxxFdzGJ+X72uv0RU1kX9HZdPx4NqXk&#10;UNH5bDIaT3urxT4ShunJeDKf4iEwzJ9NcrI4YTgf4lNhNUlBRUP0IJs2rqwxeKLWj7LXsHsWIrLA&#10;wl8FiYAypKvo+RRbEgY4oTVOBobaocpgmlwbrJL8UiqVKoJvtivlyQ7SlOQnsUXcP7alJmsIbb8v&#10;p3pRrQD+xHASDw7tM3htaKKgBadECbxlKUJAKCNIddoZvQTTqH/sxvbKIItkeW9yiraWH7L3+T9O&#10;ReZ5nOA0dr+vc/Xp1i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WO1xLXAAAABQEAAA8AAAAA&#10;AAAAAQAgAAAAIgAAAGRycy9kb3ducmV2LnhtbFBLAQIUABQAAAAIAIdO4kABEn3CFQIAAP0DAAAO&#10;AAAAAAAAAAEAIAAAACYBAABkcnMvZTJvRG9jLnhtbFBLBQYAAAAABgAGAFkBAACtBQAAAAA=&#10;">
                        <v:fill on="f" focussize="0,0"/>
                        <v:stroke color="#000000" joinstyle="round" endarrow="block"/>
                        <v:imagedata o:title=""/>
                        <o:lock v:ext="edit" aspectratio="f"/>
                      </v:shape>
                      <v:shape id="直接箭头连接符 92" o:spid="_x0000_s1026" o:spt="32" type="#_x0000_t32" style="position:absolute;left:1811020;top:885825;flip:y;height:2540;width:394970;" filled="f" stroked="t" coordsize="21600,21600" o:gfxdata="UEsDBAoAAAAAAIdO4kAAAAAAAAAAAAAAAAAEAAAAZHJzL1BLAwQUAAAACACHTuJAVRL/bNYAAAAF&#10;AQAADwAAAGRycy9kb3ducmV2LnhtbE2PzU7DMBCE70i8g7VIXBB1flQUpXF6AAonVDWU+zbeJlHj&#10;dRS7bfL2GC5wWWk0o5lvi/VkenGh0XWWFcSLCARxbXXHjYL95+YxA+E8ssbeMimYycG6vL0pMNf2&#10;yju6VL4RoYRdjgpa74dcSle3ZNAt7EAcvKMdDfogx0bqEa+h3PQyiaInabDjsNDiQM8t1afqbBS8&#10;VNvl5uthPyVz/f5RvWWnLc+vSt3fxdEKhKfJ/4XhBz+gQxmYDvbM2oleQXjE/97gZcs0BXFQkGRp&#10;DLIs5H/68htQSwMEFAAAAAgAh07iQPvl9p41AgAASwQAAA4AAABkcnMvZTJvRG9jLnhtbK1UzY7T&#10;MBC+I/EOlu80TdgubdR0Dy3LBUElWO6u7SSW/Cfb27QvwQsgcQJOC6e98zTs8hiMndAui5D2QA7O&#10;OOP5Zr5vxpmf7ZREW+68MLrC+WiMEdfUMKGbCl+8PX8yxcgHohmRRvMK77nHZ4vHj+adLXlhWiMZ&#10;dwhAtC87W+E2BFtmmactV8SPjOUanLVxigTYuiZjjnSArmRWjMenWWccs85Q7j18XfVOPCC6hwCa&#10;uhaUrwy9VFyHHtVxSQJQ8q2wHi9StXXNaXhd154HJCsMTENaIQnYm7hmizkpG0dsK+hQAnlICfc4&#10;KSI0JD1ArUgg6NKJv6CUoM54U4cRNSrriSRFgEU+vqfNm5ZYnriA1N4eRPf/D5a+2q4dEgwmYYaR&#10;Jgo6fvvh+ub959tvX398uv75/WO0r76gWRHF6qwvIWap1y7S9WG50334BMN7V+GnvaZcs4PrdHDl&#10;0ZX9ARE33vZgu9opVEth30E1SU3QBwFkPs3zcQEt21d4Op1Mi8mQYxcQjSlnJ7Nn4KbgLyYnqasZ&#10;KSNeLNI6H15wo1A0KuyDI6Jpw9JoDfNhXJ+LbF/6EOs7BsRgqVFX4dkEciJKYN5rmDMwlQXNvG5S&#10;nd5Iwc6FlEkT12yW0qEtiTOXnsQb1Lp7LBazIr7tzyVXz6rlhD3XDIW9hWZouIQ4lqA4w0hyuLPR&#10;SnMbiJDHk8EJohv5j9NAS+pB/V7wKP3GsP3a/e4KzFjiP9yHOMR39yn6+A9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VEv9s1gAAAAUBAAAPAAAAAAAAAAEAIAAAACIAAABkcnMvZG93bnJldi54&#10;bWxQSwECFAAUAAAACACHTuJA++X2njUCAABLBAAADgAAAAAAAAABACAAAAAlAQAAZHJzL2Uyb0Rv&#10;Yy54bWxQSwUGAAAAAAYABgBZAQAAzAUAAAAA&#10;">
                        <v:fill on="f" focussize="0,0"/>
                        <v:stroke color="#000000" joinstyle="round" endarrow="block"/>
                        <v:imagedata o:title=""/>
                        <o:lock v:ext="edit" aspectratio="f"/>
                      </v:shape>
                      <v:shape id="直接箭头连接符 94" o:spid="_x0000_s1026" o:spt="32" type="#_x0000_t32" style="position:absolute;left:370825;top:506078;flip:x y;height:231140;width:2540;" filled="f" stroked="t" coordsize="21600,21600" o:gfxdata="UEsDBAoAAAAAAIdO4kAAAAAAAAAAAAAAAAAEAAAAZHJzL1BLAwQUAAAACACHTuJAU3AFD9YAAAAF&#10;AQAADwAAAGRycy9kb3ducmV2LnhtbE2P3UrEMBCF7wXfIYzgjbhJtiilNt0LQS3sgmzdB5htxrbY&#10;TEqT/dGnN3qjNwOHczjnm3J1dqM40hwGzwb0QoEgbr0duDOwe3u6zUGEiGxx9EwGPinAqrq8KLGw&#10;/sRbOjaxE6mEQ4EG+hinQsrQ9uQwLPxEnLx3PzuMSc6dtDOeUrkb5VKpe+lw4LTQ40SPPbUfzcEZ&#10;eM2aG63qdbfRu/qFnjf517oOxlxfafUAItI5/oXhBz+hQ5WY9v7ANojRQHok/t7k5XdZBmJvYJln&#10;GmRVyv/01TdQSwMEFAAAAAgAh07iQFv4OTM4AgAAUgQAAA4AAABkcnMvZTJvRG9jLnhtbK1UzW7U&#10;MBC+I/EOlu802Wy3u42a7WGXwgFBJX7uU9tJLPlPtrs/L8ELIHGCnoBT7zwNlMdgnGS3tAipB3Jw&#10;xhnPN/N9M87J6UYrshI+SGsqOjrIKRGGWS5NU9G3b86ezCgJEQwHZY2o6FYEejp//Ohk7UpR2NYq&#10;LjxBEBPKtatoG6MrsyywVmgIB9YJg87aeg0Rt77JuIc1omuVFXl+lK2t585bJkLAr8veSQdE/xBA&#10;W9eSiaVll1qY2KN6oSAipdBKF+i8q7auBYuv6jqISFRFkWnsVkyC9kVas/kJlI0H10o2lAAPKeEe&#10;Jw3SYNI91BIikEsv/4LSknkbbB0PmNVZT6RTBFmM8nvavG7BiY4LSh3cXvTw/2DZy9W5J5JXtEBJ&#10;DGjs+M2H65/vP998+/rj0/Wv7x+T/eWKHB8msdYulBizMOc+0Q1xsTFd+JTia7OXVBi+8xTjwVUk&#10;gOwOQtoE12Ntaq9JraR7jmNJO+tdslIeFIog+Hiaz4oJJduKTvKjfDrr+yc2kTB0F5NDJMHQW4xH&#10;I7RTPigTcAJxPsRnwmqSjIqG6EE2bVxYY3BOrO9TwepFiH3gLiAFK0PWFT2epPQMcO5rnDc0tUPt&#10;gmm6MoNVkp9JpTptfHOxUJ6sIM1e9wwF3TmWkiwhtP05jlZPqhXAnxpO4tZhTwzeRZoq0IJTogRe&#10;3WRhnVBGkOr2ZPQSTKP+cRrlUGboQi98asGF5dtzv+sOjlqn23At0iz/ue+ib38F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TcAUP1gAAAAUBAAAPAAAAAAAAAAEAIAAAACIAAABkcnMvZG93bnJl&#10;di54bWxQSwECFAAUAAAACACHTuJAW/g5MzgCAABSBAAADgAAAAAAAAABACAAAAAlAQAAZHJzL2Uy&#10;b0RvYy54bWxQSwUGAAAAAAYABgBZAQAAzwUAAAAA&#10;">
                        <v:fill on="f" focussize="0,0"/>
                        <v:stroke color="#000000" joinstyle="round" dashstyle="dash" endarrow="block"/>
                        <v:imagedata o:title=""/>
                        <o:lock v:ext="edit" aspectratio="f"/>
                      </v:shape>
                      <v:shape id="直接箭头连接符 95" o:spid="_x0000_s1026" o:spt="32" type="#_x0000_t32" style="position:absolute;left:1439545;top:513080;flip:x y;height:222885;width:4445;" filled="f" stroked="t" coordsize="21600,21600" o:gfxdata="UEsDBAoAAAAAAIdO4kAAAAAAAAAAAAAAAAAEAAAAZHJzL1BLAwQUAAAACACHTuJAU3AFD9YAAAAF&#10;AQAADwAAAGRycy9kb3ducmV2LnhtbE2P3UrEMBCF7wXfIYzgjbhJtiilNt0LQS3sgmzdB5htxrbY&#10;TEqT/dGnN3qjNwOHczjnm3J1dqM40hwGzwb0QoEgbr0duDOwe3u6zUGEiGxx9EwGPinAqrq8KLGw&#10;/sRbOjaxE6mEQ4EG+hinQsrQ9uQwLPxEnLx3PzuMSc6dtDOeUrkb5VKpe+lw4LTQ40SPPbUfzcEZ&#10;eM2aG63qdbfRu/qFnjf517oOxlxfafUAItI5/oXhBz+hQ5WY9v7ANojRQHok/t7k5XdZBmJvYJln&#10;GmRVyv/01TdQSwMEFAAAAAgAh07iQIqdngk5AgAAVAQAAA4AAABkcnMvZTJvRG9jLnhtbK1UzY7T&#10;MBC+I/EOlu80TbZFbdR0Dy0LBwSV+Lm7tpNY8p9sb9O+BC+AxAk4Aae98zSwPAZjJ9sui5D2QA7O&#10;OOP5Zuabz1mc75VEO+68MLrC+WiMEdfUMKGbCr95ffFohpEPRDMijeYVPnCPz5cPHyw6W/LCtEYy&#10;7hCAaF92tsJtCLbMMk9brogfGcs1OGvjFAmwdU3GHOkAXcmsGI8fZ51xzDpDuffwdd078YDo7gNo&#10;6lpQvjb0UnEdelTHJQnQkm+F9XiZqq1rTsPLuvY8IFlh6DSkFZKAvY1rtlyQsnHEtoIOJZD7lHCn&#10;J0WEhqRHqDUJBF068ReUEtQZb+owokZlfSOJEegiH9/h5lVLLE+9ANXeHkn3/w+WvthtHBKswkWO&#10;kSYKJn79/urnu0/X377++Hj16/uHaH/5jObTSFZnfQkxK71xsV0fVnudwvMphvf+yCnX7MZVTAZX&#10;ERGyPyDixtsebF87hWop7DPQJU7W22jFRMAUAvB8cjafTiDVocLT/Gw8GybI9wFR8E8m0UnBWxTF&#10;bJZKzkgZkSOKdT485UahaFTYB0dE04aV0RqUYlyfi+ye+xArPQXEYKlRV+H5tIgZCCi/BsWBqSyw&#10;53WT6vRGCnYhpEzsuGa7kg7tSFRfehIDwNvtY7GYNfFtf46B1cuy5YQ90QyFg4WpaLiNOFagOMNI&#10;cri80UoCDkTI08ngBNGN/Mdp6ErqYQw983EGW8MOG3czHhBban+4GFHNt/cp+vQz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3AFD9YAAAAFAQAADwAAAAAAAAABACAAAAAiAAAAZHJzL2Rvd25y&#10;ZXYueG1sUEsBAhQAFAAAAAgAh07iQIqdngk5AgAAVAQAAA4AAAAAAAAAAQAgAAAAJQEAAGRycy9l&#10;Mm9Eb2MueG1sUEsFBgAAAAAGAAYAWQEAANAFAAAAAA==&#10;">
                        <v:fill on="f" focussize="0,0"/>
                        <v:stroke color="#000000" joinstyle="round" dashstyle="dash" endarrow="block"/>
                        <v:imagedata o:title=""/>
                        <o:lock v:ext="edit" aspectratio="f"/>
                      </v:shape>
                      <v:shape id="直接箭头连接符 96" o:spid="_x0000_s1026" o:spt="32" type="#_x0000_t32" style="position:absolute;left:2599103;top:522517;flip:x y;height:210820;width:5715;" filled="f" stroked="t" coordsize="21600,21600" o:gfxdata="UEsDBAoAAAAAAIdO4kAAAAAAAAAAAAAAAAAEAAAAZHJzL1BLAwQUAAAACACHTuJAU3AFD9YAAAAF&#10;AQAADwAAAGRycy9kb3ducmV2LnhtbE2P3UrEMBCF7wXfIYzgjbhJtiilNt0LQS3sgmzdB5htxrbY&#10;TEqT/dGnN3qjNwOHczjnm3J1dqM40hwGzwb0QoEgbr0duDOwe3u6zUGEiGxx9EwGPinAqrq8KLGw&#10;/sRbOjaxE6mEQ4EG+hinQsrQ9uQwLPxEnLx3PzuMSc6dtDOeUrkb5VKpe+lw4LTQ40SPPbUfzcEZ&#10;eM2aG63qdbfRu/qFnjf517oOxlxfafUAItI5/oXhBz+hQ5WY9v7ANojRQHok/t7k5XdZBmJvYJln&#10;GmRVyv/01TdQSwMEFAAAAAgAh07iQHaaskM6AgAAVAQAAA4AAABkcnMvZTJvRG9jLnhtbK1UzY7T&#10;MBC+I/EOlu80PyjdbdR0Dy0LBwQr8XN3bSex5D/Z3qZ9CV4AiRNwAk5752lgeQzGTrddFiHtgRyc&#10;ccbzzXzfjDM/2yqJNtx5YXSDi0mOEdfUMKG7Br95ff7oFCMfiGZEGs0bvOMeny0ePpgPtual6Y1k&#10;3CEA0b4ebIP7EGydZZ72XBE/MZZrcLbGKRJg67qMOTIAupJZmefTbDCOWWco9x6+rkYn3iO6+wCa&#10;thWUrwy9VFyHEdVxSQJQ8r2wHi9StW3LaXjZtp4HJBsMTENaIQnY67hmizmpO0dsL+i+BHKfEu5w&#10;UkRoSHqAWpFA0KUTf0EpQZ3xpg0TalQ2EkmKAIsiv6PNq55YnriA1N4eRPf/D5a+2Fw4JFiDyxIj&#10;TRR0/Pr91c93n66/ff3x8erX9w/R/vIZzaZRrMH6GmKW+sJFuj4stzqFF1MM7+1BU67Zjaus9q4y&#10;ImR/QMSNtyPYtnUKtVLYZzCXOFlvoxUTgVIIwMtqNivyxxjtGlyVZVWcjB3k24Ao+KuTApJR8JZF&#10;flqm/makjsgRxTofnnKjUDQa7IMjouvD0mgNk2LcmItsnvsQKz0GxGCp0dDgWRXpUAKT38LEgaks&#10;qOd1l+r0Rgp2LqRM6rhuvZQObUicvvQkBUC328diMSvi+/EcA2sk1XPCnmiGws5CVzTcRhwrUJxh&#10;JDlc3milAQ5EyOPJ4ATRnfzHaWAl9b4No/KxB2vDdhfupj0wbIn+/mLEab69T9HHn8H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NwBQ/WAAAABQEAAA8AAAAAAAAAAQAgAAAAIgAAAGRycy9kb3du&#10;cmV2LnhtbFBLAQIUABQAAAAIAIdO4kB2mrJDOgIAAFQEAAAOAAAAAAAAAAEAIAAAACUBAABkcnMv&#10;ZTJvRG9jLnhtbFBLBQYAAAAABgAGAFkBAADRBQAAAAA=&#10;">
                        <v:fill on="f" focussize="0,0"/>
                        <v:stroke color="#000000" joinstyle="round" dashstyle="dash" endarrow="block"/>
                        <v:imagedata o:title=""/>
                        <o:lock v:ext="edit" aspectratio="f"/>
                      </v:shape>
                      <v:shape id="文本框 97" o:spid="_x0000_s1026" o:spt="202" type="#_x0000_t202" style="position:absolute;left:38100;top:134620;height:371475;width:664845;" fillcolor="#FFFFFF" filled="t" stroked="t" coordsize="21600,21600" o:gfxdata="UEsDBAoAAAAAAIdO4kAAAAAAAAAAAAAAAAAEAAAAZHJzL1BLAwQUAAAACACHTuJAgF2HLtYAAAAF&#10;AQAADwAAAGRycy9kb3ducmV2LnhtbE2PQWvCQBCF74X+h2WE3uomBktIsxEs9FRaqLZ4XbNjEt2d&#10;Cdk1Wn99Vy/tZeDxHu99Uy7OzooRB98xKUinCQikmk1HjYKv9etjDsIHTUZbJlTwgx4W1f1dqQvD&#10;J/rEcRUaEUvIF1pBG0JfSOnrFp32U+6RorfjwekQ5dBIM+hTLHdWzpLkSTrdUVxodY8vLdaH1dEp&#10;+Fgy2Q3P0824+96va3vJ3t8uSj1M0uQZRMBz+AvDFT+iQxWZtnwk44VVEB8Jtxu9fJ5lILYKZnmW&#10;gqxK+Z+++gVQSwMEFAAAAAgAh07iQMNGdxVOAgAAxgQAAA4AAABkcnMvZTJvRG9jLnhtbK1Uy67T&#10;MBDdI/EPlvc0fbc3anolKGWDAHFBrF3bSSz5Jdtt0h+AP2DFhj3f1e9g7KS95SKhLsgimXjGZ+ac&#10;GXt13yqJDtx5YXSBR4MhRlxTw4SuCvz50/bFEiMfiGZEGs0LfOQe36+fP1s1NudjUxvJuEMAon3e&#10;2ALXIdg8yzytuSJ+YCzX4CyNUyTAr6sy5kgD6Epm4+FwnjXGMesM5d7D6qZz4h7R3QJoylJQvjF0&#10;r7gOHarjkgSg5GthPV6nasuS0/C+LD0PSBYYmIb0hiRg7+I7W69IXjlia0H7EsgtJTzhpIjQkPQC&#10;tSGBoL0Tf0EpQZ3xpgwDalTWEUmKAIvR8Ik2DzWxPHEBqb29iO7/Hyx9d/jgkGAFHk8w0kRBx0/f&#10;v51+/Dr9/IruFlGgxvoc4h4sRIb2pWlhbM7rHhYj77Z0Kn6BEQL/ZDkagsRHiJxM5+NeZ94GRME7&#10;n0+X0xlGFPyTxWi6mEW47BHFOh/ecKNQNArsoI1JXXJ460MXeg7pRWdbISVyJnwRoU66xe4mp4c9&#10;nYGsAem6Ze+q3Svp0IHAZGzT0xdR+eto4AFPQvr3Fii/OqeSQiMSz1NPPAjJPwKJrnQYt1RuTCM1&#10;agp8NxtHOQgcpxLGGExloSVeV11iI8Vlxx9VpOJSEkjvr8OiPhvi644gAyvSI7kSgbtk1Zyw15qh&#10;cLTQdA2HHcdaFGcYSQ53Q7RSZCBC3hIJNUgNjYwD0w1GtEK7awEmmjvDjjBEe+tEVUNj0xilcBjv&#10;NAH9UYzn5/o/gT5eP+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F2HLtYAAAAFAQAADwAAAAAA&#10;AAABACAAAAAiAAAAZHJzL2Rvd25yZXYueG1sUEsBAhQAFAAAAAgAh07iQMNGdxVOAgAAxgQAAA4A&#10;AAAAAAAAAQAgAAAAJQEAAGRycy9lMm9Eb2MueG1sUEsFBgAAAAAGAAYAWQEAAOUFAAAAAA==&#10;">
                        <v:fill type="gradient" on="t" color2="#FFFFFF" angle="90" focus="100%" focussize="0,0">
                          <o:fill type="gradientUnscaled" v:ext="backwardCompatible"/>
                        </v:fill>
                        <v:stroke color="#000000" joinstyle="miter" dashstyle="dash"/>
                        <v:imagedata o:title=""/>
                        <o:lock v:ext="edit" aspectratio="f"/>
                        <v:textbox>
                          <w:txbxContent>
                            <w:p w14:paraId="5BD260BE">
                              <w:pPr>
                                <w:keepNext w:val="0"/>
                                <w:keepLines w:val="0"/>
                                <w:pageBreakBefore w:val="0"/>
                                <w:widowControl w:val="0"/>
                                <w:kinsoku/>
                                <w:wordWrap/>
                                <w:overflowPunct/>
                                <w:topLinePunct w:val="0"/>
                                <w:bidi w:val="0"/>
                                <w:adjustRightInd/>
                                <w:snapToGrid/>
                                <w:jc w:val="center"/>
                                <w:textAlignment w:val="auto"/>
                                <w:rPr>
                                  <w:sz w:val="18"/>
                                  <w:szCs w:val="18"/>
                                </w:rPr>
                              </w:pPr>
                              <w:r>
                                <w:rPr>
                                  <w:rFonts w:hint="eastAsia"/>
                                  <w:sz w:val="18"/>
                                  <w:szCs w:val="18"/>
                                </w:rPr>
                                <w:t>噪声、扬尘、弃土</w:t>
                              </w:r>
                            </w:p>
                          </w:txbxContent>
                        </v:textbox>
                      </v:shape>
                      <v:shape id="文本框 98" o:spid="_x0000_s1026" o:spt="202" type="#_x0000_t202" style="position:absolute;left:934085;top:139700;height:373380;width:1010285;" fillcolor="#FFFFFF" filled="t" stroked="t" coordsize="21600,21600" o:gfxdata="UEsDBAoAAAAAAIdO4kAAAAAAAAAAAAAAAAAEAAAAZHJzL1BLAwQUAAAACACHTuJAgF2HLtYAAAAF&#10;AQAADwAAAGRycy9kb3ducmV2LnhtbE2PQWvCQBCF74X+h2WE3uomBktIsxEs9FRaqLZ4XbNjEt2d&#10;Cdk1Wn99Vy/tZeDxHu99Uy7OzooRB98xKUinCQikmk1HjYKv9etjDsIHTUZbJlTwgx4W1f1dqQvD&#10;J/rEcRUaEUvIF1pBG0JfSOnrFp32U+6RorfjwekQ5dBIM+hTLHdWzpLkSTrdUVxodY8vLdaH1dEp&#10;+Fgy2Q3P0824+96va3vJ3t8uSj1M0uQZRMBz+AvDFT+iQxWZtnwk44VVEB8Jtxu9fJ5lILYKZnmW&#10;gqxK+Z+++gVQSwMEFAAAAAgAh07iQA6a1h9OAgAAyAQAAA4AAABkcnMvZTJvRG9jLnhtbK1UzY7T&#10;MBC+I/EOlu80abvLtlXTlaAsFwSIBXF2Yyex5D953CZ9AXgDTlz2znP1ORg7abcsEuqBHtKJ/fmb&#10;+b4ZZ3nbaUV2woO0pqDjUU6JMKXl0tQF/fL57sWMEgjMcKasEQXdC6C3q+fPlq1biIltrOLCEyQx&#10;sGhdQZsQ3CLLoGyEZjCyThjcrKzXLOCrrzPuWYvsWmWTPH+ZtdZz520pAHB13W/SgdFfQmirSpZi&#10;bcutFib0rF4oFlASNNIBXaVqq0qU4UNVgQhEFRSVhvTEJBhv4jNbLdmi9sw1shxKYJeU8ESTZtJg&#10;0hPVmgVGtl7+RaVl6S3YKoxKq7NeSHIEVYzzJ97cN8yJpAWtBncyHf4fbfl+99ETyQs6uaLEMI0d&#10;P/z4fvj56/Dwjcxn0aDWwQJx9w6RoXtlOxyb4zrgYtTdVV7Hf1REcH8+vcpn15TsETqd3+SD0aIL&#10;pIzHUesk7pcImN5Mp7MEyB55nIfwVlhNYlBQj41M/rLdOwhYE0KPkMF2fieVIt6GrzI0ybnY37QJ&#10;eKYPiLNoXr8Mvt68Vp7sGM7GXfpFVchcwzl6nMdfYvr3kXRySKWkISzeqEF5kEp8QhFDAs9SuTGN&#10;MqRFw64n0Q6GF6rCQcZQO2wKmLpPbJU8nfijilTc0T04h0V/1gyaXiDHqJ92LYPwWAdbNILxN4aT&#10;sHfYdoPXncZatOCUKIFfhxglZGBSXYJEC5RBD+PI9KMRo9BtOqSJ4cbyPY7R1nlZN9jYNEgJjgPe&#10;m99fxniDzt8T6eMHaP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F2HLtYAAAAFAQAADwAAAAAA&#10;AAABACAAAAAiAAAAZHJzL2Rvd25yZXYueG1sUEsBAhQAFAAAAAgAh07iQA6a1h9OAgAAyAQAAA4A&#10;AAAAAAAAAQAgAAAAJQEAAGRycy9lMm9Eb2MueG1sUEsFBgAAAAAGAAYAWQEAAOUFAAAAAA==&#10;">
                        <v:fill type="gradient" on="t" color2="#FFFFFF" angle="90" focus="100%" focussize="0,0">
                          <o:fill type="gradientUnscaled" v:ext="backwardCompatible"/>
                        </v:fill>
                        <v:stroke color="#000000" joinstyle="miter" dashstyle="dash"/>
                        <v:imagedata o:title=""/>
                        <o:lock v:ext="edit" aspectratio="f"/>
                        <v:textbox>
                          <w:txbxContent>
                            <w:p w14:paraId="1B05FA61">
                              <w:pPr>
                                <w:jc w:val="center"/>
                              </w:pPr>
                              <w:r>
                                <w:rPr>
                                  <w:rFonts w:hint="eastAsia"/>
                                  <w:sz w:val="18"/>
                                  <w:szCs w:val="18"/>
                                </w:rPr>
                                <w:t>噪声、扬尘、建筑垃圾、废水</w:t>
                              </w:r>
                            </w:p>
                          </w:txbxContent>
                        </v:textbox>
                      </v:shape>
                      <v:shape id="文本框 99" o:spid="_x0000_s1026" o:spt="202" type="#_x0000_t202" style="position:absolute;left:2159635;top:139065;height:383540;width:878840;" fillcolor="#FFFFFF" filled="t" stroked="t" coordsize="21600,21600" o:gfxdata="UEsDBAoAAAAAAIdO4kAAAAAAAAAAAAAAAAAEAAAAZHJzL1BLAwQUAAAACACHTuJAgF2HLtYAAAAF&#10;AQAADwAAAGRycy9kb3ducmV2LnhtbE2PQWvCQBCF74X+h2WE3uomBktIsxEs9FRaqLZ4XbNjEt2d&#10;Cdk1Wn99Vy/tZeDxHu99Uy7OzooRB98xKUinCQikmk1HjYKv9etjDsIHTUZbJlTwgx4W1f1dqQvD&#10;J/rEcRUaEUvIF1pBG0JfSOnrFp32U+6RorfjwekQ5dBIM+hTLHdWzpLkSTrdUVxodY8vLdaH1dEp&#10;+Fgy2Q3P0824+96va3vJ3t8uSj1M0uQZRMBz+AvDFT+iQxWZtnwk44VVEB8Jtxu9fJ5lILYKZnmW&#10;gqxK+Z+++gVQSwMEFAAAAAgAh07iQCWNPS1QAgAAyAQAAA4AAABkcnMvZTJvRG9jLnhtbK1UTa7T&#10;MBDeI3EHy3uatKWljZo+CUrZIEA8EGvXdhJL/pPtNukF4Aas2LDnXD0HYyftKw8JdUEWycQz/uab&#10;b8Ze3XVKogN3Xhhd4vEox4hrapjQdYk/f9o+W2DkA9GMSKN5iY/c47v10yer1hZ8YhojGXcIQLQv&#10;WlviJgRbZJmnDVfEj4zlGpyVcYoE+HV1xhxpAV3JbJLn86w1jllnKPceVje9Ew+I7hZAU1WC8o2h&#10;e8V16FEdlyRASb4R1uN1YltVnIb3VeV5QLLEUGlIb0gC9i6+s/WKFLUjthF0oEBuofCoJkWEhqQX&#10;qA0JBO2d+AtKCeqMN1UYUaOyvpCkCFQxzh9pc98Qy1MtILW3F9H9/4Ol7w4fHBKsxJMZRpoo6Pjp&#10;+7fTj1+nn1/RchkFaq0vIO7eQmToXpoOxua87mEx1t1VTsUvVITAPxnPlvMpIB4hdrrM57Nead4F&#10;RMG/eLFYPIceUPBPF9MZ2JAoe8Cxzoc33CgUjRI7aGTSlxze+tCHnkMG2dlWSImcCV9EaJJysb/J&#10;6WFPbyBrQLx+2bt690o6dCAwG9v0DCRqfx09zuOTkP69BejX51RSaETiiRpGLAjJP0IRPXUYuEQ3&#10;ppEatSVezqL+lMCBqmCQwVQWmuJ13Sc2Ulx2/MEikTur56/Doj4b4pu+QAZW3wMlAnfAgxQNJ+y1&#10;ZigcLbRdw3HHkYviDCPJ4XaIVooMRMhbIkECqaGRcWT60YhW6HYdwERzZ9gRxmhvnagbaGwapBQO&#10;A54mYDiM8QRd/yfQhwto/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AXYcu1gAAAAUBAAAPAAAA&#10;AAAAAAEAIAAAACIAAABkcnMvZG93bnJldi54bWxQSwECFAAUAAAACACHTuJAJY09LVACAADIBAAA&#10;DgAAAAAAAAABACAAAAAlAQAAZHJzL2Uyb0RvYy54bWxQSwUGAAAAAAYABgBZAQAA5wUAAAAA&#10;">
                        <v:fill type="gradient" on="t" color2="#FFFFFF" angle="90" focus="100%" focussize="0,0">
                          <o:fill type="gradientUnscaled" v:ext="backwardCompatible"/>
                        </v:fill>
                        <v:stroke color="#000000" joinstyle="miter" dashstyle="dash"/>
                        <v:imagedata o:title=""/>
                        <o:lock v:ext="edit" aspectratio="f"/>
                        <v:textbox>
                          <w:txbxContent>
                            <w:p w14:paraId="71E16586">
                              <w:pPr>
                                <w:jc w:val="center"/>
                                <w:rPr>
                                  <w:rFonts w:hint="eastAsia" w:ascii="Times New Roman" w:hAnsi="Times New Roman" w:cs="Times New Roman"/>
                                  <w:sz w:val="18"/>
                                  <w:szCs w:val="18"/>
                                </w:rPr>
                              </w:pPr>
                              <w:r>
                                <w:rPr>
                                  <w:rFonts w:hint="eastAsia" w:ascii="Times New Roman" w:hAnsi="Times New Roman" w:cs="Times New Roman"/>
                                  <w:sz w:val="18"/>
                                  <w:szCs w:val="18"/>
                                </w:rPr>
                                <w:t>噪声、废气、建筑垃圾</w:t>
                              </w:r>
                            </w:p>
                          </w:txbxContent>
                        </v:textbox>
                      </v:shape>
                      <v:shape id="文本框 103" o:spid="_x0000_s1026" o:spt="202" type="#_x0000_t202" style="position:absolute;left:4454525;top:1454150;height:313055;width:772795;" fillcolor="#FFFFFF" filled="t" stroked="f" coordsize="21600,21600" o:gfxdata="UEsDBAoAAAAAAIdO4kAAAAAAAAAAAAAAAAAEAAAAZHJzL1BLAwQUAAAACACHTuJASUNledUAAAAF&#10;AQAADwAAAGRycy9kb3ducmV2LnhtbE2PQUvEMBCF74L/IYzgzU3aYim16SILHly8WEU8zjaxKdtM&#10;SpLtdv+90YteBh7v8d43zXa1E1u0D6MjCdlGANPUOzXSIOH97emuAhYiksLJkZZw0QG27fVVg7Vy&#10;Z3rVSxcHlkoo1CjBxDjXnIfeaIth42ZNyfty3mJM0g9ceTyncjvxXIiSWxwpLRic9c7o/tidrISP&#10;vdhfjrz7zHf+sXx+WUtDC0p5e5OJB2BRr/EvDD/4CR3axHRwJ1KBTRLSI/H3Jq+6LwpgBwl5VWTA&#10;24b/p2+/AVBLAwQUAAAACACHTuJAmCp/+kkCAACiBAAADgAAAGRycy9lMm9Eb2MueG1srVTNjtMw&#10;EL4j8Q6W7zTpTyiNmq4EpVwQIBbE2bWdxJL/ZLtN+gLwBpy47J3n6nMwdtLd1SKhHsghnXjG38z3&#10;zUzXN72S6MidF0ZXeDrJMeKaGiZ0U+GvX3YvXmHkA9GMSKN5hU/c45vN82frzpZ8ZlojGXcIQLQv&#10;O1vhNgRbZpmnLVfET4zlGpy1cYoE+HRNxhzpAF3JbJbnL7POOGadodx7ON0OTjwiumsATV0LyreG&#10;HhTXYUB1XJIAlHwrrMebVG1dcxo+1rXnAckKA9OQ3pAE7H18Z5s1KRtHbCvoWAK5poQnnBQRGpLe&#10;Q21JIOjgxF9QSlBnvKnDhBqVDUSSIsBimj/R5rYllicuILW396L7/wdLPxw/OSRYhWcrjDRR0PHz&#10;zx/nX7/Pd9/RNJ9HhTrrSwi8tRAa+temh7m5nHs4jMT72qn4C5QQ+BeLYlHMCoxOEAv2tBi15n1A&#10;FAKWy9lyBX4KAfPpPC+KiJg9AFnnwztuFIpGhR20MilMju99GEIvIaPwbCekRM6EbyK0SbvY4eT0&#10;cGcwkDUg33DsXbN/Ix06EpiOXXrGIhr/OHqaxych/fsKlN9cUkmhEYk7NRIPQvLPQGIoHUYulRvT&#10;SI26Cq+SXJTAStUwyqCMstAWr5uUWJvIDi6TMtLeEt8OdXsjBYtlk1KJwF2yWk7YW81QOFloqIZF&#10;xjGH4gwjyWHvo5UiAxHymkigJjU0KM7C0PNohX7fA0w094adYD4O1ommhYalCUnhMLqps+Oaxd14&#10;/J1AH/5a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UNledUAAAAFAQAADwAAAAAAAAABACAA&#10;AAAiAAAAZHJzL2Rvd25yZXYueG1sUEsBAhQAFAAAAAgAh07iQJgqf/pJAgAAogQAAA4AAAAAAAAA&#10;AQAgAAAAJAEAAGRycy9lMm9Eb2MueG1sUEsFBgAAAAAGAAYAWQEAAN8FAAAAAA==&#10;">
                        <v:fill type="gradient" on="t" color2="#FFFFFF" angle="90" focus="100%" focussize="0,0">
                          <o:fill type="gradientUnscaled" v:ext="backwardCompatible"/>
                        </v:fill>
                        <v:stroke on="f" joinstyle="miter"/>
                        <v:imagedata o:title=""/>
                        <o:lock v:ext="edit" aspectratio="f"/>
                        <v:textbox>
                          <w:txbxContent>
                            <w:p w14:paraId="72B098F8">
                              <w:pPr>
                                <w:keepNext w:val="0"/>
                                <w:keepLines w:val="0"/>
                                <w:pageBreakBefore w:val="0"/>
                                <w:widowControl w:val="0"/>
                                <w:kinsoku/>
                                <w:wordWrap/>
                                <w:overflowPunct/>
                                <w:topLinePunct w:val="0"/>
                                <w:bidi w:val="0"/>
                                <w:adjustRightInd/>
                                <w:snapToGrid/>
                                <w:jc w:val="center"/>
                                <w:textAlignment w:val="auto"/>
                                <w:rPr>
                                  <w:rFonts w:hint="default" w:eastAsia="宋体"/>
                                  <w:lang w:val="en-US" w:eastAsia="zh-CN"/>
                                </w:rPr>
                              </w:pPr>
                              <w:r>
                                <w:rPr>
                                  <w:rFonts w:hint="eastAsia"/>
                                  <w:lang w:val="en-US" w:eastAsia="zh-CN"/>
                                </w:rPr>
                                <w:t>投入运营</w:t>
                              </w:r>
                            </w:p>
                          </w:txbxContent>
                        </v:textbox>
                      </v:shape>
                      <v:shape id="直接箭头连接符 136" o:spid="_x0000_s1026" o:spt="32" type="#_x0000_t32" style="position:absolute;left:4836168;top:1045121;height:408940;width:5080;" filled="f" stroked="t" coordsize="21600,21600" o:gfxdata="UEsDBAoAAAAAAIdO4kAAAAAAAAAAAAAAAAAEAAAAZHJzL1BLAwQUAAAACACHTuJAZY7XEtcAAAAF&#10;AQAADwAAAGRycy9kb3ducmV2LnhtbE2PzWrDMBCE74W+g9hCb43smBrXtRxIQqkvDTQJpUfF2lqi&#10;1spYyl+fPmovzWVhmGHm22p2sj074OiNIwHpJAGG1DplqBOw3bw8FMB8kKRk7wgFnNHDrL69qWSp&#10;3JHe8bAOHYsl5EspQIcwlJz7VqOVfuIGpOh9udHKEOXYcTXKYyy3PZ8mSc6tNBQXtBxwobH9Xu+t&#10;gLD8POv8o50/mdXm9S03P03TLIW4v0uTZ2ABT+E/DL/4ER3qyLRze1Ke9QLiI+HvRq94zDJgOwHT&#10;IkuB1xW/pq8vUEsDBBQAAAAIAIdO4kDeNrlOMQIAAEQEAAAOAAAAZHJzL2Uyb0RvYy54bWytU0uO&#10;EzEQ3SNxB8t70p98lLTSmUXCsEEQCTiAY7u7Lfkn25PPJbgAEitgBbOaPaeB4RiU3cmEGYQ0C3ph&#10;lbvKr149P88v9kqiLXdeGF3jYpBjxDU1TOi2xu/eXj6bYuQD0YxIo3mND9zji8XTJ/OdrXhpOiMZ&#10;dwhAtK92tsZdCLbKMk87rogfGMs1JBvjFAmwdW3GHNkBupJZmeeTbGccs85Q7j38XfVJfER0jwE0&#10;TSMoXxl6pbgOParjkgQYyXfCerxIbJuG0/C6aTwPSNYYJg1phSYQb+KaLeakah2xnaBHCuQxFB7M&#10;pIjQ0PQOakUCQVdO/AWlBHXGmyYMqFFZP0hSBKYo8gfavOmI5WkWkNrbO9H9/4Olr7ZrhwSr8bDE&#10;SBMFN3774ebn+8+3199+fLr59f1jjL9+QcVwEtXaWV/BoaVeuzivD8u9TueLAjQVbF/jsleVa3bK&#10;lbNjKgme3cOIG297tH3jVEQFXRAAjabDSTEBPx7AqPloXJTFEXofEIWCcT6FphTSo3w6G/XopDrB&#10;WOfDC24UikGNfXBEtF1YGq3BGMYV6crI9qUPMFlGqtOByEFqtKvxbFyOoQMBozdgMAiVBbG8btNZ&#10;b6Rgl0LKpIVrN0vp0JZEs6Uv0gXce2WxyYr4rq9LqX6qjhP2XDMUDhZuQcPrw5GC4gwjyeGxxigZ&#10;NhAhz5XBCaJb+Y9qaC81sDjrHKONYYe1i+ziDsyVeB4fQnTvn/tUdX78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jtcS1wAAAAUBAAAPAAAAAAAAAAEAIAAAACIAAABkcnMvZG93bnJldi54bWxQ&#10;SwECFAAUAAAACACHTuJA3ja5TjECAABEBAAADgAAAAAAAAABACAAAAAmAQAAZHJzL2Uyb0RvYy54&#10;bWxQSwUGAAAAAAYABgBZAQAAyQUAAAAA&#10;">
                        <v:fill on="f" focussize="0,0"/>
                        <v:stroke color="#000000" joinstyle="round" endarrow="block"/>
                        <v:imagedata o:title=""/>
                        <o:lock v:ext="edit" aspectratio="f"/>
                      </v:shape>
                      <v:shape id="直接箭头连接符 92" o:spid="_x0000_s1026" o:spt="32" type="#_x0000_t32" style="position:absolute;left:4206875;top:889635;height:3810;width:230505;" filled="f" stroked="t" coordsize="21600,21600" o:gfxdata="UEsDBAoAAAAAAIdO4kAAAAAAAAAAAAAAAAAEAAAAZHJzL1BLAwQUAAAACACHTuJAZY7XEtcAAAAF&#10;AQAADwAAAGRycy9kb3ducmV2LnhtbE2PzWrDMBCE74W+g9hCb43smBrXtRxIQqkvDTQJpUfF2lqi&#10;1spYyl+fPmovzWVhmGHm22p2sj074OiNIwHpJAGG1DplqBOw3bw8FMB8kKRk7wgFnNHDrL69qWSp&#10;3JHe8bAOHYsl5EspQIcwlJz7VqOVfuIGpOh9udHKEOXYcTXKYyy3PZ8mSc6tNBQXtBxwobH9Xu+t&#10;gLD8POv8o50/mdXm9S03P03TLIW4v0uTZ2ABT+E/DL/4ER3qyLRze1Ke9QLiI+HvRq94zDJgOwHT&#10;IkuB1xW/pq8vUEsDBBQAAAAIAIdO4kD6GCXTLgIAAEQEAAAOAAAAZHJzL2Uyb0RvYy54bWytU82O&#10;0zAQviPxDpbvNGlKu23UdA8tywXBSsADuLaTWPKfbG/TvgQvgMQJOAGnvfM0sDwGYyftsouQ9kAO&#10;1jif55uZb2aW53sl0Y47L4yu8HiUY8Q1NUzopsJv31w8mWPkA9GMSKN5hQ/c4/PV40fLzpa8MK2R&#10;jDsEJNqXna1wG4Its8zTliviR8ZyDWBtnCIBrq7JmCMdsCuZFXk+yzrjmHWGcu/h76YH8cDoHkJo&#10;6lpQvjH0SnEdelbHJQlQkm+F9XiVsq1rTsOruvY8IFlhqDSkE4KAvY1ntlqSsnHEtoIOKZCHpHCv&#10;JkWEhqAnqg0JBF058ReVEtQZb+owokZlfSFJEahinN/T5nVLLE+1gNTenkT3/4+WvtxdOiQYTEJ+&#10;hpEmClp+8/7657tPN9++/vh4/ev7h2h/+YwWRVSrs74Ep7W+dLFeH9Z7PfgvMBj7Ck96VblmJ2wM&#10;eidsHLHsDkm8eNvT7WunIi0Ig4DpaZHP5mdTjA4Vns8Xs8l0oN4HRAEvJvk0B5gCPplDkEhOyiOL&#10;dT4850ahaFTYB0dE04a10RoGw7hxahnZvfChdzw6xBSkRl2FF9Mi8hMY9BoGDExlQSyvm+TrjRTs&#10;QkiZtHDNdi0d2pE4bOkbErrzLAbZEN/27xLUV9Vywp5phsLBQhM0bB+OKSjOMJIcljVakCgpAxHy&#10;9mVwguhG/uM16CH1oHkvcxR8a9jh0h17AcOVhBsWIU7vn/fkfbv8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jtcS1wAAAAUBAAAPAAAAAAAAAAEAIAAAACIAAABkcnMvZG93bnJldi54bWxQSwEC&#10;FAAUAAAACACHTuJA+hgl0y4CAABEBAAADgAAAAAAAAABACAAAAAmAQAAZHJzL2Uyb0RvYy54bWxQ&#10;SwUGAAAAAAYABgBZAQAAxgUAAAAA&#10;">
                        <v:fill on="f" focussize="0,0"/>
                        <v:stroke color="#000000" joinstyle="round" endarrow="block"/>
                        <v:imagedata o:title=""/>
                        <o:lock v:ext="edit" aspectratio="f"/>
                      </v:shape>
                      <v:shape id="直接箭头连接符 92" o:spid="_x0000_s1026" o:spt="32" type="#_x0000_t32" style="position:absolute;left:3003550;top:885825;height:3810;width:405765;" filled="f" stroked="t" coordsize="21600,21600" o:gfxdata="UEsDBAoAAAAAAIdO4kAAAAAAAAAAAAAAAAAEAAAAZHJzL1BLAwQUAAAACACHTuJAZY7XEtcAAAAF&#10;AQAADwAAAGRycy9kb3ducmV2LnhtbE2PzWrDMBCE74W+g9hCb43smBrXtRxIQqkvDTQJpUfF2lqi&#10;1spYyl+fPmovzWVhmGHm22p2sj074OiNIwHpJAGG1DplqBOw3bw8FMB8kKRk7wgFnNHDrL69qWSp&#10;3JHe8bAOHYsl5EspQIcwlJz7VqOVfuIGpOh9udHKEOXYcTXKYyy3PZ8mSc6tNBQXtBxwobH9Xu+t&#10;gLD8POv8o50/mdXm9S03P03TLIW4v0uTZ2ABT+E/DL/4ER3qyLRze1Ke9QLiI+HvRq94zDJgOwHT&#10;IkuB1xW/pq8vUEsDBBQAAAAIAIdO4kDl7ZmkMAIAAEMEAAAOAAAAZHJzL2Uyb0RvYy54bWytU82O&#10;0zAQviPxDpbvNGlLShs13UPLckGwEvAAru0klvwn29u0L8ELIHECTiynvfM0sDwGYyftLouQ9kAO&#10;yTgz83m+b2aWZ3sl0Y47L4yu8HiUY8Q1NUzopsLv3p4/mWPkA9GMSKN5hQ/c47PV40fLzpZ8Yloj&#10;GXcIQLQvO1vhNgRbZpmnLVfEj4zlGpy1cYoEOLomY450gK5kNsnzWdYZx6wzlHsPfze9Ew+I7iGA&#10;pq4F5RtDLxXXoUd1XJIAlHwrrMerVG1dcxpe17XnAckKA9OQ3nAJ2Nv4zlZLUjaO2FbQoQTykBLu&#10;cVJEaLj0BLUhgaBLJ/6CUoI6400dRtSorCeSFAEW4/yeNm9aYnniAlJ7exLd/z9Y+mp34ZBgMAk5&#10;NF4TBS2/+XD98/3nm29XPz5d//r+Mdpfv6DFJKrVWV9C0lpfuMjXh/Ve9/kzDN99hae9qFyzkytf&#10;DL5x9GV/YMSDtz3avnYqooIuKCLl+bQooFWHCs/nxXxSDND7gCj4n+bFs1mBEQX/dD5O3cxIeUSx&#10;zocX3CgUjQr74Iho2rA2WsNcGDdOHSO7lz7Eqkh5TIglSI26Ci8KuBNRAnNew3yBqSxo5XWTcr2R&#10;gp0LKZMUrtmupUM7EmctPYktiHQ3LF6yIb7t45KrZ9Vywp5rhsLBQg80LB+OJSjOMJIcdjVaaV4D&#10;EfI2MjhBdCP/EQ20pB4072WOgm8NO1y4Yy9gthL/YQ/i8N49p+zb3V/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WO1xLXAAAABQEAAA8AAAAAAAAAAQAgAAAAIgAAAGRycy9kb3ducmV2LnhtbFBL&#10;AQIUABQAAAAIAIdO4kDl7ZmkMAIAAEMEAAAOAAAAAAAAAAEAIAAAACYBAABkcnMvZTJvRG9jLnht&#10;bFBLBQYAAAAABgAGAFkBAADIBQAAAAA=&#10;">
                        <v:fill on="f" focussize="0,0"/>
                        <v:stroke color="#000000" joinstyle="round" endarrow="block"/>
                        <v:imagedata o:title=""/>
                        <o:lock v:ext="edit" aspectratio="f"/>
                      </v:shape>
                      <v:shape id="文本框 89" o:spid="_x0000_s1026" o:spt="202" type="#_x0000_t202" style="position:absolute;left:3409315;top:737235;height:304165;width:797560;" fillcolor="#FFFFFF" filled="t" stroked="t" coordsize="21600,21600" o:gfxdata="UEsDBAoAAAAAAIdO4kAAAAAAAAAAAAAAAAAEAAAAZHJzL1BLAwQUAAAACACHTuJARKvm9tUAAAAF&#10;AQAADwAAAGRycy9kb3ducmV2LnhtbE2PS2vDMBCE74X8B7GFXkojOabBuJZDKfSQW16HHtfWxjax&#10;Vo6lvPrrq/TSXhaGGWa+LRZX24szjb5zrCGZKhDEtTMdNxp228+XDIQPyAZ7x6ThRh4W5eShwNy4&#10;C6/pvAmNiCXsc9TQhjDkUvq6JYt+6gbi6O3daDFEOTbSjHiJ5baXM6Xm0mLHcaHFgT5aqg+bk9Xw&#10;fMyUtVR9rZb75PswLOfbd0atnx4T9QYi0DX8heGOH9GhjEyVO7HxotcQHwm/N3rZa5qCqDTMsjQB&#10;WRbyP335A1BLAwQUAAAACACHTuJAscZC6lQCAADKBAAADgAAAGRycy9lMm9Eb2MueG1srVTNjtMw&#10;EL4j8Q6W7zRpu223UdOVoJQLAsSCOLuOk1jyn2y3SV8A3oATF+48V5+DsZ3tlkVCPZBDMvGMv/nm&#10;m7FXd70U6MCs41qVeDzKMWKK6oqrpsSfP21f3GLkPFEVEVqxEh+Zw3fr589WnSnYRLdaVMwiAFGu&#10;6EyJW+9NkWWOtkwSN9KGKXDW2kri4dc2WWVJB+hSZJM8n2edtpWxmjLnYHWTnHhAtNcA6rrmlG00&#10;3UumfEK1TBAPJbmWG4fXkW1dM+rf17VjHokSQ6U+viEJ2LvwztYrUjSWmJbTgQK5hsKTmiThCpKe&#10;oTbEE7S3/C8oyanVTtd+RLXMUiFREahinD/R5r4lhsVaQGpnzqK7/wdL3x0+WMQrmIR8iZEiElp+&#10;+v7t9OPX6edXdLsMCnXGFRB4byDU9y91D9EP6w4WQ+F9bWX4QkkI/NObfDkdzzA6lngxXUymsyQ1&#10;6z2i4F8sF7M5NIGCf5rfjOfRnz3iGOv8G6YlCkaJLXQyCkwOb50HThD6EDLoXm25EMhq/4X7NkoX&#10;GhydDvYkAxkN6qVlZ5vdK2HRgcBwbOMTSAJy4y6jx3l4ItK/t8SdQyrBFSLhSA0z5rlgH6GIIYEl&#10;kW5IIxTqSrycTUAtSuBE1TDJYEoDXXGqSYm14Ocdf7CI5GISSO8uw4I+G+LaVGB0pSZI7pkFIqRo&#10;Galeqwr5o4G+KzjwOJCRrMJIMLgfghUjPeHimkggIRSIGGYmzUawfL/rASaYO10dYY72xvKmhc7G&#10;SYrhMOJJ/XQcwxm6/I+gj1fQ+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Eq+b21QAAAAUBAAAP&#10;AAAAAAAAAAEAIAAAACIAAABkcnMvZG93bnJldi54bWxQSwECFAAUAAAACACHTuJAscZC6lQCAADK&#10;BAAADgAAAAAAAAABACAAAAAkAQAAZHJzL2Uyb0RvYy54bWxQSwUGAAAAAAYABgBZAQAA6gUAAAAA&#10;">
                        <v:fill type="gradient" on="t" color2="#FFFFFF" angle="90" focus="100%" focussize="0,0">
                          <o:fill type="gradientUnscaled" v:ext="backwardCompatible"/>
                        </v:fill>
                        <v:stroke color="#000000" joinstyle="miter"/>
                        <v:imagedata o:title=""/>
                        <o:lock v:ext="edit" aspectratio="f"/>
                        <v:textbox>
                          <w:txbxContent>
                            <w:p w14:paraId="7BA1FCC8">
                              <w:pPr>
                                <w:keepNext w:val="0"/>
                                <w:keepLines w:val="0"/>
                                <w:pageBreakBefore w:val="0"/>
                                <w:widowControl w:val="0"/>
                                <w:kinsoku/>
                                <w:wordWrap/>
                                <w:overflowPunct/>
                                <w:topLinePunct w:val="0"/>
                                <w:bidi w:val="0"/>
                                <w:adjustRightInd/>
                                <w:snapToGrid/>
                                <w:jc w:val="center"/>
                                <w:textAlignment w:val="auto"/>
                                <w:rPr>
                                  <w:rFonts w:hint="default" w:eastAsia="宋体"/>
                                  <w:lang w:val="en-US" w:eastAsia="zh-CN"/>
                                </w:rPr>
                              </w:pPr>
                              <w:r>
                                <w:rPr>
                                  <w:rFonts w:hint="eastAsia"/>
                                  <w:lang w:val="en-US" w:eastAsia="zh-CN"/>
                                </w:rPr>
                                <w:t>设备安装</w:t>
                              </w:r>
                            </w:p>
                          </w:txbxContent>
                        </v:textbox>
                      </v:shape>
                      <v:shape id="文本框 89" o:spid="_x0000_s1026" o:spt="202" type="#_x0000_t202" style="position:absolute;left:4437380;top:741045;height:304165;width:797560;" fillcolor="#FFFFFF" filled="t" stroked="t" coordsize="21600,21600" o:gfxdata="UEsDBAoAAAAAAIdO4kAAAAAAAAAAAAAAAAAEAAAAZHJzL1BLAwQUAAAACACHTuJARKvm9tUAAAAF&#10;AQAADwAAAGRycy9kb3ducmV2LnhtbE2PS2vDMBCE74X8B7GFXkojOabBuJZDKfSQW16HHtfWxjax&#10;Vo6lvPrrq/TSXhaGGWa+LRZX24szjb5zrCGZKhDEtTMdNxp228+XDIQPyAZ7x6ThRh4W5eShwNy4&#10;C6/pvAmNiCXsc9TQhjDkUvq6JYt+6gbi6O3daDFEOTbSjHiJ5baXM6Xm0mLHcaHFgT5aqg+bk9Xw&#10;fMyUtVR9rZb75PswLOfbd0atnx4T9QYi0DX8heGOH9GhjEyVO7HxotcQHwm/N3rZa5qCqDTMsjQB&#10;WRbyP335A1BLAwQUAAAACACHTuJAjF8wXlQCAADKBAAADgAAAGRycy9lMm9Eb2MueG1srVTNbtQw&#10;EL4j8Q6W7zTJ/nS30WYrwVIuCBAFcfYmTmLJf7Ld3ewLwBtw4sKd5+pz8NnZbkuRUA/kkEw842++&#10;+Wbs1eWgJNlx54XRFS3Ockq4rk0jdFfRz5+uXiwp8YHphkmjeUUP3NPL9fNnq70t+cT0RjbcEYBo&#10;X+5tRfsQbJllvu65Yv7MWK7hbI1TLODXdVnj2B7oSmaTPD/P9sY11pmae4/VzeikR0T3FEDTtqLm&#10;G1PfKK7DiOq4ZAEl+V5YT9eJbdvyOrxvW88DkRVFpSG9kQT2Nr6z9YqVnWO2F/WRAnsKhUc1KSY0&#10;kp6gNiwwcuPEX1BK1M5404az2qhsLCQpgiqK/JE21z2zPNUCqb09ie7/H2z9bvfBEdFgEgpooplC&#10;y2+/f7v98ev251eyvIgK7a0vEXhtERqGl2ZA9N26x2IsfGidil+UROCfzaaL6RKIh4ouZkU+m49S&#10;8yGQGv7FxWJ+DncN/zSfFefJn93jWOfDG24UiUZFHTqZBGa7tz6AE0LvQo66N1dCSuJM+CJCn6SL&#10;DU5Ojz2jQayBeuOyd932lXRkxzAcV+mJJIHc+YfRRR6fhPTvLWnnMZUUmrB4pI4zFoTkH1HEMYFj&#10;iW5MIzXZV/RiPplDDoYT1WKSYSqLrnjdjYmNFKcdf7BI5FISpPcPw6I+G+b7scDkGpugROAORFjZ&#10;c9a81g0JB4u+axx4Gsko3lAiOe6HaKXIwIR8SiRISA0R48yMsxGtMGwHwERza5oD5ujGOtH16Gya&#10;pBSOER/VH49jPEMP/xPo/RW0/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Eq+b21QAAAAUBAAAP&#10;AAAAAAAAAAEAIAAAACIAAABkcnMvZG93bnJldi54bWxQSwECFAAUAAAACACHTuJAjF8wXlQCAADK&#10;BAAADgAAAAAAAAABACAAAAAkAQAAZHJzL2Uyb0RvYy54bWxQSwUGAAAAAAYABgBZAQAA6gUAAAAA&#10;">
                        <v:fill type="gradient" on="t" color2="#FFFFFF" angle="90" focus="100%" focussize="0,0">
                          <o:fill type="gradientUnscaled" v:ext="backwardCompatible"/>
                        </v:fill>
                        <v:stroke color="#000000" joinstyle="miter"/>
                        <v:imagedata o:title=""/>
                        <o:lock v:ext="edit" aspectratio="f"/>
                        <v:textbox>
                          <w:txbxContent>
                            <w:p w14:paraId="2D802492">
                              <w:pPr>
                                <w:keepNext w:val="0"/>
                                <w:keepLines w:val="0"/>
                                <w:pageBreakBefore w:val="0"/>
                                <w:widowControl w:val="0"/>
                                <w:kinsoku/>
                                <w:wordWrap/>
                                <w:overflowPunct/>
                                <w:topLinePunct w:val="0"/>
                                <w:bidi w:val="0"/>
                                <w:adjustRightInd/>
                                <w:snapToGrid/>
                                <w:jc w:val="center"/>
                                <w:textAlignment w:val="auto"/>
                                <w:rPr>
                                  <w:rFonts w:hint="eastAsia" w:eastAsia="宋体"/>
                                  <w:lang w:val="en-US" w:eastAsia="zh-CN"/>
                                </w:rPr>
                              </w:pPr>
                              <w:r>
                                <w:rPr>
                                  <w:rFonts w:hint="eastAsia"/>
                                  <w:lang w:val="en-US" w:eastAsia="zh-CN"/>
                                </w:rPr>
                                <w:t>工程验收</w:t>
                              </w:r>
                            </w:p>
                          </w:txbxContent>
                        </v:textbox>
                      </v:shape>
                      <v:shape id="文本框 99" o:spid="_x0000_s1026" o:spt="202" type="#_x0000_t202" style="position:absolute;left:3361690;top:142875;height:383540;width:879475;" fillcolor="#FFFFFF" filled="t" stroked="t" coordsize="21600,21600" o:gfxdata="UEsDBAoAAAAAAIdO4kAAAAAAAAAAAAAAAAAEAAAAZHJzL1BLAwQUAAAACACHTuJAgF2HLtYAAAAF&#10;AQAADwAAAGRycy9kb3ducmV2LnhtbE2PQWvCQBCF74X+h2WE3uomBktIsxEs9FRaqLZ4XbNjEt2d&#10;Cdk1Wn99Vy/tZeDxHu99Uy7OzooRB98xKUinCQikmk1HjYKv9etjDsIHTUZbJlTwgx4W1f1dqQvD&#10;J/rEcRUaEUvIF1pBG0JfSOnrFp32U+6RorfjwekQ5dBIM+hTLHdWzpLkSTrdUVxodY8vLdaH1dEp&#10;+Fgy2Q3P0824+96va3vJ3t8uSj1M0uQZRMBz+AvDFT+iQxWZtnwk44VVEB8Jtxu9fJ5lILYKZnmW&#10;gqxK+Z+++gVQSwMEFAAAAAgAh07iQADs/MJRAgAAyQQAAA4AAABkcnMvZTJvRG9jLnhtbK1Uy67T&#10;MBDdI/EPlvc0TV+3rZpeCUrZIEBcEGvXcRJLfsl2m/QH4A9YsWHPd/U7GNtpb7lIqAuySCae4zMz&#10;Z8Ze3XdSoAOzjmtV4HwwxIgpqkuu6gJ//rR9McfIeaJKIrRiBT4yh+/Xz5+tWrNkI91oUTKLgES5&#10;ZWsK3HhvllnmaMMkcQNtmAJnpa0kHn5tnZWWtMAuRTYaDmdZq21prKbMOVjdJCfuGe0thLqqOGUb&#10;TfeSKZ9YLRPEQ0mu4cbhdcy2qhj176vKMY9EgaFSH98QBOxdeGfrFVnWlpiG0z4FcksKT2qShCsI&#10;eqHaEE/Q3vK/qCSnVjtd+QHVMkuFREWginz4RJuHhhgWawGpnbmI7v4fLX13+GARL2ES8hwjRSS0&#10;/PT92+nHr9PPr2ixCAq1xi0B+GAA6ruXugP0ed3BYii8q6wMXygJgX88nuWzBah8BOxkNL+bJqlZ&#10;5xEF//xuMYE1RME/no+nk9iK7JHHWOffMC1RMApsoZNRYHJ46zzkBNAzpNe93HIhkNX+C/dNlC40&#10;ODod7EkGMhrUS8vO1rtXwqIDgeHYxickCcy1u0bnw/BEpn9viTv7UIIrRMKR6mfMc8E+QhF9AEti&#10;uiGMUKgt8GI6CnIQOFEVTDKY0kBXnKpTYC34ZccfWcTkzuq5a1jQZ0NckwoswUo9kNwzC3mQZcNI&#10;+VqVyB8NtF3BecchF8lKjASD6yFYEekJF7cgQQKhQMMwMmk0guW7XQc0wdzp8ghjtDeW1w00Ng5S&#10;hMOEJ/HTaQxH6Po/kj7eQ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F2HLtYAAAAFAQAADwAA&#10;AAAAAAABACAAAAAiAAAAZHJzL2Rvd25yZXYueG1sUEsBAhQAFAAAAAgAh07iQADs/MJRAgAAyQQA&#10;AA4AAAAAAAAAAQAgAAAAJQEAAGRycy9lMm9Eb2MueG1sUEsFBgAAAAAGAAYAWQEAAOgFAAAAAA==&#10;">
                        <v:fill type="gradient" on="t" color2="#FFFFFF" angle="90" focus="100%" focussize="0,0">
                          <o:fill type="gradientUnscaled" v:ext="backwardCompatible"/>
                        </v:fill>
                        <v:stroke color="#000000" joinstyle="miter" dashstyle="dash"/>
                        <v:imagedata o:title=""/>
                        <o:lock v:ext="edit" aspectratio="f"/>
                        <v:textbox>
                          <w:txbxContent>
                            <w:p w14:paraId="01B4C056">
                              <w:pPr>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噪声、废气、</w:t>
                              </w:r>
                              <w:r>
                                <w:rPr>
                                  <w:rFonts w:hint="eastAsia" w:ascii="Times New Roman" w:hAnsi="Times New Roman" w:cs="Times New Roman"/>
                                  <w:sz w:val="18"/>
                                  <w:szCs w:val="18"/>
                                  <w:lang w:val="en-US" w:eastAsia="zh-CN"/>
                                </w:rPr>
                                <w:t>包装材料</w:t>
                              </w:r>
                            </w:p>
                          </w:txbxContent>
                        </v:textbox>
                      </v:shape>
                      <v:shape id="直接箭头连接符 96" o:spid="_x0000_s1026" o:spt="32" type="#_x0000_t32" style="position:absolute;left:3801745;top:526415;flip:x y;height:210820;width:6350;" filled="f" stroked="t" coordsize="21600,21600" o:gfxdata="UEsDBAoAAAAAAIdO4kAAAAAAAAAAAAAAAAAEAAAAZHJzL1BLAwQUAAAACACHTuJAU3AFD9YAAAAF&#10;AQAADwAAAGRycy9kb3ducmV2LnhtbE2P3UrEMBCF7wXfIYzgjbhJtiilNt0LQS3sgmzdB5htxrbY&#10;TEqT/dGnN3qjNwOHczjnm3J1dqM40hwGzwb0QoEgbr0duDOwe3u6zUGEiGxx9EwGPinAqrq8KLGw&#10;/sRbOjaxE6mEQ4EG+hinQsrQ9uQwLPxEnLx3PzuMSc6dtDOeUrkb5VKpe+lw4LTQ40SPPbUfzcEZ&#10;eM2aG63qdbfRu/qFnjf517oOxlxfafUAItI5/oXhBz+hQ5WY9v7ANojRQHok/t7k5XdZBmJvYJln&#10;GmRVyv/01TdQSwMEFAAAAAgAh07iQDCXlhg8AgAAVwQAAA4AAABkcnMvZTJvRG9jLnhtbK1UzY7T&#10;MBC+I/EOlu9sfnZb2qjpHloWDggq8XN3bSex5D/Z3qZ9CV4AiRPsCTjtnaeB5TEYO6VdFiHtgRyi&#10;cWbmm/m+GWd2vlUSbbjzwugaFyc5RlxTw4Rua/zm9cWjCUY+EM2INJrXeMc9Pp8/fDDrbcVL0xnJ&#10;uEMAon3V2xp3IdgqyzztuCL+xFiuwdkYp0iAo2sz5kgP6EpmZZ6Ps944Zp2h3Hv4uhyceI/o7gNo&#10;mkZQvjT0UnEdBlTHJQlAyXfCejxP3TYNp+Fl03gekKwxMA3pDUXAXsd3Np+RqnXEdoLuWyD3aeEO&#10;J0WEhqIHqCUJBF068ReUEtQZb5pwQo3KBiJJEWBR5He0edURyxMXkNrbg+j+/8HSF5uVQ4LBJhQl&#10;RpooGPnN++sf7z7dfP3y/eP1z28fov35Ck3HUa3e+gqSFnrlIl8fFls95OdTDMb2oCrX7OArir2v&#10;jBjZHyDx4O0At22cQo0U9hk0hJP1NlqxFIiFAP10khePz0YY7Wo8KsdnxWgYIt8GRME/Ph3BcCl4&#10;yyKflGnEGakickSxzoen3CgUjRr74Ihou7AwWsOyGDfUIpvnPsROjwkxWWrU13g6KqE8JbD8DSwd&#10;mMqCgF63qU9vpGAXQsqkj2vXC+nQhsQFTE9SAJS7HRabWRLfDXEMrIFUxwl7ohkKOwtz0XAhcexA&#10;cYaR5HB/o5V2OBAhj5HBCaJb+Y9oYCX1fgyD8nEGa8N2K/d7PLBvif7+bsSFvn1O2cf/wf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3AFD9YAAAAFAQAADwAAAAAAAAABACAAAAAiAAAAZHJzL2Rv&#10;d25yZXYueG1sUEsBAhQAFAAAAAgAh07iQDCXlhg8AgAAVwQAAA4AAAAAAAAAAQAgAAAAJQEAAGRy&#10;cy9lMm9Eb2MueG1sUEsFBgAAAAAGAAYAWQEAANMFAAAAAA==&#10;">
                        <v:fill on="f" focussize="0,0"/>
                        <v:stroke color="#000000" joinstyle="round" dashstyle="dash" endarrow="block"/>
                        <v:imagedata o:title=""/>
                        <o:lock v:ext="edit" aspectratio="f"/>
                      </v:shape>
                      <w10:wrap type="none"/>
                      <w10:anchorlock/>
                    </v:group>
                  </w:pict>
                </mc:Fallback>
              </mc:AlternateContent>
            </w:r>
          </w:p>
          <w:p w14:paraId="6B641F8C">
            <w:pPr>
              <w:spacing w:line="360" w:lineRule="auto"/>
              <w:jc w:val="center"/>
              <w:rPr>
                <w:color w:val="000000"/>
                <w:sz w:val="24"/>
                <w:highlight w:val="none"/>
              </w:rPr>
            </w:pPr>
            <w:r>
              <w:rPr>
                <w:b/>
                <w:color w:val="000000"/>
                <w:sz w:val="24"/>
                <w:highlight w:val="none"/>
              </w:rPr>
              <w:t>图2-2 施工期工艺流程图</w:t>
            </w:r>
          </w:p>
          <w:p w14:paraId="3A4033EE">
            <w:pPr>
              <w:autoSpaceDE w:val="0"/>
              <w:autoSpaceDN w:val="0"/>
              <w:adjustRightInd w:val="0"/>
              <w:snapToGrid w:val="0"/>
              <w:spacing w:line="360" w:lineRule="auto"/>
              <w:ind w:firstLine="482" w:firstLineChars="200"/>
              <w:rPr>
                <w:b/>
                <w:bCs/>
                <w:color w:val="000000"/>
                <w:kern w:val="0"/>
                <w:sz w:val="24"/>
                <w:highlight w:val="none"/>
              </w:rPr>
            </w:pPr>
            <w:r>
              <w:rPr>
                <w:b/>
                <w:bCs/>
                <w:color w:val="000000"/>
                <w:kern w:val="0"/>
                <w:sz w:val="24"/>
                <w:highlight w:val="none"/>
              </w:rPr>
              <w:t>施工流程简述：</w:t>
            </w:r>
          </w:p>
          <w:p w14:paraId="47B477A5">
            <w:pPr>
              <w:widowControl/>
              <w:adjustRightInd w:val="0"/>
              <w:snapToGrid w:val="0"/>
              <w:spacing w:line="360" w:lineRule="auto"/>
              <w:ind w:firstLine="480" w:firstLineChars="200"/>
              <w:rPr>
                <w:color w:val="000000"/>
                <w:sz w:val="24"/>
                <w:highlight w:val="none"/>
              </w:rPr>
            </w:pPr>
            <w:r>
              <w:rPr>
                <w:color w:val="000000"/>
                <w:sz w:val="24"/>
                <w:highlight w:val="none"/>
              </w:rPr>
              <w:t>（1）基础建设：主要为场地的挖方、填土、平整和夯实；</w:t>
            </w:r>
          </w:p>
          <w:p w14:paraId="7838D90E">
            <w:pPr>
              <w:widowControl/>
              <w:adjustRightInd w:val="0"/>
              <w:snapToGrid w:val="0"/>
              <w:spacing w:line="360" w:lineRule="auto"/>
              <w:ind w:firstLine="480" w:firstLineChars="200"/>
              <w:rPr>
                <w:color w:val="000000"/>
                <w:sz w:val="24"/>
                <w:highlight w:val="none"/>
              </w:rPr>
            </w:pPr>
            <w:r>
              <w:rPr>
                <w:color w:val="000000"/>
                <w:sz w:val="24"/>
                <w:highlight w:val="none"/>
              </w:rPr>
              <w:t>（2）主体工程：本主要为</w:t>
            </w:r>
            <w:r>
              <w:rPr>
                <w:rFonts w:hint="eastAsia"/>
                <w:color w:val="000000"/>
                <w:sz w:val="24"/>
                <w:highlight w:val="none"/>
              </w:rPr>
              <w:t>主体工程、公用工程</w:t>
            </w:r>
            <w:r>
              <w:rPr>
                <w:color w:val="000000"/>
                <w:sz w:val="24"/>
                <w:highlight w:val="none"/>
              </w:rPr>
              <w:t>等建构筑物的建设、厂区道路的修建等建设；</w:t>
            </w:r>
          </w:p>
          <w:p w14:paraId="00503D29">
            <w:pPr>
              <w:widowControl/>
              <w:adjustRightInd w:val="0"/>
              <w:snapToGrid w:val="0"/>
              <w:spacing w:line="360" w:lineRule="auto"/>
              <w:ind w:firstLine="480" w:firstLineChars="200"/>
              <w:rPr>
                <w:color w:val="000000"/>
                <w:sz w:val="24"/>
                <w:highlight w:val="none"/>
              </w:rPr>
            </w:pPr>
            <w:r>
              <w:rPr>
                <w:color w:val="000000"/>
                <w:sz w:val="24"/>
                <w:highlight w:val="none"/>
              </w:rPr>
              <w:t>（3）装修工程：对建筑构物的装修、安装水电等装修工程；</w:t>
            </w:r>
          </w:p>
          <w:p w14:paraId="7F3ABCEA">
            <w:pPr>
              <w:widowControl/>
              <w:adjustRightInd w:val="0"/>
              <w:snapToGrid w:val="0"/>
              <w:spacing w:line="360" w:lineRule="auto"/>
              <w:ind w:firstLine="480" w:firstLineChars="200"/>
              <w:rPr>
                <w:color w:val="000000"/>
                <w:sz w:val="24"/>
                <w:highlight w:val="none"/>
              </w:rPr>
            </w:pPr>
            <w:r>
              <w:rPr>
                <w:color w:val="000000"/>
                <w:sz w:val="24"/>
                <w:highlight w:val="none"/>
              </w:rPr>
              <w:t>（4）设备安装：装修工程完成后进行各设备的安装，安装完成后进行工程验收。</w:t>
            </w:r>
          </w:p>
          <w:p w14:paraId="1F4D8E1B">
            <w:pPr>
              <w:pStyle w:val="10"/>
              <w:rPr>
                <w:color w:val="000000"/>
                <w:sz w:val="24"/>
                <w:highlight w:val="none"/>
              </w:rPr>
            </w:pPr>
          </w:p>
          <w:p w14:paraId="7C21D820">
            <w:pPr>
              <w:pStyle w:val="10"/>
              <w:rPr>
                <w:color w:val="000000"/>
                <w:sz w:val="24"/>
                <w:highlight w:val="none"/>
              </w:rPr>
            </w:pPr>
          </w:p>
          <w:p w14:paraId="325CFBAF">
            <w:pPr>
              <w:pStyle w:val="10"/>
              <w:rPr>
                <w:color w:val="000000"/>
                <w:sz w:val="24"/>
                <w:highlight w:val="none"/>
              </w:rPr>
            </w:pPr>
          </w:p>
          <w:p w14:paraId="6344418D">
            <w:pPr>
              <w:pStyle w:val="10"/>
              <w:rPr>
                <w:color w:val="000000"/>
                <w:sz w:val="24"/>
                <w:highlight w:val="none"/>
              </w:rPr>
            </w:pPr>
          </w:p>
          <w:p w14:paraId="362687B5">
            <w:pPr>
              <w:pStyle w:val="10"/>
              <w:rPr>
                <w:color w:val="000000"/>
                <w:sz w:val="24"/>
                <w:highlight w:val="none"/>
              </w:rPr>
            </w:pPr>
          </w:p>
          <w:p w14:paraId="40C4D622">
            <w:pPr>
              <w:pStyle w:val="10"/>
              <w:rPr>
                <w:color w:val="000000"/>
                <w:sz w:val="24"/>
                <w:highlight w:val="none"/>
              </w:rPr>
            </w:pPr>
          </w:p>
          <w:p w14:paraId="077EA984">
            <w:pPr>
              <w:pStyle w:val="10"/>
              <w:rPr>
                <w:color w:val="000000"/>
                <w:sz w:val="24"/>
                <w:highlight w:val="none"/>
              </w:rPr>
            </w:pPr>
          </w:p>
          <w:p w14:paraId="24C54D15">
            <w:pPr>
              <w:pStyle w:val="10"/>
              <w:rPr>
                <w:color w:val="000000"/>
                <w:sz w:val="24"/>
                <w:highlight w:val="none"/>
              </w:rPr>
            </w:pPr>
          </w:p>
          <w:p w14:paraId="635A819B">
            <w:pPr>
              <w:pStyle w:val="10"/>
              <w:rPr>
                <w:color w:val="000000"/>
                <w:sz w:val="24"/>
                <w:highlight w:val="none"/>
              </w:rPr>
            </w:pPr>
          </w:p>
          <w:p w14:paraId="08B73968">
            <w:pPr>
              <w:pStyle w:val="10"/>
              <w:rPr>
                <w:color w:val="000000"/>
                <w:sz w:val="24"/>
                <w:highlight w:val="none"/>
              </w:rPr>
            </w:pPr>
          </w:p>
          <w:p w14:paraId="40D37EC4">
            <w:pPr>
              <w:pStyle w:val="10"/>
              <w:rPr>
                <w:color w:val="000000"/>
                <w:sz w:val="24"/>
                <w:highlight w:val="none"/>
              </w:rPr>
            </w:pPr>
          </w:p>
          <w:p w14:paraId="509A6E3C">
            <w:pPr>
              <w:pStyle w:val="10"/>
              <w:rPr>
                <w:color w:val="000000"/>
                <w:sz w:val="24"/>
                <w:highlight w:val="none"/>
              </w:rPr>
            </w:pPr>
          </w:p>
          <w:p w14:paraId="3A6E9D21">
            <w:pPr>
              <w:pStyle w:val="10"/>
              <w:rPr>
                <w:color w:val="000000"/>
                <w:sz w:val="24"/>
                <w:highlight w:val="none"/>
              </w:rPr>
            </w:pPr>
          </w:p>
          <w:p w14:paraId="18D1DB7F">
            <w:pPr>
              <w:pStyle w:val="10"/>
              <w:rPr>
                <w:color w:val="000000"/>
                <w:sz w:val="24"/>
                <w:highlight w:val="none"/>
              </w:rPr>
            </w:pPr>
          </w:p>
          <w:p w14:paraId="0AF27451">
            <w:pPr>
              <w:pStyle w:val="10"/>
              <w:rPr>
                <w:color w:val="000000"/>
                <w:sz w:val="24"/>
                <w:highlight w:val="none"/>
              </w:rPr>
            </w:pPr>
          </w:p>
          <w:p w14:paraId="70FB9F15">
            <w:pPr>
              <w:pStyle w:val="10"/>
              <w:rPr>
                <w:color w:val="000000"/>
                <w:sz w:val="24"/>
                <w:highlight w:val="none"/>
              </w:rPr>
            </w:pPr>
          </w:p>
          <w:p w14:paraId="689E31B9">
            <w:pPr>
              <w:pStyle w:val="10"/>
              <w:rPr>
                <w:color w:val="000000"/>
                <w:sz w:val="24"/>
                <w:highlight w:val="none"/>
              </w:rPr>
            </w:pPr>
          </w:p>
          <w:p w14:paraId="047E93E1">
            <w:pPr>
              <w:pStyle w:val="10"/>
              <w:rPr>
                <w:color w:val="000000"/>
                <w:sz w:val="24"/>
                <w:highlight w:val="none"/>
              </w:rPr>
            </w:pPr>
          </w:p>
          <w:p w14:paraId="48830AD7">
            <w:pPr>
              <w:pStyle w:val="10"/>
              <w:rPr>
                <w:color w:val="000000"/>
                <w:sz w:val="24"/>
                <w:highlight w:val="none"/>
              </w:rPr>
            </w:pPr>
          </w:p>
          <w:p w14:paraId="6054E9F6">
            <w:pPr>
              <w:autoSpaceDE w:val="0"/>
              <w:autoSpaceDN w:val="0"/>
              <w:adjustRightInd w:val="0"/>
              <w:snapToGrid w:val="0"/>
              <w:spacing w:line="360" w:lineRule="auto"/>
              <w:ind w:firstLine="482" w:firstLineChars="200"/>
              <w:rPr>
                <w:b/>
                <w:bCs/>
                <w:color w:val="000000"/>
                <w:kern w:val="0"/>
                <w:sz w:val="24"/>
                <w:highlight w:val="none"/>
              </w:rPr>
            </w:pPr>
            <w:r>
              <w:rPr>
                <w:b/>
                <w:bCs/>
                <w:color w:val="000000"/>
                <w:kern w:val="0"/>
                <w:sz w:val="24"/>
                <w:highlight w:val="none"/>
              </w:rPr>
              <w:t>（二）运营期</w:t>
            </w:r>
          </w:p>
          <w:p w14:paraId="02307F9D">
            <w:pPr>
              <w:autoSpaceDE w:val="0"/>
              <w:autoSpaceDN w:val="0"/>
              <w:adjustRightInd w:val="0"/>
              <w:snapToGrid w:val="0"/>
              <w:spacing w:line="360" w:lineRule="auto"/>
              <w:ind w:firstLine="480" w:firstLineChars="200"/>
              <w:rPr>
                <w:rFonts w:hint="eastAsia"/>
                <w:bCs/>
                <w:color w:val="000000"/>
                <w:kern w:val="0"/>
                <w:sz w:val="24"/>
                <w:highlight w:val="none"/>
              </w:rPr>
            </w:pPr>
            <w:r>
              <w:rPr>
                <w:bCs/>
                <w:color w:val="000000"/>
                <w:kern w:val="0"/>
                <w:sz w:val="24"/>
                <w:highlight w:val="none"/>
              </w:rPr>
              <w:t>本项目</w:t>
            </w:r>
            <w:r>
              <w:rPr>
                <w:rFonts w:hint="eastAsia"/>
                <w:bCs/>
                <w:color w:val="000000"/>
                <w:kern w:val="0"/>
                <w:sz w:val="24"/>
                <w:highlight w:val="none"/>
                <w:lang w:eastAsia="zh-CN"/>
              </w:rPr>
              <w:t>环保</w:t>
            </w:r>
            <w:r>
              <w:rPr>
                <w:rFonts w:hint="eastAsia"/>
                <w:bCs/>
                <w:color w:val="000000"/>
                <w:kern w:val="0"/>
                <w:sz w:val="24"/>
                <w:highlight w:val="none"/>
              </w:rPr>
              <w:t>机制炭生产工艺流程及产污环节见图</w:t>
            </w:r>
            <w:r>
              <w:rPr>
                <w:bCs/>
                <w:color w:val="000000"/>
                <w:kern w:val="0"/>
                <w:sz w:val="24"/>
                <w:highlight w:val="none"/>
              </w:rPr>
              <w:t>2-3</w:t>
            </w:r>
            <w:r>
              <w:rPr>
                <w:rFonts w:hint="eastAsia"/>
                <w:bCs/>
                <w:color w:val="000000"/>
                <w:kern w:val="0"/>
                <w:sz w:val="24"/>
                <w:highlight w:val="none"/>
              </w:rPr>
              <w:t>。</w:t>
            </w:r>
          </w:p>
          <w:p w14:paraId="5B2193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24"/>
                <w:szCs w:val="24"/>
                <w:highlight w:val="none"/>
                <w:lang w:val="en-US" w:eastAsia="zh-CN"/>
              </w:rPr>
            </w:pPr>
            <w:r>
              <w:rPr>
                <w:rFonts w:hint="eastAsia"/>
                <w:b/>
                <w:bCs/>
                <w:sz w:val="24"/>
                <w:szCs w:val="24"/>
                <w:highlight w:val="none"/>
                <w:lang w:val="en-US" w:eastAsia="zh-CN"/>
              </w:rPr>
              <w:drawing>
                <wp:inline distT="0" distB="0" distL="114300" distR="114300">
                  <wp:extent cx="4146550" cy="2769235"/>
                  <wp:effectExtent l="0" t="0" r="6350" b="12065"/>
                  <wp:docPr id="10" name="图片 10" descr="工艺流程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工艺流程111"/>
                          <pic:cNvPicPr>
                            <a:picLocks noChangeAspect="1"/>
                          </pic:cNvPicPr>
                        </pic:nvPicPr>
                        <pic:blipFill>
                          <a:blip r:embed="rId9"/>
                          <a:stretch>
                            <a:fillRect/>
                          </a:stretch>
                        </pic:blipFill>
                        <pic:spPr>
                          <a:xfrm>
                            <a:off x="0" y="0"/>
                            <a:ext cx="4146550" cy="2769235"/>
                          </a:xfrm>
                          <a:prstGeom prst="rect">
                            <a:avLst/>
                          </a:prstGeom>
                        </pic:spPr>
                      </pic:pic>
                    </a:graphicData>
                  </a:graphic>
                </wp:inline>
              </w:drawing>
            </w:r>
          </w:p>
          <w:p w14:paraId="68653F47">
            <w:pPr>
              <w:spacing w:line="360" w:lineRule="auto"/>
              <w:jc w:val="center"/>
              <w:rPr>
                <w:rFonts w:hint="eastAsia"/>
                <w:b/>
                <w:bCs/>
                <w:sz w:val="24"/>
                <w:szCs w:val="24"/>
                <w:highlight w:val="none"/>
                <w:lang w:val="en-US" w:eastAsia="zh-CN"/>
              </w:rPr>
            </w:pPr>
            <w:r>
              <w:rPr>
                <w:b/>
                <w:color w:val="000000"/>
                <w:sz w:val="24"/>
                <w:highlight w:val="none"/>
              </w:rPr>
              <w:t>图2-3 项目工艺流程及产污环节图</w:t>
            </w:r>
          </w:p>
          <w:p w14:paraId="5E796966">
            <w:pPr>
              <w:autoSpaceDE w:val="0"/>
              <w:autoSpaceDN w:val="0"/>
              <w:adjustRightInd w:val="0"/>
              <w:snapToGrid w:val="0"/>
              <w:spacing w:line="360" w:lineRule="auto"/>
              <w:ind w:firstLine="482" w:firstLineChars="200"/>
              <w:rPr>
                <w:b/>
                <w:bCs/>
                <w:color w:val="000000"/>
                <w:kern w:val="0"/>
                <w:sz w:val="24"/>
                <w:highlight w:val="none"/>
              </w:rPr>
            </w:pPr>
            <w:r>
              <w:rPr>
                <w:b/>
                <w:bCs/>
                <w:color w:val="000000"/>
                <w:kern w:val="0"/>
                <w:sz w:val="24"/>
                <w:highlight w:val="none"/>
              </w:rPr>
              <w:t>工艺流程</w:t>
            </w:r>
            <w:r>
              <w:rPr>
                <w:rFonts w:hint="eastAsia"/>
                <w:b/>
                <w:bCs/>
                <w:color w:val="000000"/>
                <w:kern w:val="0"/>
                <w:sz w:val="24"/>
                <w:highlight w:val="none"/>
                <w:lang w:val="en-US" w:eastAsia="zh-CN"/>
              </w:rPr>
              <w:t>和产污环节</w:t>
            </w:r>
            <w:r>
              <w:rPr>
                <w:b/>
                <w:bCs/>
                <w:color w:val="000000"/>
                <w:kern w:val="0"/>
                <w:sz w:val="24"/>
                <w:highlight w:val="none"/>
              </w:rPr>
              <w:t>说明：</w:t>
            </w:r>
          </w:p>
          <w:p w14:paraId="0D6D3EF1">
            <w:pPr>
              <w:autoSpaceDE w:val="0"/>
              <w:autoSpaceDN w:val="0"/>
              <w:adjustRightInd w:val="0"/>
              <w:snapToGrid w:val="0"/>
              <w:spacing w:line="360" w:lineRule="auto"/>
              <w:ind w:firstLine="482" w:firstLineChars="200"/>
              <w:rPr>
                <w:b/>
                <w:bCs w:val="0"/>
                <w:color w:val="000000"/>
                <w:kern w:val="0"/>
                <w:sz w:val="24"/>
                <w:highlight w:val="none"/>
              </w:rPr>
            </w:pPr>
            <w:r>
              <w:rPr>
                <w:b/>
                <w:bCs w:val="0"/>
                <w:color w:val="000000"/>
                <w:kern w:val="0"/>
                <w:sz w:val="24"/>
                <w:highlight w:val="none"/>
              </w:rPr>
              <w:t>1</w:t>
            </w:r>
            <w:r>
              <w:rPr>
                <w:rFonts w:hint="eastAsia"/>
                <w:b/>
                <w:bCs w:val="0"/>
                <w:color w:val="000000"/>
                <w:kern w:val="0"/>
                <w:sz w:val="24"/>
                <w:highlight w:val="none"/>
              </w:rPr>
              <w:t>、</w:t>
            </w:r>
            <w:r>
              <w:rPr>
                <w:b/>
                <w:bCs w:val="0"/>
                <w:color w:val="000000"/>
                <w:kern w:val="0"/>
                <w:sz w:val="24"/>
                <w:highlight w:val="none"/>
              </w:rPr>
              <w:t>工艺流程概述</w:t>
            </w:r>
          </w:p>
          <w:p w14:paraId="61D2946B">
            <w:pPr>
              <w:spacing w:line="360" w:lineRule="auto"/>
              <w:ind w:firstLine="352" w:firstLineChars="147"/>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）粉碎：</w:t>
            </w:r>
            <w:r>
              <w:rPr>
                <w:rFonts w:hint="default" w:ascii="Times New Roman" w:hAnsi="Times New Roman" w:cs="Times New Roman"/>
                <w:color w:val="auto"/>
                <w:sz w:val="24"/>
                <w:szCs w:val="24"/>
                <w:highlight w:val="none"/>
              </w:rPr>
              <w:t>外购</w:t>
            </w:r>
            <w:r>
              <w:rPr>
                <w:rFonts w:hint="eastAsia" w:ascii="Times New Roman" w:hAnsi="Times New Roman" w:cs="Times New Roman"/>
                <w:color w:val="auto"/>
                <w:sz w:val="24"/>
                <w:szCs w:val="24"/>
                <w:highlight w:val="none"/>
                <w:lang w:eastAsia="zh-CN"/>
              </w:rPr>
              <w:t>木糠（木粉）</w:t>
            </w:r>
            <w:r>
              <w:rPr>
                <w:rFonts w:hint="default" w:ascii="Times New Roman" w:hAnsi="Times New Roman" w:cs="Times New Roman"/>
                <w:color w:val="auto"/>
                <w:sz w:val="24"/>
                <w:szCs w:val="24"/>
                <w:highlight w:val="none"/>
              </w:rPr>
              <w:t>会携带一些较大粒径的</w:t>
            </w:r>
            <w:r>
              <w:rPr>
                <w:rFonts w:hint="eastAsia" w:ascii="Times New Roman" w:hAnsi="Times New Roman" w:cs="Times New Roman"/>
                <w:color w:val="auto"/>
                <w:sz w:val="24"/>
                <w:szCs w:val="24"/>
                <w:highlight w:val="none"/>
                <w:lang w:eastAsia="zh-CN"/>
              </w:rPr>
              <w:t>木块、木片</w:t>
            </w:r>
            <w:r>
              <w:rPr>
                <w:rFonts w:hint="default" w:ascii="Times New Roman" w:hAnsi="Times New Roman" w:cs="Times New Roman"/>
                <w:color w:val="auto"/>
                <w:sz w:val="24"/>
                <w:szCs w:val="24"/>
                <w:highlight w:val="none"/>
              </w:rPr>
              <w:t>，因此需要用到</w:t>
            </w:r>
            <w:r>
              <w:rPr>
                <w:rFonts w:hint="eastAsia" w:cs="Times New Roman"/>
                <w:color w:val="auto"/>
                <w:sz w:val="24"/>
                <w:szCs w:val="24"/>
                <w:highlight w:val="none"/>
                <w:lang w:eastAsia="zh-CN"/>
              </w:rPr>
              <w:t>破碎</w:t>
            </w:r>
            <w:r>
              <w:rPr>
                <w:rFonts w:hint="default" w:ascii="Times New Roman" w:hAnsi="Times New Roman" w:cs="Times New Roman"/>
                <w:color w:val="auto"/>
                <w:sz w:val="24"/>
                <w:szCs w:val="24"/>
                <w:highlight w:val="none"/>
              </w:rPr>
              <w:t>机对</w:t>
            </w:r>
            <w:r>
              <w:rPr>
                <w:rFonts w:hint="eastAsia" w:ascii="Times New Roman" w:hAnsi="Times New Roman" w:cs="Times New Roman"/>
                <w:color w:val="auto"/>
                <w:sz w:val="24"/>
                <w:szCs w:val="24"/>
                <w:highlight w:val="none"/>
                <w:lang w:eastAsia="zh-CN"/>
              </w:rPr>
              <w:t>木糠</w:t>
            </w:r>
            <w:r>
              <w:rPr>
                <w:rFonts w:hint="default" w:ascii="Times New Roman" w:hAnsi="Times New Roman" w:cs="Times New Roman"/>
                <w:color w:val="auto"/>
                <w:sz w:val="24"/>
                <w:szCs w:val="24"/>
                <w:highlight w:val="none"/>
              </w:rPr>
              <w:t>进行</w:t>
            </w:r>
            <w:r>
              <w:rPr>
                <w:rFonts w:hint="eastAsia" w:ascii="Times New Roman" w:hAnsi="Times New Roman" w:cs="Times New Roman"/>
                <w:color w:val="auto"/>
                <w:sz w:val="24"/>
                <w:szCs w:val="24"/>
                <w:highlight w:val="none"/>
                <w:lang w:eastAsia="zh-CN"/>
              </w:rPr>
              <w:t>粉碎</w:t>
            </w:r>
            <w:r>
              <w:rPr>
                <w:rFonts w:hint="default" w:ascii="Times New Roman" w:hAnsi="Times New Roman" w:cs="Times New Roman"/>
                <w:color w:val="auto"/>
                <w:sz w:val="24"/>
                <w:szCs w:val="24"/>
                <w:highlight w:val="none"/>
              </w:rPr>
              <w:t>处理。此工序会产生粉尘和噪声</w:t>
            </w:r>
            <w:r>
              <w:rPr>
                <w:rFonts w:hint="default" w:ascii="Times New Roman" w:hAnsi="Times New Roman" w:cs="Times New Roman"/>
                <w:color w:val="auto"/>
                <w:sz w:val="24"/>
                <w:szCs w:val="24"/>
                <w:highlight w:val="none"/>
                <w:lang w:eastAsia="zh-CN"/>
              </w:rPr>
              <w:t>。</w:t>
            </w:r>
          </w:p>
          <w:p w14:paraId="591BCCBD">
            <w:pPr>
              <w:spacing w:line="360" w:lineRule="auto"/>
              <w:ind w:firstLine="352" w:firstLineChars="147"/>
              <w:rPr>
                <w:rFonts w:hint="eastAsia" w:eastAsia="宋体"/>
                <w:highlight w:val="none"/>
                <w:lang w:eastAsia="zh-CN"/>
              </w:rPr>
            </w:pPr>
            <w:r>
              <w:rPr>
                <w:rFonts w:ascii="宋体" w:hAnsi="宋体"/>
                <w:sz w:val="24"/>
                <w:highlight w:val="none"/>
              </w:rPr>
              <w:t>（</w:t>
            </w:r>
            <w:r>
              <w:rPr>
                <w:rFonts w:hint="eastAsia"/>
                <w:sz w:val="24"/>
                <w:highlight w:val="none"/>
                <w:lang w:val="en-US" w:eastAsia="zh-CN"/>
              </w:rPr>
              <w:t>2</w:t>
            </w:r>
            <w:r>
              <w:rPr>
                <w:rFonts w:ascii="宋体" w:hAnsi="宋体"/>
                <w:sz w:val="24"/>
                <w:highlight w:val="none"/>
              </w:rPr>
              <w:t>）烘干：</w:t>
            </w:r>
            <w:r>
              <w:rPr>
                <w:rFonts w:hint="eastAsia" w:cs="Times New Roman"/>
                <w:bCs/>
                <w:color w:val="000000"/>
                <w:sz w:val="24"/>
                <w:szCs w:val="18"/>
                <w:highlight w:val="none"/>
                <w:lang w:val="en-US" w:eastAsia="zh-CN"/>
              </w:rPr>
              <w:t>经粉碎后的木糠（木粉）</w:t>
            </w:r>
            <w:r>
              <w:rPr>
                <w:rFonts w:hint="eastAsia" w:cs="Times New Roman"/>
                <w:sz w:val="24"/>
                <w:highlight w:val="none"/>
                <w:lang w:val="en-US" w:eastAsia="zh-CN"/>
              </w:rPr>
              <w:t>经输送带</w:t>
            </w:r>
            <w:r>
              <w:rPr>
                <w:rFonts w:ascii="Times New Roman" w:hAnsi="Times New Roman" w:cs="Times New Roman"/>
                <w:bCs/>
                <w:color w:val="000000"/>
                <w:sz w:val="24"/>
                <w:szCs w:val="18"/>
                <w:highlight w:val="none"/>
              </w:rPr>
              <w:t>送入烘干</w:t>
            </w:r>
            <w:r>
              <w:rPr>
                <w:rFonts w:hint="eastAsia" w:cs="Times New Roman"/>
                <w:bCs/>
                <w:color w:val="000000"/>
                <w:sz w:val="24"/>
                <w:szCs w:val="18"/>
                <w:highlight w:val="none"/>
                <w:lang w:val="en-US" w:eastAsia="zh-CN"/>
              </w:rPr>
              <w:t>机</w:t>
            </w:r>
            <w:r>
              <w:rPr>
                <w:rFonts w:ascii="Times New Roman" w:hAnsi="Times New Roman" w:cs="Times New Roman"/>
                <w:bCs/>
                <w:color w:val="000000"/>
                <w:sz w:val="24"/>
                <w:szCs w:val="18"/>
                <w:highlight w:val="none"/>
              </w:rPr>
              <w:t>进行烘干</w:t>
            </w:r>
            <w:r>
              <w:rPr>
                <w:rFonts w:hint="eastAsia" w:ascii="Times New Roman" w:hAnsi="Times New Roman" w:cs="Times New Roman"/>
                <w:bCs/>
                <w:color w:val="000000"/>
                <w:sz w:val="24"/>
                <w:szCs w:val="18"/>
                <w:highlight w:val="none"/>
              </w:rPr>
              <w:t>，根据建设单位资料，</w:t>
            </w:r>
            <w:r>
              <w:rPr>
                <w:rFonts w:hint="eastAsia" w:cs="Times New Roman"/>
                <w:bCs/>
                <w:color w:val="000000"/>
                <w:sz w:val="24"/>
                <w:szCs w:val="18"/>
                <w:highlight w:val="none"/>
                <w:lang w:val="en-US" w:eastAsia="zh-CN"/>
              </w:rPr>
              <w:t>原料</w:t>
            </w:r>
            <w:r>
              <w:rPr>
                <w:rFonts w:hint="eastAsia" w:ascii="Times New Roman" w:hAnsi="Times New Roman" w:cs="Times New Roman"/>
                <w:bCs/>
                <w:color w:val="000000"/>
                <w:sz w:val="24"/>
                <w:szCs w:val="18"/>
                <w:highlight w:val="none"/>
              </w:rPr>
              <w:t>含水率平均在</w:t>
            </w:r>
            <w:r>
              <w:rPr>
                <w:rFonts w:hint="eastAsia" w:cs="Times New Roman"/>
                <w:bCs/>
                <w:color w:val="000000"/>
                <w:sz w:val="24"/>
                <w:szCs w:val="18"/>
                <w:highlight w:val="none"/>
                <w:lang w:val="en-US" w:eastAsia="zh-CN"/>
              </w:rPr>
              <w:t>5</w:t>
            </w:r>
            <w:r>
              <w:rPr>
                <w:rFonts w:hint="eastAsia" w:ascii="Times New Roman" w:hAnsi="Times New Roman" w:cs="Times New Roman"/>
                <w:bCs/>
                <w:color w:val="000000"/>
                <w:sz w:val="24"/>
                <w:szCs w:val="18"/>
                <w:highlight w:val="none"/>
              </w:rPr>
              <w:t>0%左右</w:t>
            </w:r>
            <w:r>
              <w:rPr>
                <w:rFonts w:ascii="Times New Roman" w:hAnsi="Times New Roman" w:cs="Times New Roman"/>
                <w:bCs/>
                <w:color w:val="000000"/>
                <w:sz w:val="24"/>
                <w:szCs w:val="18"/>
                <w:highlight w:val="none"/>
              </w:rPr>
              <w:t>，</w:t>
            </w:r>
            <w:r>
              <w:rPr>
                <w:rFonts w:hint="eastAsia" w:ascii="Times New Roman" w:hAnsi="Times New Roman" w:cs="Times New Roman"/>
                <w:bCs/>
                <w:color w:val="000000"/>
                <w:sz w:val="24"/>
                <w:szCs w:val="18"/>
                <w:highlight w:val="none"/>
              </w:rPr>
              <w:t>经烘干后使屑</w:t>
            </w:r>
            <w:r>
              <w:rPr>
                <w:rFonts w:hint="eastAsia" w:cs="Times New Roman"/>
                <w:bCs/>
                <w:color w:val="000000"/>
                <w:sz w:val="24"/>
                <w:szCs w:val="18"/>
                <w:highlight w:val="none"/>
                <w:lang w:val="en-US" w:eastAsia="zh-CN"/>
              </w:rPr>
              <w:t>粉</w:t>
            </w:r>
            <w:r>
              <w:rPr>
                <w:rFonts w:ascii="Times New Roman" w:hAnsi="Times New Roman" w:cs="Times New Roman"/>
                <w:bCs/>
                <w:color w:val="000000"/>
                <w:sz w:val="24"/>
                <w:szCs w:val="18"/>
                <w:highlight w:val="none"/>
              </w:rPr>
              <w:t>含水率小于10%</w:t>
            </w:r>
            <w:r>
              <w:rPr>
                <w:rFonts w:hint="eastAsia" w:cs="Times New Roman"/>
                <w:bCs/>
                <w:color w:val="000000"/>
                <w:sz w:val="24"/>
                <w:szCs w:val="18"/>
                <w:highlight w:val="none"/>
                <w:lang w:eastAsia="zh-CN"/>
              </w:rPr>
              <w:t>（</w:t>
            </w:r>
            <w:r>
              <w:rPr>
                <w:rFonts w:hint="eastAsia" w:cs="Times New Roman"/>
                <w:bCs/>
                <w:color w:val="000000"/>
                <w:sz w:val="24"/>
                <w:szCs w:val="18"/>
                <w:highlight w:val="none"/>
                <w:lang w:val="en-US" w:eastAsia="zh-CN"/>
              </w:rPr>
              <w:t>取10%</w:t>
            </w:r>
            <w:r>
              <w:rPr>
                <w:rFonts w:hint="eastAsia" w:cs="Times New Roman"/>
                <w:bCs/>
                <w:color w:val="000000"/>
                <w:sz w:val="24"/>
                <w:szCs w:val="18"/>
                <w:highlight w:val="none"/>
                <w:lang w:eastAsia="zh-CN"/>
              </w:rPr>
              <w:t>）</w:t>
            </w:r>
            <w:r>
              <w:rPr>
                <w:rFonts w:ascii="Times New Roman" w:hAnsi="Times New Roman" w:cs="Times New Roman"/>
                <w:bCs/>
                <w:color w:val="000000"/>
                <w:sz w:val="24"/>
                <w:szCs w:val="18"/>
                <w:highlight w:val="none"/>
              </w:rPr>
              <w:t>，烘干温度</w:t>
            </w:r>
            <w:r>
              <w:rPr>
                <w:rFonts w:hint="eastAsia" w:cs="Times New Roman"/>
                <w:bCs/>
                <w:color w:val="000000"/>
                <w:sz w:val="24"/>
                <w:szCs w:val="18"/>
                <w:highlight w:val="none"/>
                <w:lang w:val="en-US" w:eastAsia="zh-CN"/>
              </w:rPr>
              <w:t>为140-200</w:t>
            </w:r>
            <w:r>
              <w:rPr>
                <w:rFonts w:ascii="Times New Roman" w:hAnsi="Times New Roman" w:cs="Times New Roman"/>
                <w:bCs/>
                <w:color w:val="000000"/>
                <w:sz w:val="24"/>
                <w:szCs w:val="18"/>
                <w:highlight w:val="none"/>
              </w:rPr>
              <w:t>℃。</w:t>
            </w:r>
            <w:r>
              <w:rPr>
                <w:rFonts w:ascii="宋体" w:hAnsi="宋体"/>
                <w:sz w:val="24"/>
                <w:highlight w:val="none"/>
              </w:rPr>
              <w:t>为满足原料干燥的要求</w:t>
            </w:r>
            <w:r>
              <w:rPr>
                <w:rFonts w:hint="eastAsia" w:ascii="宋体" w:hAnsi="宋体"/>
                <w:sz w:val="24"/>
                <w:highlight w:val="none"/>
              </w:rPr>
              <w:t>，项目</w:t>
            </w:r>
            <w:r>
              <w:rPr>
                <w:rFonts w:ascii="宋体" w:hAnsi="宋体"/>
                <w:sz w:val="24"/>
                <w:highlight w:val="none"/>
              </w:rPr>
              <w:t>烘干系统</w:t>
            </w:r>
            <w:r>
              <w:rPr>
                <w:rFonts w:hint="eastAsia" w:ascii="宋体" w:hAnsi="宋体"/>
                <w:sz w:val="24"/>
                <w:highlight w:val="none"/>
              </w:rPr>
              <w:t>设置</w:t>
            </w:r>
            <w:r>
              <w:rPr>
                <w:rFonts w:hint="eastAsia" w:ascii="宋体" w:hAnsi="宋体"/>
                <w:sz w:val="24"/>
                <w:highlight w:val="none"/>
                <w:lang w:eastAsia="zh-CN"/>
              </w:rPr>
              <w:t>燃烧炉</w:t>
            </w:r>
            <w:r>
              <w:rPr>
                <w:rFonts w:hint="eastAsia" w:ascii="宋体" w:hAnsi="宋体"/>
                <w:sz w:val="24"/>
                <w:highlight w:val="none"/>
              </w:rPr>
              <w:t>一台，与烘干机相连；烘干热源</w:t>
            </w:r>
            <w:r>
              <w:rPr>
                <w:rFonts w:hint="eastAsia" w:ascii="宋体" w:hAnsi="宋体"/>
                <w:sz w:val="24"/>
                <w:highlight w:val="none"/>
                <w:lang w:eastAsia="zh-CN"/>
              </w:rPr>
              <w:t>（</w:t>
            </w:r>
            <w:r>
              <w:rPr>
                <w:rFonts w:hint="eastAsia" w:ascii="宋体" w:hAnsi="宋体"/>
                <w:sz w:val="24"/>
                <w:highlight w:val="none"/>
                <w:lang w:val="en-US" w:eastAsia="zh-CN"/>
              </w:rPr>
              <w:t>燃烧炉</w:t>
            </w:r>
            <w:r>
              <w:rPr>
                <w:rFonts w:hint="eastAsia" w:ascii="宋体" w:hAnsi="宋体"/>
                <w:sz w:val="24"/>
                <w:highlight w:val="none"/>
                <w:lang w:eastAsia="zh-CN"/>
              </w:rPr>
              <w:t>）</w:t>
            </w:r>
            <w:r>
              <w:rPr>
                <w:rFonts w:hint="eastAsia" w:ascii="宋体" w:hAnsi="宋体"/>
                <w:sz w:val="24"/>
                <w:highlight w:val="none"/>
              </w:rPr>
              <w:t>为</w:t>
            </w:r>
            <w:r>
              <w:rPr>
                <w:rFonts w:hint="eastAsia" w:ascii="宋体" w:hAnsi="宋体"/>
                <w:sz w:val="24"/>
                <w:highlight w:val="none"/>
                <w:lang w:val="en-US" w:eastAsia="zh-CN"/>
              </w:rPr>
              <w:t>生物质成型燃料</w:t>
            </w:r>
            <w:r>
              <w:rPr>
                <w:rFonts w:hint="eastAsia" w:ascii="宋体" w:hAnsi="宋体"/>
                <w:sz w:val="24"/>
                <w:highlight w:val="none"/>
              </w:rPr>
              <w:t>燃烧、制棒废气、炭化窑废气燃烧产生的热量</w:t>
            </w:r>
            <w:r>
              <w:rPr>
                <w:rFonts w:hint="eastAsia" w:ascii="宋体" w:hAnsi="宋体" w:eastAsia="宋体" w:cs="Times New Roman"/>
                <w:sz w:val="24"/>
                <w:highlight w:val="none"/>
              </w:rPr>
              <w:t>。</w:t>
            </w:r>
          </w:p>
          <w:p w14:paraId="2B128C24">
            <w:pPr>
              <w:spacing w:line="360" w:lineRule="auto"/>
              <w:ind w:firstLine="352" w:firstLineChars="147"/>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r>
              <w:rPr>
                <w:rFonts w:hint="eastAsia" w:cs="Times New Roman"/>
                <w:sz w:val="24"/>
                <w:highlight w:val="none"/>
                <w:lang w:val="en-US" w:eastAsia="zh-CN"/>
              </w:rPr>
              <w:t>3</w:t>
            </w:r>
            <w:r>
              <w:rPr>
                <w:rFonts w:hint="default" w:ascii="Times New Roman" w:hAnsi="Times New Roman" w:eastAsia="宋体" w:cs="Times New Roman"/>
                <w:sz w:val="24"/>
                <w:highlight w:val="none"/>
              </w:rPr>
              <w:t>）制棒：</w:t>
            </w:r>
            <w:r>
              <w:rPr>
                <w:rFonts w:ascii="宋体" w:hAnsi="宋体"/>
                <w:color w:val="auto"/>
                <w:sz w:val="24"/>
                <w:highlight w:val="none"/>
              </w:rPr>
              <w:t>将烘干屑粉通过双绞龙输送机送入制棒机内，</w:t>
            </w:r>
            <w:r>
              <w:rPr>
                <w:rFonts w:hint="eastAsia" w:ascii="宋体" w:hAnsi="宋体"/>
                <w:color w:val="auto"/>
                <w:sz w:val="24"/>
                <w:highlight w:val="none"/>
              </w:rPr>
              <w:t>在制棒腔内物料与压辊、模板之间产生强摩擦而产生大量热量，在</w:t>
            </w:r>
            <w:r>
              <w:rPr>
                <w:color w:val="auto"/>
                <w:sz w:val="24"/>
                <w:highlight w:val="none"/>
              </w:rPr>
              <w:t>140</w:t>
            </w:r>
            <w:r>
              <w:rPr>
                <w:rFonts w:ascii="宋体" w:hAnsi="宋体"/>
                <w:color w:val="auto"/>
                <w:sz w:val="24"/>
                <w:highlight w:val="none"/>
              </w:rPr>
              <w:t>～</w:t>
            </w:r>
            <w:r>
              <w:rPr>
                <w:color w:val="auto"/>
                <w:sz w:val="24"/>
                <w:highlight w:val="none"/>
              </w:rPr>
              <w:t>500</w:t>
            </w:r>
            <w:r>
              <w:rPr>
                <w:rFonts w:hint="eastAsia" w:ascii="宋体" w:hAnsi="宋体"/>
                <w:color w:val="auto"/>
                <w:sz w:val="24"/>
                <w:highlight w:val="none"/>
              </w:rPr>
              <w:t>℃</w:t>
            </w:r>
            <w:r>
              <w:rPr>
                <w:rFonts w:ascii="宋体" w:hAnsi="宋体"/>
                <w:color w:val="auto"/>
                <w:sz w:val="24"/>
                <w:highlight w:val="none"/>
              </w:rPr>
              <w:t>的高温高压条件下，将高温软化的木质原料中的木质素、纤维素纤维化，</w:t>
            </w:r>
            <w:r>
              <w:rPr>
                <w:rFonts w:hint="eastAsia" w:ascii="宋体" w:hAnsi="宋体"/>
                <w:color w:val="auto"/>
                <w:sz w:val="24"/>
                <w:highlight w:val="none"/>
              </w:rPr>
              <w:t>形成带中心孔的半成品薪棒</w:t>
            </w:r>
            <w:r>
              <w:rPr>
                <w:rFonts w:hint="default" w:ascii="Times New Roman" w:hAnsi="Times New Roman" w:eastAsia="宋体" w:cs="Times New Roman"/>
                <w:sz w:val="24"/>
                <w:highlight w:val="none"/>
              </w:rPr>
              <w:t>。由于高温和高压的作用，炭棒表面会部分炭化而产生少量烟气（主要为颗粒物）。</w:t>
            </w:r>
          </w:p>
          <w:p w14:paraId="2BDC2CD8">
            <w:pPr>
              <w:widowControl/>
              <w:spacing w:line="360" w:lineRule="auto"/>
              <w:ind w:firstLine="352" w:firstLineChars="147"/>
              <w:rPr>
                <w:sz w:val="24"/>
                <w:highlight w:val="none"/>
              </w:rPr>
            </w:pPr>
            <w:r>
              <w:rPr>
                <w:rFonts w:ascii="宋体" w:hAnsi="宋体"/>
                <w:sz w:val="24"/>
                <w:highlight w:val="none"/>
              </w:rPr>
              <w:t>（</w:t>
            </w:r>
            <w:r>
              <w:rPr>
                <w:rFonts w:hint="eastAsia"/>
                <w:sz w:val="24"/>
                <w:highlight w:val="none"/>
                <w:lang w:val="en-US" w:eastAsia="zh-CN"/>
              </w:rPr>
              <w:t>4</w:t>
            </w:r>
            <w:r>
              <w:rPr>
                <w:rFonts w:ascii="宋体" w:hAnsi="宋体"/>
                <w:sz w:val="24"/>
                <w:highlight w:val="none"/>
              </w:rPr>
              <w:t>）炭化：将半成品薪棒</w:t>
            </w:r>
            <w:r>
              <w:rPr>
                <w:rFonts w:hint="eastAsia" w:ascii="宋体" w:hAnsi="宋体"/>
                <w:sz w:val="24"/>
                <w:highlight w:val="none"/>
                <w:lang w:val="en-US" w:eastAsia="zh-CN"/>
              </w:rPr>
              <w:t>装入炭化框</w:t>
            </w:r>
            <w:r>
              <w:rPr>
                <w:rFonts w:ascii="宋体" w:hAnsi="宋体"/>
                <w:sz w:val="24"/>
                <w:highlight w:val="none"/>
              </w:rPr>
              <w:t>后按照标准的装法装入炭化窑</w:t>
            </w:r>
            <w:r>
              <w:rPr>
                <w:rFonts w:hint="eastAsia" w:ascii="宋体" w:hAnsi="宋体"/>
                <w:sz w:val="24"/>
                <w:highlight w:val="none"/>
                <w:lang w:eastAsia="zh-CN"/>
              </w:rPr>
              <w:t>（</w:t>
            </w:r>
            <w:r>
              <w:rPr>
                <w:rFonts w:hint="eastAsia" w:ascii="宋体" w:hAnsi="宋体"/>
                <w:sz w:val="24"/>
                <w:highlight w:val="none"/>
                <w:lang w:val="en-US" w:eastAsia="zh-CN"/>
              </w:rPr>
              <w:t>地窑</w:t>
            </w:r>
            <w:r>
              <w:rPr>
                <w:rFonts w:hint="eastAsia" w:ascii="宋体" w:hAnsi="宋体"/>
                <w:sz w:val="24"/>
                <w:highlight w:val="none"/>
                <w:lang w:eastAsia="zh-CN"/>
              </w:rPr>
              <w:t>）</w:t>
            </w:r>
            <w:r>
              <w:rPr>
                <w:rFonts w:ascii="宋体" w:hAnsi="宋体"/>
                <w:sz w:val="24"/>
                <w:highlight w:val="none"/>
              </w:rPr>
              <w:t>内，再通过人工点火，然后在炭化窑上盖上地窑盖进行闷炭。炭化是将</w:t>
            </w:r>
            <w:r>
              <w:rPr>
                <w:rFonts w:hint="eastAsia" w:ascii="宋体" w:hAnsi="宋体"/>
                <w:sz w:val="24"/>
                <w:highlight w:val="none"/>
                <w:lang w:val="en-US" w:eastAsia="zh-CN"/>
              </w:rPr>
              <w:t>成型棒</w:t>
            </w:r>
            <w:r>
              <w:rPr>
                <w:rFonts w:hint="eastAsia" w:ascii="宋体" w:hAnsi="宋体"/>
                <w:sz w:val="24"/>
                <w:highlight w:val="none"/>
              </w:rPr>
              <w:t>通过自身</w:t>
            </w:r>
            <w:r>
              <w:rPr>
                <w:rFonts w:ascii="宋体" w:hAnsi="宋体"/>
                <w:sz w:val="24"/>
                <w:highlight w:val="none"/>
              </w:rPr>
              <w:t>缺氧</w:t>
            </w:r>
            <w:r>
              <w:rPr>
                <w:rFonts w:hint="eastAsia" w:ascii="宋体" w:hAnsi="宋体"/>
                <w:sz w:val="24"/>
                <w:highlight w:val="none"/>
              </w:rPr>
              <w:t>燃烧产生热量，在高温环境下进行</w:t>
            </w:r>
            <w:r>
              <w:rPr>
                <w:rFonts w:ascii="宋体" w:hAnsi="宋体"/>
                <w:sz w:val="24"/>
                <w:highlight w:val="none"/>
              </w:rPr>
              <w:t>干馏</w:t>
            </w:r>
            <w:r>
              <w:rPr>
                <w:rFonts w:hint="eastAsia" w:ascii="宋体" w:hAnsi="宋体"/>
                <w:sz w:val="24"/>
                <w:highlight w:val="none"/>
              </w:rPr>
              <w:t>炭化</w:t>
            </w:r>
            <w:r>
              <w:rPr>
                <w:rFonts w:hint="eastAsia" w:ascii="宋体" w:hAnsi="宋体"/>
                <w:sz w:val="24"/>
                <w:highlight w:val="none"/>
                <w:lang w:eastAsia="zh-CN"/>
              </w:rPr>
              <w:t>的</w:t>
            </w:r>
            <w:r>
              <w:rPr>
                <w:rFonts w:hint="eastAsia" w:ascii="宋体" w:hAnsi="宋体"/>
                <w:sz w:val="24"/>
                <w:highlight w:val="none"/>
                <w:lang w:val="en-US" w:eastAsia="zh-CN"/>
              </w:rPr>
              <w:t>过程</w:t>
            </w:r>
            <w:r>
              <w:rPr>
                <w:rFonts w:ascii="宋体" w:hAnsi="宋体"/>
                <w:sz w:val="24"/>
                <w:highlight w:val="none"/>
              </w:rPr>
              <w:t>。其工作原理是</w:t>
            </w:r>
            <w:r>
              <w:rPr>
                <w:rFonts w:hint="eastAsia" w:ascii="宋体" w:hAnsi="宋体"/>
                <w:sz w:val="24"/>
                <w:highlight w:val="none"/>
                <w:lang w:val="en-US" w:eastAsia="zh-CN"/>
              </w:rPr>
              <w:t>成型</w:t>
            </w:r>
            <w:r>
              <w:rPr>
                <w:rFonts w:ascii="宋体" w:hAnsi="宋体"/>
                <w:sz w:val="24"/>
                <w:highlight w:val="none"/>
              </w:rPr>
              <w:t>棒在缺氧的条件下燃烧分解成可燃气体、竹醋液和竹焦油混合物、</w:t>
            </w:r>
            <w:r>
              <w:rPr>
                <w:rFonts w:hint="eastAsia" w:ascii="宋体" w:hAnsi="宋体"/>
                <w:sz w:val="24"/>
                <w:highlight w:val="none"/>
                <w:lang w:val="en-US" w:eastAsia="zh-CN"/>
              </w:rPr>
              <w:t>机制</w:t>
            </w:r>
            <w:r>
              <w:rPr>
                <w:rFonts w:ascii="宋体" w:hAnsi="宋体"/>
                <w:sz w:val="24"/>
                <w:highlight w:val="none"/>
              </w:rPr>
              <w:t>炭。</w:t>
            </w:r>
          </w:p>
          <w:p w14:paraId="54AD16E3">
            <w:pPr>
              <w:spacing w:before="10" w:line="398" w:lineRule="auto"/>
              <w:ind w:firstLine="480" w:firstLineChars="200"/>
              <w:rPr>
                <w:rFonts w:ascii="宋体" w:hAnsi="宋体"/>
                <w:sz w:val="24"/>
                <w:highlight w:val="none"/>
              </w:rPr>
            </w:pPr>
            <w:r>
              <w:rPr>
                <w:rFonts w:hint="default" w:ascii="Times New Roman" w:hAnsi="Times New Roman" w:eastAsia="宋体" w:cs="Times New Roman"/>
                <w:sz w:val="24"/>
                <w:highlight w:val="none"/>
              </w:rPr>
              <w:t>本项目炭化过程产生</w:t>
            </w:r>
            <w:r>
              <w:rPr>
                <w:rFonts w:hint="eastAsia" w:cs="Times New Roman"/>
                <w:sz w:val="24"/>
                <w:highlight w:val="none"/>
                <w:lang w:val="en-US" w:eastAsia="zh-CN"/>
              </w:rPr>
              <w:t>机制</w:t>
            </w:r>
            <w:r>
              <w:rPr>
                <w:rFonts w:hint="default" w:ascii="Times New Roman" w:hAnsi="Times New Roman" w:eastAsia="宋体" w:cs="Times New Roman"/>
                <w:sz w:val="24"/>
                <w:highlight w:val="none"/>
              </w:rPr>
              <w:t>炭和炭化废气</w:t>
            </w:r>
            <w:r>
              <w:rPr>
                <w:rFonts w:hint="default" w:ascii="Times New Roman" w:hAnsi="Times New Roman" w:eastAsia="宋体" w:cs="Times New Roman"/>
                <w:sz w:val="24"/>
                <w:highlight w:val="none"/>
                <w:lang w:eastAsia="zh-CN"/>
              </w:rPr>
              <w:t>，</w:t>
            </w:r>
            <w:r>
              <w:rPr>
                <w:rFonts w:hint="eastAsia" w:cs="Times New Roman"/>
                <w:sz w:val="24"/>
                <w:highlight w:val="none"/>
                <w:lang w:val="en-US" w:eastAsia="zh-CN"/>
              </w:rPr>
              <w:t>机制</w:t>
            </w:r>
            <w:r>
              <w:rPr>
                <w:rFonts w:hint="default" w:ascii="Times New Roman" w:hAnsi="Times New Roman" w:eastAsia="宋体" w:cs="Times New Roman"/>
                <w:sz w:val="24"/>
                <w:highlight w:val="none"/>
              </w:rPr>
              <w:t>炭为项目最终产品，炭化废气主要含</w:t>
            </w:r>
            <w:r>
              <w:rPr>
                <w:rFonts w:hint="default" w:ascii="Times New Roman" w:hAnsi="Times New Roman" w:eastAsia="宋体" w:cs="Times New Roman"/>
                <w:sz w:val="24"/>
                <w:highlight w:val="none"/>
                <w:lang w:eastAsia="zh-CN"/>
              </w:rPr>
              <w:t>废气</w:t>
            </w:r>
            <w:r>
              <w:rPr>
                <w:rFonts w:hint="default" w:ascii="Times New Roman" w:hAnsi="Times New Roman" w:eastAsia="宋体" w:cs="Times New Roman"/>
                <w:sz w:val="24"/>
                <w:highlight w:val="none"/>
              </w:rPr>
              <w:t>、气态竹焦油、气态竹醋液和可燃气体；可燃气体主要是一氧化碳、甲烷、乙烯等。</w:t>
            </w:r>
            <w:r>
              <w:rPr>
                <w:rFonts w:hint="default" w:ascii="Times New Roman" w:hAnsi="Times New Roman" w:eastAsia="宋体" w:cs="Times New Roman"/>
                <w:sz w:val="24"/>
                <w:szCs w:val="24"/>
                <w:highlight w:val="none"/>
              </w:rPr>
              <w:t>碳化废气经过密闭管道输送至</w:t>
            </w:r>
            <w:r>
              <w:rPr>
                <w:rFonts w:hint="default" w:ascii="Times New Roman" w:hAnsi="Times New Roman" w:eastAsia="宋体" w:cs="Times New Roman"/>
                <w:sz w:val="24"/>
                <w:highlight w:val="none"/>
              </w:rPr>
              <w:t>烘干系统的</w:t>
            </w:r>
            <w:r>
              <w:rPr>
                <w:rFonts w:hint="default" w:ascii="Times New Roman" w:hAnsi="Times New Roman" w:eastAsia="宋体" w:cs="Times New Roman"/>
                <w:sz w:val="24"/>
                <w:highlight w:val="none"/>
                <w:lang w:val="en-US" w:eastAsia="zh-CN"/>
              </w:rPr>
              <w:t>燃烧</w:t>
            </w:r>
            <w:r>
              <w:rPr>
                <w:rFonts w:hint="default" w:ascii="Times New Roman" w:hAnsi="Times New Roman" w:eastAsia="宋体" w:cs="Times New Roman"/>
                <w:sz w:val="24"/>
                <w:highlight w:val="none"/>
              </w:rPr>
              <w:t>炉进行充分燃烧，燃烧后</w:t>
            </w:r>
            <w:r>
              <w:rPr>
                <w:rFonts w:hint="default" w:ascii="Times New Roman" w:hAnsi="Times New Roman" w:eastAsia="宋体" w:cs="Times New Roman"/>
                <w:sz w:val="24"/>
                <w:highlight w:val="none"/>
                <w:lang w:eastAsia="zh-CN"/>
              </w:rPr>
              <w:t>的</w:t>
            </w:r>
            <w:r>
              <w:rPr>
                <w:rFonts w:hint="default" w:ascii="Times New Roman" w:hAnsi="Times New Roman" w:eastAsia="宋体" w:cs="Times New Roman"/>
                <w:sz w:val="24"/>
                <w:highlight w:val="none"/>
              </w:rPr>
              <w:t>废气</w:t>
            </w:r>
            <w:r>
              <w:rPr>
                <w:rFonts w:hint="default" w:ascii="Times New Roman" w:hAnsi="Times New Roman" w:eastAsia="宋体" w:cs="Times New Roman"/>
                <w:sz w:val="24"/>
                <w:szCs w:val="24"/>
                <w:highlight w:val="none"/>
              </w:rPr>
              <w:t>与烘干炉内其它废气一起进入</w:t>
            </w:r>
            <w:r>
              <w:rPr>
                <w:rFonts w:hint="eastAsia" w:cs="Times New Roman"/>
                <w:sz w:val="24"/>
                <w:szCs w:val="24"/>
                <w:highlight w:val="none"/>
                <w:lang w:val="en-US" w:eastAsia="zh-CN"/>
              </w:rPr>
              <w:t>旋风除尘+喷淋除尘脱硫塔</w:t>
            </w:r>
            <w:r>
              <w:rPr>
                <w:rFonts w:hint="default" w:ascii="Times New Roman" w:hAnsi="Times New Roman" w:eastAsia="宋体" w:cs="Times New Roman"/>
                <w:sz w:val="24"/>
                <w:szCs w:val="24"/>
                <w:highlight w:val="none"/>
              </w:rPr>
              <w:t>进行处理，处理达标后通过</w:t>
            </w:r>
            <w:r>
              <w:rPr>
                <w:rFonts w:hint="default" w:ascii="Times New Roman" w:hAnsi="Times New Roman" w:eastAsia="宋体" w:cs="Times New Roman"/>
                <w:sz w:val="24"/>
                <w:szCs w:val="24"/>
                <w:highlight w:val="none"/>
                <w:lang w:val="en-US" w:eastAsia="zh-CN"/>
              </w:rPr>
              <w:t>15</w:t>
            </w:r>
            <w:r>
              <w:rPr>
                <w:rFonts w:hint="default" w:ascii="Times New Roman" w:hAnsi="Times New Roman" w:eastAsia="宋体" w:cs="Times New Roman"/>
                <w:sz w:val="24"/>
                <w:szCs w:val="24"/>
                <w:highlight w:val="none"/>
              </w:rPr>
              <w:t>米高</w:t>
            </w:r>
            <w:r>
              <w:rPr>
                <w:rFonts w:hint="eastAsia" w:cs="Times New Roman"/>
                <w:sz w:val="24"/>
                <w:szCs w:val="24"/>
                <w:highlight w:val="none"/>
                <w:lang w:val="en-US" w:eastAsia="zh-CN"/>
              </w:rPr>
              <w:t>排气筒</w:t>
            </w:r>
            <w:r>
              <w:rPr>
                <w:rFonts w:hint="default" w:ascii="Times New Roman" w:hAnsi="Times New Roman" w:eastAsia="宋体" w:cs="Times New Roman"/>
                <w:sz w:val="24"/>
                <w:szCs w:val="24"/>
                <w:highlight w:val="none"/>
              </w:rPr>
              <w:t>排放。</w:t>
            </w:r>
          </w:p>
          <w:p w14:paraId="649E41A7">
            <w:pPr>
              <w:widowControl/>
              <w:spacing w:line="360" w:lineRule="auto"/>
              <w:ind w:firstLine="482" w:firstLineChars="200"/>
              <w:rPr>
                <w:rFonts w:hint="default" w:ascii="Times New Roman" w:hAnsi="Times New Roman" w:eastAsia="宋体" w:cs="Times New Roman"/>
                <w:sz w:val="24"/>
                <w:szCs w:val="24"/>
                <w:highlight w:val="none"/>
              </w:rPr>
            </w:pPr>
            <w:r>
              <w:rPr>
                <w:rFonts w:hint="eastAsia" w:ascii="宋体" w:hAnsi="宋体" w:eastAsia="宋体" w:cs="宋体"/>
                <w:b/>
                <w:bCs/>
                <w:sz w:val="24"/>
                <w:szCs w:val="24"/>
                <w:highlight w:val="none"/>
                <w:lang w:val="en-US" w:eastAsia="zh-CN"/>
              </w:rPr>
              <w:t>碳化原理：</w:t>
            </w:r>
            <w:r>
              <w:rPr>
                <w:rFonts w:hint="default" w:ascii="Times New Roman" w:hAnsi="Times New Roman" w:eastAsia="宋体" w:cs="Times New Roman"/>
                <w:sz w:val="24"/>
                <w:szCs w:val="24"/>
                <w:highlight w:val="none"/>
                <w:lang w:val="en-US" w:eastAsia="zh-CN"/>
              </w:rPr>
              <w:t>①干燥阶段：从点火开始，至炉温上升到160℃，这时薪棒所含的水分主要依靠外加热量和本身燃烧所产生的热量进行蒸发，薪棒的化学组成几乎没变。②碳化初始阶段：这个阶段主要靠薪棒自身的燃烧产生热量，使碳化窑温度上升到160~280℃之间。此时，竹质材料发生热分解反应，其组成开始发生了变化。其中不稳定组成，如半纤维素发生分解生成CO</w:t>
            </w:r>
            <w:r>
              <w:rPr>
                <w:rFonts w:hint="default" w:ascii="Times New Roman" w:hAnsi="Times New Roman" w:eastAsia="宋体" w:cs="Times New Roman"/>
                <w:sz w:val="24"/>
                <w:szCs w:val="24"/>
                <w:highlight w:val="none"/>
                <w:vertAlign w:val="subscript"/>
                <w:lang w:val="en-US" w:eastAsia="zh-CN"/>
              </w:rPr>
              <w:t>2</w:t>
            </w:r>
            <w:r>
              <w:rPr>
                <w:rFonts w:hint="default" w:ascii="Times New Roman" w:hAnsi="Times New Roman" w:eastAsia="宋体" w:cs="Times New Roman"/>
                <w:sz w:val="24"/>
                <w:szCs w:val="24"/>
                <w:highlight w:val="none"/>
                <w:lang w:val="en-US" w:eastAsia="zh-CN"/>
              </w:rPr>
              <w:t>、CO等物质。③全面碳化阶段：在这阶段中（碳化窑温度达到600~700℃左右），竹质材料急剧地进行热分解，生成了甲烷、乙烯等可燃性气体；这些可燃气体燃烧和薪棒自身热分解产生了大量的热量，使炉温升高，竹质材料就会在高温下形成干馏炭。</w:t>
            </w:r>
          </w:p>
          <w:p w14:paraId="279216E5">
            <w:pPr>
              <w:spacing w:line="360" w:lineRule="auto"/>
              <w:ind w:firstLine="352" w:firstLineChars="147"/>
              <w:rPr>
                <w:sz w:val="24"/>
                <w:highlight w:val="none"/>
              </w:rPr>
            </w:pPr>
            <w:r>
              <w:rPr>
                <w:rFonts w:hint="eastAsia" w:ascii="宋体" w:hAnsi="宋体"/>
                <w:sz w:val="24"/>
                <w:highlight w:val="none"/>
              </w:rPr>
              <w:t>（</w:t>
            </w:r>
            <w:r>
              <w:rPr>
                <w:rFonts w:hint="eastAsia"/>
                <w:sz w:val="24"/>
                <w:highlight w:val="none"/>
              </w:rPr>
              <w:t>6</w:t>
            </w:r>
            <w:r>
              <w:rPr>
                <w:rFonts w:hint="eastAsia" w:ascii="宋体" w:hAnsi="宋体"/>
                <w:sz w:val="24"/>
                <w:highlight w:val="none"/>
              </w:rPr>
              <w:t>）冷却、</w:t>
            </w:r>
            <w:r>
              <w:rPr>
                <w:rFonts w:ascii="宋体" w:hAnsi="宋体"/>
                <w:sz w:val="24"/>
                <w:highlight w:val="none"/>
              </w:rPr>
              <w:t>包装入库</w:t>
            </w:r>
            <w:r>
              <w:rPr>
                <w:rFonts w:hint="eastAsia" w:ascii="宋体" w:hAnsi="宋体"/>
                <w:sz w:val="24"/>
                <w:highlight w:val="none"/>
              </w:rPr>
              <w:t>：</w:t>
            </w:r>
            <w:r>
              <w:rPr>
                <w:rFonts w:hint="eastAsia" w:ascii="宋体" w:hAnsi="宋体"/>
                <w:color w:val="auto"/>
                <w:sz w:val="24"/>
                <w:highlight w:val="none"/>
              </w:rPr>
              <w:t>从炭化窑中出窑的机制炭通过自然冷却降温，由于刚出窑的机制炭温度较高，为防止其发生自燃，需要在机制炭表面撒少量水，水分蒸发使机制炭降温。本项目设计机制炭降温用水量</w:t>
            </w:r>
            <w:r>
              <w:rPr>
                <w:rFonts w:hint="eastAsia"/>
                <w:color w:val="auto"/>
                <w:sz w:val="24"/>
                <w:highlight w:val="none"/>
                <w:lang w:val="en-US" w:eastAsia="zh-CN"/>
              </w:rPr>
              <w:t>1.8</w:t>
            </w:r>
            <w:r>
              <w:rPr>
                <w:rFonts w:hint="eastAsia"/>
                <w:color w:val="auto"/>
                <w:sz w:val="24"/>
                <w:highlight w:val="none"/>
              </w:rPr>
              <w:t>m</w:t>
            </w:r>
            <w:r>
              <w:rPr>
                <w:rFonts w:hint="eastAsia"/>
                <w:color w:val="auto"/>
                <w:sz w:val="24"/>
                <w:highlight w:val="none"/>
                <w:vertAlign w:val="superscript"/>
              </w:rPr>
              <w:t>3</w:t>
            </w:r>
            <w:r>
              <w:rPr>
                <w:rFonts w:hint="eastAsia"/>
                <w:color w:val="auto"/>
                <w:sz w:val="24"/>
                <w:highlight w:val="none"/>
              </w:rPr>
              <w:t>/d</w:t>
            </w:r>
            <w:r>
              <w:rPr>
                <w:rFonts w:hint="eastAsia" w:ascii="宋体" w:hAnsi="宋体"/>
                <w:color w:val="auto"/>
                <w:sz w:val="24"/>
                <w:highlight w:val="none"/>
              </w:rPr>
              <w:t>，这部分水全部蒸发损耗。待冷却后得到机制炭成品，</w:t>
            </w:r>
            <w:r>
              <w:rPr>
                <w:rFonts w:ascii="宋体" w:hAnsi="宋体"/>
                <w:color w:val="auto"/>
                <w:sz w:val="24"/>
                <w:highlight w:val="none"/>
              </w:rPr>
              <w:t>包装入库</w:t>
            </w:r>
            <w:r>
              <w:rPr>
                <w:rFonts w:ascii="宋体" w:hAnsi="宋体"/>
                <w:sz w:val="24"/>
                <w:highlight w:val="none"/>
              </w:rPr>
              <w:t>。</w:t>
            </w:r>
          </w:p>
          <w:p w14:paraId="4EA3A66F">
            <w:pPr>
              <w:autoSpaceDE w:val="0"/>
              <w:autoSpaceDN w:val="0"/>
              <w:adjustRightInd w:val="0"/>
              <w:snapToGrid w:val="0"/>
              <w:spacing w:line="360" w:lineRule="auto"/>
              <w:ind w:firstLine="482" w:firstLineChars="200"/>
              <w:rPr>
                <w:b/>
                <w:bCs w:val="0"/>
                <w:color w:val="000000"/>
                <w:kern w:val="0"/>
                <w:sz w:val="24"/>
                <w:highlight w:val="none"/>
              </w:rPr>
            </w:pPr>
            <w:r>
              <w:rPr>
                <w:b/>
                <w:bCs w:val="0"/>
                <w:color w:val="000000"/>
                <w:kern w:val="0"/>
                <w:sz w:val="24"/>
                <w:highlight w:val="none"/>
              </w:rPr>
              <w:t>2</w:t>
            </w:r>
            <w:r>
              <w:rPr>
                <w:rFonts w:hint="eastAsia"/>
                <w:b/>
                <w:bCs w:val="0"/>
                <w:color w:val="000000"/>
                <w:kern w:val="0"/>
                <w:sz w:val="24"/>
                <w:highlight w:val="none"/>
              </w:rPr>
              <w:t>、</w:t>
            </w:r>
            <w:r>
              <w:rPr>
                <w:b/>
                <w:bCs w:val="0"/>
                <w:color w:val="000000"/>
                <w:kern w:val="0"/>
                <w:sz w:val="24"/>
                <w:highlight w:val="none"/>
              </w:rPr>
              <w:t>主要产污环节</w:t>
            </w:r>
          </w:p>
          <w:p w14:paraId="744FA650">
            <w:pPr>
              <w:adjustRightInd w:val="0"/>
              <w:snapToGrid w:val="0"/>
              <w:spacing w:line="360" w:lineRule="auto"/>
              <w:ind w:firstLine="480" w:firstLineChars="200"/>
              <w:jc w:val="left"/>
              <w:rPr>
                <w:rFonts w:ascii="宋体" w:hAnsi="宋体"/>
                <w:bCs/>
                <w:kern w:val="0"/>
                <w:sz w:val="24"/>
                <w:highlight w:val="none"/>
              </w:rPr>
            </w:pPr>
            <w:r>
              <w:rPr>
                <w:rFonts w:hint="eastAsia" w:ascii="宋体" w:hAnsi="宋体"/>
                <w:bCs/>
                <w:kern w:val="0"/>
                <w:sz w:val="24"/>
                <w:highlight w:val="none"/>
              </w:rPr>
              <w:t>废水：机制炭生产工艺过程无工艺废水产生；</w:t>
            </w:r>
            <w:r>
              <w:rPr>
                <w:rFonts w:hint="eastAsia" w:ascii="宋体" w:hAnsi="宋体"/>
                <w:bCs/>
                <w:kern w:val="0"/>
                <w:sz w:val="24"/>
                <w:highlight w:val="none"/>
                <w:lang w:val="en-US" w:eastAsia="zh-CN"/>
              </w:rPr>
              <w:t>喷淋除尘脱硫塔</w:t>
            </w:r>
            <w:r>
              <w:rPr>
                <w:rFonts w:hint="eastAsia" w:ascii="宋体" w:hAnsi="宋体"/>
                <w:bCs/>
                <w:kern w:val="0"/>
                <w:sz w:val="24"/>
                <w:highlight w:val="none"/>
              </w:rPr>
              <w:t>处理过程会产生</w:t>
            </w:r>
            <w:r>
              <w:rPr>
                <w:rFonts w:hint="eastAsia" w:ascii="宋体" w:hAnsi="宋体"/>
                <w:bCs/>
                <w:kern w:val="0"/>
                <w:sz w:val="24"/>
                <w:highlight w:val="none"/>
                <w:lang w:val="en-US" w:eastAsia="zh-CN"/>
              </w:rPr>
              <w:t>碱液喷淋</w:t>
            </w:r>
            <w:r>
              <w:rPr>
                <w:rFonts w:hint="eastAsia" w:ascii="宋体" w:hAnsi="宋体"/>
                <w:bCs/>
                <w:kern w:val="0"/>
                <w:sz w:val="24"/>
                <w:highlight w:val="none"/>
              </w:rPr>
              <w:t>废水，该废水循环利用，不外排。</w:t>
            </w:r>
          </w:p>
          <w:p w14:paraId="21BDCEF8">
            <w:pPr>
              <w:adjustRightInd w:val="0"/>
              <w:snapToGrid w:val="0"/>
              <w:spacing w:line="360" w:lineRule="auto"/>
              <w:ind w:firstLine="480" w:firstLineChars="200"/>
              <w:jc w:val="left"/>
              <w:rPr>
                <w:bCs/>
                <w:kern w:val="0"/>
                <w:sz w:val="24"/>
                <w:highlight w:val="none"/>
              </w:rPr>
            </w:pPr>
            <w:r>
              <w:rPr>
                <w:rFonts w:hint="eastAsia" w:ascii="宋体" w:hAnsi="宋体"/>
                <w:bCs/>
                <w:kern w:val="0"/>
                <w:sz w:val="24"/>
                <w:highlight w:val="none"/>
              </w:rPr>
              <w:t>废气：</w:t>
            </w:r>
            <w:r>
              <w:rPr>
                <w:rFonts w:hint="eastAsia" w:ascii="宋体" w:hAnsi="宋体"/>
                <w:bCs/>
                <w:kern w:val="0"/>
                <w:sz w:val="24"/>
                <w:highlight w:val="none"/>
                <w:lang w:val="en-US" w:eastAsia="zh-CN"/>
              </w:rPr>
              <w:t>粉碎粉尘（主要污染因子为颗粒物）；</w:t>
            </w:r>
            <w:r>
              <w:rPr>
                <w:rFonts w:hint="eastAsia" w:ascii="宋体" w:hAnsi="宋体"/>
                <w:bCs/>
                <w:kern w:val="0"/>
                <w:sz w:val="24"/>
                <w:highlight w:val="none"/>
              </w:rPr>
              <w:t>烘干工序产生的燃料燃烧废气（</w:t>
            </w:r>
            <w:r>
              <w:rPr>
                <w:rFonts w:ascii="宋体" w:hAnsi="宋体"/>
                <w:bCs/>
                <w:kern w:val="0"/>
                <w:sz w:val="24"/>
                <w:highlight w:val="none"/>
              </w:rPr>
              <w:t>主要污染因子为</w:t>
            </w:r>
            <w:r>
              <w:rPr>
                <w:rFonts w:hint="eastAsia" w:ascii="宋体" w:hAnsi="宋体"/>
                <w:bCs/>
                <w:kern w:val="0"/>
                <w:sz w:val="24"/>
                <w:highlight w:val="none"/>
                <w:lang w:val="en-US" w:eastAsia="zh-CN"/>
              </w:rPr>
              <w:t>烟尘</w:t>
            </w:r>
            <w:r>
              <w:rPr>
                <w:rFonts w:hint="eastAsia" w:ascii="宋体" w:hAnsi="宋体"/>
                <w:bCs/>
                <w:kern w:val="0"/>
                <w:sz w:val="24"/>
                <w:highlight w:val="none"/>
              </w:rPr>
              <w:t>、二氧化硫、氮氧化物）；制棒废气（主要污染物为</w:t>
            </w:r>
            <w:r>
              <w:rPr>
                <w:rFonts w:hint="eastAsia" w:ascii="宋体" w:hAnsi="宋体"/>
                <w:bCs/>
                <w:kern w:val="0"/>
                <w:sz w:val="24"/>
                <w:highlight w:val="none"/>
                <w:lang w:val="en-US" w:eastAsia="zh-CN"/>
              </w:rPr>
              <w:t>烟尘</w:t>
            </w:r>
            <w:r>
              <w:rPr>
                <w:rFonts w:hint="eastAsia" w:ascii="宋体" w:hAnsi="宋体"/>
                <w:bCs/>
                <w:kern w:val="0"/>
                <w:sz w:val="24"/>
                <w:highlight w:val="none"/>
              </w:rPr>
              <w:t>）；炭化废气（</w:t>
            </w:r>
            <w:r>
              <w:rPr>
                <w:rFonts w:ascii="宋体" w:hAnsi="宋体"/>
                <w:bCs/>
                <w:kern w:val="0"/>
                <w:sz w:val="24"/>
                <w:highlight w:val="none"/>
              </w:rPr>
              <w:t>主要污染因子为</w:t>
            </w:r>
            <w:r>
              <w:rPr>
                <w:rFonts w:hint="eastAsia" w:ascii="宋体" w:hAnsi="宋体"/>
                <w:bCs/>
                <w:kern w:val="0"/>
                <w:sz w:val="24"/>
                <w:highlight w:val="none"/>
                <w:lang w:val="en-US" w:eastAsia="zh-CN"/>
              </w:rPr>
              <w:t>烟尘</w:t>
            </w:r>
            <w:r>
              <w:rPr>
                <w:rFonts w:hint="eastAsia" w:ascii="宋体" w:hAnsi="宋体"/>
                <w:bCs/>
                <w:kern w:val="0"/>
                <w:sz w:val="24"/>
                <w:highlight w:val="none"/>
              </w:rPr>
              <w:t>、</w:t>
            </w:r>
            <w:r>
              <w:rPr>
                <w:rFonts w:hint="eastAsia" w:ascii="宋体" w:hAnsi="宋体"/>
                <w:bCs/>
                <w:kern w:val="0"/>
                <w:sz w:val="24"/>
                <w:highlight w:val="none"/>
                <w:lang w:val="en-US" w:eastAsia="zh-CN"/>
              </w:rPr>
              <w:t>一氧化碳、二氧化硫、</w:t>
            </w:r>
            <w:r>
              <w:rPr>
                <w:rFonts w:hint="eastAsia" w:ascii="宋体" w:hAnsi="宋体"/>
                <w:bCs/>
                <w:kern w:val="0"/>
                <w:sz w:val="24"/>
                <w:highlight w:val="none"/>
              </w:rPr>
              <w:t>氮氧化物、甲烷、乙烯）。</w:t>
            </w:r>
          </w:p>
          <w:p w14:paraId="50B11B8E">
            <w:pPr>
              <w:adjustRightInd w:val="0"/>
              <w:snapToGrid w:val="0"/>
              <w:spacing w:line="360" w:lineRule="auto"/>
              <w:ind w:firstLine="480" w:firstLineChars="200"/>
              <w:jc w:val="left"/>
              <w:rPr>
                <w:bCs/>
                <w:kern w:val="0"/>
                <w:sz w:val="24"/>
                <w:highlight w:val="none"/>
              </w:rPr>
            </w:pPr>
            <w:r>
              <w:rPr>
                <w:rFonts w:hint="eastAsia" w:ascii="宋体" w:hAnsi="宋体"/>
                <w:bCs/>
                <w:kern w:val="0"/>
                <w:sz w:val="24"/>
                <w:highlight w:val="none"/>
              </w:rPr>
              <w:t>噪声：生产设备在运转过程中产生的机械噪声</w:t>
            </w:r>
            <w:r>
              <w:rPr>
                <w:rFonts w:ascii="宋体" w:hAnsi="宋体"/>
                <w:bCs/>
                <w:kern w:val="0"/>
                <w:sz w:val="24"/>
                <w:highlight w:val="none"/>
              </w:rPr>
              <w:t>。</w:t>
            </w:r>
          </w:p>
          <w:p w14:paraId="4E587189">
            <w:pPr>
              <w:adjustRightInd w:val="0"/>
              <w:snapToGrid w:val="0"/>
              <w:spacing w:line="360" w:lineRule="auto"/>
              <w:ind w:firstLine="480" w:firstLineChars="200"/>
              <w:rPr>
                <w:rFonts w:hint="eastAsia" w:ascii="宋体" w:hAnsi="宋体"/>
                <w:sz w:val="24"/>
                <w:highlight w:val="none"/>
              </w:rPr>
            </w:pPr>
            <w:r>
              <w:rPr>
                <w:rFonts w:hint="eastAsia" w:ascii="宋体" w:hAnsi="宋体"/>
                <w:bCs/>
                <w:sz w:val="24"/>
                <w:highlight w:val="none"/>
              </w:rPr>
              <w:t>固体废物：</w:t>
            </w:r>
            <w:r>
              <w:rPr>
                <w:rFonts w:ascii="宋体" w:hAnsi="宋体"/>
                <w:sz w:val="24"/>
                <w:highlight w:val="none"/>
              </w:rPr>
              <w:t>烘干系统的</w:t>
            </w:r>
            <w:r>
              <w:rPr>
                <w:rFonts w:hint="eastAsia" w:ascii="宋体" w:hAnsi="宋体"/>
                <w:sz w:val="24"/>
                <w:highlight w:val="none"/>
                <w:lang w:eastAsia="zh-CN"/>
              </w:rPr>
              <w:t>燃烧炉</w:t>
            </w:r>
            <w:r>
              <w:rPr>
                <w:rFonts w:hint="eastAsia" w:ascii="宋体" w:hAnsi="宋体"/>
                <w:sz w:val="24"/>
                <w:highlight w:val="none"/>
              </w:rPr>
              <w:t>内燃料燃烧过程中会产生炉灰渣</w:t>
            </w:r>
            <w:r>
              <w:rPr>
                <w:rFonts w:hint="eastAsia" w:ascii="宋体" w:hAnsi="宋体"/>
                <w:sz w:val="24"/>
                <w:highlight w:val="none"/>
                <w:lang w:eastAsia="zh-CN"/>
              </w:rPr>
              <w:t>、</w:t>
            </w:r>
            <w:r>
              <w:rPr>
                <w:rFonts w:hint="eastAsia" w:ascii="宋体" w:hAnsi="宋体"/>
                <w:sz w:val="24"/>
                <w:highlight w:val="none"/>
              </w:rPr>
              <w:t>除尘设备收集的粉尘</w:t>
            </w:r>
            <w:r>
              <w:rPr>
                <w:rFonts w:hint="eastAsia" w:ascii="宋体" w:hAnsi="宋体"/>
                <w:sz w:val="24"/>
                <w:highlight w:val="none"/>
                <w:lang w:eastAsia="zh-CN"/>
              </w:rPr>
              <w:t>、</w:t>
            </w:r>
            <w:r>
              <w:rPr>
                <w:rFonts w:hint="eastAsia" w:ascii="宋体" w:hAnsi="宋体"/>
                <w:color w:val="000000"/>
                <w:kern w:val="0"/>
                <w:sz w:val="24"/>
                <w:highlight w:val="none"/>
                <w:lang w:val="en-US" w:eastAsia="zh-CN"/>
              </w:rPr>
              <w:t>喷淋除尘脱硫塔</w:t>
            </w:r>
            <w:r>
              <w:rPr>
                <w:rFonts w:hint="eastAsia" w:ascii="宋体" w:hAnsi="宋体"/>
                <w:sz w:val="24"/>
                <w:highlight w:val="none"/>
              </w:rPr>
              <w:t>沉渣</w:t>
            </w:r>
            <w:r>
              <w:rPr>
                <w:rFonts w:hint="eastAsia" w:ascii="宋体" w:hAnsi="宋体"/>
                <w:sz w:val="24"/>
                <w:highlight w:val="none"/>
                <w:lang w:eastAsia="zh-CN"/>
              </w:rPr>
              <w:t>、</w:t>
            </w:r>
            <w:r>
              <w:rPr>
                <w:rFonts w:hint="eastAsia" w:ascii="宋体" w:hAnsi="宋体"/>
                <w:sz w:val="24"/>
                <w:highlight w:val="none"/>
                <w:lang w:val="en-US" w:eastAsia="zh-CN"/>
              </w:rPr>
              <w:t>碳化工序碳化渣以及生活垃圾</w:t>
            </w:r>
            <w:r>
              <w:rPr>
                <w:rFonts w:hint="eastAsia" w:ascii="宋体" w:hAnsi="宋体"/>
                <w:sz w:val="24"/>
                <w:highlight w:val="none"/>
              </w:rPr>
              <w:t>。</w:t>
            </w:r>
          </w:p>
        </w:tc>
      </w:tr>
      <w:tr w14:paraId="590C7A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0" w:type="dxa"/>
            <w:vAlign w:val="center"/>
          </w:tcPr>
          <w:p w14:paraId="0750F0DD">
            <w:pPr>
              <w:pStyle w:val="29"/>
              <w:adjustRightInd w:val="0"/>
              <w:snapToGrid w:val="0"/>
              <w:spacing w:before="0" w:beforeAutospacing="0" w:after="0" w:afterAutospacing="0"/>
              <w:jc w:val="center"/>
              <w:rPr>
                <w:rFonts w:ascii="Times New Roman" w:hAnsi="Times New Roman"/>
                <w:sz w:val="21"/>
                <w:szCs w:val="21"/>
                <w:highlight w:val="none"/>
              </w:rPr>
            </w:pPr>
            <w:r>
              <w:rPr>
                <w:rFonts w:ascii="Times New Roman" w:hAnsi="Times New Roman" w:eastAsia="宋体" w:cs="Times New Roman"/>
                <w:sz w:val="24"/>
                <w:szCs w:val="24"/>
                <w:highlight w:val="none"/>
              </w:rPr>
              <w:t>与项目有关的原有环境污染问题</w:t>
            </w:r>
          </w:p>
        </w:tc>
        <w:tc>
          <w:tcPr>
            <w:tcW w:w="9029" w:type="dxa"/>
            <w:vAlign w:val="center"/>
          </w:tcPr>
          <w:p w14:paraId="3AE17853">
            <w:pPr>
              <w:adjustRightInd w:val="0"/>
              <w:snapToGrid w:val="0"/>
              <w:spacing w:line="360" w:lineRule="auto"/>
              <w:ind w:firstLine="482" w:firstLineChars="200"/>
              <w:rPr>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1.</w:t>
            </w:r>
            <w:r>
              <w:rPr>
                <w:b/>
                <w:color w:val="000000" w:themeColor="text1"/>
                <w:sz w:val="24"/>
                <w:highlight w:val="none"/>
                <w14:textFill>
                  <w14:solidFill>
                    <w14:schemeClr w14:val="tx1"/>
                  </w14:solidFill>
                </w14:textFill>
              </w:rPr>
              <w:t xml:space="preserve"> 与本项目有关的原有污染情况</w:t>
            </w:r>
          </w:p>
          <w:p w14:paraId="7A7430A5">
            <w:pPr>
              <w:adjustRightInd w:val="0"/>
              <w:snapToGrid w:val="0"/>
              <w:spacing w:line="360" w:lineRule="auto"/>
              <w:ind w:firstLine="480" w:firstLineChars="200"/>
              <w:rPr>
                <w:rFonts w:hint="default" w:ascii="宋体" w:hAnsi="宋体" w:eastAsia="宋体" w:cs="Times New Roman"/>
                <w:sz w:val="24"/>
                <w:highlight w:val="none"/>
                <w:lang w:val="en-US" w:eastAsia="zh-CN"/>
              </w:rPr>
            </w:pPr>
            <w:r>
              <w:rPr>
                <w:rFonts w:ascii="宋体" w:hAnsi="宋体" w:eastAsia="宋体" w:cs="Times New Roman"/>
                <w:sz w:val="24"/>
                <w:highlight w:val="none"/>
              </w:rPr>
              <w:t>项目建设</w:t>
            </w:r>
            <w:r>
              <w:rPr>
                <w:rFonts w:hint="eastAsia" w:ascii="宋体" w:hAnsi="宋体" w:eastAsia="宋体" w:cs="Times New Roman"/>
                <w:sz w:val="24"/>
                <w:highlight w:val="none"/>
              </w:rPr>
              <w:t>性质</w:t>
            </w:r>
            <w:r>
              <w:rPr>
                <w:rFonts w:ascii="宋体" w:hAnsi="宋体" w:eastAsia="宋体" w:cs="Times New Roman"/>
                <w:sz w:val="24"/>
                <w:highlight w:val="none"/>
              </w:rPr>
              <w:t>为新建，项目位于</w:t>
            </w:r>
            <w:r>
              <w:rPr>
                <w:rFonts w:hint="eastAsia"/>
                <w:sz w:val="24"/>
                <w:highlight w:val="none"/>
                <w:lang w:eastAsia="zh-CN"/>
              </w:rPr>
              <w:t>乐昌市乐城街道西联村老虎头（原乐舜电力发展有限公司内）</w:t>
            </w:r>
            <w:r>
              <w:rPr>
                <w:rFonts w:hint="eastAsia" w:ascii="宋体" w:hAnsi="宋体" w:eastAsia="宋体" w:cs="Times New Roman"/>
                <w:sz w:val="24"/>
                <w:highlight w:val="none"/>
              </w:rPr>
              <w:t>，</w:t>
            </w:r>
            <w:r>
              <w:rPr>
                <w:rFonts w:ascii="宋体" w:hAnsi="宋体" w:eastAsia="宋体" w:cs="Times New Roman"/>
                <w:sz w:val="24"/>
                <w:highlight w:val="none"/>
              </w:rPr>
              <w:t>不存在与本项目有关的原有污染情况。</w:t>
            </w:r>
          </w:p>
          <w:p w14:paraId="621CBE17">
            <w:pPr>
              <w:adjustRightInd w:val="0"/>
              <w:snapToGrid w:val="0"/>
              <w:spacing w:line="360" w:lineRule="auto"/>
              <w:ind w:firstLine="482" w:firstLineChars="200"/>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w:t>2.主要环境问题</w:t>
            </w:r>
          </w:p>
          <w:p w14:paraId="23CF1611">
            <w:pPr>
              <w:adjustRightInd w:val="0"/>
              <w:snapToGrid w:val="0"/>
              <w:spacing w:line="360" w:lineRule="auto"/>
              <w:ind w:firstLine="480" w:firstLineChars="200"/>
              <w:rPr>
                <w:rFonts w:hint="eastAsia" w:ascii="宋体" w:hAnsi="宋体"/>
                <w:sz w:val="24"/>
                <w:highlight w:val="none"/>
              </w:rPr>
            </w:pPr>
            <w:r>
              <w:rPr>
                <w:rFonts w:ascii="宋体" w:hAnsi="宋体"/>
                <w:sz w:val="24"/>
                <w:highlight w:val="none"/>
              </w:rPr>
              <w:t>区域环境现状调查结果表明，目前所在区域大气、水、声环境质量均能符合相应功能区划的要求，</w:t>
            </w:r>
            <w:r>
              <w:rPr>
                <w:color w:val="000000" w:themeColor="text1"/>
                <w:sz w:val="24"/>
                <w:highlight w:val="none"/>
                <w14:textFill>
                  <w14:solidFill>
                    <w14:schemeClr w14:val="tx1"/>
                  </w14:solidFill>
                </w14:textFill>
              </w:rPr>
              <w:t>项目所在区域各类环境要素均能达到相应的环境规划要求，</w:t>
            </w:r>
            <w:r>
              <w:rPr>
                <w:rFonts w:ascii="宋体" w:hAnsi="宋体"/>
                <w:sz w:val="24"/>
                <w:highlight w:val="none"/>
              </w:rPr>
              <w:t>环境质量状况良好，无突出环境问题</w:t>
            </w:r>
            <w:r>
              <w:rPr>
                <w:rFonts w:hint="eastAsia" w:ascii="宋体" w:hAnsi="宋体"/>
                <w:sz w:val="24"/>
                <w:highlight w:val="none"/>
              </w:rPr>
              <w:t>。</w:t>
            </w:r>
          </w:p>
          <w:p w14:paraId="44065008">
            <w:pPr>
              <w:adjustRightInd w:val="0"/>
              <w:snapToGrid w:val="0"/>
              <w:spacing w:line="360" w:lineRule="auto"/>
              <w:ind w:firstLine="480" w:firstLineChars="200"/>
              <w:rPr>
                <w:rFonts w:hint="eastAsia" w:ascii="宋体" w:hAnsi="宋体"/>
                <w:sz w:val="24"/>
                <w:highlight w:val="none"/>
              </w:rPr>
            </w:pPr>
          </w:p>
          <w:p w14:paraId="0D87B893">
            <w:pPr>
              <w:pStyle w:val="10"/>
              <w:rPr>
                <w:rFonts w:hint="eastAsia" w:ascii="宋体" w:hAnsi="宋体"/>
                <w:sz w:val="24"/>
                <w:highlight w:val="none"/>
              </w:rPr>
            </w:pPr>
          </w:p>
          <w:p w14:paraId="6EFB9C37">
            <w:pPr>
              <w:pStyle w:val="10"/>
              <w:rPr>
                <w:rFonts w:hint="eastAsia" w:ascii="宋体" w:hAnsi="宋体"/>
                <w:sz w:val="24"/>
                <w:highlight w:val="none"/>
              </w:rPr>
            </w:pPr>
          </w:p>
          <w:p w14:paraId="3C0CA1CD">
            <w:pPr>
              <w:adjustRightInd w:val="0"/>
              <w:snapToGrid w:val="0"/>
              <w:spacing w:line="360" w:lineRule="auto"/>
              <w:ind w:firstLine="480" w:firstLineChars="200"/>
              <w:rPr>
                <w:rFonts w:hint="eastAsia" w:ascii="宋体" w:hAnsi="宋体"/>
                <w:sz w:val="24"/>
                <w:highlight w:val="none"/>
              </w:rPr>
            </w:pPr>
          </w:p>
          <w:p w14:paraId="44083499">
            <w:pPr>
              <w:pStyle w:val="44"/>
              <w:rPr>
                <w:rFonts w:hint="eastAsia" w:ascii="宋体" w:hAnsi="宋体"/>
                <w:sz w:val="24"/>
                <w:highlight w:val="none"/>
              </w:rPr>
            </w:pPr>
          </w:p>
          <w:p w14:paraId="2BF9566B">
            <w:pPr>
              <w:pStyle w:val="44"/>
              <w:rPr>
                <w:rFonts w:hint="eastAsia" w:ascii="宋体" w:hAnsi="宋体"/>
                <w:sz w:val="24"/>
                <w:highlight w:val="none"/>
              </w:rPr>
            </w:pPr>
          </w:p>
          <w:p w14:paraId="058BE70D">
            <w:pPr>
              <w:pStyle w:val="44"/>
              <w:rPr>
                <w:rFonts w:hint="eastAsia" w:ascii="宋体" w:hAnsi="宋体"/>
                <w:sz w:val="24"/>
                <w:highlight w:val="none"/>
              </w:rPr>
            </w:pPr>
          </w:p>
          <w:p w14:paraId="69FCEEA3">
            <w:pPr>
              <w:pStyle w:val="44"/>
              <w:rPr>
                <w:rFonts w:hint="eastAsia" w:ascii="宋体" w:hAnsi="宋体"/>
                <w:sz w:val="24"/>
                <w:highlight w:val="none"/>
              </w:rPr>
            </w:pPr>
          </w:p>
          <w:p w14:paraId="48F9BB13">
            <w:pPr>
              <w:pStyle w:val="44"/>
              <w:rPr>
                <w:rFonts w:hint="eastAsia" w:ascii="宋体" w:hAnsi="宋体"/>
                <w:sz w:val="24"/>
                <w:highlight w:val="none"/>
              </w:rPr>
            </w:pPr>
          </w:p>
          <w:p w14:paraId="03D813FE">
            <w:pPr>
              <w:pStyle w:val="44"/>
              <w:rPr>
                <w:rFonts w:hint="eastAsia" w:ascii="宋体" w:hAnsi="宋体"/>
                <w:sz w:val="24"/>
                <w:highlight w:val="none"/>
              </w:rPr>
            </w:pPr>
          </w:p>
          <w:p w14:paraId="40FEC3A2">
            <w:pPr>
              <w:pStyle w:val="44"/>
              <w:rPr>
                <w:rFonts w:hint="eastAsia" w:ascii="宋体" w:hAnsi="宋体"/>
                <w:sz w:val="24"/>
                <w:highlight w:val="none"/>
              </w:rPr>
            </w:pPr>
          </w:p>
          <w:p w14:paraId="0085504B">
            <w:pPr>
              <w:pStyle w:val="44"/>
              <w:rPr>
                <w:rFonts w:hint="eastAsia" w:ascii="宋体" w:hAnsi="宋体"/>
                <w:sz w:val="24"/>
                <w:highlight w:val="none"/>
              </w:rPr>
            </w:pPr>
          </w:p>
          <w:p w14:paraId="143BB539">
            <w:pPr>
              <w:pStyle w:val="44"/>
              <w:rPr>
                <w:rFonts w:hint="eastAsia" w:ascii="宋体" w:hAnsi="宋体"/>
                <w:sz w:val="24"/>
                <w:highlight w:val="none"/>
              </w:rPr>
            </w:pPr>
          </w:p>
          <w:p w14:paraId="36C1C09A">
            <w:pPr>
              <w:pStyle w:val="44"/>
              <w:rPr>
                <w:rFonts w:hint="eastAsia" w:ascii="宋体" w:hAnsi="宋体"/>
                <w:sz w:val="24"/>
                <w:highlight w:val="none"/>
              </w:rPr>
            </w:pPr>
          </w:p>
          <w:p w14:paraId="3BBE112F">
            <w:pPr>
              <w:pStyle w:val="44"/>
              <w:rPr>
                <w:rFonts w:hint="eastAsia" w:ascii="宋体" w:hAnsi="宋体"/>
                <w:sz w:val="24"/>
                <w:highlight w:val="none"/>
              </w:rPr>
            </w:pPr>
          </w:p>
          <w:p w14:paraId="58629FCF">
            <w:pPr>
              <w:pStyle w:val="44"/>
              <w:rPr>
                <w:rFonts w:hint="eastAsia" w:ascii="宋体" w:hAnsi="宋体"/>
                <w:sz w:val="24"/>
                <w:highlight w:val="none"/>
              </w:rPr>
            </w:pPr>
          </w:p>
          <w:p w14:paraId="6D4EE938">
            <w:pPr>
              <w:pStyle w:val="44"/>
              <w:rPr>
                <w:rFonts w:hint="eastAsia" w:ascii="宋体" w:hAnsi="宋体"/>
                <w:sz w:val="24"/>
                <w:highlight w:val="none"/>
              </w:rPr>
            </w:pPr>
          </w:p>
          <w:p w14:paraId="26BD4C85">
            <w:pPr>
              <w:pStyle w:val="44"/>
              <w:rPr>
                <w:rFonts w:hint="eastAsia" w:ascii="宋体" w:hAnsi="宋体"/>
                <w:sz w:val="24"/>
                <w:highlight w:val="none"/>
              </w:rPr>
            </w:pPr>
          </w:p>
          <w:p w14:paraId="44AFD284">
            <w:pPr>
              <w:pStyle w:val="44"/>
              <w:rPr>
                <w:rFonts w:hint="eastAsia" w:ascii="宋体" w:hAnsi="宋体"/>
                <w:sz w:val="24"/>
                <w:highlight w:val="none"/>
              </w:rPr>
            </w:pPr>
          </w:p>
          <w:p w14:paraId="7ACDF0FD">
            <w:pPr>
              <w:pStyle w:val="44"/>
              <w:rPr>
                <w:rFonts w:hint="eastAsia" w:ascii="宋体" w:hAnsi="宋体"/>
                <w:sz w:val="24"/>
                <w:highlight w:val="none"/>
              </w:rPr>
            </w:pPr>
          </w:p>
          <w:p w14:paraId="422C754A">
            <w:pPr>
              <w:pStyle w:val="44"/>
              <w:rPr>
                <w:rFonts w:hint="eastAsia" w:ascii="宋体" w:hAnsi="宋体"/>
                <w:sz w:val="24"/>
                <w:highlight w:val="none"/>
              </w:rPr>
            </w:pPr>
          </w:p>
          <w:p w14:paraId="1CE0C231">
            <w:pPr>
              <w:pStyle w:val="44"/>
              <w:rPr>
                <w:rFonts w:hint="eastAsia" w:ascii="宋体" w:hAnsi="宋体"/>
                <w:sz w:val="24"/>
                <w:highlight w:val="none"/>
              </w:rPr>
            </w:pPr>
          </w:p>
          <w:p w14:paraId="3C20B618">
            <w:pPr>
              <w:pStyle w:val="44"/>
              <w:rPr>
                <w:rFonts w:hint="eastAsia" w:ascii="宋体" w:hAnsi="宋体"/>
                <w:sz w:val="24"/>
                <w:highlight w:val="none"/>
              </w:rPr>
            </w:pPr>
          </w:p>
          <w:p w14:paraId="2DD0D44C">
            <w:pPr>
              <w:pStyle w:val="44"/>
              <w:rPr>
                <w:rFonts w:hint="eastAsia" w:ascii="宋体" w:hAnsi="宋体"/>
                <w:sz w:val="24"/>
                <w:highlight w:val="none"/>
              </w:rPr>
            </w:pPr>
          </w:p>
          <w:p w14:paraId="0A5CF212">
            <w:pPr>
              <w:pStyle w:val="44"/>
              <w:rPr>
                <w:rFonts w:hint="eastAsia" w:ascii="宋体" w:hAnsi="宋体"/>
                <w:sz w:val="24"/>
                <w:highlight w:val="none"/>
              </w:rPr>
            </w:pPr>
          </w:p>
          <w:p w14:paraId="65176806">
            <w:pPr>
              <w:pStyle w:val="44"/>
              <w:rPr>
                <w:rFonts w:hint="eastAsia" w:ascii="宋体" w:hAnsi="宋体"/>
                <w:sz w:val="24"/>
                <w:highlight w:val="none"/>
              </w:rPr>
            </w:pPr>
          </w:p>
          <w:p w14:paraId="6B13DFA0">
            <w:pPr>
              <w:pStyle w:val="44"/>
              <w:rPr>
                <w:rFonts w:hint="eastAsia" w:ascii="宋体" w:hAnsi="宋体"/>
                <w:sz w:val="24"/>
                <w:highlight w:val="none"/>
              </w:rPr>
            </w:pPr>
          </w:p>
          <w:p w14:paraId="2C9AFCFA">
            <w:pPr>
              <w:pStyle w:val="44"/>
              <w:rPr>
                <w:rFonts w:hint="eastAsia" w:ascii="宋体" w:hAnsi="宋体"/>
                <w:sz w:val="24"/>
                <w:highlight w:val="none"/>
              </w:rPr>
            </w:pPr>
          </w:p>
          <w:p w14:paraId="3E3DF7E9">
            <w:pPr>
              <w:adjustRightInd w:val="0"/>
              <w:snapToGrid w:val="0"/>
              <w:spacing w:line="360" w:lineRule="auto"/>
              <w:ind w:firstLine="480" w:firstLineChars="200"/>
              <w:rPr>
                <w:rFonts w:hint="eastAsia" w:ascii="宋体" w:hAnsi="宋体"/>
                <w:sz w:val="24"/>
                <w:highlight w:val="none"/>
              </w:rPr>
            </w:pPr>
          </w:p>
          <w:p w14:paraId="5AA1F61C">
            <w:pPr>
              <w:adjustRightInd w:val="0"/>
              <w:snapToGrid w:val="0"/>
              <w:spacing w:line="360" w:lineRule="auto"/>
              <w:rPr>
                <w:rFonts w:hint="eastAsia" w:ascii="宋体" w:hAnsi="宋体"/>
                <w:sz w:val="24"/>
                <w:highlight w:val="none"/>
              </w:rPr>
            </w:pPr>
          </w:p>
        </w:tc>
      </w:tr>
    </w:tbl>
    <w:p w14:paraId="74671F4A">
      <w:pPr>
        <w:pStyle w:val="29"/>
        <w:rPr>
          <w:rFonts w:ascii="Times New Roman" w:hAnsi="Times New Roman" w:eastAsia="黑体"/>
          <w:snapToGrid w:val="0"/>
          <w:sz w:val="36"/>
          <w:szCs w:val="36"/>
          <w:highlight w:val="none"/>
        </w:rPr>
        <w:sectPr>
          <w:footerReference r:id="rId5"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0B81BD8B">
      <w:pPr>
        <w:pStyle w:val="29"/>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Times New Roman" w:hAnsi="Times New Roman" w:eastAsia="黑体" w:cs="Times New Roman"/>
          <w:snapToGrid w:val="0"/>
          <w:sz w:val="30"/>
          <w:szCs w:val="30"/>
          <w:highlight w:val="none"/>
        </w:rPr>
      </w:pPr>
      <w:bookmarkStart w:id="14" w:name="_Toc4286"/>
      <w:r>
        <w:rPr>
          <w:rFonts w:ascii="Times New Roman" w:hAnsi="Times New Roman" w:eastAsia="黑体" w:cs="Times New Roman"/>
          <w:snapToGrid w:val="0"/>
          <w:sz w:val="30"/>
          <w:szCs w:val="30"/>
          <w:highlight w:val="none"/>
        </w:rPr>
        <w:t>三、区域环境质量现状、环境保护目标及评价标准</w:t>
      </w:r>
      <w:bookmarkEnd w:id="11"/>
      <w:bookmarkEnd w:id="14"/>
    </w:p>
    <w:tbl>
      <w:tblPr>
        <w:tblStyle w:val="34"/>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930"/>
      </w:tblGrid>
      <w:tr w14:paraId="46A07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48" w:hRule="atLeast"/>
          <w:jc w:val="center"/>
        </w:trPr>
        <w:tc>
          <w:tcPr>
            <w:tcW w:w="426" w:type="dxa"/>
            <w:vAlign w:val="center"/>
          </w:tcPr>
          <w:p w14:paraId="3C3CA340">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区域</w:t>
            </w:r>
          </w:p>
          <w:p w14:paraId="20E00CD0">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环境</w:t>
            </w:r>
          </w:p>
          <w:p w14:paraId="05568372">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质量</w:t>
            </w:r>
          </w:p>
          <w:p w14:paraId="31D7A6C2">
            <w:pPr>
              <w:adjustRightInd w:val="0"/>
              <w:snapToGrid w:val="0"/>
              <w:jc w:val="center"/>
              <w:rPr>
                <w:color w:val="000000" w:themeColor="text1"/>
                <w:kern w:val="0"/>
                <w:szCs w:val="21"/>
                <w:highlight w:val="none"/>
                <w14:textFill>
                  <w14:solidFill>
                    <w14:schemeClr w14:val="tx1"/>
                  </w14:solidFill>
                </w14:textFill>
              </w:rPr>
            </w:pPr>
            <w:r>
              <w:rPr>
                <w:rFonts w:ascii="Times New Roman" w:hAnsi="Times New Roman" w:eastAsia="宋体" w:cs="Times New Roman"/>
                <w:kern w:val="0"/>
                <w:sz w:val="24"/>
                <w:szCs w:val="24"/>
                <w:highlight w:val="none"/>
                <w:lang w:val="en-US" w:eastAsia="zh-CN" w:bidi="ar-SA"/>
              </w:rPr>
              <w:t>现状</w:t>
            </w:r>
          </w:p>
          <w:p w14:paraId="3D63A0DB">
            <w:pPr>
              <w:adjustRightInd w:val="0"/>
              <w:snapToGrid w:val="0"/>
              <w:jc w:val="center"/>
              <w:rPr>
                <w:color w:val="000000" w:themeColor="text1"/>
                <w:kern w:val="0"/>
                <w:szCs w:val="21"/>
                <w:highlight w:val="none"/>
                <w14:textFill>
                  <w14:solidFill>
                    <w14:schemeClr w14:val="tx1"/>
                  </w14:solidFill>
                </w14:textFill>
              </w:rPr>
            </w:pPr>
          </w:p>
        </w:tc>
        <w:tc>
          <w:tcPr>
            <w:tcW w:w="8930" w:type="dxa"/>
            <w:vAlign w:val="center"/>
          </w:tcPr>
          <w:p w14:paraId="58FE6FDB">
            <w:pPr>
              <w:pStyle w:val="19"/>
              <w:adjustRightInd w:val="0"/>
              <w:snapToGrid w:val="0"/>
              <w:spacing w:before="120" w:beforeLines="50" w:line="360" w:lineRule="auto"/>
              <w:ind w:firstLine="482" w:firstLineChars="200"/>
              <w:rPr>
                <w:rFonts w:ascii="Times New Roman" w:hAnsi="Times New Roman" w:cs="Times New Roman"/>
                <w:b/>
                <w:color w:val="000000" w:themeColor="text1"/>
                <w:kern w:val="0"/>
                <w:sz w:val="24"/>
                <w:szCs w:val="24"/>
                <w:highlight w:val="none"/>
                <w14:textFill>
                  <w14:solidFill>
                    <w14:schemeClr w14:val="tx1"/>
                  </w14:solidFill>
                </w14:textFill>
              </w:rPr>
            </w:pPr>
            <w:r>
              <w:rPr>
                <w:rFonts w:ascii="Times New Roman" w:hAnsi="Times New Roman" w:cs="Times New Roman"/>
                <w:b/>
                <w:color w:val="000000" w:themeColor="text1"/>
                <w:kern w:val="0"/>
                <w:sz w:val="24"/>
                <w:szCs w:val="24"/>
                <w:highlight w:val="none"/>
                <w14:textFill>
                  <w14:solidFill>
                    <w14:schemeClr w14:val="tx1"/>
                  </w14:solidFill>
                </w14:textFill>
              </w:rPr>
              <w:t>1.环境空气质量现状</w:t>
            </w:r>
          </w:p>
          <w:p w14:paraId="718CFCA8">
            <w:pPr>
              <w:spacing w:line="360" w:lineRule="auto"/>
              <w:ind w:firstLine="480" w:firstLineChars="200"/>
              <w:rPr>
                <w:rFonts w:ascii="Times New Roman" w:hAnsi="Times New Roman" w:cs="Times New Roman"/>
                <w:bCs/>
                <w:color w:val="000000" w:themeColor="text1"/>
                <w:kern w:val="0"/>
                <w:sz w:val="24"/>
                <w:highlight w:val="none"/>
                <w14:textFill>
                  <w14:solidFill>
                    <w14:schemeClr w14:val="tx1"/>
                  </w14:solidFill>
                </w14:textFill>
              </w:rPr>
            </w:pPr>
            <w:r>
              <w:rPr>
                <w:rFonts w:ascii="Times New Roman" w:hAnsi="Times New Roman" w:cs="Times New Roman"/>
                <w:bCs/>
                <w:color w:val="000000" w:themeColor="text1"/>
                <w:kern w:val="0"/>
                <w:sz w:val="24"/>
                <w:highlight w:val="none"/>
                <w14:textFill>
                  <w14:solidFill>
                    <w14:schemeClr w14:val="tx1"/>
                  </w14:solidFill>
                </w14:textFill>
              </w:rPr>
              <w:t>根据</w:t>
            </w:r>
            <w:r>
              <w:rPr>
                <w:rFonts w:hint="eastAsia" w:ascii="Times New Roman" w:hAnsi="Times New Roman" w:cs="Times New Roman"/>
                <w:bCs/>
                <w:color w:val="000000" w:themeColor="text1"/>
                <w:kern w:val="0"/>
                <w:sz w:val="24"/>
                <w:highlight w:val="none"/>
                <w14:textFill>
                  <w14:solidFill>
                    <w14:schemeClr w14:val="tx1"/>
                  </w14:solidFill>
                </w14:textFill>
              </w:rPr>
              <w:t>《韶关市生态环境保护战略规划（2020-2035）》</w:t>
            </w:r>
            <w:r>
              <w:rPr>
                <w:rFonts w:ascii="Times New Roman" w:hAnsi="Times New Roman" w:cs="Times New Roman"/>
                <w:bCs/>
                <w:color w:val="000000" w:themeColor="text1"/>
                <w:kern w:val="0"/>
                <w:sz w:val="24"/>
                <w:highlight w:val="none"/>
                <w14:textFill>
                  <w14:solidFill>
                    <w14:schemeClr w14:val="tx1"/>
                  </w14:solidFill>
                </w14:textFill>
              </w:rPr>
              <w:t>的规定，本项目所在地区域空气环境质量功能区划为二类功能区，因此，项目所在区域环境空气质量执行国家</w:t>
            </w:r>
            <w:r>
              <w:rPr>
                <w:rFonts w:hint="eastAsia" w:ascii="Times New Roman" w:hAnsi="Times New Roman" w:cs="Times New Roman"/>
                <w:bCs/>
                <w:color w:val="000000" w:themeColor="text1"/>
                <w:kern w:val="0"/>
                <w:sz w:val="24"/>
                <w:highlight w:val="none"/>
                <w14:textFill>
                  <w14:solidFill>
                    <w14:schemeClr w14:val="tx1"/>
                  </w14:solidFill>
                </w14:textFill>
              </w:rPr>
              <w:t>《环境空气质量标准》（GB3095-2012）及</w:t>
            </w:r>
            <w:r>
              <w:rPr>
                <w:rFonts w:hint="eastAsia" w:ascii="Times New Roman" w:hAnsi="Times New Roman" w:cs="Times New Roman"/>
                <w:bCs/>
                <w:color w:val="000000" w:themeColor="text1"/>
                <w:kern w:val="0"/>
                <w:sz w:val="24"/>
                <w:highlight w:val="none"/>
                <w:lang w:val="en-US" w:eastAsia="zh-CN"/>
                <w14:textFill>
                  <w14:solidFill>
                    <w14:schemeClr w14:val="tx1"/>
                  </w14:solidFill>
                </w14:textFill>
              </w:rPr>
              <w:t>其</w:t>
            </w:r>
            <w:r>
              <w:rPr>
                <w:rFonts w:hint="eastAsia" w:ascii="Times New Roman" w:hAnsi="Times New Roman" w:cs="Times New Roman"/>
                <w:bCs/>
                <w:color w:val="000000" w:themeColor="text1"/>
                <w:kern w:val="0"/>
                <w:sz w:val="24"/>
                <w:highlight w:val="none"/>
                <w14:textFill>
                  <w14:solidFill>
                    <w14:schemeClr w14:val="tx1"/>
                  </w14:solidFill>
                </w14:textFill>
              </w:rPr>
              <w:t>修改单</w:t>
            </w:r>
            <w:r>
              <w:rPr>
                <w:rFonts w:hint="eastAsia" w:ascii="Times New Roman" w:hAnsi="Times New Roman" w:cs="Times New Roman"/>
                <w:bCs/>
                <w:color w:val="000000" w:themeColor="text1"/>
                <w:kern w:val="0"/>
                <w:sz w:val="24"/>
                <w:highlight w:val="none"/>
                <w:lang w:eastAsia="zh-CN"/>
                <w14:textFill>
                  <w14:solidFill>
                    <w14:schemeClr w14:val="tx1"/>
                  </w14:solidFill>
                </w14:textFill>
              </w:rPr>
              <w:t>的</w:t>
            </w:r>
            <w:r>
              <w:rPr>
                <w:rFonts w:hint="eastAsia" w:ascii="Times New Roman" w:hAnsi="Times New Roman" w:cs="Times New Roman"/>
                <w:bCs/>
                <w:color w:val="000000" w:themeColor="text1"/>
                <w:kern w:val="0"/>
                <w:sz w:val="24"/>
                <w:highlight w:val="none"/>
                <w14:textFill>
                  <w14:solidFill>
                    <w14:schemeClr w14:val="tx1"/>
                  </w14:solidFill>
                </w14:textFill>
              </w:rPr>
              <w:t>二级标准</w:t>
            </w:r>
            <w:r>
              <w:rPr>
                <w:rFonts w:ascii="Times New Roman" w:hAnsi="Times New Roman" w:cs="Times New Roman"/>
                <w:bCs/>
                <w:color w:val="000000" w:themeColor="text1"/>
                <w:kern w:val="0"/>
                <w:sz w:val="24"/>
                <w:highlight w:val="none"/>
                <w14:textFill>
                  <w14:solidFill>
                    <w14:schemeClr w14:val="tx1"/>
                  </w14:solidFill>
                </w14:textFill>
              </w:rPr>
              <w:t>。</w:t>
            </w:r>
          </w:p>
          <w:p w14:paraId="68D5229B">
            <w:pPr>
              <w:spacing w:line="360" w:lineRule="auto"/>
              <w:ind w:firstLine="480" w:firstLineChars="200"/>
              <w:rPr>
                <w:rFonts w:hint="eastAsia" w:ascii="Times New Roman" w:hAnsi="Times New Roman" w:cs="Times New Roman"/>
                <w:bCs/>
                <w:color w:val="000000" w:themeColor="text1"/>
                <w:kern w:val="0"/>
                <w:sz w:val="24"/>
                <w:highlight w:val="none"/>
                <w14:textFill>
                  <w14:solidFill>
                    <w14:schemeClr w14:val="tx1"/>
                  </w14:solidFill>
                </w14:textFill>
              </w:rPr>
            </w:pPr>
            <w:bookmarkStart w:id="15" w:name="_Ref366648764"/>
            <w:r>
              <w:rPr>
                <w:rFonts w:hint="eastAsia" w:ascii="Times New Roman" w:hAnsi="Times New Roman" w:cs="Times New Roman"/>
                <w:bCs/>
                <w:color w:val="000000" w:themeColor="text1"/>
                <w:kern w:val="0"/>
                <w:sz w:val="24"/>
                <w:highlight w:val="none"/>
                <w14:textFill>
                  <w14:solidFill>
                    <w14:schemeClr w14:val="tx1"/>
                  </w14:solidFill>
                </w14:textFill>
              </w:rPr>
              <w:t>根</w:t>
            </w:r>
            <w:r>
              <w:rPr>
                <w:rFonts w:hint="eastAsia" w:ascii="Times New Roman" w:hAnsi="Times New Roman" w:cs="Times New Roman"/>
                <w:bCs/>
                <w:color w:val="000000" w:themeColor="text1"/>
                <w:kern w:val="0"/>
                <w:sz w:val="24"/>
                <w:highlight w:val="none"/>
                <w:lang w:val="en-US" w:eastAsia="zh-CN"/>
                <w14:textFill>
                  <w14:solidFill>
                    <w14:schemeClr w14:val="tx1"/>
                  </w14:solidFill>
                </w14:textFill>
              </w:rPr>
              <w:t>据《韶关市生态环境状况公报》（202</w:t>
            </w:r>
            <w:r>
              <w:rPr>
                <w:rFonts w:hint="eastAsia" w:cs="Times New Roman"/>
                <w:bCs/>
                <w:color w:val="000000" w:themeColor="text1"/>
                <w:kern w:val="0"/>
                <w:sz w:val="24"/>
                <w:highlight w:val="none"/>
                <w:lang w:val="en-US" w:eastAsia="zh-CN"/>
                <w14:textFill>
                  <w14:solidFill>
                    <w14:schemeClr w14:val="tx1"/>
                  </w14:solidFill>
                </w14:textFill>
              </w:rPr>
              <w:t>4</w:t>
            </w:r>
            <w:r>
              <w:rPr>
                <w:rFonts w:hint="eastAsia" w:ascii="Times New Roman" w:hAnsi="Times New Roman" w:cs="Times New Roman"/>
                <w:bCs/>
                <w:color w:val="000000" w:themeColor="text1"/>
                <w:kern w:val="0"/>
                <w:sz w:val="24"/>
                <w:highlight w:val="none"/>
                <w:lang w:val="en-US" w:eastAsia="zh-CN"/>
                <w14:textFill>
                  <w14:solidFill>
                    <w14:schemeClr w14:val="tx1"/>
                  </w14:solidFill>
                </w14:textFill>
              </w:rPr>
              <w:t>年）</w:t>
            </w:r>
            <w:r>
              <w:rPr>
                <w:rFonts w:ascii="Times New Roman" w:hAnsi="Times New Roman" w:cs="Times New Roman"/>
                <w:bCs/>
                <w:color w:val="000000" w:themeColor="text1"/>
                <w:kern w:val="0"/>
                <w:sz w:val="24"/>
                <w:highlight w:val="none"/>
                <w14:textFill>
                  <w14:solidFill>
                    <w14:schemeClr w14:val="tx1"/>
                  </w14:solidFill>
                </w14:textFill>
              </w:rPr>
              <w:t>，</w:t>
            </w:r>
            <w:r>
              <w:rPr>
                <w:rFonts w:hint="eastAsia" w:cs="Times New Roman"/>
                <w:bCs/>
                <w:color w:val="000000" w:themeColor="text1"/>
                <w:kern w:val="0"/>
                <w:sz w:val="24"/>
                <w:highlight w:val="none"/>
                <w:lang w:val="en-US" w:eastAsia="zh-CN"/>
                <w14:textFill>
                  <w14:solidFill>
                    <w14:schemeClr w14:val="tx1"/>
                  </w14:solidFill>
                </w14:textFill>
              </w:rPr>
              <w:t>乐昌</w:t>
            </w:r>
            <w:r>
              <w:rPr>
                <w:rFonts w:hint="eastAsia" w:ascii="Times New Roman" w:hAnsi="Times New Roman" w:cs="Times New Roman"/>
                <w:bCs/>
                <w:color w:val="000000" w:themeColor="text1"/>
                <w:kern w:val="0"/>
                <w:sz w:val="24"/>
                <w:highlight w:val="none"/>
                <w:lang w:val="en-US" w:eastAsia="zh-CN"/>
                <w14:textFill>
                  <w14:solidFill>
                    <w14:schemeClr w14:val="tx1"/>
                  </w14:solidFill>
                </w14:textFill>
              </w:rPr>
              <w:t>市各常规监测因子：</w:t>
            </w:r>
            <w:r>
              <w:rPr>
                <w:rFonts w:ascii="Times New Roman" w:hAnsi="Times New Roman" w:cs="Times New Roman"/>
                <w:bCs/>
                <w:color w:val="000000" w:themeColor="text1"/>
                <w:kern w:val="0"/>
                <w:sz w:val="24"/>
                <w:highlight w:val="none"/>
                <w14:textFill>
                  <w14:solidFill>
                    <w14:schemeClr w14:val="tx1"/>
                  </w14:solidFill>
                </w14:textFill>
              </w:rPr>
              <w:t>SO</w:t>
            </w:r>
            <w:r>
              <w:rPr>
                <w:rFonts w:ascii="Times New Roman" w:hAnsi="Times New Roman" w:cs="Times New Roman"/>
                <w:bCs/>
                <w:color w:val="000000" w:themeColor="text1"/>
                <w:kern w:val="0"/>
                <w:sz w:val="24"/>
                <w:highlight w:val="none"/>
                <w:vertAlign w:val="subscript"/>
                <w14:textFill>
                  <w14:solidFill>
                    <w14:schemeClr w14:val="tx1"/>
                  </w14:solidFill>
                </w14:textFill>
              </w:rPr>
              <w:t>2</w:t>
            </w:r>
            <w:r>
              <w:rPr>
                <w:rFonts w:ascii="Times New Roman" w:hAnsi="Times New Roman" w:cs="Times New Roman"/>
                <w:bCs/>
                <w:color w:val="000000" w:themeColor="text1"/>
                <w:kern w:val="0"/>
                <w:sz w:val="24"/>
                <w:highlight w:val="none"/>
                <w14:textFill>
                  <w14:solidFill>
                    <w14:schemeClr w14:val="tx1"/>
                  </w14:solidFill>
                </w14:textFill>
              </w:rPr>
              <w:t>、NO</w:t>
            </w:r>
            <w:r>
              <w:rPr>
                <w:rFonts w:ascii="Times New Roman" w:hAnsi="Times New Roman" w:cs="Times New Roman"/>
                <w:bCs/>
                <w:color w:val="000000" w:themeColor="text1"/>
                <w:kern w:val="0"/>
                <w:sz w:val="24"/>
                <w:highlight w:val="none"/>
                <w:vertAlign w:val="subscript"/>
                <w14:textFill>
                  <w14:solidFill>
                    <w14:schemeClr w14:val="tx1"/>
                  </w14:solidFill>
                </w14:textFill>
              </w:rPr>
              <w:t>2</w:t>
            </w:r>
            <w:r>
              <w:rPr>
                <w:rFonts w:ascii="Times New Roman" w:hAnsi="Times New Roman" w:cs="Times New Roman"/>
                <w:bCs/>
                <w:color w:val="000000" w:themeColor="text1"/>
                <w:kern w:val="0"/>
                <w:sz w:val="24"/>
                <w:highlight w:val="none"/>
                <w14:textFill>
                  <w14:solidFill>
                    <w14:schemeClr w14:val="tx1"/>
                  </w14:solidFill>
                </w14:textFill>
              </w:rPr>
              <w:t>、PM</w:t>
            </w:r>
            <w:r>
              <w:rPr>
                <w:rFonts w:ascii="Times New Roman" w:hAnsi="Times New Roman" w:cs="Times New Roman"/>
                <w:bCs/>
                <w:color w:val="000000" w:themeColor="text1"/>
                <w:kern w:val="0"/>
                <w:sz w:val="24"/>
                <w:highlight w:val="none"/>
                <w:vertAlign w:val="subscript"/>
                <w14:textFill>
                  <w14:solidFill>
                    <w14:schemeClr w14:val="tx1"/>
                  </w14:solidFill>
                </w14:textFill>
              </w:rPr>
              <w:t>10</w:t>
            </w:r>
            <w:r>
              <w:rPr>
                <w:rFonts w:ascii="Times New Roman" w:hAnsi="Times New Roman" w:cs="Times New Roman"/>
                <w:bCs/>
                <w:color w:val="000000" w:themeColor="text1"/>
                <w:kern w:val="0"/>
                <w:sz w:val="24"/>
                <w:highlight w:val="none"/>
                <w14:textFill>
                  <w14:solidFill>
                    <w14:schemeClr w14:val="tx1"/>
                  </w14:solidFill>
                </w14:textFill>
              </w:rPr>
              <w:t>、PM</w:t>
            </w:r>
            <w:r>
              <w:rPr>
                <w:rFonts w:ascii="Times New Roman" w:hAnsi="Times New Roman" w:cs="Times New Roman"/>
                <w:bCs/>
                <w:color w:val="000000" w:themeColor="text1"/>
                <w:kern w:val="0"/>
                <w:sz w:val="24"/>
                <w:highlight w:val="none"/>
                <w:vertAlign w:val="subscript"/>
                <w14:textFill>
                  <w14:solidFill>
                    <w14:schemeClr w14:val="tx1"/>
                  </w14:solidFill>
                </w14:textFill>
              </w:rPr>
              <w:t>2.5</w:t>
            </w:r>
            <w:r>
              <w:rPr>
                <w:rFonts w:ascii="Times New Roman" w:hAnsi="Times New Roman" w:cs="Times New Roman"/>
                <w:bCs/>
                <w:color w:val="000000" w:themeColor="text1"/>
                <w:kern w:val="0"/>
                <w:sz w:val="24"/>
                <w:highlight w:val="none"/>
                <w14:textFill>
                  <w14:solidFill>
                    <w14:schemeClr w14:val="tx1"/>
                  </w14:solidFill>
                </w14:textFill>
              </w:rPr>
              <w:t>年均浓度以及SO</w:t>
            </w:r>
            <w:r>
              <w:rPr>
                <w:rFonts w:ascii="Times New Roman" w:hAnsi="Times New Roman" w:cs="Times New Roman"/>
                <w:bCs/>
                <w:color w:val="000000" w:themeColor="text1"/>
                <w:kern w:val="0"/>
                <w:sz w:val="24"/>
                <w:highlight w:val="none"/>
                <w:vertAlign w:val="subscript"/>
                <w14:textFill>
                  <w14:solidFill>
                    <w14:schemeClr w14:val="tx1"/>
                  </w14:solidFill>
                </w14:textFill>
              </w:rPr>
              <w:t>2</w:t>
            </w:r>
            <w:r>
              <w:rPr>
                <w:rFonts w:ascii="Times New Roman" w:hAnsi="Times New Roman" w:cs="Times New Roman"/>
                <w:bCs/>
                <w:color w:val="000000" w:themeColor="text1"/>
                <w:kern w:val="0"/>
                <w:sz w:val="24"/>
                <w:highlight w:val="none"/>
                <w14:textFill>
                  <w14:solidFill>
                    <w14:schemeClr w14:val="tx1"/>
                  </w14:solidFill>
                </w14:textFill>
              </w:rPr>
              <w:t>、NO</w:t>
            </w:r>
            <w:r>
              <w:rPr>
                <w:rFonts w:ascii="Times New Roman" w:hAnsi="Times New Roman" w:cs="Times New Roman"/>
                <w:bCs/>
                <w:color w:val="000000" w:themeColor="text1"/>
                <w:kern w:val="0"/>
                <w:sz w:val="24"/>
                <w:highlight w:val="none"/>
                <w:vertAlign w:val="subscript"/>
                <w14:textFill>
                  <w14:solidFill>
                    <w14:schemeClr w14:val="tx1"/>
                  </w14:solidFill>
                </w14:textFill>
              </w:rPr>
              <w:t>2</w:t>
            </w:r>
            <w:r>
              <w:rPr>
                <w:rFonts w:ascii="Times New Roman" w:hAnsi="Times New Roman" w:cs="Times New Roman"/>
                <w:bCs/>
                <w:color w:val="000000" w:themeColor="text1"/>
                <w:kern w:val="0"/>
                <w:sz w:val="24"/>
                <w:highlight w:val="none"/>
                <w14:textFill>
                  <w14:solidFill>
                    <w14:schemeClr w14:val="tx1"/>
                  </w14:solidFill>
                </w14:textFill>
              </w:rPr>
              <w:t>、PM</w:t>
            </w:r>
            <w:r>
              <w:rPr>
                <w:rFonts w:ascii="Times New Roman" w:hAnsi="Times New Roman" w:cs="Times New Roman"/>
                <w:bCs/>
                <w:color w:val="000000" w:themeColor="text1"/>
                <w:kern w:val="0"/>
                <w:sz w:val="24"/>
                <w:highlight w:val="none"/>
                <w:vertAlign w:val="subscript"/>
                <w14:textFill>
                  <w14:solidFill>
                    <w14:schemeClr w14:val="tx1"/>
                  </w14:solidFill>
                </w14:textFill>
              </w:rPr>
              <w:t>10</w:t>
            </w:r>
            <w:r>
              <w:rPr>
                <w:rFonts w:ascii="Times New Roman" w:hAnsi="Times New Roman" w:cs="Times New Roman"/>
                <w:bCs/>
                <w:color w:val="000000" w:themeColor="text1"/>
                <w:kern w:val="0"/>
                <w:sz w:val="24"/>
                <w:highlight w:val="none"/>
                <w14:textFill>
                  <w14:solidFill>
                    <w14:schemeClr w14:val="tx1"/>
                  </w14:solidFill>
                </w14:textFill>
              </w:rPr>
              <w:t>、PM</w:t>
            </w:r>
            <w:r>
              <w:rPr>
                <w:rFonts w:ascii="Times New Roman" w:hAnsi="Times New Roman" w:cs="Times New Roman"/>
                <w:bCs/>
                <w:color w:val="000000" w:themeColor="text1"/>
                <w:kern w:val="0"/>
                <w:sz w:val="24"/>
                <w:highlight w:val="none"/>
                <w:vertAlign w:val="subscript"/>
                <w14:textFill>
                  <w14:solidFill>
                    <w14:schemeClr w14:val="tx1"/>
                  </w14:solidFill>
                </w14:textFill>
              </w:rPr>
              <w:t>2.5</w:t>
            </w:r>
            <w:r>
              <w:rPr>
                <w:rFonts w:ascii="Times New Roman" w:hAnsi="Times New Roman" w:cs="Times New Roman"/>
                <w:bCs/>
                <w:color w:val="000000" w:themeColor="text1"/>
                <w:kern w:val="0"/>
                <w:sz w:val="24"/>
                <w:highlight w:val="none"/>
                <w14:textFill>
                  <w14:solidFill>
                    <w14:schemeClr w14:val="tx1"/>
                  </w14:solidFill>
                </w14:textFill>
              </w:rPr>
              <w:t>、CO和O</w:t>
            </w:r>
            <w:r>
              <w:rPr>
                <w:rFonts w:ascii="Times New Roman" w:hAnsi="Times New Roman" w:cs="Times New Roman"/>
                <w:bCs/>
                <w:color w:val="000000" w:themeColor="text1"/>
                <w:kern w:val="0"/>
                <w:sz w:val="24"/>
                <w:highlight w:val="none"/>
                <w:vertAlign w:val="subscript"/>
                <w14:textFill>
                  <w14:solidFill>
                    <w14:schemeClr w14:val="tx1"/>
                  </w14:solidFill>
                </w14:textFill>
              </w:rPr>
              <w:t>3</w:t>
            </w:r>
            <w:r>
              <w:rPr>
                <w:rFonts w:ascii="Times New Roman" w:hAnsi="Times New Roman" w:cs="Times New Roman"/>
                <w:bCs/>
                <w:color w:val="000000" w:themeColor="text1"/>
                <w:kern w:val="0"/>
                <w:sz w:val="24"/>
                <w:highlight w:val="none"/>
                <w14:textFill>
                  <w14:solidFill>
                    <w14:schemeClr w14:val="tx1"/>
                  </w14:solidFill>
                </w14:textFill>
              </w:rPr>
              <w:t>相应评价百分位数日均值（或8小时平均浓度）均符合《环境空气质量标准》（GB 3095-2012）及其修改单二级标准要求，项目所在区域环境空气质量属达标区</w:t>
            </w:r>
            <w:r>
              <w:rPr>
                <w:rFonts w:hint="eastAsia" w:ascii="Times New Roman" w:hAnsi="Times New Roman" w:cs="Times New Roman"/>
                <w:bCs/>
                <w:color w:val="000000" w:themeColor="text1"/>
                <w:kern w:val="0"/>
                <w:sz w:val="24"/>
                <w:highlight w:val="none"/>
                <w14:textFill>
                  <w14:solidFill>
                    <w14:schemeClr w14:val="tx1"/>
                  </w14:solidFill>
                </w14:textFill>
              </w:rPr>
              <w:t>，环境空气质量现状良好</w:t>
            </w:r>
            <w:r>
              <w:rPr>
                <w:rFonts w:hint="eastAsia" w:ascii="Times New Roman" w:hAnsi="Times New Roman" w:cs="Times New Roman"/>
                <w:bCs/>
                <w:color w:val="000000" w:themeColor="text1"/>
                <w:kern w:val="0"/>
                <w:sz w:val="24"/>
                <w:highlight w:val="none"/>
                <w:lang w:eastAsia="zh-CN"/>
                <w14:textFill>
                  <w14:solidFill>
                    <w14:schemeClr w14:val="tx1"/>
                  </w14:solidFill>
                </w14:textFill>
              </w:rPr>
              <w:t>。</w:t>
            </w:r>
            <w:r>
              <w:rPr>
                <w:rFonts w:ascii="Times New Roman" w:hAnsi="Times New Roman" w:cs="Times New Roman"/>
                <w:bCs/>
                <w:color w:val="000000" w:themeColor="text1"/>
                <w:kern w:val="0"/>
                <w:sz w:val="24"/>
                <w:highlight w:val="none"/>
                <w14:textFill>
                  <w14:solidFill>
                    <w14:schemeClr w14:val="tx1"/>
                  </w14:solidFill>
                </w14:textFill>
              </w:rPr>
              <w:t>各项指标数据以及标准见表</w:t>
            </w:r>
            <w:r>
              <w:rPr>
                <w:rFonts w:hint="eastAsia" w:ascii="Times New Roman" w:hAnsi="Times New Roman" w:cs="Times New Roman"/>
                <w:bCs/>
                <w:color w:val="000000" w:themeColor="text1"/>
                <w:kern w:val="0"/>
                <w:sz w:val="24"/>
                <w:highlight w:val="none"/>
                <w:lang w:val="en-US" w:eastAsia="zh-CN"/>
                <w14:textFill>
                  <w14:solidFill>
                    <w14:schemeClr w14:val="tx1"/>
                  </w14:solidFill>
                </w14:textFill>
              </w:rPr>
              <w:t>3-1</w:t>
            </w:r>
            <w:r>
              <w:rPr>
                <w:rFonts w:hint="eastAsia" w:ascii="Times New Roman" w:hAnsi="Times New Roman" w:cs="Times New Roman"/>
                <w:bCs/>
                <w:color w:val="000000" w:themeColor="text1"/>
                <w:kern w:val="0"/>
                <w:sz w:val="24"/>
                <w:highlight w:val="none"/>
                <w14:textFill>
                  <w14:solidFill>
                    <w14:schemeClr w14:val="tx1"/>
                  </w14:solidFill>
                </w14:textFill>
              </w:rPr>
              <w:t>。</w:t>
            </w:r>
          </w:p>
          <w:bookmarkEnd w:id="15"/>
          <w:p w14:paraId="3BED9897">
            <w:pPr>
              <w:adjustRightInd w:val="0"/>
              <w:snapToGrid w:val="0"/>
              <w:spacing w:line="360" w:lineRule="auto"/>
              <w:jc w:val="center"/>
              <w:rPr>
                <w:b/>
                <w:sz w:val="24"/>
                <w:highlight w:val="none"/>
              </w:rPr>
            </w:pPr>
            <w:r>
              <w:rPr>
                <w:b/>
                <w:sz w:val="24"/>
                <w:highlight w:val="none"/>
              </w:rPr>
              <w:t>表</w:t>
            </w:r>
            <w:r>
              <w:rPr>
                <w:rFonts w:hint="eastAsia"/>
                <w:b/>
                <w:sz w:val="24"/>
                <w:highlight w:val="none"/>
              </w:rPr>
              <w:t>3-1</w:t>
            </w:r>
            <w:r>
              <w:rPr>
                <w:b/>
                <w:sz w:val="24"/>
                <w:highlight w:val="none"/>
              </w:rPr>
              <w:t xml:space="preserve">  </w:t>
            </w:r>
            <w:bookmarkStart w:id="16" w:name="_Hlk177199602"/>
            <w:r>
              <w:rPr>
                <w:b/>
                <w:sz w:val="24"/>
                <w:highlight w:val="none"/>
              </w:rPr>
              <w:t>20</w:t>
            </w:r>
            <w:r>
              <w:rPr>
                <w:rFonts w:hint="eastAsia"/>
                <w:b/>
                <w:sz w:val="24"/>
                <w:highlight w:val="none"/>
              </w:rPr>
              <w:t>23</w:t>
            </w:r>
            <w:r>
              <w:rPr>
                <w:b/>
                <w:sz w:val="24"/>
                <w:highlight w:val="none"/>
              </w:rPr>
              <w:t>年</w:t>
            </w:r>
            <w:r>
              <w:rPr>
                <w:rFonts w:hint="eastAsia"/>
                <w:b/>
                <w:sz w:val="24"/>
                <w:highlight w:val="none"/>
              </w:rPr>
              <w:t>乐昌市</w:t>
            </w:r>
            <w:r>
              <w:rPr>
                <w:b/>
                <w:sz w:val="24"/>
                <w:highlight w:val="none"/>
              </w:rPr>
              <w:t>环境空气质量现状监测结果统计</w:t>
            </w:r>
            <w:bookmarkEnd w:id="16"/>
            <w:r>
              <w:rPr>
                <w:rFonts w:hint="eastAsia"/>
                <w:b/>
                <w:sz w:val="24"/>
                <w:highlight w:val="none"/>
              </w:rPr>
              <w:t xml:space="preserve">   </w:t>
            </w:r>
            <w:r>
              <w:rPr>
                <w:b/>
                <w:sz w:val="24"/>
                <w:highlight w:val="none"/>
              </w:rPr>
              <w:t>单位：μg/m³</w:t>
            </w:r>
          </w:p>
          <w:tbl>
            <w:tblPr>
              <w:tblStyle w:val="34"/>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2213"/>
              <w:gridCol w:w="712"/>
              <w:gridCol w:w="638"/>
              <w:gridCol w:w="775"/>
              <w:gridCol w:w="712"/>
              <w:gridCol w:w="838"/>
              <w:gridCol w:w="802"/>
            </w:tblGrid>
            <w:tr w14:paraId="32C0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09" w:type="dxa"/>
                  <w:tcBorders>
                    <w:tl2br w:val="nil"/>
                    <w:tr2bl w:val="nil"/>
                  </w:tcBorders>
                  <w:noWrap/>
                  <w:vAlign w:val="center"/>
                </w:tcPr>
                <w:p w14:paraId="2503B2D9">
                  <w:pPr>
                    <w:widowControl/>
                    <w:jc w:val="center"/>
                    <w:rPr>
                      <w:b/>
                      <w:bCs/>
                      <w:kern w:val="0"/>
                      <w:szCs w:val="21"/>
                      <w:highlight w:val="none"/>
                    </w:rPr>
                  </w:pPr>
                  <w:r>
                    <w:rPr>
                      <w:b/>
                      <w:bCs/>
                      <w:kern w:val="0"/>
                      <w:szCs w:val="21"/>
                      <w:highlight w:val="none"/>
                    </w:rPr>
                    <w:t>评价时段</w:t>
                  </w:r>
                </w:p>
              </w:tc>
              <w:tc>
                <w:tcPr>
                  <w:tcW w:w="2213" w:type="dxa"/>
                  <w:tcBorders>
                    <w:tl2br w:val="nil"/>
                    <w:tr2bl w:val="nil"/>
                  </w:tcBorders>
                  <w:noWrap/>
                  <w:vAlign w:val="center"/>
                </w:tcPr>
                <w:p w14:paraId="19F0E814">
                  <w:pPr>
                    <w:widowControl/>
                    <w:jc w:val="center"/>
                    <w:rPr>
                      <w:b/>
                      <w:bCs/>
                      <w:kern w:val="0"/>
                      <w:szCs w:val="21"/>
                      <w:highlight w:val="none"/>
                    </w:rPr>
                  </w:pPr>
                  <w:r>
                    <w:rPr>
                      <w:b/>
                      <w:bCs/>
                      <w:kern w:val="0"/>
                      <w:szCs w:val="21"/>
                      <w:highlight w:val="none"/>
                    </w:rPr>
                    <w:t>污染物</w:t>
                  </w:r>
                </w:p>
              </w:tc>
              <w:tc>
                <w:tcPr>
                  <w:tcW w:w="712" w:type="dxa"/>
                  <w:tcBorders>
                    <w:tl2br w:val="nil"/>
                    <w:tr2bl w:val="nil"/>
                  </w:tcBorders>
                  <w:noWrap/>
                  <w:vAlign w:val="center"/>
                </w:tcPr>
                <w:p w14:paraId="4A04186A">
                  <w:pPr>
                    <w:widowControl/>
                    <w:jc w:val="center"/>
                    <w:rPr>
                      <w:b/>
                      <w:bCs/>
                      <w:kern w:val="0"/>
                      <w:szCs w:val="21"/>
                      <w:highlight w:val="none"/>
                    </w:rPr>
                  </w:pPr>
                  <w:r>
                    <w:rPr>
                      <w:b/>
                      <w:bCs/>
                      <w:kern w:val="0"/>
                      <w:szCs w:val="21"/>
                      <w:highlight w:val="none"/>
                    </w:rPr>
                    <w:t>SO</w:t>
                  </w:r>
                  <w:r>
                    <w:rPr>
                      <w:b/>
                      <w:bCs/>
                      <w:kern w:val="0"/>
                      <w:szCs w:val="21"/>
                      <w:highlight w:val="none"/>
                      <w:vertAlign w:val="subscript"/>
                    </w:rPr>
                    <w:t>2</w:t>
                  </w:r>
                </w:p>
              </w:tc>
              <w:tc>
                <w:tcPr>
                  <w:tcW w:w="638" w:type="dxa"/>
                  <w:tcBorders>
                    <w:tl2br w:val="nil"/>
                    <w:tr2bl w:val="nil"/>
                  </w:tcBorders>
                  <w:noWrap/>
                  <w:vAlign w:val="center"/>
                </w:tcPr>
                <w:p w14:paraId="1A29697C">
                  <w:pPr>
                    <w:widowControl/>
                    <w:jc w:val="center"/>
                    <w:rPr>
                      <w:b/>
                      <w:bCs/>
                      <w:kern w:val="0"/>
                      <w:szCs w:val="21"/>
                      <w:highlight w:val="none"/>
                    </w:rPr>
                  </w:pPr>
                  <w:r>
                    <w:rPr>
                      <w:b/>
                      <w:bCs/>
                      <w:kern w:val="0"/>
                      <w:szCs w:val="21"/>
                      <w:highlight w:val="none"/>
                    </w:rPr>
                    <w:t>NO</w:t>
                  </w:r>
                  <w:r>
                    <w:rPr>
                      <w:b/>
                      <w:bCs/>
                      <w:kern w:val="0"/>
                      <w:szCs w:val="21"/>
                      <w:highlight w:val="none"/>
                      <w:vertAlign w:val="subscript"/>
                    </w:rPr>
                    <w:t>2</w:t>
                  </w:r>
                </w:p>
              </w:tc>
              <w:tc>
                <w:tcPr>
                  <w:tcW w:w="775" w:type="dxa"/>
                  <w:tcBorders>
                    <w:tl2br w:val="nil"/>
                    <w:tr2bl w:val="nil"/>
                  </w:tcBorders>
                  <w:noWrap/>
                  <w:vAlign w:val="center"/>
                </w:tcPr>
                <w:p w14:paraId="41C07EC2">
                  <w:pPr>
                    <w:widowControl/>
                    <w:jc w:val="center"/>
                    <w:rPr>
                      <w:b/>
                      <w:bCs/>
                      <w:kern w:val="0"/>
                      <w:szCs w:val="21"/>
                      <w:highlight w:val="none"/>
                    </w:rPr>
                  </w:pPr>
                  <w:r>
                    <w:rPr>
                      <w:b/>
                      <w:bCs/>
                      <w:kern w:val="0"/>
                      <w:szCs w:val="21"/>
                      <w:highlight w:val="none"/>
                    </w:rPr>
                    <w:t>PM</w:t>
                  </w:r>
                  <w:r>
                    <w:rPr>
                      <w:b/>
                      <w:bCs/>
                      <w:kern w:val="0"/>
                      <w:szCs w:val="21"/>
                      <w:highlight w:val="none"/>
                      <w:vertAlign w:val="subscript"/>
                    </w:rPr>
                    <w:t>10</w:t>
                  </w:r>
                </w:p>
              </w:tc>
              <w:tc>
                <w:tcPr>
                  <w:tcW w:w="712" w:type="dxa"/>
                  <w:tcBorders>
                    <w:tl2br w:val="nil"/>
                    <w:tr2bl w:val="nil"/>
                  </w:tcBorders>
                  <w:noWrap/>
                  <w:vAlign w:val="center"/>
                </w:tcPr>
                <w:p w14:paraId="10CBA19C">
                  <w:pPr>
                    <w:widowControl/>
                    <w:jc w:val="center"/>
                    <w:rPr>
                      <w:b/>
                      <w:bCs/>
                      <w:kern w:val="0"/>
                      <w:szCs w:val="21"/>
                      <w:highlight w:val="none"/>
                    </w:rPr>
                  </w:pPr>
                  <w:r>
                    <w:rPr>
                      <w:b/>
                      <w:bCs/>
                      <w:kern w:val="0"/>
                      <w:szCs w:val="21"/>
                      <w:highlight w:val="none"/>
                    </w:rPr>
                    <w:t>CO</w:t>
                  </w:r>
                </w:p>
              </w:tc>
              <w:tc>
                <w:tcPr>
                  <w:tcW w:w="838" w:type="dxa"/>
                  <w:tcBorders>
                    <w:tl2br w:val="nil"/>
                    <w:tr2bl w:val="nil"/>
                  </w:tcBorders>
                  <w:noWrap/>
                  <w:vAlign w:val="center"/>
                </w:tcPr>
                <w:p w14:paraId="6F039BEF">
                  <w:pPr>
                    <w:widowControl/>
                    <w:jc w:val="center"/>
                    <w:rPr>
                      <w:b/>
                      <w:bCs/>
                      <w:kern w:val="0"/>
                      <w:szCs w:val="21"/>
                      <w:highlight w:val="none"/>
                    </w:rPr>
                  </w:pPr>
                  <w:r>
                    <w:rPr>
                      <w:b/>
                      <w:bCs/>
                      <w:kern w:val="0"/>
                      <w:szCs w:val="21"/>
                      <w:highlight w:val="none"/>
                    </w:rPr>
                    <w:t>O</w:t>
                  </w:r>
                  <w:r>
                    <w:rPr>
                      <w:b/>
                      <w:bCs/>
                      <w:kern w:val="0"/>
                      <w:szCs w:val="21"/>
                      <w:highlight w:val="none"/>
                      <w:vertAlign w:val="subscript"/>
                    </w:rPr>
                    <w:t>3</w:t>
                  </w:r>
                  <w:r>
                    <w:rPr>
                      <w:b/>
                      <w:bCs/>
                      <w:kern w:val="0"/>
                      <w:szCs w:val="21"/>
                      <w:highlight w:val="none"/>
                    </w:rPr>
                    <w:t>_8H</w:t>
                  </w:r>
                </w:p>
              </w:tc>
              <w:tc>
                <w:tcPr>
                  <w:tcW w:w="802" w:type="dxa"/>
                  <w:tcBorders>
                    <w:tl2br w:val="nil"/>
                    <w:tr2bl w:val="nil"/>
                  </w:tcBorders>
                  <w:noWrap/>
                  <w:vAlign w:val="center"/>
                </w:tcPr>
                <w:p w14:paraId="78821DDA">
                  <w:pPr>
                    <w:widowControl/>
                    <w:jc w:val="center"/>
                    <w:rPr>
                      <w:b/>
                      <w:bCs/>
                      <w:kern w:val="0"/>
                      <w:szCs w:val="21"/>
                      <w:highlight w:val="none"/>
                    </w:rPr>
                  </w:pPr>
                  <w:r>
                    <w:rPr>
                      <w:b/>
                      <w:bCs/>
                      <w:kern w:val="0"/>
                      <w:szCs w:val="21"/>
                      <w:highlight w:val="none"/>
                    </w:rPr>
                    <w:t>PM</w:t>
                  </w:r>
                  <w:r>
                    <w:rPr>
                      <w:b/>
                      <w:bCs/>
                      <w:kern w:val="0"/>
                      <w:szCs w:val="21"/>
                      <w:highlight w:val="none"/>
                      <w:vertAlign w:val="subscript"/>
                    </w:rPr>
                    <w:t>2.5</w:t>
                  </w:r>
                </w:p>
              </w:tc>
            </w:tr>
            <w:tr w14:paraId="42D4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09" w:type="dxa"/>
                  <w:vMerge w:val="restart"/>
                  <w:tcBorders>
                    <w:tl2br w:val="nil"/>
                    <w:tr2bl w:val="nil"/>
                  </w:tcBorders>
                  <w:noWrap/>
                  <w:vAlign w:val="center"/>
                </w:tcPr>
                <w:p w14:paraId="0FE99E5C">
                  <w:pPr>
                    <w:widowControl/>
                    <w:jc w:val="center"/>
                    <w:rPr>
                      <w:kern w:val="0"/>
                      <w:szCs w:val="21"/>
                      <w:highlight w:val="none"/>
                    </w:rPr>
                  </w:pPr>
                  <w:r>
                    <w:rPr>
                      <w:kern w:val="0"/>
                      <w:szCs w:val="21"/>
                      <w:highlight w:val="none"/>
                    </w:rPr>
                    <w:t>年均浓度</w:t>
                  </w:r>
                </w:p>
              </w:tc>
              <w:tc>
                <w:tcPr>
                  <w:tcW w:w="2213" w:type="dxa"/>
                  <w:tcBorders>
                    <w:tl2br w:val="nil"/>
                    <w:tr2bl w:val="nil"/>
                  </w:tcBorders>
                  <w:noWrap/>
                  <w:vAlign w:val="center"/>
                </w:tcPr>
                <w:p w14:paraId="106CF183">
                  <w:pPr>
                    <w:widowControl/>
                    <w:jc w:val="center"/>
                    <w:rPr>
                      <w:kern w:val="0"/>
                      <w:szCs w:val="21"/>
                      <w:highlight w:val="none"/>
                    </w:rPr>
                  </w:pPr>
                  <w:r>
                    <w:rPr>
                      <w:rFonts w:hint="eastAsia"/>
                      <w:kern w:val="0"/>
                      <w:szCs w:val="21"/>
                      <w:highlight w:val="none"/>
                    </w:rPr>
                    <w:t>202</w:t>
                  </w:r>
                  <w:r>
                    <w:rPr>
                      <w:rFonts w:hint="eastAsia"/>
                      <w:kern w:val="0"/>
                      <w:szCs w:val="21"/>
                      <w:highlight w:val="none"/>
                      <w:lang w:val="en-US" w:eastAsia="zh-CN"/>
                    </w:rPr>
                    <w:t>4</w:t>
                  </w:r>
                  <w:r>
                    <w:rPr>
                      <w:kern w:val="0"/>
                      <w:szCs w:val="21"/>
                      <w:highlight w:val="none"/>
                    </w:rPr>
                    <w:t>年</w:t>
                  </w:r>
                  <w:r>
                    <w:rPr>
                      <w:rFonts w:hint="eastAsia"/>
                      <w:kern w:val="0"/>
                      <w:szCs w:val="21"/>
                      <w:highlight w:val="none"/>
                    </w:rPr>
                    <w:t>平</w:t>
                  </w:r>
                  <w:r>
                    <w:rPr>
                      <w:kern w:val="0"/>
                      <w:szCs w:val="21"/>
                      <w:highlight w:val="none"/>
                    </w:rPr>
                    <w:t>均浓度</w:t>
                  </w:r>
                </w:p>
              </w:tc>
              <w:tc>
                <w:tcPr>
                  <w:tcW w:w="712" w:type="dxa"/>
                  <w:tcBorders>
                    <w:tl2br w:val="nil"/>
                    <w:tr2bl w:val="nil"/>
                  </w:tcBorders>
                  <w:noWrap/>
                  <w:vAlign w:val="center"/>
                </w:tcPr>
                <w:p w14:paraId="3E79EA02">
                  <w:pPr>
                    <w:widowControl/>
                    <w:jc w:val="center"/>
                    <w:textAlignment w:val="bottom"/>
                    <w:rPr>
                      <w:kern w:val="0"/>
                      <w:szCs w:val="21"/>
                      <w:highlight w:val="none"/>
                    </w:rPr>
                  </w:pPr>
                  <w:r>
                    <w:rPr>
                      <w:rFonts w:hint="eastAsia"/>
                      <w:spacing w:val="-2"/>
                      <w:kern w:val="0"/>
                      <w:szCs w:val="21"/>
                      <w:highlight w:val="none"/>
                      <w:lang w:val="en-US" w:eastAsia="zh-CN" w:bidi="ar"/>
                    </w:rPr>
                    <w:t>6</w:t>
                  </w:r>
                </w:p>
              </w:tc>
              <w:tc>
                <w:tcPr>
                  <w:tcW w:w="638" w:type="dxa"/>
                  <w:tcBorders>
                    <w:tl2br w:val="nil"/>
                    <w:tr2bl w:val="nil"/>
                  </w:tcBorders>
                  <w:noWrap/>
                  <w:vAlign w:val="center"/>
                </w:tcPr>
                <w:p w14:paraId="66132A23">
                  <w:pPr>
                    <w:widowControl/>
                    <w:jc w:val="center"/>
                    <w:textAlignment w:val="bottom"/>
                    <w:rPr>
                      <w:kern w:val="0"/>
                      <w:szCs w:val="21"/>
                      <w:highlight w:val="none"/>
                    </w:rPr>
                  </w:pPr>
                  <w:r>
                    <w:rPr>
                      <w:rFonts w:hint="eastAsia"/>
                      <w:spacing w:val="-2"/>
                      <w:kern w:val="0"/>
                      <w:szCs w:val="21"/>
                      <w:highlight w:val="none"/>
                      <w:lang w:val="en-US" w:eastAsia="zh-CN" w:bidi="ar"/>
                    </w:rPr>
                    <w:t>12</w:t>
                  </w:r>
                </w:p>
              </w:tc>
              <w:tc>
                <w:tcPr>
                  <w:tcW w:w="775" w:type="dxa"/>
                  <w:tcBorders>
                    <w:tl2br w:val="nil"/>
                    <w:tr2bl w:val="nil"/>
                  </w:tcBorders>
                  <w:noWrap/>
                  <w:vAlign w:val="center"/>
                </w:tcPr>
                <w:p w14:paraId="084471A3">
                  <w:pPr>
                    <w:widowControl/>
                    <w:jc w:val="center"/>
                    <w:textAlignment w:val="bottom"/>
                    <w:rPr>
                      <w:kern w:val="0"/>
                      <w:szCs w:val="21"/>
                      <w:highlight w:val="none"/>
                    </w:rPr>
                  </w:pPr>
                  <w:r>
                    <w:rPr>
                      <w:rFonts w:hint="eastAsia"/>
                      <w:spacing w:val="-2"/>
                      <w:kern w:val="0"/>
                      <w:szCs w:val="21"/>
                      <w:highlight w:val="none"/>
                      <w:lang w:val="en-US" w:eastAsia="zh-CN" w:bidi="ar"/>
                    </w:rPr>
                    <w:t>31</w:t>
                  </w:r>
                </w:p>
              </w:tc>
              <w:tc>
                <w:tcPr>
                  <w:tcW w:w="712" w:type="dxa"/>
                  <w:tcBorders>
                    <w:tl2br w:val="nil"/>
                    <w:tr2bl w:val="nil"/>
                  </w:tcBorders>
                  <w:noWrap/>
                  <w:vAlign w:val="center"/>
                </w:tcPr>
                <w:p w14:paraId="44C8236D">
                  <w:pPr>
                    <w:widowControl/>
                    <w:jc w:val="center"/>
                    <w:textAlignment w:val="bottom"/>
                    <w:rPr>
                      <w:kern w:val="0"/>
                      <w:szCs w:val="21"/>
                      <w:highlight w:val="none"/>
                    </w:rPr>
                  </w:pPr>
                  <w:r>
                    <w:rPr>
                      <w:rFonts w:hint="eastAsia"/>
                      <w:spacing w:val="-2"/>
                      <w:kern w:val="0"/>
                      <w:szCs w:val="21"/>
                      <w:highlight w:val="none"/>
                      <w:lang w:val="en-US" w:eastAsia="zh-CN" w:bidi="ar"/>
                    </w:rPr>
                    <w:t>1000</w:t>
                  </w:r>
                </w:p>
              </w:tc>
              <w:tc>
                <w:tcPr>
                  <w:tcW w:w="838" w:type="dxa"/>
                  <w:tcBorders>
                    <w:tl2br w:val="nil"/>
                    <w:tr2bl w:val="nil"/>
                  </w:tcBorders>
                  <w:noWrap/>
                  <w:vAlign w:val="center"/>
                </w:tcPr>
                <w:p w14:paraId="4D03E2B1">
                  <w:pPr>
                    <w:widowControl/>
                    <w:jc w:val="center"/>
                    <w:textAlignment w:val="bottom"/>
                    <w:rPr>
                      <w:kern w:val="0"/>
                      <w:szCs w:val="21"/>
                      <w:highlight w:val="none"/>
                    </w:rPr>
                  </w:pPr>
                  <w:r>
                    <w:rPr>
                      <w:rFonts w:hint="eastAsia"/>
                      <w:spacing w:val="-2"/>
                      <w:kern w:val="0"/>
                      <w:szCs w:val="21"/>
                      <w:highlight w:val="none"/>
                      <w:lang w:val="en-US" w:eastAsia="zh-CN" w:bidi="ar"/>
                    </w:rPr>
                    <w:t>108</w:t>
                  </w:r>
                </w:p>
              </w:tc>
              <w:tc>
                <w:tcPr>
                  <w:tcW w:w="802" w:type="dxa"/>
                  <w:tcBorders>
                    <w:tl2br w:val="nil"/>
                    <w:tr2bl w:val="nil"/>
                  </w:tcBorders>
                  <w:noWrap/>
                  <w:vAlign w:val="center"/>
                </w:tcPr>
                <w:p w14:paraId="291C6ED4">
                  <w:pPr>
                    <w:widowControl/>
                    <w:jc w:val="center"/>
                    <w:textAlignment w:val="bottom"/>
                    <w:rPr>
                      <w:kern w:val="0"/>
                      <w:szCs w:val="21"/>
                      <w:highlight w:val="none"/>
                    </w:rPr>
                  </w:pPr>
                  <w:r>
                    <w:rPr>
                      <w:rFonts w:hint="eastAsia"/>
                      <w:spacing w:val="-2"/>
                      <w:kern w:val="0"/>
                      <w:szCs w:val="21"/>
                      <w:highlight w:val="none"/>
                      <w:lang w:val="en-US" w:eastAsia="zh-CN" w:bidi="ar"/>
                    </w:rPr>
                    <w:t>21</w:t>
                  </w:r>
                </w:p>
              </w:tc>
            </w:tr>
            <w:tr w14:paraId="5E6C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09" w:type="dxa"/>
                  <w:vMerge w:val="continue"/>
                  <w:tcBorders>
                    <w:tl2br w:val="nil"/>
                    <w:tr2bl w:val="nil"/>
                  </w:tcBorders>
                  <w:vAlign w:val="center"/>
                </w:tcPr>
                <w:p w14:paraId="6CB091A6">
                  <w:pPr>
                    <w:widowControl/>
                    <w:jc w:val="center"/>
                    <w:rPr>
                      <w:kern w:val="0"/>
                      <w:szCs w:val="21"/>
                      <w:highlight w:val="none"/>
                    </w:rPr>
                  </w:pPr>
                </w:p>
              </w:tc>
              <w:tc>
                <w:tcPr>
                  <w:tcW w:w="2213" w:type="dxa"/>
                  <w:tcBorders>
                    <w:tl2br w:val="nil"/>
                    <w:tr2bl w:val="nil"/>
                  </w:tcBorders>
                  <w:noWrap/>
                  <w:vAlign w:val="center"/>
                </w:tcPr>
                <w:p w14:paraId="4CD06FAF">
                  <w:pPr>
                    <w:widowControl/>
                    <w:jc w:val="center"/>
                    <w:rPr>
                      <w:kern w:val="0"/>
                      <w:szCs w:val="21"/>
                      <w:highlight w:val="none"/>
                    </w:rPr>
                  </w:pPr>
                  <w:r>
                    <w:rPr>
                      <w:kern w:val="0"/>
                      <w:szCs w:val="21"/>
                      <w:highlight w:val="none"/>
                    </w:rPr>
                    <w:t>标准值</w:t>
                  </w:r>
                </w:p>
              </w:tc>
              <w:tc>
                <w:tcPr>
                  <w:tcW w:w="712" w:type="dxa"/>
                  <w:tcBorders>
                    <w:tl2br w:val="nil"/>
                    <w:tr2bl w:val="nil"/>
                  </w:tcBorders>
                  <w:noWrap/>
                  <w:vAlign w:val="center"/>
                </w:tcPr>
                <w:p w14:paraId="73597971">
                  <w:pPr>
                    <w:widowControl/>
                    <w:jc w:val="center"/>
                    <w:textAlignment w:val="bottom"/>
                    <w:rPr>
                      <w:kern w:val="0"/>
                      <w:szCs w:val="21"/>
                      <w:highlight w:val="none"/>
                    </w:rPr>
                  </w:pPr>
                  <w:r>
                    <w:rPr>
                      <w:spacing w:val="-2"/>
                      <w:kern w:val="0"/>
                      <w:szCs w:val="21"/>
                      <w:highlight w:val="none"/>
                      <w:lang w:bidi="ar"/>
                    </w:rPr>
                    <w:t>60</w:t>
                  </w:r>
                </w:p>
              </w:tc>
              <w:tc>
                <w:tcPr>
                  <w:tcW w:w="638" w:type="dxa"/>
                  <w:tcBorders>
                    <w:tl2br w:val="nil"/>
                    <w:tr2bl w:val="nil"/>
                  </w:tcBorders>
                  <w:noWrap/>
                  <w:vAlign w:val="center"/>
                </w:tcPr>
                <w:p w14:paraId="4A94E155">
                  <w:pPr>
                    <w:widowControl/>
                    <w:jc w:val="center"/>
                    <w:textAlignment w:val="bottom"/>
                    <w:rPr>
                      <w:kern w:val="0"/>
                      <w:szCs w:val="21"/>
                      <w:highlight w:val="none"/>
                    </w:rPr>
                  </w:pPr>
                  <w:r>
                    <w:rPr>
                      <w:spacing w:val="-2"/>
                      <w:kern w:val="0"/>
                      <w:szCs w:val="21"/>
                      <w:highlight w:val="none"/>
                      <w:lang w:bidi="ar"/>
                    </w:rPr>
                    <w:t>40</w:t>
                  </w:r>
                </w:p>
              </w:tc>
              <w:tc>
                <w:tcPr>
                  <w:tcW w:w="775" w:type="dxa"/>
                  <w:tcBorders>
                    <w:tl2br w:val="nil"/>
                    <w:tr2bl w:val="nil"/>
                  </w:tcBorders>
                  <w:noWrap/>
                  <w:vAlign w:val="center"/>
                </w:tcPr>
                <w:p w14:paraId="4C954854">
                  <w:pPr>
                    <w:widowControl/>
                    <w:jc w:val="center"/>
                    <w:textAlignment w:val="bottom"/>
                    <w:rPr>
                      <w:kern w:val="0"/>
                      <w:szCs w:val="21"/>
                      <w:highlight w:val="none"/>
                    </w:rPr>
                  </w:pPr>
                  <w:r>
                    <w:rPr>
                      <w:spacing w:val="-2"/>
                      <w:kern w:val="0"/>
                      <w:szCs w:val="21"/>
                      <w:highlight w:val="none"/>
                      <w:lang w:bidi="ar"/>
                    </w:rPr>
                    <w:t>70</w:t>
                  </w:r>
                </w:p>
              </w:tc>
              <w:tc>
                <w:tcPr>
                  <w:tcW w:w="712" w:type="dxa"/>
                  <w:tcBorders>
                    <w:tl2br w:val="nil"/>
                    <w:tr2bl w:val="nil"/>
                  </w:tcBorders>
                  <w:noWrap/>
                  <w:vAlign w:val="center"/>
                </w:tcPr>
                <w:p w14:paraId="16049F2D">
                  <w:pPr>
                    <w:widowControl/>
                    <w:jc w:val="center"/>
                    <w:textAlignment w:val="bottom"/>
                    <w:rPr>
                      <w:kern w:val="0"/>
                      <w:szCs w:val="21"/>
                      <w:highlight w:val="none"/>
                    </w:rPr>
                  </w:pPr>
                  <w:r>
                    <w:rPr>
                      <w:spacing w:val="-2"/>
                      <w:kern w:val="0"/>
                      <w:szCs w:val="21"/>
                      <w:highlight w:val="none"/>
                      <w:lang w:bidi="ar"/>
                    </w:rPr>
                    <w:t>4</w:t>
                  </w:r>
                  <w:r>
                    <w:rPr>
                      <w:rFonts w:hint="eastAsia"/>
                      <w:spacing w:val="-2"/>
                      <w:kern w:val="0"/>
                      <w:szCs w:val="21"/>
                      <w:highlight w:val="none"/>
                      <w:lang w:bidi="ar"/>
                    </w:rPr>
                    <w:t>000</w:t>
                  </w:r>
                </w:p>
              </w:tc>
              <w:tc>
                <w:tcPr>
                  <w:tcW w:w="838" w:type="dxa"/>
                  <w:tcBorders>
                    <w:tl2br w:val="nil"/>
                    <w:tr2bl w:val="nil"/>
                  </w:tcBorders>
                  <w:noWrap/>
                  <w:vAlign w:val="center"/>
                </w:tcPr>
                <w:p w14:paraId="4A5B40F6">
                  <w:pPr>
                    <w:widowControl/>
                    <w:jc w:val="center"/>
                    <w:textAlignment w:val="bottom"/>
                    <w:rPr>
                      <w:kern w:val="0"/>
                      <w:szCs w:val="21"/>
                      <w:highlight w:val="none"/>
                    </w:rPr>
                  </w:pPr>
                  <w:r>
                    <w:rPr>
                      <w:spacing w:val="-2"/>
                      <w:kern w:val="0"/>
                      <w:szCs w:val="21"/>
                      <w:highlight w:val="none"/>
                      <w:lang w:bidi="ar"/>
                    </w:rPr>
                    <w:t>160</w:t>
                  </w:r>
                </w:p>
              </w:tc>
              <w:tc>
                <w:tcPr>
                  <w:tcW w:w="802" w:type="dxa"/>
                  <w:tcBorders>
                    <w:tl2br w:val="nil"/>
                    <w:tr2bl w:val="nil"/>
                  </w:tcBorders>
                  <w:noWrap/>
                  <w:vAlign w:val="center"/>
                </w:tcPr>
                <w:p w14:paraId="29D7FF60">
                  <w:pPr>
                    <w:widowControl/>
                    <w:jc w:val="center"/>
                    <w:textAlignment w:val="bottom"/>
                    <w:rPr>
                      <w:kern w:val="0"/>
                      <w:szCs w:val="21"/>
                      <w:highlight w:val="none"/>
                    </w:rPr>
                  </w:pPr>
                  <w:r>
                    <w:rPr>
                      <w:spacing w:val="-2"/>
                      <w:kern w:val="0"/>
                      <w:szCs w:val="21"/>
                      <w:highlight w:val="none"/>
                      <w:lang w:bidi="ar"/>
                    </w:rPr>
                    <w:t>35</w:t>
                  </w:r>
                </w:p>
              </w:tc>
            </w:tr>
            <w:tr w14:paraId="2645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09" w:type="dxa"/>
                  <w:vMerge w:val="continue"/>
                  <w:tcBorders>
                    <w:tl2br w:val="nil"/>
                    <w:tr2bl w:val="nil"/>
                  </w:tcBorders>
                  <w:vAlign w:val="center"/>
                </w:tcPr>
                <w:p w14:paraId="0F6DDC93">
                  <w:pPr>
                    <w:widowControl/>
                    <w:jc w:val="center"/>
                    <w:rPr>
                      <w:kern w:val="0"/>
                      <w:szCs w:val="21"/>
                      <w:highlight w:val="none"/>
                    </w:rPr>
                  </w:pPr>
                </w:p>
              </w:tc>
              <w:tc>
                <w:tcPr>
                  <w:tcW w:w="2213" w:type="dxa"/>
                  <w:tcBorders>
                    <w:tl2br w:val="nil"/>
                    <w:tr2bl w:val="nil"/>
                  </w:tcBorders>
                  <w:noWrap/>
                  <w:vAlign w:val="center"/>
                </w:tcPr>
                <w:p w14:paraId="04B39DBE">
                  <w:pPr>
                    <w:widowControl/>
                    <w:jc w:val="center"/>
                    <w:rPr>
                      <w:kern w:val="0"/>
                      <w:szCs w:val="21"/>
                      <w:highlight w:val="none"/>
                    </w:rPr>
                  </w:pPr>
                  <w:r>
                    <w:rPr>
                      <w:kern w:val="0"/>
                      <w:szCs w:val="21"/>
                      <w:highlight w:val="none"/>
                    </w:rPr>
                    <w:t>是否达标</w:t>
                  </w:r>
                </w:p>
              </w:tc>
              <w:tc>
                <w:tcPr>
                  <w:tcW w:w="712" w:type="dxa"/>
                  <w:tcBorders>
                    <w:tl2br w:val="nil"/>
                    <w:tr2bl w:val="nil"/>
                  </w:tcBorders>
                  <w:noWrap/>
                  <w:vAlign w:val="center"/>
                </w:tcPr>
                <w:p w14:paraId="79B7272F">
                  <w:pPr>
                    <w:widowControl/>
                    <w:jc w:val="center"/>
                    <w:textAlignment w:val="bottom"/>
                    <w:rPr>
                      <w:kern w:val="0"/>
                      <w:szCs w:val="21"/>
                      <w:highlight w:val="none"/>
                    </w:rPr>
                  </w:pPr>
                  <w:r>
                    <w:rPr>
                      <w:spacing w:val="-2"/>
                      <w:kern w:val="0"/>
                      <w:szCs w:val="21"/>
                      <w:highlight w:val="none"/>
                      <w:lang w:bidi="ar"/>
                    </w:rPr>
                    <w:t>达标</w:t>
                  </w:r>
                </w:p>
              </w:tc>
              <w:tc>
                <w:tcPr>
                  <w:tcW w:w="638" w:type="dxa"/>
                  <w:tcBorders>
                    <w:tl2br w:val="nil"/>
                    <w:tr2bl w:val="nil"/>
                  </w:tcBorders>
                  <w:noWrap/>
                  <w:vAlign w:val="center"/>
                </w:tcPr>
                <w:p w14:paraId="026739E1">
                  <w:pPr>
                    <w:widowControl/>
                    <w:jc w:val="center"/>
                    <w:textAlignment w:val="bottom"/>
                    <w:rPr>
                      <w:kern w:val="0"/>
                      <w:szCs w:val="21"/>
                      <w:highlight w:val="none"/>
                    </w:rPr>
                  </w:pPr>
                  <w:r>
                    <w:rPr>
                      <w:spacing w:val="-2"/>
                      <w:kern w:val="0"/>
                      <w:szCs w:val="21"/>
                      <w:highlight w:val="none"/>
                      <w:lang w:bidi="ar"/>
                    </w:rPr>
                    <w:t>达标</w:t>
                  </w:r>
                </w:p>
              </w:tc>
              <w:tc>
                <w:tcPr>
                  <w:tcW w:w="775" w:type="dxa"/>
                  <w:tcBorders>
                    <w:tl2br w:val="nil"/>
                    <w:tr2bl w:val="nil"/>
                  </w:tcBorders>
                  <w:noWrap/>
                  <w:vAlign w:val="center"/>
                </w:tcPr>
                <w:p w14:paraId="4D240D55">
                  <w:pPr>
                    <w:widowControl/>
                    <w:jc w:val="center"/>
                    <w:textAlignment w:val="bottom"/>
                    <w:rPr>
                      <w:kern w:val="0"/>
                      <w:szCs w:val="21"/>
                      <w:highlight w:val="none"/>
                    </w:rPr>
                  </w:pPr>
                  <w:r>
                    <w:rPr>
                      <w:spacing w:val="-2"/>
                      <w:kern w:val="0"/>
                      <w:szCs w:val="21"/>
                      <w:highlight w:val="none"/>
                      <w:lang w:bidi="ar"/>
                    </w:rPr>
                    <w:t>达标</w:t>
                  </w:r>
                </w:p>
              </w:tc>
              <w:tc>
                <w:tcPr>
                  <w:tcW w:w="712" w:type="dxa"/>
                  <w:tcBorders>
                    <w:tl2br w:val="nil"/>
                    <w:tr2bl w:val="nil"/>
                  </w:tcBorders>
                  <w:noWrap/>
                  <w:vAlign w:val="center"/>
                </w:tcPr>
                <w:p w14:paraId="7B20503E">
                  <w:pPr>
                    <w:widowControl/>
                    <w:jc w:val="center"/>
                    <w:textAlignment w:val="bottom"/>
                    <w:rPr>
                      <w:kern w:val="0"/>
                      <w:szCs w:val="21"/>
                      <w:highlight w:val="none"/>
                    </w:rPr>
                  </w:pPr>
                  <w:r>
                    <w:rPr>
                      <w:spacing w:val="-2"/>
                      <w:kern w:val="0"/>
                      <w:szCs w:val="21"/>
                      <w:highlight w:val="none"/>
                      <w:lang w:bidi="ar"/>
                    </w:rPr>
                    <w:t>达标</w:t>
                  </w:r>
                </w:p>
              </w:tc>
              <w:tc>
                <w:tcPr>
                  <w:tcW w:w="838" w:type="dxa"/>
                  <w:tcBorders>
                    <w:tl2br w:val="nil"/>
                    <w:tr2bl w:val="nil"/>
                  </w:tcBorders>
                  <w:noWrap/>
                  <w:vAlign w:val="center"/>
                </w:tcPr>
                <w:p w14:paraId="21B34D9E">
                  <w:pPr>
                    <w:widowControl/>
                    <w:jc w:val="center"/>
                    <w:textAlignment w:val="bottom"/>
                    <w:rPr>
                      <w:kern w:val="0"/>
                      <w:szCs w:val="21"/>
                      <w:highlight w:val="none"/>
                    </w:rPr>
                  </w:pPr>
                  <w:r>
                    <w:rPr>
                      <w:spacing w:val="-2"/>
                      <w:kern w:val="0"/>
                      <w:szCs w:val="21"/>
                      <w:highlight w:val="none"/>
                      <w:lang w:bidi="ar"/>
                    </w:rPr>
                    <w:t>达标</w:t>
                  </w:r>
                </w:p>
              </w:tc>
              <w:tc>
                <w:tcPr>
                  <w:tcW w:w="802" w:type="dxa"/>
                  <w:tcBorders>
                    <w:tl2br w:val="nil"/>
                    <w:tr2bl w:val="nil"/>
                  </w:tcBorders>
                  <w:noWrap/>
                  <w:vAlign w:val="center"/>
                </w:tcPr>
                <w:p w14:paraId="76B559DF">
                  <w:pPr>
                    <w:widowControl/>
                    <w:jc w:val="center"/>
                    <w:textAlignment w:val="bottom"/>
                    <w:rPr>
                      <w:kern w:val="0"/>
                      <w:szCs w:val="21"/>
                      <w:highlight w:val="none"/>
                    </w:rPr>
                  </w:pPr>
                  <w:r>
                    <w:rPr>
                      <w:spacing w:val="-2"/>
                      <w:kern w:val="0"/>
                      <w:szCs w:val="21"/>
                      <w:highlight w:val="none"/>
                      <w:lang w:bidi="ar"/>
                    </w:rPr>
                    <w:t>达标</w:t>
                  </w:r>
                </w:p>
              </w:tc>
            </w:tr>
            <w:tr w14:paraId="0A18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9" w:type="dxa"/>
                  <w:tcBorders>
                    <w:tl2br w:val="nil"/>
                    <w:tr2bl w:val="nil"/>
                  </w:tcBorders>
                  <w:vAlign w:val="center"/>
                </w:tcPr>
                <w:p w14:paraId="5BB27DE6">
                  <w:pPr>
                    <w:widowControl/>
                    <w:jc w:val="center"/>
                    <w:rPr>
                      <w:kern w:val="0"/>
                      <w:szCs w:val="21"/>
                      <w:highlight w:val="none"/>
                    </w:rPr>
                  </w:pPr>
                  <w:r>
                    <w:rPr>
                      <w:rFonts w:hint="eastAsia"/>
                      <w:kern w:val="0"/>
                      <w:szCs w:val="21"/>
                      <w:highlight w:val="none"/>
                    </w:rPr>
                    <w:t>备注</w:t>
                  </w:r>
                </w:p>
              </w:tc>
              <w:tc>
                <w:tcPr>
                  <w:tcW w:w="6690" w:type="dxa"/>
                  <w:gridSpan w:val="7"/>
                  <w:tcBorders>
                    <w:tl2br w:val="nil"/>
                    <w:tr2bl w:val="nil"/>
                  </w:tcBorders>
                  <w:noWrap/>
                  <w:vAlign w:val="center"/>
                </w:tcPr>
                <w:p w14:paraId="6994BCB7">
                  <w:pPr>
                    <w:widowControl/>
                    <w:textAlignment w:val="bottom"/>
                    <w:rPr>
                      <w:spacing w:val="-2"/>
                      <w:kern w:val="0"/>
                      <w:szCs w:val="21"/>
                      <w:highlight w:val="none"/>
                      <w:lang w:bidi="ar"/>
                    </w:rPr>
                  </w:pPr>
                  <w:r>
                    <w:rPr>
                      <w:rFonts w:hint="eastAsia"/>
                      <w:spacing w:val="-2"/>
                      <w:kern w:val="0"/>
                      <w:szCs w:val="21"/>
                      <w:highlight w:val="none"/>
                      <w:lang w:bidi="ar"/>
                    </w:rPr>
                    <w:t>CO为95%保证率日均浓度，</w:t>
                  </w:r>
                  <w:r>
                    <w:rPr>
                      <w:kern w:val="0"/>
                      <w:szCs w:val="21"/>
                      <w:highlight w:val="none"/>
                    </w:rPr>
                    <w:t>O</w:t>
                  </w:r>
                  <w:r>
                    <w:rPr>
                      <w:kern w:val="0"/>
                      <w:szCs w:val="21"/>
                      <w:highlight w:val="none"/>
                      <w:vertAlign w:val="subscript"/>
                    </w:rPr>
                    <w:t>3</w:t>
                  </w:r>
                  <w:r>
                    <w:rPr>
                      <w:rFonts w:hint="eastAsia"/>
                      <w:kern w:val="0"/>
                      <w:szCs w:val="21"/>
                      <w:highlight w:val="none"/>
                    </w:rPr>
                    <w:t>为90%保证率8小时平均浓度</w:t>
                  </w:r>
                </w:p>
              </w:tc>
            </w:tr>
            <w:tr w14:paraId="6E59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22" w:type="dxa"/>
                  <w:gridSpan w:val="2"/>
                  <w:tcBorders>
                    <w:tl2br w:val="nil"/>
                    <w:tr2bl w:val="nil"/>
                  </w:tcBorders>
                  <w:noWrap/>
                  <w:vAlign w:val="center"/>
                </w:tcPr>
                <w:p w14:paraId="6E1949C8">
                  <w:pPr>
                    <w:widowControl/>
                    <w:jc w:val="center"/>
                    <w:rPr>
                      <w:kern w:val="0"/>
                      <w:szCs w:val="21"/>
                      <w:highlight w:val="none"/>
                    </w:rPr>
                  </w:pPr>
                  <w:r>
                    <w:rPr>
                      <w:kern w:val="0"/>
                      <w:szCs w:val="21"/>
                      <w:highlight w:val="none"/>
                    </w:rPr>
                    <w:t>区域类别</w:t>
                  </w:r>
                </w:p>
              </w:tc>
              <w:tc>
                <w:tcPr>
                  <w:tcW w:w="4477" w:type="dxa"/>
                  <w:gridSpan w:val="6"/>
                  <w:tcBorders>
                    <w:tl2br w:val="nil"/>
                    <w:tr2bl w:val="nil"/>
                  </w:tcBorders>
                  <w:noWrap/>
                  <w:vAlign w:val="center"/>
                </w:tcPr>
                <w:p w14:paraId="5B307DDB">
                  <w:pPr>
                    <w:widowControl/>
                    <w:jc w:val="center"/>
                    <w:rPr>
                      <w:kern w:val="0"/>
                      <w:szCs w:val="21"/>
                      <w:highlight w:val="none"/>
                    </w:rPr>
                  </w:pPr>
                  <w:r>
                    <w:rPr>
                      <w:kern w:val="0"/>
                      <w:szCs w:val="21"/>
                      <w:highlight w:val="none"/>
                    </w:rPr>
                    <w:t>达标区</w:t>
                  </w:r>
                </w:p>
              </w:tc>
            </w:tr>
          </w:tbl>
          <w:p w14:paraId="26ECA5B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为了解项目所在区域TSP环境空气质量现状，</w:t>
            </w:r>
            <w:r>
              <w:rPr>
                <w:rFonts w:hint="eastAsia" w:hAnsi="宋体"/>
                <w:sz w:val="24"/>
                <w:highlight w:val="none"/>
              </w:rPr>
              <w:t>环评单位委托广东韶测检测有限公司于</w:t>
            </w:r>
            <w:r>
              <w:rPr>
                <w:rFonts w:hAnsi="宋体"/>
                <w:sz w:val="24"/>
                <w:highlight w:val="none"/>
              </w:rPr>
              <w:t>20</w:t>
            </w:r>
            <w:r>
              <w:rPr>
                <w:rFonts w:hint="eastAsia" w:hAnsi="宋体"/>
                <w:sz w:val="24"/>
                <w:highlight w:val="none"/>
              </w:rPr>
              <w:t>2</w:t>
            </w:r>
            <w:r>
              <w:rPr>
                <w:rFonts w:hint="eastAsia" w:hAnsi="宋体"/>
                <w:sz w:val="24"/>
                <w:highlight w:val="none"/>
                <w:lang w:val="en-US" w:eastAsia="zh-CN"/>
              </w:rPr>
              <w:t>5</w:t>
            </w:r>
            <w:r>
              <w:rPr>
                <w:rFonts w:hint="eastAsia" w:hAnsi="宋体"/>
                <w:sz w:val="24"/>
                <w:highlight w:val="none"/>
              </w:rPr>
              <w:t>年</w:t>
            </w:r>
            <w:r>
              <w:rPr>
                <w:rFonts w:hint="eastAsia" w:hAnsi="宋体"/>
                <w:sz w:val="24"/>
                <w:highlight w:val="none"/>
                <w:lang w:val="en-US" w:eastAsia="zh-CN"/>
              </w:rPr>
              <w:t>5</w:t>
            </w:r>
            <w:r>
              <w:rPr>
                <w:rFonts w:hint="eastAsia" w:hAnsi="宋体"/>
                <w:sz w:val="24"/>
                <w:highlight w:val="none"/>
              </w:rPr>
              <w:t>月</w:t>
            </w:r>
            <w:r>
              <w:rPr>
                <w:rFonts w:hint="eastAsia" w:hAnsi="宋体"/>
                <w:sz w:val="24"/>
                <w:highlight w:val="none"/>
                <w:lang w:val="en-US" w:eastAsia="zh-CN"/>
              </w:rPr>
              <w:t>12</w:t>
            </w:r>
            <w:r>
              <w:rPr>
                <w:rFonts w:hint="eastAsia" w:hAnsi="宋体"/>
                <w:sz w:val="24"/>
                <w:highlight w:val="none"/>
              </w:rPr>
              <w:t>日至202</w:t>
            </w:r>
            <w:r>
              <w:rPr>
                <w:rFonts w:hint="eastAsia" w:hAnsi="宋体"/>
                <w:sz w:val="24"/>
                <w:highlight w:val="none"/>
                <w:lang w:val="en-US" w:eastAsia="zh-CN"/>
              </w:rPr>
              <w:t>5</w:t>
            </w:r>
            <w:r>
              <w:rPr>
                <w:rFonts w:hint="eastAsia" w:hAnsi="宋体"/>
                <w:sz w:val="24"/>
                <w:highlight w:val="none"/>
              </w:rPr>
              <w:t>年</w:t>
            </w:r>
            <w:r>
              <w:rPr>
                <w:rFonts w:hint="eastAsia" w:hAnsi="宋体"/>
                <w:sz w:val="24"/>
                <w:highlight w:val="none"/>
                <w:lang w:val="en-US" w:eastAsia="zh-CN"/>
              </w:rPr>
              <w:t>5</w:t>
            </w:r>
            <w:r>
              <w:rPr>
                <w:rFonts w:hint="eastAsia" w:hAnsi="宋体"/>
                <w:sz w:val="24"/>
                <w:highlight w:val="none"/>
              </w:rPr>
              <w:t>月</w:t>
            </w:r>
            <w:r>
              <w:rPr>
                <w:rFonts w:hint="eastAsia" w:hAnsi="宋体"/>
                <w:sz w:val="24"/>
                <w:highlight w:val="none"/>
                <w:lang w:val="en-US" w:eastAsia="zh-CN"/>
              </w:rPr>
              <w:t>14</w:t>
            </w:r>
            <w:r>
              <w:rPr>
                <w:rFonts w:hint="eastAsia" w:hAnsi="宋体"/>
                <w:sz w:val="24"/>
                <w:highlight w:val="none"/>
              </w:rPr>
              <w:t>日</w:t>
            </w:r>
            <w:r>
              <w:rPr>
                <w:rFonts w:hint="eastAsia" w:hAnsi="宋体"/>
                <w:sz w:val="24"/>
                <w:highlight w:val="none"/>
                <w:lang w:val="en-US" w:eastAsia="zh-CN"/>
              </w:rPr>
              <w:t>在贮木场村进行了TSP采样监测</w:t>
            </w:r>
            <w:r>
              <w:rPr>
                <w:rFonts w:hint="eastAsia" w:hAnsi="宋体"/>
                <w:sz w:val="24"/>
                <w:highlight w:val="none"/>
              </w:rPr>
              <w:t>（报告编号</w:t>
            </w:r>
            <w:r>
              <w:rPr>
                <w:rFonts w:hAnsi="宋体"/>
                <w:sz w:val="24"/>
                <w:highlight w:val="none"/>
              </w:rPr>
              <w:t>:</w:t>
            </w:r>
            <w:r>
              <w:rPr>
                <w:rFonts w:hint="eastAsia" w:hAnsi="宋体"/>
                <w:sz w:val="24"/>
                <w:highlight w:val="none"/>
              </w:rPr>
              <w:t>广东韶测 第 （</w:t>
            </w:r>
            <w:r>
              <w:rPr>
                <w:rFonts w:hint="eastAsia" w:hAnsi="宋体"/>
                <w:sz w:val="24"/>
                <w:highlight w:val="none"/>
                <w:lang w:val="en-US" w:eastAsia="zh-CN"/>
              </w:rPr>
              <w:t>25051212</w:t>
            </w:r>
            <w:r>
              <w:rPr>
                <w:rFonts w:hint="eastAsia" w:hAnsi="宋体"/>
                <w:sz w:val="24"/>
                <w:highlight w:val="none"/>
              </w:rPr>
              <w:t>）</w:t>
            </w:r>
            <w:r>
              <w:rPr>
                <w:rFonts w:hint="eastAsia" w:hAnsi="宋体"/>
                <w:sz w:val="24"/>
                <w:highlight w:val="none"/>
                <w:lang w:eastAsia="zh-CN"/>
              </w:rPr>
              <w:t>号</w:t>
            </w:r>
            <w:r>
              <w:rPr>
                <w:rFonts w:hint="eastAsia" w:hAnsi="宋体"/>
                <w:sz w:val="24"/>
                <w:highlight w:val="none"/>
                <w:lang w:val="en-US" w:eastAsia="zh-CN"/>
              </w:rPr>
              <w:t>，本项目选址位于采样监测点（贮木场村）的北面60m处，</w:t>
            </w:r>
            <w:r>
              <w:rPr>
                <w:rFonts w:hint="eastAsia" w:hAnsi="宋体"/>
                <w:sz w:val="24"/>
                <w:highlight w:val="none"/>
              </w:rPr>
              <w:t>其监测结果见表</w:t>
            </w:r>
            <w:r>
              <w:rPr>
                <w:rFonts w:hint="eastAsia" w:ascii="Times New Roman" w:hAnsi="Times New Roman" w:eastAsia="宋体" w:cs="Times New Roman"/>
                <w:sz w:val="24"/>
                <w:szCs w:val="24"/>
                <w:highlight w:val="none"/>
                <w:lang w:val="en-US" w:eastAsia="zh-CN"/>
              </w:rPr>
              <w:t>3-2。</w:t>
            </w:r>
          </w:p>
          <w:p w14:paraId="46D80C8F">
            <w:pPr>
              <w:adjustRightInd w:val="0"/>
              <w:snapToGrid w:val="0"/>
              <w:spacing w:line="360" w:lineRule="auto"/>
              <w:jc w:val="center"/>
              <w:rPr>
                <w:rFonts w:hint="eastAsia" w:ascii="Times New Roman" w:hAnsi="Times New Roman" w:eastAsia="宋体" w:cs="Times New Roman"/>
                <w:b/>
                <w:sz w:val="24"/>
                <w:highlight w:val="none"/>
              </w:rPr>
            </w:pPr>
            <w:r>
              <w:rPr>
                <w:rFonts w:hint="default" w:ascii="Times New Roman" w:hAnsi="Times New Roman" w:eastAsia="宋体" w:cs="Times New Roman"/>
                <w:b/>
                <w:sz w:val="24"/>
                <w:highlight w:val="none"/>
              </w:rPr>
              <w:t xml:space="preserve"> 表3-2</w:t>
            </w:r>
            <w:r>
              <w:rPr>
                <w:rFonts w:hint="eastAsia" w:ascii="Times New Roman" w:hAnsi="Times New Roman" w:eastAsia="宋体" w:cs="Times New Roman"/>
                <w:b/>
                <w:sz w:val="24"/>
                <w:highlight w:val="none"/>
                <w:lang w:val="en-US" w:eastAsia="zh-CN"/>
              </w:rPr>
              <w:t xml:space="preserve"> </w:t>
            </w:r>
            <w:r>
              <w:rPr>
                <w:rFonts w:hint="eastAsia" w:ascii="Times New Roman" w:hAnsi="Times New Roman" w:eastAsia="宋体" w:cs="Times New Roman"/>
                <w:b/>
                <w:sz w:val="24"/>
                <w:highlight w:val="none"/>
              </w:rPr>
              <w:t xml:space="preserve"> 大气污染物小时平均浓度监测结果统计表</w:t>
            </w:r>
          </w:p>
          <w:tbl>
            <w:tblPr>
              <w:tblStyle w:val="35"/>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408"/>
              <w:gridCol w:w="1863"/>
              <w:gridCol w:w="3883"/>
            </w:tblGrid>
            <w:tr w14:paraId="05D2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1145" w:type="dxa"/>
                  <w:vMerge w:val="restart"/>
                  <w:tcBorders>
                    <w:tl2br w:val="nil"/>
                    <w:tr2bl w:val="nil"/>
                  </w:tcBorders>
                  <w:noWrap w:val="0"/>
                  <w:vAlign w:val="center"/>
                </w:tcPr>
                <w:p w14:paraId="5231EE1B">
                  <w:pPr>
                    <w:pStyle w:val="44"/>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cs="Times New Roman"/>
                      <w:b w:val="0"/>
                      <w:bCs w:val="0"/>
                      <w:color w:val="auto"/>
                      <w:sz w:val="21"/>
                      <w:szCs w:val="21"/>
                      <w:highlight w:val="none"/>
                      <w:lang w:eastAsia="zh-CN"/>
                    </w:rPr>
                    <w:t>采样位置</w:t>
                  </w:r>
                </w:p>
              </w:tc>
              <w:tc>
                <w:tcPr>
                  <w:tcW w:w="3271" w:type="dxa"/>
                  <w:gridSpan w:val="2"/>
                  <w:vMerge w:val="restart"/>
                  <w:tcBorders>
                    <w:tl2br w:val="nil"/>
                    <w:tr2bl w:val="nil"/>
                  </w:tcBorders>
                  <w:noWrap w:val="0"/>
                  <w:vAlign w:val="center"/>
                </w:tcPr>
                <w:p w14:paraId="7646787D">
                  <w:pPr>
                    <w:pStyle w:val="44"/>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eastAsia="zh-CN"/>
                    </w:rPr>
                    <w:t>采样时间</w:t>
                  </w:r>
                </w:p>
              </w:tc>
              <w:tc>
                <w:tcPr>
                  <w:tcW w:w="3883" w:type="dxa"/>
                  <w:tcBorders>
                    <w:tl2br w:val="nil"/>
                    <w:tr2bl w:val="nil"/>
                  </w:tcBorders>
                  <w:noWrap w:val="0"/>
                  <w:vAlign w:val="center"/>
                </w:tcPr>
                <w:p w14:paraId="21279888">
                  <w:pPr>
                    <w:pStyle w:val="44"/>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检测结果</w:t>
                  </w:r>
                  <w:r>
                    <w:rPr>
                      <w:rFonts w:hint="eastAsia" w:ascii="Times New Roman" w:hAnsi="Times New Roman" w:eastAsia="宋体" w:cs="Times New Roman"/>
                      <w:sz w:val="21"/>
                      <w:szCs w:val="21"/>
                      <w:highlight w:val="none"/>
                      <w:vertAlign w:val="baseline"/>
                      <w:lang w:val="en-US" w:eastAsia="zh-CN"/>
                    </w:rPr>
                    <w:t>（</w:t>
                  </w:r>
                  <w:r>
                    <w:rPr>
                      <w:rFonts w:hint="default" w:ascii="Times New Roman" w:hAnsi="Times New Roman" w:eastAsia="宋体" w:cs="Times New Roman"/>
                      <w:sz w:val="21"/>
                      <w:szCs w:val="21"/>
                      <w:highlight w:val="none"/>
                      <w:vertAlign w:val="baseline"/>
                      <w:lang w:val="en-US" w:eastAsia="zh-CN"/>
                    </w:rPr>
                    <w:t>μ</w:t>
                  </w:r>
                  <w:r>
                    <w:rPr>
                      <w:rFonts w:hint="eastAsia" w:ascii="Times New Roman" w:hAnsi="Times New Roman" w:eastAsia="宋体" w:cs="Times New Roman"/>
                      <w:sz w:val="21"/>
                      <w:szCs w:val="21"/>
                      <w:highlight w:val="none"/>
                      <w:vertAlign w:val="baseline"/>
                      <w:lang w:val="en-US" w:eastAsia="zh-CN"/>
                    </w:rPr>
                    <w:t>g/m</w:t>
                  </w:r>
                  <w:r>
                    <w:rPr>
                      <w:rFonts w:hint="eastAsia" w:ascii="Times New Roman" w:hAnsi="Times New Roman" w:eastAsia="宋体" w:cs="Times New Roman"/>
                      <w:sz w:val="21"/>
                      <w:szCs w:val="21"/>
                      <w:highlight w:val="none"/>
                      <w:vertAlign w:val="superscript"/>
                      <w:lang w:val="en-US" w:eastAsia="zh-CN"/>
                    </w:rPr>
                    <w:t>3</w:t>
                  </w:r>
                  <w:r>
                    <w:rPr>
                      <w:rFonts w:hint="eastAsia" w:ascii="Times New Roman" w:hAnsi="Times New Roman" w:eastAsia="宋体" w:cs="Times New Roman"/>
                      <w:sz w:val="21"/>
                      <w:szCs w:val="21"/>
                      <w:highlight w:val="none"/>
                      <w:vertAlign w:val="baseline"/>
                      <w:lang w:val="en-US" w:eastAsia="zh-CN"/>
                    </w:rPr>
                    <w:t>）</w:t>
                  </w:r>
                  <w:r>
                    <w:rPr>
                      <w:rFonts w:hint="eastAsia" w:ascii="Times New Roman" w:hAnsi="Times New Roman" w:eastAsia="宋体" w:cs="Times New Roman"/>
                      <w:color w:val="auto"/>
                      <w:sz w:val="21"/>
                      <w:szCs w:val="21"/>
                      <w:highlight w:val="none"/>
                      <w:vertAlign w:val="baseline"/>
                      <w:lang w:val="en-US" w:eastAsia="zh-CN"/>
                    </w:rPr>
                    <w:t>（24小时平均）</w:t>
                  </w:r>
                </w:p>
              </w:tc>
            </w:tr>
            <w:tr w14:paraId="319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blHeader/>
                <w:jc w:val="center"/>
              </w:trPr>
              <w:tc>
                <w:tcPr>
                  <w:tcW w:w="1145" w:type="dxa"/>
                  <w:vMerge w:val="continue"/>
                  <w:tcBorders>
                    <w:tl2br w:val="nil"/>
                    <w:tr2bl w:val="nil"/>
                  </w:tcBorders>
                  <w:noWrap w:val="0"/>
                  <w:vAlign w:val="center"/>
                </w:tcPr>
                <w:p w14:paraId="5550FC85">
                  <w:pPr>
                    <w:pStyle w:val="44"/>
                    <w:jc w:val="center"/>
                    <w:rPr>
                      <w:rFonts w:hint="default" w:ascii="Times New Roman" w:hAnsi="Times New Roman" w:cs="Times New Roman"/>
                      <w:b w:val="0"/>
                      <w:bCs w:val="0"/>
                      <w:color w:val="auto"/>
                      <w:sz w:val="21"/>
                      <w:szCs w:val="21"/>
                      <w:highlight w:val="none"/>
                      <w:lang w:eastAsia="zh-CN"/>
                    </w:rPr>
                  </w:pPr>
                </w:p>
              </w:tc>
              <w:tc>
                <w:tcPr>
                  <w:tcW w:w="3271" w:type="dxa"/>
                  <w:gridSpan w:val="2"/>
                  <w:vMerge w:val="continue"/>
                  <w:tcBorders>
                    <w:tl2br w:val="nil"/>
                    <w:tr2bl w:val="nil"/>
                  </w:tcBorders>
                  <w:noWrap w:val="0"/>
                  <w:vAlign w:val="center"/>
                </w:tcPr>
                <w:p w14:paraId="5A89C305">
                  <w:pPr>
                    <w:pStyle w:val="44"/>
                    <w:jc w:val="center"/>
                    <w:rPr>
                      <w:rFonts w:hint="default" w:ascii="Times New Roman" w:hAnsi="Times New Roman" w:eastAsia="宋体" w:cs="Times New Roman"/>
                      <w:color w:val="auto"/>
                      <w:sz w:val="21"/>
                      <w:szCs w:val="21"/>
                      <w:highlight w:val="none"/>
                      <w:vertAlign w:val="baseline"/>
                      <w:lang w:val="en-US" w:eastAsia="zh-CN"/>
                    </w:rPr>
                  </w:pPr>
                </w:p>
              </w:tc>
              <w:tc>
                <w:tcPr>
                  <w:tcW w:w="3883" w:type="dxa"/>
                  <w:tcBorders>
                    <w:tl2br w:val="nil"/>
                    <w:tr2bl w:val="nil"/>
                  </w:tcBorders>
                  <w:noWrap w:val="0"/>
                  <w:vAlign w:val="center"/>
                </w:tcPr>
                <w:p w14:paraId="104823B6">
                  <w:pPr>
                    <w:pStyle w:val="44"/>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总悬浮颗粒物（TSP）</w:t>
                  </w:r>
                </w:p>
              </w:tc>
            </w:tr>
            <w:tr w14:paraId="7260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45" w:type="dxa"/>
                  <w:vMerge w:val="restart"/>
                  <w:tcBorders>
                    <w:tl2br w:val="nil"/>
                    <w:tr2bl w:val="nil"/>
                  </w:tcBorders>
                  <w:noWrap w:val="0"/>
                  <w:vAlign w:val="center"/>
                </w:tcPr>
                <w:p w14:paraId="618C38AE">
                  <w:pPr>
                    <w:spacing w:line="300" w:lineRule="exact"/>
                    <w:ind w:right="-120" w:rightChars="-57"/>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eastAsia="宋体"/>
                      <w:szCs w:val="21"/>
                      <w:highlight w:val="none"/>
                    </w:rPr>
                    <w:t>G</w:t>
                  </w:r>
                  <w:r>
                    <w:rPr>
                      <w:rFonts w:hint="eastAsia" w:ascii="Times New Roman" w:hAnsi="Times New Roman" w:eastAsia="宋体"/>
                      <w:szCs w:val="21"/>
                      <w:highlight w:val="none"/>
                      <w:vertAlign w:val="subscript"/>
                      <w:lang w:val="en-US" w:eastAsia="zh-CN"/>
                    </w:rPr>
                    <w:t>1</w:t>
                  </w:r>
                  <w:r>
                    <w:rPr>
                      <w:rFonts w:hint="eastAsia" w:ascii="Times New Roman" w:hAnsi="Times New Roman" w:eastAsia="宋体"/>
                      <w:szCs w:val="21"/>
                      <w:highlight w:val="none"/>
                      <w:lang w:val="en-US" w:eastAsia="zh-CN"/>
                    </w:rPr>
                    <w:t>贮木场村</w:t>
                  </w:r>
                </w:p>
              </w:tc>
              <w:tc>
                <w:tcPr>
                  <w:tcW w:w="1408" w:type="dxa"/>
                  <w:tcBorders>
                    <w:tl2br w:val="nil"/>
                    <w:tr2bl w:val="nil"/>
                  </w:tcBorders>
                  <w:noWrap w:val="0"/>
                  <w:vAlign w:val="center"/>
                </w:tcPr>
                <w:p w14:paraId="372BD93E">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2025.05.12</w:t>
                  </w:r>
                </w:p>
              </w:tc>
              <w:tc>
                <w:tcPr>
                  <w:tcW w:w="1863" w:type="dxa"/>
                  <w:tcBorders>
                    <w:tl2br w:val="nil"/>
                    <w:tr2bl w:val="nil"/>
                  </w:tcBorders>
                  <w:noWrap w:val="0"/>
                  <w:vAlign w:val="center"/>
                </w:tcPr>
                <w:p w14:paraId="346F97C8">
                  <w:pPr>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kern w:val="2"/>
                      <w:sz w:val="21"/>
                      <w:szCs w:val="21"/>
                      <w:highlight w:val="none"/>
                      <w:lang w:val="en-US" w:eastAsia="zh-CN" w:bidi="ar-SA"/>
                    </w:rPr>
                    <w:t>02:00</w:t>
                  </w:r>
                  <w:r>
                    <w:rPr>
                      <w:rFonts w:hint="eastAsia" w:ascii="宋体" w:hAnsi="宋体" w:eastAsia="宋体" w:cs="宋体"/>
                      <w:kern w:val="2"/>
                      <w:sz w:val="21"/>
                      <w:szCs w:val="21"/>
                      <w:highlight w:val="none"/>
                      <w:lang w:val="en-US" w:eastAsia="zh-CN" w:bidi="ar-SA"/>
                    </w:rPr>
                    <w:t>～次日</w:t>
                  </w:r>
                  <w:r>
                    <w:rPr>
                      <w:rFonts w:hint="eastAsia" w:ascii="Times New Roman" w:hAnsi="Times New Roman" w:eastAsia="宋体" w:cs="Times New Roman"/>
                      <w:kern w:val="2"/>
                      <w:sz w:val="21"/>
                      <w:szCs w:val="21"/>
                      <w:highlight w:val="none"/>
                      <w:lang w:val="en-US" w:eastAsia="zh-CN" w:bidi="ar-SA"/>
                    </w:rPr>
                    <w:t>02:00</w:t>
                  </w:r>
                </w:p>
              </w:tc>
              <w:tc>
                <w:tcPr>
                  <w:tcW w:w="3883" w:type="dxa"/>
                  <w:tcBorders>
                    <w:tl2br w:val="nil"/>
                    <w:tr2bl w:val="nil"/>
                  </w:tcBorders>
                  <w:noWrap w:val="0"/>
                  <w:vAlign w:val="center"/>
                </w:tcPr>
                <w:p w14:paraId="4CDB1BD2">
                  <w:pPr>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14:paraId="7233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145" w:type="dxa"/>
                  <w:vMerge w:val="continue"/>
                  <w:tcBorders>
                    <w:tl2br w:val="nil"/>
                    <w:tr2bl w:val="nil"/>
                  </w:tcBorders>
                  <w:noWrap w:val="0"/>
                  <w:vAlign w:val="center"/>
                </w:tcPr>
                <w:p w14:paraId="24FEF976">
                  <w:pPr>
                    <w:spacing w:line="300" w:lineRule="exact"/>
                    <w:ind w:right="-120" w:rightChars="-57"/>
                    <w:jc w:val="center"/>
                    <w:rPr>
                      <w:rFonts w:hint="default" w:ascii="Times New Roman" w:hAnsi="Times New Roman" w:cs="Times New Roman"/>
                      <w:color w:val="auto"/>
                      <w:kern w:val="2"/>
                      <w:sz w:val="21"/>
                      <w:szCs w:val="21"/>
                      <w:highlight w:val="none"/>
                      <w:lang w:val="en-US" w:eastAsia="zh-CN" w:bidi="ar-SA"/>
                    </w:rPr>
                  </w:pPr>
                </w:p>
              </w:tc>
              <w:tc>
                <w:tcPr>
                  <w:tcW w:w="1408" w:type="dxa"/>
                  <w:tcBorders>
                    <w:tl2br w:val="nil"/>
                    <w:tr2bl w:val="nil"/>
                  </w:tcBorders>
                  <w:noWrap w:val="0"/>
                  <w:vAlign w:val="center"/>
                </w:tcPr>
                <w:p w14:paraId="0FAC9D2A">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2025.05.13</w:t>
                  </w:r>
                </w:p>
              </w:tc>
              <w:tc>
                <w:tcPr>
                  <w:tcW w:w="1863" w:type="dxa"/>
                  <w:tcBorders>
                    <w:tl2br w:val="nil"/>
                    <w:tr2bl w:val="nil"/>
                  </w:tcBorders>
                  <w:noWrap w:val="0"/>
                  <w:vAlign w:val="center"/>
                </w:tcPr>
                <w:p w14:paraId="549DCF1D">
                  <w:pPr>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kern w:val="2"/>
                      <w:sz w:val="21"/>
                      <w:szCs w:val="21"/>
                      <w:highlight w:val="none"/>
                      <w:lang w:val="en-US" w:eastAsia="zh-CN" w:bidi="ar-SA"/>
                    </w:rPr>
                    <w:t>02:10</w:t>
                  </w:r>
                  <w:r>
                    <w:rPr>
                      <w:rFonts w:hint="eastAsia" w:ascii="宋体" w:hAnsi="宋体" w:eastAsia="宋体" w:cs="宋体"/>
                      <w:kern w:val="2"/>
                      <w:sz w:val="21"/>
                      <w:szCs w:val="21"/>
                      <w:highlight w:val="none"/>
                      <w:lang w:val="en-US" w:eastAsia="zh-CN" w:bidi="ar-SA"/>
                    </w:rPr>
                    <w:t>～次日</w:t>
                  </w:r>
                  <w:r>
                    <w:rPr>
                      <w:rFonts w:hint="eastAsia" w:ascii="Times New Roman" w:hAnsi="Times New Roman" w:eastAsia="宋体" w:cs="Times New Roman"/>
                      <w:kern w:val="2"/>
                      <w:sz w:val="21"/>
                      <w:szCs w:val="21"/>
                      <w:highlight w:val="none"/>
                      <w:lang w:val="en-US" w:eastAsia="zh-CN" w:bidi="ar-SA"/>
                    </w:rPr>
                    <w:t>02:10</w:t>
                  </w:r>
                </w:p>
              </w:tc>
              <w:tc>
                <w:tcPr>
                  <w:tcW w:w="3883" w:type="dxa"/>
                  <w:tcBorders>
                    <w:tl2br w:val="nil"/>
                    <w:tr2bl w:val="nil"/>
                  </w:tcBorders>
                  <w:noWrap w:val="0"/>
                  <w:vAlign w:val="center"/>
                </w:tcPr>
                <w:p w14:paraId="1697DD79">
                  <w:pPr>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14:paraId="7A62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45" w:type="dxa"/>
                  <w:vMerge w:val="continue"/>
                  <w:tcBorders>
                    <w:tl2br w:val="nil"/>
                    <w:tr2bl w:val="nil"/>
                  </w:tcBorders>
                  <w:noWrap w:val="0"/>
                  <w:vAlign w:val="center"/>
                </w:tcPr>
                <w:p w14:paraId="14C66306">
                  <w:pPr>
                    <w:spacing w:line="300" w:lineRule="exact"/>
                    <w:ind w:right="-120" w:rightChars="-57"/>
                    <w:jc w:val="center"/>
                    <w:rPr>
                      <w:rFonts w:hint="default" w:ascii="Times New Roman" w:hAnsi="Times New Roman" w:cs="Times New Roman"/>
                      <w:color w:val="auto"/>
                      <w:kern w:val="2"/>
                      <w:sz w:val="21"/>
                      <w:szCs w:val="21"/>
                      <w:highlight w:val="none"/>
                      <w:lang w:val="en-US" w:eastAsia="zh-CN" w:bidi="ar-SA"/>
                    </w:rPr>
                  </w:pPr>
                </w:p>
              </w:tc>
              <w:tc>
                <w:tcPr>
                  <w:tcW w:w="1408" w:type="dxa"/>
                  <w:tcBorders>
                    <w:tl2br w:val="nil"/>
                    <w:tr2bl w:val="nil"/>
                  </w:tcBorders>
                  <w:noWrap w:val="0"/>
                  <w:vAlign w:val="center"/>
                </w:tcPr>
                <w:p w14:paraId="2F43AAD3">
                  <w:pPr>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2025.05.14</w:t>
                  </w:r>
                </w:p>
              </w:tc>
              <w:tc>
                <w:tcPr>
                  <w:tcW w:w="1863" w:type="dxa"/>
                  <w:tcBorders>
                    <w:tl2br w:val="nil"/>
                    <w:tr2bl w:val="nil"/>
                  </w:tcBorders>
                  <w:noWrap w:val="0"/>
                  <w:vAlign w:val="center"/>
                </w:tcPr>
                <w:p w14:paraId="58E25D84">
                  <w:pPr>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kern w:val="2"/>
                      <w:sz w:val="21"/>
                      <w:szCs w:val="21"/>
                      <w:highlight w:val="none"/>
                      <w:lang w:val="en-US" w:eastAsia="zh-CN" w:bidi="ar-SA"/>
                    </w:rPr>
                    <w:t>02:15</w:t>
                  </w:r>
                  <w:r>
                    <w:rPr>
                      <w:rFonts w:hint="eastAsia" w:ascii="宋体" w:hAnsi="宋体" w:eastAsia="宋体" w:cs="宋体"/>
                      <w:kern w:val="2"/>
                      <w:sz w:val="21"/>
                      <w:szCs w:val="21"/>
                      <w:highlight w:val="none"/>
                      <w:lang w:val="en-US" w:eastAsia="zh-CN" w:bidi="ar-SA"/>
                    </w:rPr>
                    <w:t>～次日</w:t>
                  </w:r>
                  <w:r>
                    <w:rPr>
                      <w:rFonts w:hint="eastAsia" w:ascii="Times New Roman" w:hAnsi="Times New Roman" w:eastAsia="宋体" w:cs="Times New Roman"/>
                      <w:kern w:val="2"/>
                      <w:sz w:val="21"/>
                      <w:szCs w:val="21"/>
                      <w:highlight w:val="none"/>
                      <w:lang w:val="en-US" w:eastAsia="zh-CN" w:bidi="ar-SA"/>
                    </w:rPr>
                    <w:t>02:15</w:t>
                  </w:r>
                </w:p>
              </w:tc>
              <w:tc>
                <w:tcPr>
                  <w:tcW w:w="3883" w:type="dxa"/>
                  <w:tcBorders>
                    <w:tl2br w:val="nil"/>
                    <w:tr2bl w:val="nil"/>
                  </w:tcBorders>
                  <w:noWrap w:val="0"/>
                  <w:vAlign w:val="center"/>
                </w:tcPr>
                <w:p w14:paraId="0C005BB4">
                  <w:pPr>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14:paraId="607B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416" w:type="dxa"/>
                  <w:gridSpan w:val="3"/>
                  <w:tcBorders>
                    <w:tl2br w:val="nil"/>
                    <w:tr2bl w:val="nil"/>
                  </w:tcBorders>
                  <w:noWrap w:val="0"/>
                  <w:vAlign w:val="center"/>
                </w:tcPr>
                <w:p w14:paraId="561C7702">
                  <w:pPr>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标准限值</w:t>
                  </w:r>
                </w:p>
              </w:tc>
              <w:tc>
                <w:tcPr>
                  <w:tcW w:w="3883" w:type="dxa"/>
                  <w:tcBorders>
                    <w:tl2br w:val="nil"/>
                    <w:tr2bl w:val="nil"/>
                  </w:tcBorders>
                  <w:noWrap w:val="0"/>
                  <w:vAlign w:val="center"/>
                </w:tcPr>
                <w:p w14:paraId="56A4A254">
                  <w:pPr>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300</w:t>
                  </w:r>
                </w:p>
              </w:tc>
            </w:tr>
          </w:tbl>
          <w:p w14:paraId="203FC56D">
            <w:pPr>
              <w:adjustRightInd w:val="0"/>
              <w:snapToGrid w:val="0"/>
              <w:spacing w:before="120" w:beforeLines="50" w:line="360" w:lineRule="auto"/>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由上表可知，本项目</w:t>
            </w:r>
            <w:r>
              <w:rPr>
                <w:rFonts w:hint="eastAsia" w:ascii="Times New Roman" w:hAnsi="Times New Roman" w:eastAsia="宋体" w:cs="Times New Roman"/>
                <w:sz w:val="24"/>
                <w:highlight w:val="none"/>
                <w:lang w:val="en-US" w:eastAsia="zh-CN"/>
              </w:rPr>
              <w:t>所在区域</w:t>
            </w:r>
            <w:r>
              <w:rPr>
                <w:rFonts w:hint="default" w:ascii="Times New Roman" w:hAnsi="Times New Roman" w:eastAsia="宋体" w:cs="Times New Roman"/>
                <w:sz w:val="24"/>
                <w:highlight w:val="none"/>
              </w:rPr>
              <w:t>大气环境现状</w:t>
            </w:r>
            <w:r>
              <w:rPr>
                <w:rFonts w:hint="eastAsia" w:ascii="Times New Roman" w:hAnsi="Times New Roman" w:eastAsia="宋体" w:cs="Times New Roman"/>
                <w:sz w:val="24"/>
                <w:highlight w:val="none"/>
                <w:lang w:val="en-US" w:eastAsia="zh-CN"/>
              </w:rPr>
              <w:t>TSP可</w:t>
            </w:r>
            <w:r>
              <w:rPr>
                <w:rFonts w:hint="eastAsia" w:ascii="Times New Roman" w:hAnsi="Times New Roman" w:eastAsia="宋体" w:cs="Times New Roman"/>
                <w:sz w:val="24"/>
                <w:highlight w:val="none"/>
              </w:rPr>
              <w:t>达到《环境空气质量标准》（GB3095-2012）及2018年修改单的二级标准</w:t>
            </w:r>
            <w:r>
              <w:rPr>
                <w:rFonts w:hint="eastAsia" w:ascii="Times New Roman" w:hAnsi="Times New Roman" w:eastAsia="宋体" w:cs="Times New Roman"/>
                <w:sz w:val="24"/>
                <w:highlight w:val="none"/>
                <w:lang w:eastAsia="zh-CN"/>
              </w:rPr>
              <w:t>。</w:t>
            </w:r>
          </w:p>
          <w:p w14:paraId="3A12C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综上</w:t>
            </w:r>
            <w:r>
              <w:rPr>
                <w:rFonts w:hint="eastAsia" w:cs="Times New Roman"/>
                <w:sz w:val="24"/>
                <w:szCs w:val="24"/>
                <w:highlight w:val="none"/>
                <w:lang w:val="en-US" w:eastAsia="zh-CN"/>
              </w:rPr>
              <w:t>所述</w:t>
            </w:r>
            <w:r>
              <w:rPr>
                <w:rFonts w:hint="default" w:ascii="Times New Roman" w:hAnsi="Times New Roman" w:eastAsia="宋体" w:cs="Times New Roman"/>
                <w:sz w:val="24"/>
                <w:szCs w:val="24"/>
                <w:highlight w:val="none"/>
                <w:lang w:val="en-US" w:eastAsia="zh-CN"/>
              </w:rPr>
              <w:t>，</w:t>
            </w:r>
            <w:r>
              <w:rPr>
                <w:rFonts w:hint="eastAsia" w:eastAsia="宋体" w:cs="Times New Roman"/>
                <w:sz w:val="24"/>
                <w:szCs w:val="24"/>
                <w:highlight w:val="none"/>
                <w:lang w:val="en-US" w:eastAsia="zh-CN"/>
              </w:rPr>
              <w:t>项目所在区域的</w:t>
            </w:r>
            <w:r>
              <w:rPr>
                <w:rFonts w:hint="default" w:ascii="Times New Roman" w:hAnsi="Times New Roman" w:eastAsia="宋体" w:cs="Times New Roman"/>
                <w:sz w:val="24"/>
                <w:szCs w:val="24"/>
                <w:highlight w:val="none"/>
                <w:lang w:val="en-US" w:eastAsia="zh-CN"/>
              </w:rPr>
              <w:t>环境空气质量现状符合环境功能区划要求，环境空气质量现状良好。</w:t>
            </w:r>
          </w:p>
          <w:p w14:paraId="349515E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2.地表水环境质量现状</w:t>
            </w:r>
          </w:p>
          <w:p w14:paraId="267D10E2">
            <w:pPr>
              <w:spacing w:line="360" w:lineRule="auto"/>
              <w:ind w:firstLine="480" w:firstLineChars="200"/>
              <w:rPr>
                <w:rFonts w:ascii="Times New Roman" w:hAnsi="Times New Roman" w:cs="Times New Roman"/>
                <w:bCs/>
                <w:color w:val="000000" w:themeColor="text1"/>
                <w:kern w:val="0"/>
                <w:sz w:val="24"/>
                <w:highlight w:val="none"/>
                <w14:textFill>
                  <w14:solidFill>
                    <w14:schemeClr w14:val="tx1"/>
                  </w14:solidFill>
                </w14:textFill>
              </w:rPr>
            </w:pPr>
            <w:r>
              <w:rPr>
                <w:bCs/>
                <w:color w:val="000000" w:themeColor="text1"/>
                <w:kern w:val="0"/>
                <w:sz w:val="24"/>
                <w:highlight w:val="none"/>
                <w14:textFill>
                  <w14:solidFill>
                    <w14:schemeClr w14:val="tx1"/>
                  </w14:solidFill>
                </w14:textFill>
              </w:rPr>
              <w:t>本项目</w:t>
            </w:r>
            <w:r>
              <w:rPr>
                <w:rFonts w:hint="eastAsia"/>
                <w:bCs/>
                <w:color w:val="000000" w:themeColor="text1"/>
                <w:kern w:val="0"/>
                <w:sz w:val="24"/>
                <w:highlight w:val="none"/>
                <w:lang w:val="en-US" w:eastAsia="zh-CN"/>
                <w14:textFill>
                  <w14:solidFill>
                    <w14:schemeClr w14:val="tx1"/>
                  </w14:solidFill>
                </w14:textFill>
              </w:rPr>
              <w:t>附近水体</w:t>
            </w:r>
            <w:r>
              <w:rPr>
                <w:bCs/>
                <w:color w:val="000000" w:themeColor="text1"/>
                <w:kern w:val="0"/>
                <w:sz w:val="24"/>
                <w:highlight w:val="none"/>
                <w14:textFill>
                  <w14:solidFill>
                    <w14:schemeClr w14:val="tx1"/>
                  </w14:solidFill>
                </w14:textFill>
              </w:rPr>
              <w:t>为</w:t>
            </w:r>
            <w:r>
              <w:rPr>
                <w:rFonts w:hint="eastAsia"/>
                <w:bCs/>
                <w:color w:val="auto"/>
                <w:sz w:val="24"/>
                <w:highlight w:val="none"/>
                <w:lang w:val="en-US" w:eastAsia="zh-CN"/>
              </w:rPr>
              <w:t>武水“乐昌城—犁市（曲江）”河段</w:t>
            </w:r>
            <w:r>
              <w:rPr>
                <w:bCs/>
                <w:color w:val="000000" w:themeColor="text1"/>
                <w:kern w:val="0"/>
                <w:sz w:val="24"/>
                <w:highlight w:val="none"/>
                <w14:textFill>
                  <w14:solidFill>
                    <w14:schemeClr w14:val="tx1"/>
                  </w14:solidFill>
                </w14:textFill>
              </w:rPr>
              <w:t>，</w:t>
            </w:r>
            <w:r>
              <w:rPr>
                <w:rFonts w:hint="eastAsia"/>
                <w:bCs/>
                <w:color w:val="000000" w:themeColor="text1"/>
                <w:kern w:val="0"/>
                <w:sz w:val="24"/>
                <w:highlight w:val="none"/>
                <w:lang w:val="en-US" w:eastAsia="zh-CN"/>
                <w14:textFill>
                  <w14:solidFill>
                    <w14:schemeClr w14:val="tx1"/>
                  </w14:solidFill>
                </w14:textFill>
              </w:rPr>
              <w:t>项目所在水系</w:t>
            </w:r>
            <w:r>
              <w:rPr>
                <w:rFonts w:hint="eastAsia"/>
                <w:bCs/>
                <w:color w:val="000000" w:themeColor="text1"/>
                <w:kern w:val="0"/>
                <w:sz w:val="24"/>
                <w:highlight w:val="none"/>
                <w:shd w:val="clear"/>
                <w:lang w:val="en-US" w:eastAsia="zh-CN"/>
                <w14:textFill>
                  <w14:solidFill>
                    <w14:schemeClr w14:val="tx1"/>
                  </w14:solidFill>
                </w14:textFill>
              </w:rPr>
              <w:t>图见附图5。</w:t>
            </w:r>
            <w:r>
              <w:rPr>
                <w:bCs/>
                <w:color w:val="000000" w:themeColor="text1"/>
                <w:kern w:val="0"/>
                <w:sz w:val="24"/>
                <w:highlight w:val="none"/>
                <w:shd w:val="clear"/>
                <w14:textFill>
                  <w14:solidFill>
                    <w14:schemeClr w14:val="tx1"/>
                  </w14:solidFill>
                </w14:textFill>
              </w:rPr>
              <w:t>根据《广东省地表水环境功能区划》（粤府函[2011]29号）的规定，</w:t>
            </w:r>
            <w:r>
              <w:rPr>
                <w:bCs/>
                <w:color w:val="000000" w:themeColor="text1"/>
                <w:kern w:val="0"/>
                <w:sz w:val="24"/>
                <w:highlight w:val="none"/>
                <w14:textFill>
                  <w14:solidFill>
                    <w14:schemeClr w14:val="tx1"/>
                  </w14:solidFill>
                </w14:textFill>
              </w:rPr>
              <w:t>该河段为</w:t>
            </w:r>
            <w:r>
              <w:rPr>
                <w:rFonts w:hint="eastAsia" w:ascii="宋体" w:hAnsi="宋体" w:eastAsia="宋体" w:cs="宋体"/>
                <w:bCs/>
                <w:color w:val="000000" w:themeColor="text1"/>
                <w:kern w:val="0"/>
                <w:sz w:val="24"/>
                <w:highlight w:val="none"/>
                <w14:textFill>
                  <w14:solidFill>
                    <w14:schemeClr w14:val="tx1"/>
                  </w14:solidFill>
                </w14:textFill>
              </w:rPr>
              <w:t>Ⅲ</w:t>
            </w:r>
            <w:r>
              <w:rPr>
                <w:bCs/>
                <w:color w:val="000000" w:themeColor="text1"/>
                <w:kern w:val="0"/>
                <w:sz w:val="24"/>
                <w:highlight w:val="none"/>
                <w14:textFill>
                  <w14:solidFill>
                    <w14:schemeClr w14:val="tx1"/>
                  </w14:solidFill>
                </w14:textFill>
              </w:rPr>
              <w:t>类水质功能区，执行《地表水环境质量质标准（GB3838-2002）》</w:t>
            </w:r>
            <w:r>
              <w:rPr>
                <w:rFonts w:hint="eastAsia" w:ascii="宋体" w:hAnsi="宋体" w:eastAsia="宋体" w:cs="宋体"/>
                <w:bCs/>
                <w:color w:val="000000" w:themeColor="text1"/>
                <w:kern w:val="0"/>
                <w:sz w:val="24"/>
                <w:highlight w:val="none"/>
                <w14:textFill>
                  <w14:solidFill>
                    <w14:schemeClr w14:val="tx1"/>
                  </w14:solidFill>
                </w14:textFill>
              </w:rPr>
              <w:t>Ⅲ</w:t>
            </w:r>
            <w:r>
              <w:rPr>
                <w:bCs/>
                <w:color w:val="000000" w:themeColor="text1"/>
                <w:kern w:val="0"/>
                <w:sz w:val="24"/>
                <w:highlight w:val="none"/>
                <w14:textFill>
                  <w14:solidFill>
                    <w14:schemeClr w14:val="tx1"/>
                  </w14:solidFill>
                </w14:textFill>
              </w:rPr>
              <w:t>类</w:t>
            </w:r>
            <w:r>
              <w:rPr>
                <w:rFonts w:ascii="Times New Roman" w:hAnsi="Times New Roman" w:cs="Times New Roman"/>
                <w:bCs/>
                <w:color w:val="000000" w:themeColor="text1"/>
                <w:kern w:val="0"/>
                <w:sz w:val="24"/>
                <w:highlight w:val="none"/>
                <w14:textFill>
                  <w14:solidFill>
                    <w14:schemeClr w14:val="tx1"/>
                  </w14:solidFill>
                </w14:textFill>
              </w:rPr>
              <w:t>标准。</w:t>
            </w:r>
          </w:p>
          <w:p w14:paraId="30C9ED4F">
            <w:pPr>
              <w:pStyle w:val="128"/>
              <w:spacing w:beforeLines="0" w:line="360" w:lineRule="auto"/>
              <w:ind w:firstLine="480"/>
              <w:rPr>
                <w:szCs w:val="24"/>
                <w:highlight w:val="none"/>
                <w:lang w:eastAsia="zh-CN"/>
              </w:rPr>
            </w:pPr>
            <w:r>
              <w:rPr>
                <w:highlight w:val="none"/>
                <w:lang w:eastAsia="zh-CN"/>
              </w:rPr>
              <w:t>根据《韶关市生态环境状况公报》（202</w:t>
            </w:r>
            <w:r>
              <w:rPr>
                <w:rFonts w:hint="eastAsia"/>
                <w:highlight w:val="none"/>
                <w:lang w:val="en-US" w:eastAsia="zh-CN"/>
              </w:rPr>
              <w:t>4</w:t>
            </w:r>
            <w:r>
              <w:rPr>
                <w:highlight w:val="none"/>
                <w:lang w:eastAsia="zh-CN"/>
              </w:rPr>
              <w:t>年），全市河流水质监测在北江、武江、浈江、</w:t>
            </w:r>
            <w:r>
              <w:rPr>
                <w:rFonts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南水河、墨江、锦江、马坝河、</w:t>
            </w:r>
            <w:r>
              <w:rPr>
                <w:rFonts w:hint="eastAsia"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滃江</w:t>
            </w:r>
            <w:r>
              <w:rPr>
                <w:rFonts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、新丰江、横石水</w:t>
            </w:r>
            <w:r>
              <w:rPr>
                <w:rFonts w:hint="eastAsia"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和大潭河</w:t>
            </w:r>
            <w:r>
              <w:rPr>
                <w:rFonts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共设</w:t>
            </w:r>
            <w:r>
              <w:rPr>
                <w:rFonts w:hint="eastAsia"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34</w:t>
            </w:r>
            <w:r>
              <w:rPr>
                <w:rFonts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个市控以上常规监测断面，202</w:t>
            </w:r>
            <w:r>
              <w:rPr>
                <w:rFonts w:hint="eastAsia"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4</w:t>
            </w:r>
            <w:r>
              <w:rPr>
                <w:rFonts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年韶关市</w:t>
            </w:r>
            <w:r>
              <w:rPr>
                <w:rFonts w:hint="eastAsia"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34</w:t>
            </w:r>
            <w:r>
              <w:rPr>
                <w:rFonts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个监测断面水质均达水质目标要求，优良率为100%，与202</w:t>
            </w:r>
            <w:r>
              <w:rPr>
                <w:rFonts w:hint="eastAsia"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3</w:t>
            </w:r>
            <w:r>
              <w:rPr>
                <w:rFonts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年持平</w:t>
            </w:r>
            <w:r>
              <w:rPr>
                <w:rFonts w:hint="eastAsia"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w:t>
            </w:r>
            <w:r>
              <w:rPr>
                <w:rFonts w:ascii="Times New Roman" w:hAnsi="Times New Roman" w:eastAsia="宋体" w:cs="Times New Roman"/>
                <w:bCs/>
                <w:color w:val="000000" w:themeColor="text1"/>
                <w:kern w:val="0"/>
                <w:sz w:val="24"/>
                <w:szCs w:val="24"/>
                <w:highlight w:val="none"/>
                <w:lang w:val="en-US" w:eastAsia="zh-CN" w:bidi="ar-SA"/>
                <w14:textFill>
                  <w14:solidFill>
                    <w14:schemeClr w14:val="tx1"/>
                  </w14:solidFill>
                </w14:textFill>
              </w:rPr>
              <w:t>其中Ⅰ类比例为 2.9%、Ⅱ类比例为88.2%、Ⅲ类比例为8.8%。</w:t>
            </w:r>
          </w:p>
          <w:p w14:paraId="683E9831">
            <w:pPr>
              <w:spacing w:line="360" w:lineRule="auto"/>
              <w:ind w:firstLine="480" w:firstLineChars="200"/>
              <w:rPr>
                <w:rFonts w:ascii="Times New Roman" w:hAnsi="Times New Roman" w:cs="Times New Roman"/>
                <w:bCs/>
                <w:color w:val="000000" w:themeColor="text1"/>
                <w:kern w:val="0"/>
                <w:sz w:val="24"/>
                <w:highlight w:val="none"/>
                <w14:textFill>
                  <w14:solidFill>
                    <w14:schemeClr w14:val="tx1"/>
                  </w14:solidFill>
                </w14:textFill>
              </w:rPr>
            </w:pPr>
            <w:r>
              <w:rPr>
                <w:rFonts w:ascii="Times New Roman" w:hAnsi="Times New Roman" w:cs="Times New Roman"/>
                <w:bCs/>
                <w:color w:val="000000" w:themeColor="text1"/>
                <w:kern w:val="0"/>
                <w:sz w:val="24"/>
                <w:highlight w:val="none"/>
                <w14:textFill>
                  <w14:solidFill>
                    <w14:schemeClr w14:val="tx1"/>
                  </w14:solidFill>
                </w14:textFill>
              </w:rPr>
              <w:t>项目</w:t>
            </w:r>
            <w:r>
              <w:rPr>
                <w:rFonts w:hint="eastAsia" w:ascii="Times New Roman" w:hAnsi="Times New Roman" w:cs="Times New Roman"/>
                <w:bCs/>
                <w:color w:val="000000" w:themeColor="text1"/>
                <w:kern w:val="0"/>
                <w:sz w:val="24"/>
                <w:highlight w:val="none"/>
                <w:lang w:val="en-US" w:eastAsia="zh-CN"/>
                <w14:textFill>
                  <w14:solidFill>
                    <w14:schemeClr w14:val="tx1"/>
                  </w14:solidFill>
                </w14:textFill>
              </w:rPr>
              <w:t>周边地表水</w:t>
            </w:r>
            <w:r>
              <w:rPr>
                <w:rFonts w:ascii="Times New Roman" w:hAnsi="Times New Roman" w:cs="Times New Roman"/>
                <w:bCs/>
                <w:color w:val="000000" w:themeColor="text1"/>
                <w:kern w:val="0"/>
                <w:sz w:val="24"/>
                <w:highlight w:val="none"/>
                <w14:textFill>
                  <w14:solidFill>
                    <w14:schemeClr w14:val="tx1"/>
                  </w14:solidFill>
                </w14:textFill>
              </w:rPr>
              <w:t>环境质量现状良好</w:t>
            </w:r>
            <w:r>
              <w:rPr>
                <w:rFonts w:hint="eastAsia" w:ascii="Times New Roman" w:hAnsi="Times New Roman" w:cs="Times New Roman"/>
                <w:bCs/>
                <w:color w:val="000000" w:themeColor="text1"/>
                <w:kern w:val="0"/>
                <w:sz w:val="24"/>
                <w:highlight w:val="none"/>
                <w14:textFill>
                  <w14:solidFill>
                    <w14:schemeClr w14:val="tx1"/>
                  </w14:solidFill>
                </w14:textFill>
              </w:rPr>
              <w:t>。</w:t>
            </w:r>
          </w:p>
          <w:p w14:paraId="7F38E5C7">
            <w:pPr>
              <w:adjustRightInd w:val="0"/>
              <w:snapToGrid w:val="0"/>
              <w:spacing w:line="360" w:lineRule="auto"/>
              <w:ind w:firstLine="482" w:firstLineChars="200"/>
              <w:rPr>
                <w:rFonts w:hint="eastAsia" w:ascii="Times New Roman" w:hAnsi="Times New Roman" w:cs="Times New Roman"/>
                <w:color w:val="000000" w:themeColor="text1"/>
                <w:sz w:val="24"/>
                <w:highlight w:val="none"/>
                <w:lang w:val="en-US" w:eastAsia="zh-CN"/>
                <w14:textFill>
                  <w14:solidFill>
                    <w14:schemeClr w14:val="tx1"/>
                  </w14:solidFill>
                </w14:textFill>
              </w:rPr>
            </w:pPr>
            <w:r>
              <w:rPr>
                <w:b/>
                <w:color w:val="000000" w:themeColor="text1"/>
                <w:kern w:val="0"/>
                <w:sz w:val="24"/>
                <w:highlight w:val="none"/>
                <w14:textFill>
                  <w14:solidFill>
                    <w14:schemeClr w14:val="tx1"/>
                  </w14:solidFill>
                </w14:textFill>
              </w:rPr>
              <w:t>3.声环境质量现状</w:t>
            </w:r>
          </w:p>
          <w:p w14:paraId="2DA1A57B">
            <w:pPr>
              <w:adjustRightInd w:val="0"/>
              <w:snapToGrid w:val="0"/>
              <w:spacing w:line="360" w:lineRule="auto"/>
              <w:ind w:firstLine="480" w:firstLineChars="200"/>
              <w:rPr>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本项目位</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于乐昌市乐城街道西联村老虎头（原乐舜电力发展有限公司内），根据</w:t>
            </w:r>
            <w:r>
              <w:rPr>
                <w:rFonts w:hint="eastAsia" w:ascii="Times New Roman" w:hAnsi="Times New Roman" w:cs="Times New Roman"/>
                <w:color w:val="000000" w:themeColor="text1"/>
                <w:sz w:val="24"/>
                <w:highlight w:val="none"/>
                <w:lang w:val="en-US" w:eastAsia="zh-CN"/>
                <w14:textFill>
                  <w14:solidFill>
                    <w14:schemeClr w14:val="tx1"/>
                  </w14:solidFill>
                </w14:textFill>
              </w:rPr>
              <w:t>《建设项目环境影响报告表编制技术指南（污染影响类）（试行）》</w:t>
            </w:r>
            <w:r>
              <w:rPr>
                <w:rFonts w:hint="eastAsia" w:cs="Times New Roman"/>
                <w:color w:val="000000" w:themeColor="text1"/>
                <w:sz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本项目</w:t>
            </w:r>
            <w:r>
              <w:rPr>
                <w:rFonts w:hint="eastAsia"/>
                <w:color w:val="000000" w:themeColor="text1"/>
                <w:sz w:val="24"/>
                <w:highlight w:val="none"/>
                <w:lang w:val="en-US" w:eastAsia="zh-CN"/>
                <w14:textFill>
                  <w14:solidFill>
                    <w14:schemeClr w14:val="tx1"/>
                  </w14:solidFill>
                </w14:textFill>
              </w:rPr>
              <w:t>边</w:t>
            </w:r>
            <w:r>
              <w:rPr>
                <w:color w:val="000000" w:themeColor="text1"/>
                <w:sz w:val="24"/>
                <w:highlight w:val="none"/>
                <w14:textFill>
                  <w14:solidFill>
                    <w14:schemeClr w14:val="tx1"/>
                  </w14:solidFill>
                </w14:textFill>
              </w:rPr>
              <w:t>界外周边50米范围内不存在声环境保护目标，因此不开展声环境质量现状监测</w:t>
            </w:r>
            <w:r>
              <w:rPr>
                <w:color w:val="000000" w:themeColor="text1"/>
                <w:kern w:val="0"/>
                <w:sz w:val="24"/>
                <w:szCs w:val="21"/>
                <w:highlight w:val="none"/>
                <w14:textFill>
                  <w14:solidFill>
                    <w14:schemeClr w14:val="tx1"/>
                  </w14:solidFill>
                </w14:textFill>
              </w:rPr>
              <w:t>。</w:t>
            </w:r>
          </w:p>
          <w:p w14:paraId="3563C390">
            <w:pPr>
              <w:adjustRightInd w:val="0"/>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4.地下水环境现状</w:t>
            </w:r>
          </w:p>
          <w:p w14:paraId="3C59CB85">
            <w:pPr>
              <w:adjustRightInd w:val="0"/>
              <w:snapToGrid w:val="0"/>
              <w:spacing w:line="360" w:lineRule="auto"/>
              <w:ind w:firstLine="480" w:firstLineChars="200"/>
              <w:rPr>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根据《建设项目环境影响报告表编制技术指南（污染影响类）（试行）》，原则上不开展地下水环境质量现状调查，本项目正常情况下不存在地下水污染途径，因此本报告不开展地下水环境现状调查。</w:t>
            </w:r>
          </w:p>
          <w:p w14:paraId="012F2EDC">
            <w:pPr>
              <w:adjustRightInd w:val="0"/>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5.土壤环境现状</w:t>
            </w:r>
          </w:p>
          <w:p w14:paraId="7EFB6122">
            <w:pPr>
              <w:spacing w:line="360" w:lineRule="auto"/>
              <w:ind w:firstLine="480" w:firstLineChars="200"/>
              <w:rPr>
                <w:highlight w:val="none"/>
              </w:rPr>
            </w:pPr>
            <w:r>
              <w:rPr>
                <w:color w:val="000000" w:themeColor="text1"/>
                <w:sz w:val="24"/>
                <w:highlight w:val="none"/>
                <w14:textFill>
                  <w14:solidFill>
                    <w14:schemeClr w14:val="tx1"/>
                  </w14:solidFill>
                </w14:textFill>
              </w:rPr>
              <w:t>本项目属于</w:t>
            </w:r>
            <w:r>
              <w:rPr>
                <w:rFonts w:hint="eastAsia"/>
                <w:color w:val="000000" w:themeColor="text1"/>
                <w:sz w:val="24"/>
                <w:highlight w:val="none"/>
                <w14:textFill>
                  <w14:solidFill>
                    <w14:schemeClr w14:val="tx1"/>
                  </w14:solidFill>
                </w14:textFill>
              </w:rPr>
              <w:t>机制炭生产项目</w:t>
            </w:r>
            <w:r>
              <w:rPr>
                <w:color w:val="000000" w:themeColor="text1"/>
                <w:sz w:val="24"/>
                <w:highlight w:val="none"/>
                <w14:textFill>
                  <w14:solidFill>
                    <w14:schemeClr w14:val="tx1"/>
                  </w14:solidFill>
                </w14:textFill>
              </w:rPr>
              <w:t>，正常工况下不存在土壤污染的途径，根据《建设项目环境影响报告表编制技术指南（污染影响类）（试行）》要求，本报告不开展地下土壤环境现状调查。</w:t>
            </w:r>
          </w:p>
          <w:p w14:paraId="243156E3">
            <w:pPr>
              <w:adjustRightInd w:val="0"/>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6.生态环境</w:t>
            </w:r>
          </w:p>
          <w:p w14:paraId="50EF115E">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根据《建设项目环境影响报告表编制技术指南（污染影响类）（试行）》，</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产业园区外建设单位新增用地且用地范围内含有生态环境保护目标时，应进行生态现状调查</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，本项</w:t>
            </w:r>
            <w:r>
              <w:rPr>
                <w:rFonts w:ascii="Times New Roman" w:hAnsi="Times New Roman" w:eastAsia="宋体" w:cs="Times New Roman"/>
                <w:color w:val="000000" w:themeColor="text1"/>
                <w:sz w:val="24"/>
                <w:highlight w:val="none"/>
                <w14:textFill>
                  <w14:solidFill>
                    <w14:schemeClr w14:val="tx1"/>
                  </w14:solidFill>
                </w14:textFill>
              </w:rPr>
              <w:t>目位于</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乐昌市乐城街道西联村老虎头（原乐舜电力发展有限公司内）</w:t>
            </w:r>
            <w:r>
              <w:rPr>
                <w:rFonts w:ascii="Times New Roman" w:hAnsi="Times New Roman" w:eastAsia="宋体" w:cs="Times New Roman"/>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用地范围内不含生态环境保护目标，因此本报告不开展生态现状调查。</w:t>
            </w:r>
          </w:p>
          <w:p w14:paraId="4DF3196D">
            <w:pPr>
              <w:adjustRightInd w:val="0"/>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7.主要环境问题</w:t>
            </w:r>
          </w:p>
          <w:p w14:paraId="7A4A8ACE">
            <w:pPr>
              <w:adjustRightInd w:val="0"/>
              <w:snapToGrid w:val="0"/>
              <w:spacing w:line="360" w:lineRule="auto"/>
              <w:ind w:firstLine="480" w:firstLineChars="20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项目所在区域无明显环境问题。</w:t>
            </w:r>
          </w:p>
          <w:p w14:paraId="244D5811">
            <w:pPr>
              <w:adjustRightInd w:val="0"/>
              <w:snapToGrid w:val="0"/>
              <w:spacing w:line="360" w:lineRule="auto"/>
              <w:ind w:firstLine="480" w:firstLineChars="200"/>
              <w:rPr>
                <w:color w:val="000000" w:themeColor="text1"/>
                <w:sz w:val="24"/>
                <w:szCs w:val="20"/>
                <w:highlight w:val="none"/>
                <w14:textFill>
                  <w14:solidFill>
                    <w14:schemeClr w14:val="tx1"/>
                  </w14:solidFill>
                </w14:textFill>
              </w:rPr>
            </w:pPr>
            <w:r>
              <w:rPr>
                <w:color w:val="000000" w:themeColor="text1"/>
                <w:sz w:val="24"/>
                <w:szCs w:val="20"/>
                <w:highlight w:val="none"/>
                <w14:textFill>
                  <w14:solidFill>
                    <w14:schemeClr w14:val="tx1"/>
                  </w14:solidFill>
                </w14:textFill>
              </w:rPr>
              <w:t>综上所述，本项目所在区域环境质量现状总体较好。</w:t>
            </w:r>
          </w:p>
          <w:p w14:paraId="11B11057">
            <w:pPr>
              <w:adjustRightInd w:val="0"/>
              <w:snapToGrid w:val="0"/>
              <w:spacing w:line="360" w:lineRule="auto"/>
              <w:ind w:firstLine="482" w:firstLineChars="200"/>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w:t>8.专项评价设置情况</w:t>
            </w:r>
          </w:p>
          <w:p w14:paraId="5D807901">
            <w:pPr>
              <w:adjustRightInd w:val="0"/>
              <w:snapToGrid w:val="0"/>
              <w:spacing w:line="360" w:lineRule="auto"/>
              <w:ind w:firstLine="480" w:firstLineChars="200"/>
              <w:rPr>
                <w:color w:val="000000" w:themeColor="text1"/>
                <w:sz w:val="24"/>
                <w:szCs w:val="20"/>
                <w:highlight w:val="none"/>
                <w14:textFill>
                  <w14:solidFill>
                    <w14:schemeClr w14:val="tx1"/>
                  </w14:solidFill>
                </w14:textFill>
              </w:rPr>
            </w:pPr>
            <w:r>
              <w:rPr>
                <w:color w:val="000000" w:themeColor="text1"/>
                <w:sz w:val="24"/>
                <w:highlight w:val="none"/>
                <w14:textFill>
                  <w14:solidFill>
                    <w14:schemeClr w14:val="tx1"/>
                  </w14:solidFill>
                </w14:textFill>
              </w:rPr>
              <w:t>根据《建设项目环境影响报告表编制技术指南（污染影响类）（试行）》，土壤、声环境不开展专项评价；地下水原则上不开展专项评价，涉及集中式饮用水水源和热水、矿泉水、温泉等特殊地下水资源保护区的开展地下水专项评价工作。</w:t>
            </w:r>
            <w:r>
              <w:rPr>
                <w:color w:val="000000" w:themeColor="text1"/>
                <w:sz w:val="24"/>
                <w:szCs w:val="20"/>
                <w:highlight w:val="none"/>
                <w14:textFill>
                  <w14:solidFill>
                    <w14:schemeClr w14:val="tx1"/>
                  </w14:solidFill>
                </w14:textFill>
              </w:rPr>
              <w:t>据工程分析结果，本项目专项评价设置情况如表3-</w:t>
            </w:r>
            <w:r>
              <w:rPr>
                <w:rFonts w:hint="eastAsia"/>
                <w:color w:val="000000" w:themeColor="text1"/>
                <w:sz w:val="24"/>
                <w:szCs w:val="20"/>
                <w:highlight w:val="none"/>
                <w:lang w:val="en-US" w:eastAsia="zh-CN"/>
                <w14:textFill>
                  <w14:solidFill>
                    <w14:schemeClr w14:val="tx1"/>
                  </w14:solidFill>
                </w14:textFill>
              </w:rPr>
              <w:t>3</w:t>
            </w:r>
            <w:r>
              <w:rPr>
                <w:color w:val="000000" w:themeColor="text1"/>
                <w:sz w:val="24"/>
                <w:szCs w:val="20"/>
                <w:highlight w:val="none"/>
                <w14:textFill>
                  <w14:solidFill>
                    <w14:schemeClr w14:val="tx1"/>
                  </w14:solidFill>
                </w14:textFill>
              </w:rPr>
              <w:t>所示。</w:t>
            </w:r>
          </w:p>
          <w:p w14:paraId="3F5A1419">
            <w:pPr>
              <w:adjustRightInd w:val="0"/>
              <w:snapToGrid w:val="0"/>
              <w:spacing w:line="360" w:lineRule="auto"/>
              <w:jc w:val="center"/>
              <w:rPr>
                <w:color w:val="000000" w:themeColor="text1"/>
                <w:highlight w:val="none"/>
                <w14:textFill>
                  <w14:solidFill>
                    <w14:schemeClr w14:val="tx1"/>
                  </w14:solidFill>
                </w14:textFill>
              </w:rPr>
            </w:pPr>
            <w:r>
              <w:rPr>
                <w:b/>
                <w:color w:val="000000" w:themeColor="text1"/>
                <w:sz w:val="24"/>
                <w:szCs w:val="20"/>
                <w:highlight w:val="none"/>
                <w14:textFill>
                  <w14:solidFill>
                    <w14:schemeClr w14:val="tx1"/>
                  </w14:solidFill>
                </w14:textFill>
              </w:rPr>
              <w:t>表3-</w:t>
            </w:r>
            <w:r>
              <w:rPr>
                <w:rFonts w:hint="eastAsia"/>
                <w:b/>
                <w:color w:val="000000" w:themeColor="text1"/>
                <w:sz w:val="24"/>
                <w:szCs w:val="20"/>
                <w:highlight w:val="none"/>
                <w:lang w:val="en-US" w:eastAsia="zh-CN"/>
                <w14:textFill>
                  <w14:solidFill>
                    <w14:schemeClr w14:val="tx1"/>
                  </w14:solidFill>
                </w14:textFill>
              </w:rPr>
              <w:t xml:space="preserve">3  </w:t>
            </w:r>
            <w:r>
              <w:rPr>
                <w:b/>
                <w:color w:val="000000" w:themeColor="text1"/>
                <w:sz w:val="24"/>
                <w:szCs w:val="20"/>
                <w:highlight w:val="none"/>
                <w14:textFill>
                  <w14:solidFill>
                    <w14:schemeClr w14:val="tx1"/>
                  </w14:solidFill>
                </w14:textFill>
              </w:rPr>
              <w:t xml:space="preserve"> 本项目专项评价设置情况</w:t>
            </w:r>
          </w:p>
          <w:tbl>
            <w:tblPr>
              <w:tblStyle w:val="3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975"/>
              <w:gridCol w:w="3107"/>
              <w:gridCol w:w="2900"/>
              <w:gridCol w:w="1090"/>
            </w:tblGrid>
            <w:tr w14:paraId="2798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65" w:type="dxa"/>
                  <w:shd w:val="clear" w:color="auto" w:fill="auto"/>
                  <w:vAlign w:val="center"/>
                </w:tcPr>
                <w:p w14:paraId="75B1CC3F">
                  <w:pPr>
                    <w:adjustRightInd w:val="0"/>
                    <w:snapToGrid w:val="0"/>
                    <w:jc w:val="center"/>
                    <w:rPr>
                      <w:rFonts w:eastAsia="Times New Roman"/>
                      <w:b/>
                      <w:color w:val="000000" w:themeColor="text1"/>
                      <w:szCs w:val="20"/>
                      <w:highlight w:val="none"/>
                      <w14:textFill>
                        <w14:solidFill>
                          <w14:schemeClr w14:val="tx1"/>
                        </w14:solidFill>
                      </w14:textFill>
                    </w:rPr>
                  </w:pPr>
                  <w:r>
                    <w:rPr>
                      <w:b/>
                      <w:color w:val="000000" w:themeColor="text1"/>
                      <w:szCs w:val="20"/>
                      <w:highlight w:val="none"/>
                      <w14:textFill>
                        <w14:solidFill>
                          <w14:schemeClr w14:val="tx1"/>
                        </w14:solidFill>
                      </w14:textFill>
                    </w:rPr>
                    <w:t>序号</w:t>
                  </w:r>
                </w:p>
              </w:tc>
              <w:tc>
                <w:tcPr>
                  <w:tcW w:w="975" w:type="dxa"/>
                  <w:shd w:val="clear" w:color="auto" w:fill="auto"/>
                  <w:vAlign w:val="center"/>
                </w:tcPr>
                <w:p w14:paraId="3F30924D">
                  <w:pPr>
                    <w:adjustRightInd w:val="0"/>
                    <w:snapToGrid w:val="0"/>
                    <w:jc w:val="center"/>
                    <w:rPr>
                      <w:rFonts w:eastAsia="Times New Roman"/>
                      <w:b/>
                      <w:color w:val="000000" w:themeColor="text1"/>
                      <w:szCs w:val="20"/>
                      <w:highlight w:val="none"/>
                      <w14:textFill>
                        <w14:solidFill>
                          <w14:schemeClr w14:val="tx1"/>
                        </w14:solidFill>
                      </w14:textFill>
                    </w:rPr>
                  </w:pPr>
                  <w:r>
                    <w:rPr>
                      <w:rFonts w:hint="eastAsia"/>
                      <w:b/>
                      <w:color w:val="000000" w:themeColor="text1"/>
                      <w:szCs w:val="20"/>
                      <w:highlight w:val="none"/>
                      <w:lang w:val="en-US" w:eastAsia="zh-CN"/>
                      <w14:textFill>
                        <w14:solidFill>
                          <w14:schemeClr w14:val="tx1"/>
                        </w14:solidFill>
                      </w14:textFill>
                    </w:rPr>
                    <w:t>专项评价</w:t>
                  </w:r>
                  <w:r>
                    <w:rPr>
                      <w:b/>
                      <w:color w:val="000000" w:themeColor="text1"/>
                      <w:szCs w:val="20"/>
                      <w:highlight w:val="none"/>
                      <w14:textFill>
                        <w14:solidFill>
                          <w14:schemeClr w14:val="tx1"/>
                        </w14:solidFill>
                      </w14:textFill>
                    </w:rPr>
                    <w:t>类别</w:t>
                  </w:r>
                </w:p>
              </w:tc>
              <w:tc>
                <w:tcPr>
                  <w:tcW w:w="3107" w:type="dxa"/>
                  <w:shd w:val="clear" w:color="auto" w:fill="auto"/>
                  <w:vAlign w:val="center"/>
                </w:tcPr>
                <w:p w14:paraId="3096C76F">
                  <w:pPr>
                    <w:adjustRightInd w:val="0"/>
                    <w:snapToGrid w:val="0"/>
                    <w:jc w:val="center"/>
                    <w:rPr>
                      <w:rFonts w:hint="eastAsia" w:eastAsia="宋体"/>
                      <w:b/>
                      <w:color w:val="000000" w:themeColor="text1"/>
                      <w:szCs w:val="20"/>
                      <w:highlight w:val="none"/>
                      <w:lang w:val="en-US" w:eastAsia="zh-CN"/>
                      <w14:textFill>
                        <w14:solidFill>
                          <w14:schemeClr w14:val="tx1"/>
                        </w14:solidFill>
                      </w14:textFill>
                    </w:rPr>
                  </w:pPr>
                  <w:r>
                    <w:rPr>
                      <w:rFonts w:hint="eastAsia"/>
                      <w:b/>
                      <w:color w:val="000000" w:themeColor="text1"/>
                      <w:szCs w:val="20"/>
                      <w:highlight w:val="none"/>
                      <w:lang w:val="en-US" w:eastAsia="zh-CN"/>
                      <w14:textFill>
                        <w14:solidFill>
                          <w14:schemeClr w14:val="tx1"/>
                        </w14:solidFill>
                      </w14:textFill>
                    </w:rPr>
                    <w:t>设置原则</w:t>
                  </w:r>
                </w:p>
              </w:tc>
              <w:tc>
                <w:tcPr>
                  <w:tcW w:w="2900" w:type="dxa"/>
                  <w:shd w:val="clear" w:color="auto" w:fill="auto"/>
                  <w:vAlign w:val="center"/>
                </w:tcPr>
                <w:p w14:paraId="7E2CB172">
                  <w:pPr>
                    <w:adjustRightInd w:val="0"/>
                    <w:snapToGrid w:val="0"/>
                    <w:jc w:val="center"/>
                    <w:rPr>
                      <w:b/>
                      <w:color w:val="000000" w:themeColor="text1"/>
                      <w:szCs w:val="20"/>
                      <w:highlight w:val="none"/>
                      <w14:textFill>
                        <w14:solidFill>
                          <w14:schemeClr w14:val="tx1"/>
                        </w14:solidFill>
                      </w14:textFill>
                    </w:rPr>
                  </w:pPr>
                  <w:r>
                    <w:rPr>
                      <w:b/>
                      <w:color w:val="000000" w:themeColor="text1"/>
                      <w:szCs w:val="20"/>
                      <w:highlight w:val="none"/>
                      <w14:textFill>
                        <w14:solidFill>
                          <w14:schemeClr w14:val="tx1"/>
                        </w14:solidFill>
                      </w14:textFill>
                    </w:rPr>
                    <w:t>理由</w:t>
                  </w:r>
                </w:p>
              </w:tc>
              <w:tc>
                <w:tcPr>
                  <w:tcW w:w="1090" w:type="dxa"/>
                  <w:shd w:val="clear" w:color="auto" w:fill="auto"/>
                  <w:vAlign w:val="center"/>
                </w:tcPr>
                <w:p w14:paraId="112223B7">
                  <w:pPr>
                    <w:adjustRightInd w:val="0"/>
                    <w:snapToGrid w:val="0"/>
                    <w:jc w:val="center"/>
                    <w:rPr>
                      <w:rFonts w:ascii="Times New Roman" w:hAnsi="Times New Roman" w:eastAsia="宋体" w:cs="Times New Roman"/>
                      <w:b/>
                      <w:color w:val="000000" w:themeColor="text1"/>
                      <w:kern w:val="2"/>
                      <w:sz w:val="21"/>
                      <w:szCs w:val="20"/>
                      <w:highlight w:val="none"/>
                      <w:lang w:val="en-US" w:eastAsia="zh-CN" w:bidi="ar-SA"/>
                      <w14:textFill>
                        <w14:solidFill>
                          <w14:schemeClr w14:val="tx1"/>
                        </w14:solidFill>
                      </w14:textFill>
                    </w:rPr>
                  </w:pPr>
                  <w:r>
                    <w:rPr>
                      <w:b/>
                      <w:color w:val="000000" w:themeColor="text1"/>
                      <w:szCs w:val="20"/>
                      <w:highlight w:val="none"/>
                      <w14:textFill>
                        <w14:solidFill>
                          <w14:schemeClr w14:val="tx1"/>
                        </w14:solidFill>
                      </w14:textFill>
                    </w:rPr>
                    <w:t>是否设置专项评价</w:t>
                  </w:r>
                </w:p>
              </w:tc>
            </w:tr>
            <w:tr w14:paraId="7EF9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65" w:type="dxa"/>
                  <w:shd w:val="clear" w:color="auto" w:fill="auto"/>
                  <w:vAlign w:val="center"/>
                </w:tcPr>
                <w:p w14:paraId="0A8262D5">
                  <w:pPr>
                    <w:adjustRightInd w:val="0"/>
                    <w:snapToGrid w:val="0"/>
                    <w:jc w:val="center"/>
                    <w:rPr>
                      <w:rFonts w:eastAsia="Times New Roman"/>
                      <w:color w:val="000000" w:themeColor="text1"/>
                      <w:szCs w:val="20"/>
                      <w:highlight w:val="none"/>
                      <w14:textFill>
                        <w14:solidFill>
                          <w14:schemeClr w14:val="tx1"/>
                        </w14:solidFill>
                      </w14:textFill>
                    </w:rPr>
                  </w:pPr>
                  <w:r>
                    <w:rPr>
                      <w:rFonts w:eastAsia="Times New Roman"/>
                      <w:color w:val="000000" w:themeColor="text1"/>
                      <w:szCs w:val="20"/>
                      <w:highlight w:val="none"/>
                      <w14:textFill>
                        <w14:solidFill>
                          <w14:schemeClr w14:val="tx1"/>
                        </w14:solidFill>
                      </w14:textFill>
                    </w:rPr>
                    <w:t>1</w:t>
                  </w:r>
                </w:p>
              </w:tc>
              <w:tc>
                <w:tcPr>
                  <w:tcW w:w="975" w:type="dxa"/>
                  <w:shd w:val="clear" w:color="auto" w:fill="auto"/>
                  <w:vAlign w:val="center"/>
                </w:tcPr>
                <w:p w14:paraId="60EE6E50">
                  <w:pPr>
                    <w:adjustRightInd w:val="0"/>
                    <w:snapToGrid w:val="0"/>
                    <w:jc w:val="center"/>
                    <w:rPr>
                      <w:rFonts w:eastAsia="Times New Roman"/>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大气</w:t>
                  </w:r>
                </w:p>
              </w:tc>
              <w:tc>
                <w:tcPr>
                  <w:tcW w:w="3107" w:type="dxa"/>
                  <w:shd w:val="clear" w:color="auto" w:fill="auto"/>
                  <w:vAlign w:val="center"/>
                </w:tcPr>
                <w:p w14:paraId="78C3A1EE">
                  <w:pPr>
                    <w:adjustRightInd w:val="0"/>
                    <w:snapToGrid w:val="0"/>
                    <w:rPr>
                      <w:color w:val="000000" w:themeColor="text1"/>
                      <w:szCs w:val="20"/>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排放废气含有毒有害污染物、二噁英、苯并[</w:t>
                  </w:r>
                  <w:r>
                    <w:rPr>
                      <w:i/>
                      <w:iCs/>
                      <w:color w:val="000000" w:themeColor="text1"/>
                      <w:kern w:val="0"/>
                      <w:szCs w:val="21"/>
                      <w:highlight w:val="none"/>
                      <w:lang w:bidi="ar"/>
                      <w14:textFill>
                        <w14:solidFill>
                          <w14:schemeClr w14:val="tx1"/>
                        </w14:solidFill>
                      </w14:textFill>
                    </w:rPr>
                    <w:t>a</w:t>
                  </w:r>
                  <w:r>
                    <w:rPr>
                      <w:color w:val="000000" w:themeColor="text1"/>
                      <w:kern w:val="0"/>
                      <w:szCs w:val="21"/>
                      <w:highlight w:val="none"/>
                      <w:lang w:bidi="ar"/>
                      <w14:textFill>
                        <w14:solidFill>
                          <w14:schemeClr w14:val="tx1"/>
                        </w14:solidFill>
                      </w14:textFill>
                    </w:rPr>
                    <w:t>]芘、氰化物、氯气且厂界外500米范围内有环境空气保护目标的建设项目</w:t>
                  </w:r>
                </w:p>
              </w:tc>
              <w:tc>
                <w:tcPr>
                  <w:tcW w:w="2900" w:type="dxa"/>
                  <w:shd w:val="clear" w:color="auto" w:fill="auto"/>
                  <w:vAlign w:val="center"/>
                </w:tcPr>
                <w:p w14:paraId="285498CD">
                  <w:pPr>
                    <w:adjustRightInd w:val="0"/>
                    <w:snapToGrid w:val="0"/>
                    <w:rPr>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本项目排放废气不含有毒有害污染物、二噁英、苯并[a]芘、氰化物、氯气</w:t>
                  </w:r>
                </w:p>
              </w:tc>
              <w:tc>
                <w:tcPr>
                  <w:tcW w:w="1090" w:type="dxa"/>
                  <w:shd w:val="clear" w:color="auto" w:fill="auto"/>
                  <w:vAlign w:val="center"/>
                </w:tcPr>
                <w:p w14:paraId="11B1DA61">
                  <w:pPr>
                    <w:adjustRightInd w:val="0"/>
                    <w:snapToGrid w:val="0"/>
                    <w:jc w:val="center"/>
                    <w:rPr>
                      <w:rFonts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color w:val="000000" w:themeColor="text1"/>
                      <w:szCs w:val="20"/>
                      <w:highlight w:val="none"/>
                      <w14:textFill>
                        <w14:solidFill>
                          <w14:schemeClr w14:val="tx1"/>
                        </w14:solidFill>
                      </w14:textFill>
                    </w:rPr>
                    <w:t>不开展</w:t>
                  </w:r>
                </w:p>
              </w:tc>
            </w:tr>
            <w:tr w14:paraId="66BF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65" w:type="dxa"/>
                  <w:shd w:val="clear" w:color="auto" w:fill="auto"/>
                  <w:vAlign w:val="center"/>
                </w:tcPr>
                <w:p w14:paraId="66ADB77C">
                  <w:pPr>
                    <w:adjustRightInd w:val="0"/>
                    <w:snapToGrid w:val="0"/>
                    <w:jc w:val="center"/>
                    <w:rPr>
                      <w:rFonts w:eastAsia="Times New Roman"/>
                      <w:color w:val="000000" w:themeColor="text1"/>
                      <w:szCs w:val="20"/>
                      <w:highlight w:val="none"/>
                      <w14:textFill>
                        <w14:solidFill>
                          <w14:schemeClr w14:val="tx1"/>
                        </w14:solidFill>
                      </w14:textFill>
                    </w:rPr>
                  </w:pPr>
                  <w:r>
                    <w:rPr>
                      <w:rFonts w:eastAsia="Times New Roman"/>
                      <w:color w:val="000000" w:themeColor="text1"/>
                      <w:szCs w:val="20"/>
                      <w:highlight w:val="none"/>
                      <w14:textFill>
                        <w14:solidFill>
                          <w14:schemeClr w14:val="tx1"/>
                        </w14:solidFill>
                      </w14:textFill>
                    </w:rPr>
                    <w:t>2</w:t>
                  </w:r>
                </w:p>
              </w:tc>
              <w:tc>
                <w:tcPr>
                  <w:tcW w:w="975" w:type="dxa"/>
                  <w:shd w:val="clear" w:color="auto" w:fill="auto"/>
                  <w:vAlign w:val="center"/>
                </w:tcPr>
                <w:p w14:paraId="52C04F1F">
                  <w:pPr>
                    <w:adjustRightInd w:val="0"/>
                    <w:snapToGrid w:val="0"/>
                    <w:jc w:val="center"/>
                    <w:rPr>
                      <w:rFonts w:eastAsia="Times New Roman"/>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地表水</w:t>
                  </w:r>
                </w:p>
              </w:tc>
              <w:tc>
                <w:tcPr>
                  <w:tcW w:w="3107" w:type="dxa"/>
                  <w:shd w:val="clear" w:color="auto" w:fill="auto"/>
                  <w:vAlign w:val="center"/>
                </w:tcPr>
                <w:p w14:paraId="770EFFA0">
                  <w:pPr>
                    <w:adjustRightInd w:val="0"/>
                    <w:snapToGrid w:val="0"/>
                    <w:rPr>
                      <w:color w:val="000000" w:themeColor="text1"/>
                      <w:szCs w:val="20"/>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新增工业废水直排建设项目（槽罐车外送污水处理厂的除外）；新增废水直排的污水集中处理厂</w:t>
                  </w:r>
                </w:p>
              </w:tc>
              <w:tc>
                <w:tcPr>
                  <w:tcW w:w="2900" w:type="dxa"/>
                  <w:shd w:val="clear" w:color="auto" w:fill="auto"/>
                  <w:vAlign w:val="center"/>
                </w:tcPr>
                <w:p w14:paraId="6D4E7F11">
                  <w:pPr>
                    <w:adjustRightInd w:val="0"/>
                    <w:snapToGrid w:val="0"/>
                    <w:rPr>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项目废水，不直排</w:t>
                  </w:r>
                  <w:r>
                    <w:rPr>
                      <w:rFonts w:hint="eastAsia"/>
                      <w:color w:val="000000" w:themeColor="text1"/>
                      <w:szCs w:val="20"/>
                      <w:highlight w:val="none"/>
                      <w14:textFill>
                        <w14:solidFill>
                          <w14:schemeClr w14:val="tx1"/>
                        </w14:solidFill>
                      </w14:textFill>
                    </w:rPr>
                    <w:t>，</w:t>
                  </w:r>
                  <w:r>
                    <w:rPr>
                      <w:color w:val="000000" w:themeColor="text1"/>
                      <w:szCs w:val="20"/>
                      <w:highlight w:val="none"/>
                      <w14:textFill>
                        <w14:solidFill>
                          <w14:schemeClr w14:val="tx1"/>
                        </w14:solidFill>
                      </w14:textFill>
                    </w:rPr>
                    <w:t>属于间接排放</w:t>
                  </w:r>
                </w:p>
              </w:tc>
              <w:tc>
                <w:tcPr>
                  <w:tcW w:w="1090" w:type="dxa"/>
                  <w:shd w:val="clear" w:color="auto" w:fill="auto"/>
                  <w:vAlign w:val="center"/>
                </w:tcPr>
                <w:p w14:paraId="6A1CC609">
                  <w:pPr>
                    <w:adjustRightInd w:val="0"/>
                    <w:snapToGrid w:val="0"/>
                    <w:jc w:val="center"/>
                    <w:rPr>
                      <w:rFonts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color w:val="000000" w:themeColor="text1"/>
                      <w:szCs w:val="20"/>
                      <w:highlight w:val="none"/>
                      <w14:textFill>
                        <w14:solidFill>
                          <w14:schemeClr w14:val="tx1"/>
                        </w14:solidFill>
                      </w14:textFill>
                    </w:rPr>
                    <w:t>不开展</w:t>
                  </w:r>
                </w:p>
              </w:tc>
            </w:tr>
            <w:tr w14:paraId="1E54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5" w:type="dxa"/>
                  <w:shd w:val="clear" w:color="auto" w:fill="auto"/>
                  <w:vAlign w:val="center"/>
                </w:tcPr>
                <w:p w14:paraId="586B2D27">
                  <w:pPr>
                    <w:adjustRightInd w:val="0"/>
                    <w:snapToGrid w:val="0"/>
                    <w:jc w:val="center"/>
                    <w:rPr>
                      <w:rFonts w:eastAsia="Times New Roman"/>
                      <w:color w:val="000000" w:themeColor="text1"/>
                      <w:szCs w:val="20"/>
                      <w:highlight w:val="none"/>
                      <w14:textFill>
                        <w14:solidFill>
                          <w14:schemeClr w14:val="tx1"/>
                        </w14:solidFill>
                      </w14:textFill>
                    </w:rPr>
                  </w:pPr>
                  <w:r>
                    <w:rPr>
                      <w:rFonts w:eastAsia="Times New Roman"/>
                      <w:color w:val="000000" w:themeColor="text1"/>
                      <w:szCs w:val="20"/>
                      <w:highlight w:val="none"/>
                      <w14:textFill>
                        <w14:solidFill>
                          <w14:schemeClr w14:val="tx1"/>
                        </w14:solidFill>
                      </w14:textFill>
                    </w:rPr>
                    <w:t>3</w:t>
                  </w:r>
                </w:p>
              </w:tc>
              <w:tc>
                <w:tcPr>
                  <w:tcW w:w="975" w:type="dxa"/>
                  <w:shd w:val="clear" w:color="auto" w:fill="auto"/>
                  <w:vAlign w:val="center"/>
                </w:tcPr>
                <w:p w14:paraId="0F4435C0">
                  <w:pPr>
                    <w:adjustRightInd w:val="0"/>
                    <w:snapToGrid w:val="0"/>
                    <w:jc w:val="center"/>
                    <w:rPr>
                      <w:rFonts w:eastAsia="Times New Roman"/>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声环境</w:t>
                  </w:r>
                </w:p>
              </w:tc>
              <w:tc>
                <w:tcPr>
                  <w:tcW w:w="3107" w:type="dxa"/>
                  <w:shd w:val="clear" w:color="auto" w:fill="auto"/>
                  <w:vAlign w:val="center"/>
                </w:tcPr>
                <w:p w14:paraId="2DFC3F7D">
                  <w:pPr>
                    <w:adjustRightInd w:val="0"/>
                    <w:snapToGrid w:val="0"/>
                    <w:rPr>
                      <w:rFonts w:eastAsiaTheme="minorEastAsia"/>
                      <w:color w:val="000000" w:themeColor="text1"/>
                      <w:szCs w:val="20"/>
                      <w:highlight w:val="none"/>
                      <w14:textFill>
                        <w14:solidFill>
                          <w14:schemeClr w14:val="tx1"/>
                        </w14:solidFill>
                      </w14:textFill>
                    </w:rPr>
                  </w:pPr>
                  <w:r>
                    <w:rPr>
                      <w:rFonts w:eastAsiaTheme="minorEastAsia"/>
                      <w:color w:val="000000" w:themeColor="text1"/>
                      <w:szCs w:val="20"/>
                      <w:highlight w:val="none"/>
                      <w14:textFill>
                        <w14:solidFill>
                          <w14:schemeClr w14:val="tx1"/>
                        </w14:solidFill>
                      </w14:textFill>
                    </w:rPr>
                    <w:t>不开展专项评价</w:t>
                  </w:r>
                </w:p>
              </w:tc>
              <w:tc>
                <w:tcPr>
                  <w:tcW w:w="2900" w:type="dxa"/>
                  <w:shd w:val="clear" w:color="auto" w:fill="auto"/>
                  <w:vAlign w:val="center"/>
                </w:tcPr>
                <w:p w14:paraId="6FE154DF">
                  <w:pPr>
                    <w:adjustRightInd w:val="0"/>
                    <w:snapToGrid w:val="0"/>
                    <w:rPr>
                      <w:rFonts w:eastAsiaTheme="minorEastAsia"/>
                      <w:color w:val="000000" w:themeColor="text1"/>
                      <w:szCs w:val="20"/>
                      <w:highlight w:val="none"/>
                      <w14:textFill>
                        <w14:solidFill>
                          <w14:schemeClr w14:val="tx1"/>
                        </w14:solidFill>
                      </w14:textFill>
                    </w:rPr>
                  </w:pPr>
                  <w:r>
                    <w:rPr>
                      <w:rFonts w:eastAsiaTheme="minorEastAsia"/>
                      <w:color w:val="000000" w:themeColor="text1"/>
                      <w:szCs w:val="20"/>
                      <w:highlight w:val="none"/>
                      <w14:textFill>
                        <w14:solidFill>
                          <w14:schemeClr w14:val="tx1"/>
                        </w14:solidFill>
                      </w14:textFill>
                    </w:rPr>
                    <w:t>不开展专项评价</w:t>
                  </w:r>
                </w:p>
              </w:tc>
              <w:tc>
                <w:tcPr>
                  <w:tcW w:w="1090" w:type="dxa"/>
                  <w:shd w:val="clear" w:color="auto" w:fill="auto"/>
                  <w:vAlign w:val="center"/>
                </w:tcPr>
                <w:p w14:paraId="6102C53F">
                  <w:pPr>
                    <w:adjustRightInd w:val="0"/>
                    <w:snapToGrid w:val="0"/>
                    <w:jc w:val="center"/>
                    <w:rPr>
                      <w:rFonts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color w:val="000000" w:themeColor="text1"/>
                      <w:szCs w:val="20"/>
                      <w:highlight w:val="none"/>
                      <w14:textFill>
                        <w14:solidFill>
                          <w14:schemeClr w14:val="tx1"/>
                        </w14:solidFill>
                      </w14:textFill>
                    </w:rPr>
                    <w:t>不开展</w:t>
                  </w:r>
                </w:p>
              </w:tc>
            </w:tr>
            <w:tr w14:paraId="7021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5" w:type="dxa"/>
                  <w:shd w:val="clear" w:color="auto" w:fill="auto"/>
                  <w:vAlign w:val="center"/>
                </w:tcPr>
                <w:p w14:paraId="425BE145">
                  <w:pPr>
                    <w:adjustRightInd w:val="0"/>
                    <w:snapToGrid w:val="0"/>
                    <w:jc w:val="center"/>
                    <w:rPr>
                      <w:rFonts w:eastAsia="Times New Roman"/>
                      <w:color w:val="000000" w:themeColor="text1"/>
                      <w:szCs w:val="20"/>
                      <w:highlight w:val="none"/>
                      <w14:textFill>
                        <w14:solidFill>
                          <w14:schemeClr w14:val="tx1"/>
                        </w14:solidFill>
                      </w14:textFill>
                    </w:rPr>
                  </w:pPr>
                  <w:r>
                    <w:rPr>
                      <w:rFonts w:eastAsia="Times New Roman"/>
                      <w:color w:val="000000" w:themeColor="text1"/>
                      <w:szCs w:val="20"/>
                      <w:highlight w:val="none"/>
                      <w14:textFill>
                        <w14:solidFill>
                          <w14:schemeClr w14:val="tx1"/>
                        </w14:solidFill>
                      </w14:textFill>
                    </w:rPr>
                    <w:t>4</w:t>
                  </w:r>
                </w:p>
              </w:tc>
              <w:tc>
                <w:tcPr>
                  <w:tcW w:w="975" w:type="dxa"/>
                  <w:shd w:val="clear" w:color="auto" w:fill="auto"/>
                  <w:vAlign w:val="center"/>
                </w:tcPr>
                <w:p w14:paraId="36DF53C8">
                  <w:pPr>
                    <w:adjustRightInd w:val="0"/>
                    <w:snapToGrid w:val="0"/>
                    <w:jc w:val="center"/>
                    <w:rPr>
                      <w:rFonts w:eastAsia="Times New Roman"/>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地下水</w:t>
                  </w:r>
                </w:p>
              </w:tc>
              <w:tc>
                <w:tcPr>
                  <w:tcW w:w="3107" w:type="dxa"/>
                  <w:shd w:val="clear" w:color="auto" w:fill="auto"/>
                  <w:vAlign w:val="center"/>
                </w:tcPr>
                <w:p w14:paraId="3C5AA08C">
                  <w:pPr>
                    <w:adjustRightInd w:val="0"/>
                    <w:snapToGrid w:val="0"/>
                    <w:rPr>
                      <w:color w:val="000000" w:themeColor="text1"/>
                      <w:szCs w:val="20"/>
                      <w:highlight w:val="none"/>
                      <w14:textFill>
                        <w14:solidFill>
                          <w14:schemeClr w14:val="tx1"/>
                        </w14:solidFill>
                      </w14:textFill>
                    </w:rPr>
                  </w:pPr>
                  <w:r>
                    <w:rPr>
                      <w:rFonts w:ascii="Times New Roman" w:hAnsi="Times New Roman" w:cs="Times New Roman"/>
                      <w:color w:val="000000" w:themeColor="text1"/>
                      <w:kern w:val="0"/>
                      <w:szCs w:val="21"/>
                      <w:highlight w:val="none"/>
                      <w:lang w:bidi="ar"/>
                      <w14:textFill>
                        <w14:solidFill>
                          <w14:schemeClr w14:val="tx1"/>
                        </w14:solidFill>
                      </w14:textFill>
                    </w:rPr>
                    <w:t>原则上不开展专项评价，涉及集中式饮用水水源和热水、矿泉水、温泉等特殊地下水资源保护区的开展地下水专项评价工作</w:t>
                  </w:r>
                </w:p>
              </w:tc>
              <w:tc>
                <w:tcPr>
                  <w:tcW w:w="2900" w:type="dxa"/>
                  <w:shd w:val="clear" w:color="auto" w:fill="auto"/>
                  <w:vAlign w:val="center"/>
                </w:tcPr>
                <w:p w14:paraId="0C9DA0DB">
                  <w:pPr>
                    <w:adjustRightInd w:val="0"/>
                    <w:snapToGrid w:val="0"/>
                    <w:rPr>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本项目不涉及集中式饮用水水源和热水、矿泉水、温泉等特殊地下水资源保护区</w:t>
                  </w:r>
                </w:p>
              </w:tc>
              <w:tc>
                <w:tcPr>
                  <w:tcW w:w="1090" w:type="dxa"/>
                  <w:shd w:val="clear" w:color="auto" w:fill="auto"/>
                  <w:vAlign w:val="center"/>
                </w:tcPr>
                <w:p w14:paraId="76F3B993">
                  <w:pPr>
                    <w:adjustRightInd w:val="0"/>
                    <w:snapToGrid w:val="0"/>
                    <w:jc w:val="center"/>
                    <w:rPr>
                      <w:rFonts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color w:val="000000" w:themeColor="text1"/>
                      <w:szCs w:val="20"/>
                      <w:highlight w:val="none"/>
                      <w14:textFill>
                        <w14:solidFill>
                          <w14:schemeClr w14:val="tx1"/>
                        </w14:solidFill>
                      </w14:textFill>
                    </w:rPr>
                    <w:t>不开展</w:t>
                  </w:r>
                </w:p>
              </w:tc>
            </w:tr>
            <w:tr w14:paraId="01FB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5" w:type="dxa"/>
                  <w:shd w:val="clear" w:color="auto" w:fill="auto"/>
                  <w:vAlign w:val="center"/>
                </w:tcPr>
                <w:p w14:paraId="6A77AAFD">
                  <w:pPr>
                    <w:adjustRightInd w:val="0"/>
                    <w:snapToGrid w:val="0"/>
                    <w:jc w:val="center"/>
                    <w:rPr>
                      <w:rFonts w:eastAsia="Times New Roman"/>
                      <w:color w:val="000000" w:themeColor="text1"/>
                      <w:szCs w:val="20"/>
                      <w:highlight w:val="none"/>
                      <w14:textFill>
                        <w14:solidFill>
                          <w14:schemeClr w14:val="tx1"/>
                        </w14:solidFill>
                      </w14:textFill>
                    </w:rPr>
                  </w:pPr>
                  <w:r>
                    <w:rPr>
                      <w:rFonts w:eastAsia="Times New Roman"/>
                      <w:color w:val="000000" w:themeColor="text1"/>
                      <w:szCs w:val="20"/>
                      <w:highlight w:val="none"/>
                      <w14:textFill>
                        <w14:solidFill>
                          <w14:schemeClr w14:val="tx1"/>
                        </w14:solidFill>
                      </w14:textFill>
                    </w:rPr>
                    <w:t>5</w:t>
                  </w:r>
                </w:p>
              </w:tc>
              <w:tc>
                <w:tcPr>
                  <w:tcW w:w="975" w:type="dxa"/>
                  <w:shd w:val="clear" w:color="auto" w:fill="auto"/>
                  <w:vAlign w:val="center"/>
                </w:tcPr>
                <w:p w14:paraId="14B95B2D">
                  <w:pPr>
                    <w:adjustRightInd w:val="0"/>
                    <w:snapToGrid w:val="0"/>
                    <w:jc w:val="center"/>
                    <w:rPr>
                      <w:rFonts w:eastAsia="Times New Roman"/>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土壤</w:t>
                  </w:r>
                </w:p>
              </w:tc>
              <w:tc>
                <w:tcPr>
                  <w:tcW w:w="3107" w:type="dxa"/>
                  <w:shd w:val="clear" w:color="auto" w:fill="auto"/>
                  <w:vAlign w:val="center"/>
                </w:tcPr>
                <w:p w14:paraId="53CB2217">
                  <w:pPr>
                    <w:adjustRightInd w:val="0"/>
                    <w:snapToGrid w:val="0"/>
                    <w:rPr>
                      <w:rFonts w:eastAsiaTheme="minorEastAsia"/>
                      <w:color w:val="000000" w:themeColor="text1"/>
                      <w:szCs w:val="20"/>
                      <w:highlight w:val="none"/>
                      <w14:textFill>
                        <w14:solidFill>
                          <w14:schemeClr w14:val="tx1"/>
                        </w14:solidFill>
                      </w14:textFill>
                    </w:rPr>
                  </w:pPr>
                  <w:r>
                    <w:rPr>
                      <w:rFonts w:eastAsiaTheme="minorEastAsia"/>
                      <w:color w:val="000000" w:themeColor="text1"/>
                      <w:szCs w:val="20"/>
                      <w:highlight w:val="none"/>
                      <w14:textFill>
                        <w14:solidFill>
                          <w14:schemeClr w14:val="tx1"/>
                        </w14:solidFill>
                      </w14:textFill>
                    </w:rPr>
                    <w:t>不开展专项评价</w:t>
                  </w:r>
                </w:p>
              </w:tc>
              <w:tc>
                <w:tcPr>
                  <w:tcW w:w="2900" w:type="dxa"/>
                  <w:shd w:val="clear" w:color="auto" w:fill="auto"/>
                  <w:vAlign w:val="center"/>
                </w:tcPr>
                <w:p w14:paraId="427ED5FA">
                  <w:pPr>
                    <w:adjustRightInd w:val="0"/>
                    <w:snapToGrid w:val="0"/>
                    <w:rPr>
                      <w:rFonts w:eastAsiaTheme="minorEastAsia"/>
                      <w:color w:val="000000" w:themeColor="text1"/>
                      <w:szCs w:val="20"/>
                      <w:highlight w:val="none"/>
                      <w14:textFill>
                        <w14:solidFill>
                          <w14:schemeClr w14:val="tx1"/>
                        </w14:solidFill>
                      </w14:textFill>
                    </w:rPr>
                  </w:pPr>
                  <w:r>
                    <w:rPr>
                      <w:rFonts w:eastAsiaTheme="minorEastAsia"/>
                      <w:color w:val="000000" w:themeColor="text1"/>
                      <w:szCs w:val="20"/>
                      <w:highlight w:val="none"/>
                      <w14:textFill>
                        <w14:solidFill>
                          <w14:schemeClr w14:val="tx1"/>
                        </w14:solidFill>
                      </w14:textFill>
                    </w:rPr>
                    <w:t>不开展专项评价</w:t>
                  </w:r>
                </w:p>
              </w:tc>
              <w:tc>
                <w:tcPr>
                  <w:tcW w:w="1090" w:type="dxa"/>
                  <w:shd w:val="clear" w:color="auto" w:fill="auto"/>
                  <w:vAlign w:val="center"/>
                </w:tcPr>
                <w:p w14:paraId="4C0B06FF">
                  <w:pPr>
                    <w:adjustRightInd w:val="0"/>
                    <w:snapToGrid w:val="0"/>
                    <w:jc w:val="center"/>
                    <w:rPr>
                      <w:rFonts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color w:val="000000" w:themeColor="text1"/>
                      <w:szCs w:val="20"/>
                      <w:highlight w:val="none"/>
                      <w14:textFill>
                        <w14:solidFill>
                          <w14:schemeClr w14:val="tx1"/>
                        </w14:solidFill>
                      </w14:textFill>
                    </w:rPr>
                    <w:t>不开展</w:t>
                  </w:r>
                </w:p>
              </w:tc>
            </w:tr>
            <w:tr w14:paraId="629E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65" w:type="dxa"/>
                  <w:shd w:val="clear" w:color="auto" w:fill="auto"/>
                  <w:vAlign w:val="center"/>
                </w:tcPr>
                <w:p w14:paraId="28D2888A">
                  <w:pPr>
                    <w:adjustRightInd w:val="0"/>
                    <w:snapToGrid w:val="0"/>
                    <w:jc w:val="center"/>
                    <w:rPr>
                      <w:rFonts w:eastAsia="Times New Roman"/>
                      <w:color w:val="000000" w:themeColor="text1"/>
                      <w:szCs w:val="20"/>
                      <w:highlight w:val="none"/>
                      <w14:textFill>
                        <w14:solidFill>
                          <w14:schemeClr w14:val="tx1"/>
                        </w14:solidFill>
                      </w14:textFill>
                    </w:rPr>
                  </w:pPr>
                  <w:r>
                    <w:rPr>
                      <w:rFonts w:eastAsia="Times New Roman"/>
                      <w:color w:val="000000" w:themeColor="text1"/>
                      <w:szCs w:val="20"/>
                      <w:highlight w:val="none"/>
                      <w14:textFill>
                        <w14:solidFill>
                          <w14:schemeClr w14:val="tx1"/>
                        </w14:solidFill>
                      </w14:textFill>
                    </w:rPr>
                    <w:t>6</w:t>
                  </w:r>
                </w:p>
              </w:tc>
              <w:tc>
                <w:tcPr>
                  <w:tcW w:w="975" w:type="dxa"/>
                  <w:shd w:val="clear" w:color="auto" w:fill="auto"/>
                  <w:vAlign w:val="center"/>
                </w:tcPr>
                <w:p w14:paraId="60ABAAD4">
                  <w:pPr>
                    <w:adjustRightInd w:val="0"/>
                    <w:snapToGrid w:val="0"/>
                    <w:jc w:val="center"/>
                    <w:rPr>
                      <w:rFonts w:eastAsia="Times New Roman"/>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环境风险</w:t>
                  </w:r>
                </w:p>
              </w:tc>
              <w:tc>
                <w:tcPr>
                  <w:tcW w:w="3107" w:type="dxa"/>
                  <w:shd w:val="clear" w:color="auto" w:fill="auto"/>
                  <w:vAlign w:val="center"/>
                </w:tcPr>
                <w:p w14:paraId="51F8EE65">
                  <w:pPr>
                    <w:adjustRightInd w:val="0"/>
                    <w:snapToGrid w:val="0"/>
                    <w:rPr>
                      <w:color w:val="000000" w:themeColor="text1"/>
                      <w:szCs w:val="20"/>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有毒有害和易燃易爆危险物质存储量超过临界量的建设项目</w:t>
                  </w:r>
                </w:p>
              </w:tc>
              <w:tc>
                <w:tcPr>
                  <w:tcW w:w="2900" w:type="dxa"/>
                  <w:shd w:val="clear" w:color="auto" w:fill="auto"/>
                  <w:vAlign w:val="center"/>
                </w:tcPr>
                <w:p w14:paraId="4FE6F99C">
                  <w:pPr>
                    <w:adjustRightInd w:val="0"/>
                    <w:snapToGrid w:val="0"/>
                    <w:rPr>
                      <w:rFonts w:eastAsiaTheme="minorEastAsia"/>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不属于</w:t>
                  </w:r>
                  <w:r>
                    <w:rPr>
                      <w:rFonts w:eastAsiaTheme="minorEastAsia"/>
                      <w:color w:val="000000" w:themeColor="text1"/>
                      <w:szCs w:val="20"/>
                      <w:highlight w:val="none"/>
                      <w14:textFill>
                        <w14:solidFill>
                          <w14:schemeClr w14:val="tx1"/>
                        </w14:solidFill>
                      </w14:textFill>
                    </w:rPr>
                    <w:t>有毒有害和易燃易爆危险物质存储量超过临界量的建设项目</w:t>
                  </w:r>
                </w:p>
              </w:tc>
              <w:tc>
                <w:tcPr>
                  <w:tcW w:w="1090" w:type="dxa"/>
                  <w:shd w:val="clear" w:color="auto" w:fill="auto"/>
                  <w:vAlign w:val="center"/>
                </w:tcPr>
                <w:p w14:paraId="6C0AF53F">
                  <w:pPr>
                    <w:adjustRightInd w:val="0"/>
                    <w:snapToGrid w:val="0"/>
                    <w:jc w:val="center"/>
                    <w:rPr>
                      <w:rFonts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color w:val="000000" w:themeColor="text1"/>
                      <w:szCs w:val="20"/>
                      <w:highlight w:val="none"/>
                      <w14:textFill>
                        <w14:solidFill>
                          <w14:schemeClr w14:val="tx1"/>
                        </w14:solidFill>
                      </w14:textFill>
                    </w:rPr>
                    <w:t>不开展</w:t>
                  </w:r>
                </w:p>
              </w:tc>
            </w:tr>
            <w:tr w14:paraId="37CB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65" w:type="dxa"/>
                  <w:shd w:val="clear" w:color="auto" w:fill="auto"/>
                  <w:vAlign w:val="center"/>
                </w:tcPr>
                <w:p w14:paraId="44DB45F2">
                  <w:pPr>
                    <w:adjustRightInd w:val="0"/>
                    <w:snapToGrid w:val="0"/>
                    <w:jc w:val="center"/>
                    <w:rPr>
                      <w:rFonts w:eastAsiaTheme="minorEastAsia"/>
                      <w:color w:val="000000" w:themeColor="text1"/>
                      <w:szCs w:val="20"/>
                      <w:highlight w:val="none"/>
                      <w14:textFill>
                        <w14:solidFill>
                          <w14:schemeClr w14:val="tx1"/>
                        </w14:solidFill>
                      </w14:textFill>
                    </w:rPr>
                  </w:pPr>
                  <w:r>
                    <w:rPr>
                      <w:rFonts w:eastAsiaTheme="minorEastAsia"/>
                      <w:color w:val="000000" w:themeColor="text1"/>
                      <w:szCs w:val="20"/>
                      <w:highlight w:val="none"/>
                      <w14:textFill>
                        <w14:solidFill>
                          <w14:schemeClr w14:val="tx1"/>
                        </w14:solidFill>
                      </w14:textFill>
                    </w:rPr>
                    <w:t>7</w:t>
                  </w:r>
                </w:p>
              </w:tc>
              <w:tc>
                <w:tcPr>
                  <w:tcW w:w="975" w:type="dxa"/>
                  <w:shd w:val="clear" w:color="auto" w:fill="auto"/>
                  <w:vAlign w:val="center"/>
                </w:tcPr>
                <w:p w14:paraId="7DE73705">
                  <w:pPr>
                    <w:adjustRightInd w:val="0"/>
                    <w:snapToGrid w:val="0"/>
                    <w:jc w:val="center"/>
                    <w:rPr>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生态影响</w:t>
                  </w:r>
                </w:p>
              </w:tc>
              <w:tc>
                <w:tcPr>
                  <w:tcW w:w="3107" w:type="dxa"/>
                  <w:shd w:val="clear" w:color="auto" w:fill="auto"/>
                  <w:vAlign w:val="center"/>
                </w:tcPr>
                <w:p w14:paraId="0D1677C3">
                  <w:pPr>
                    <w:adjustRightInd w:val="0"/>
                    <w:snapToGrid w:val="0"/>
                    <w:rPr>
                      <w:color w:val="000000" w:themeColor="text1"/>
                      <w:szCs w:val="20"/>
                      <w:highlight w:val="none"/>
                      <w14:textFill>
                        <w14:solidFill>
                          <w14:schemeClr w14:val="tx1"/>
                        </w14:solidFill>
                      </w14:textFill>
                    </w:rPr>
                  </w:pPr>
                  <w:r>
                    <w:rPr>
                      <w:color w:val="000000" w:themeColor="text1"/>
                      <w:kern w:val="0"/>
                      <w:szCs w:val="21"/>
                      <w:highlight w:val="none"/>
                      <w:lang w:bidi="ar"/>
                      <w14:textFill>
                        <w14:solidFill>
                          <w14:schemeClr w14:val="tx1"/>
                        </w14:solidFill>
                      </w14:textFill>
                    </w:rPr>
                    <w:t>取水口下游500米范围内有重要水生生物的自然产卵场、索饵场、越冬场和洄游通道的新增河道取水的污染类建设项目</w:t>
                  </w:r>
                </w:p>
              </w:tc>
              <w:tc>
                <w:tcPr>
                  <w:tcW w:w="2900" w:type="dxa"/>
                  <w:shd w:val="clear" w:color="auto" w:fill="auto"/>
                  <w:vAlign w:val="center"/>
                </w:tcPr>
                <w:p w14:paraId="56AFC06A">
                  <w:pPr>
                    <w:adjustRightInd w:val="0"/>
                    <w:snapToGrid w:val="0"/>
                    <w:rPr>
                      <w:color w:val="000000" w:themeColor="text1"/>
                      <w:szCs w:val="20"/>
                      <w:highlight w:val="none"/>
                      <w14:textFill>
                        <w14:solidFill>
                          <w14:schemeClr w14:val="tx1"/>
                        </w14:solidFill>
                      </w14:textFill>
                    </w:rPr>
                  </w:pPr>
                  <w:r>
                    <w:rPr>
                      <w:color w:val="000000" w:themeColor="text1"/>
                      <w:szCs w:val="20"/>
                      <w:highlight w:val="none"/>
                      <w14:textFill>
                        <w14:solidFill>
                          <w14:schemeClr w14:val="tx1"/>
                        </w14:solidFill>
                      </w14:textFill>
                    </w:rPr>
                    <w:t>本项目不属于取水口下游500米范围内有重要水生生物的自然产卵场、索饵场、越冬场和洄游通道的新增河道取水的污染类建设项目</w:t>
                  </w:r>
                </w:p>
              </w:tc>
              <w:tc>
                <w:tcPr>
                  <w:tcW w:w="1090" w:type="dxa"/>
                  <w:shd w:val="clear" w:color="auto" w:fill="auto"/>
                  <w:vAlign w:val="center"/>
                </w:tcPr>
                <w:p w14:paraId="75FBBF91">
                  <w:pPr>
                    <w:adjustRightInd w:val="0"/>
                    <w:snapToGrid w:val="0"/>
                    <w:jc w:val="center"/>
                    <w:rPr>
                      <w:rFonts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color w:val="000000" w:themeColor="text1"/>
                      <w:szCs w:val="20"/>
                      <w:highlight w:val="none"/>
                      <w14:textFill>
                        <w14:solidFill>
                          <w14:schemeClr w14:val="tx1"/>
                        </w14:solidFill>
                      </w14:textFill>
                    </w:rPr>
                    <w:t>不开展</w:t>
                  </w:r>
                </w:p>
              </w:tc>
            </w:tr>
            <w:tr w14:paraId="0F9D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5" w:type="dxa"/>
                  <w:shd w:val="clear" w:color="auto" w:fill="auto"/>
                  <w:vAlign w:val="center"/>
                </w:tcPr>
                <w:p w14:paraId="29B43A99">
                  <w:pPr>
                    <w:adjustRightInd w:val="0"/>
                    <w:snapToGrid w:val="0"/>
                    <w:jc w:val="center"/>
                    <w:rPr>
                      <w:rFonts w:hint="eastAsia" w:eastAsiaTheme="minorEastAsia"/>
                      <w:color w:val="000000" w:themeColor="text1"/>
                      <w:szCs w:val="20"/>
                      <w:highlight w:val="none"/>
                      <w:lang w:val="en-US" w:eastAsia="zh-CN"/>
                      <w14:textFill>
                        <w14:solidFill>
                          <w14:schemeClr w14:val="tx1"/>
                        </w14:solidFill>
                      </w14:textFill>
                    </w:rPr>
                  </w:pPr>
                  <w:r>
                    <w:rPr>
                      <w:rFonts w:hint="eastAsia" w:eastAsiaTheme="minorEastAsia"/>
                      <w:color w:val="000000" w:themeColor="text1"/>
                      <w:szCs w:val="20"/>
                      <w:highlight w:val="none"/>
                      <w:lang w:val="en-US" w:eastAsia="zh-CN"/>
                      <w14:textFill>
                        <w14:solidFill>
                          <w14:schemeClr w14:val="tx1"/>
                        </w14:solidFill>
                      </w14:textFill>
                    </w:rPr>
                    <w:t>8</w:t>
                  </w:r>
                </w:p>
              </w:tc>
              <w:tc>
                <w:tcPr>
                  <w:tcW w:w="975" w:type="dxa"/>
                  <w:shd w:val="clear" w:color="auto" w:fill="auto"/>
                  <w:vAlign w:val="center"/>
                </w:tcPr>
                <w:p w14:paraId="22EDB45A">
                  <w:pPr>
                    <w:adjustRightInd w:val="0"/>
                    <w:snapToGrid w:val="0"/>
                    <w:jc w:val="center"/>
                    <w:rPr>
                      <w:rFonts w:hint="eastAsia" w:eastAsia="宋体"/>
                      <w:color w:val="000000" w:themeColor="text1"/>
                      <w:szCs w:val="20"/>
                      <w:highlight w:val="none"/>
                      <w:lang w:val="en-US" w:eastAsia="zh-CN"/>
                      <w14:textFill>
                        <w14:solidFill>
                          <w14:schemeClr w14:val="tx1"/>
                        </w14:solidFill>
                      </w14:textFill>
                    </w:rPr>
                  </w:pPr>
                  <w:r>
                    <w:rPr>
                      <w:rFonts w:hint="eastAsia"/>
                      <w:color w:val="000000" w:themeColor="text1"/>
                      <w:szCs w:val="20"/>
                      <w:highlight w:val="none"/>
                      <w:lang w:val="en-US" w:eastAsia="zh-CN"/>
                      <w14:textFill>
                        <w14:solidFill>
                          <w14:schemeClr w14:val="tx1"/>
                        </w14:solidFill>
                      </w14:textFill>
                    </w:rPr>
                    <w:t>海洋</w:t>
                  </w:r>
                </w:p>
              </w:tc>
              <w:tc>
                <w:tcPr>
                  <w:tcW w:w="3107" w:type="dxa"/>
                  <w:shd w:val="clear" w:color="auto" w:fill="auto"/>
                  <w:vAlign w:val="center"/>
                </w:tcPr>
                <w:p w14:paraId="48803776">
                  <w:pPr>
                    <w:adjustRightInd w:val="0"/>
                    <w:snapToGrid w:val="0"/>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直接向海排放污染物的海洋工程建设项目</w:t>
                  </w:r>
                </w:p>
              </w:tc>
              <w:tc>
                <w:tcPr>
                  <w:tcW w:w="2900" w:type="dxa"/>
                  <w:shd w:val="clear" w:color="auto" w:fill="auto"/>
                  <w:vAlign w:val="center"/>
                </w:tcPr>
                <w:p w14:paraId="2E669858">
                  <w:pPr>
                    <w:adjustRightInd w:val="0"/>
                    <w:snapToGrid w:val="0"/>
                    <w:rPr>
                      <w:rFonts w:hint="default" w:eastAsia="宋体"/>
                      <w:color w:val="000000" w:themeColor="text1"/>
                      <w:szCs w:val="20"/>
                      <w:highlight w:val="none"/>
                      <w:lang w:val="en-US" w:eastAsia="zh-CN"/>
                      <w14:textFill>
                        <w14:solidFill>
                          <w14:schemeClr w14:val="tx1"/>
                        </w14:solidFill>
                      </w14:textFill>
                    </w:rPr>
                  </w:pPr>
                  <w:r>
                    <w:rPr>
                      <w:rFonts w:hint="eastAsia"/>
                      <w:color w:val="000000" w:themeColor="text1"/>
                      <w:szCs w:val="20"/>
                      <w:highlight w:val="none"/>
                      <w:lang w:val="en-US" w:eastAsia="zh-CN"/>
                      <w14:textFill>
                        <w14:solidFill>
                          <w14:schemeClr w14:val="tx1"/>
                        </w14:solidFill>
                      </w14:textFill>
                    </w:rPr>
                    <w:t>本项目不属于</w:t>
                  </w:r>
                  <w:r>
                    <w:rPr>
                      <w:color w:val="000000" w:themeColor="text1"/>
                      <w:kern w:val="0"/>
                      <w:szCs w:val="21"/>
                      <w:highlight w:val="none"/>
                      <w:lang w:bidi="ar"/>
                      <w14:textFill>
                        <w14:solidFill>
                          <w14:schemeClr w14:val="tx1"/>
                        </w14:solidFill>
                      </w14:textFill>
                    </w:rPr>
                    <w:t>直接向海排放污染物的海洋工程建设项目</w:t>
                  </w:r>
                </w:p>
              </w:tc>
              <w:tc>
                <w:tcPr>
                  <w:tcW w:w="1090" w:type="dxa"/>
                  <w:shd w:val="clear" w:color="auto" w:fill="auto"/>
                  <w:vAlign w:val="center"/>
                </w:tcPr>
                <w:p w14:paraId="21CEAA61">
                  <w:pPr>
                    <w:adjustRightInd w:val="0"/>
                    <w:snapToGrid w:val="0"/>
                    <w:jc w:val="center"/>
                    <w:rPr>
                      <w:rFonts w:hint="eastAsia" w:eastAsia="宋体"/>
                      <w:color w:val="000000" w:themeColor="text1"/>
                      <w:szCs w:val="20"/>
                      <w:highlight w:val="none"/>
                      <w:lang w:val="en-US" w:eastAsia="zh-CN"/>
                      <w14:textFill>
                        <w14:solidFill>
                          <w14:schemeClr w14:val="tx1"/>
                        </w14:solidFill>
                      </w14:textFill>
                    </w:rPr>
                  </w:pPr>
                  <w:r>
                    <w:rPr>
                      <w:rFonts w:hint="eastAsia"/>
                      <w:color w:val="000000" w:themeColor="text1"/>
                      <w:szCs w:val="20"/>
                      <w:highlight w:val="none"/>
                      <w:lang w:val="en-US" w:eastAsia="zh-CN"/>
                      <w14:textFill>
                        <w14:solidFill>
                          <w14:schemeClr w14:val="tx1"/>
                        </w14:solidFill>
                      </w14:textFill>
                    </w:rPr>
                    <w:t>不开展</w:t>
                  </w:r>
                </w:p>
              </w:tc>
            </w:tr>
          </w:tbl>
          <w:p w14:paraId="107AA521">
            <w:pPr>
              <w:pStyle w:val="44"/>
              <w:rPr>
                <w:color w:val="000000" w:themeColor="text1"/>
                <w:kern w:val="0"/>
                <w:szCs w:val="21"/>
                <w:highlight w:val="none"/>
                <w14:textFill>
                  <w14:solidFill>
                    <w14:schemeClr w14:val="tx1"/>
                  </w14:solidFill>
                </w14:textFill>
              </w:rPr>
            </w:pPr>
          </w:p>
        </w:tc>
      </w:tr>
      <w:tr w14:paraId="61619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8" w:hRule="atLeast"/>
          <w:jc w:val="center"/>
        </w:trPr>
        <w:tc>
          <w:tcPr>
            <w:tcW w:w="426" w:type="dxa"/>
            <w:vAlign w:val="center"/>
          </w:tcPr>
          <w:p w14:paraId="1B45662B">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环境</w:t>
            </w:r>
          </w:p>
          <w:p w14:paraId="279F17BC">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保护</w:t>
            </w:r>
          </w:p>
          <w:p w14:paraId="584D052F">
            <w:pPr>
              <w:adjustRightInd w:val="0"/>
              <w:snapToGrid w:val="0"/>
              <w:jc w:val="center"/>
              <w:rPr>
                <w:color w:val="000000" w:themeColor="text1"/>
                <w:kern w:val="0"/>
                <w:szCs w:val="21"/>
                <w:highlight w:val="none"/>
                <w14:textFill>
                  <w14:solidFill>
                    <w14:schemeClr w14:val="tx1"/>
                  </w14:solidFill>
                </w14:textFill>
              </w:rPr>
            </w:pPr>
            <w:r>
              <w:rPr>
                <w:rFonts w:ascii="Times New Roman" w:hAnsi="Times New Roman" w:eastAsia="宋体" w:cs="Times New Roman"/>
                <w:kern w:val="0"/>
                <w:sz w:val="24"/>
                <w:szCs w:val="24"/>
                <w:highlight w:val="none"/>
                <w:lang w:val="en-US" w:eastAsia="zh-CN" w:bidi="ar-SA"/>
              </w:rPr>
              <w:t>目标</w:t>
            </w:r>
          </w:p>
        </w:tc>
        <w:tc>
          <w:tcPr>
            <w:tcW w:w="8930" w:type="dxa"/>
          </w:tcPr>
          <w:p w14:paraId="58CA067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b/>
                <w:color w:val="000000" w:themeColor="text1"/>
                <w:kern w:val="0"/>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1.大气环境保护目标</w:t>
            </w:r>
          </w:p>
          <w:p w14:paraId="2129B92F">
            <w:pPr>
              <w:adjustRightInd w:val="0"/>
              <w:snapToGrid w:val="0"/>
              <w:spacing w:line="360" w:lineRule="auto"/>
              <w:ind w:firstLine="480" w:firstLineChars="200"/>
              <w:rPr>
                <w:color w:val="000000" w:themeColor="text1"/>
                <w:kern w:val="0"/>
                <w:sz w:val="24"/>
                <w:szCs w:val="21"/>
                <w:highlight w:val="none"/>
                <w14:textFill>
                  <w14:solidFill>
                    <w14:schemeClr w14:val="tx1"/>
                  </w14:solidFill>
                </w14:textFill>
              </w:rPr>
            </w:pPr>
            <w:r>
              <w:rPr>
                <w:kern w:val="0"/>
                <w:sz w:val="24"/>
                <w:szCs w:val="21"/>
                <w:highlight w:val="none"/>
              </w:rPr>
              <w:t>本项目厂界外500米范围内不存在自然保护区、风景名胜区、文化区等保护目标，</w:t>
            </w:r>
            <w:r>
              <w:rPr>
                <w:rFonts w:hint="eastAsia"/>
                <w:kern w:val="0"/>
                <w:sz w:val="24"/>
                <w:szCs w:val="21"/>
                <w:highlight w:val="none"/>
              </w:rPr>
              <w:t>人群较集中的区域</w:t>
            </w:r>
            <w:r>
              <w:rPr>
                <w:kern w:val="0"/>
                <w:sz w:val="24"/>
                <w:szCs w:val="21"/>
                <w:highlight w:val="none"/>
              </w:rPr>
              <w:t>主要为</w:t>
            </w:r>
            <w:r>
              <w:rPr>
                <w:rFonts w:hint="eastAsia"/>
                <w:kern w:val="0"/>
                <w:sz w:val="24"/>
                <w:szCs w:val="21"/>
                <w:highlight w:val="none"/>
                <w:lang w:val="en-US" w:eastAsia="zh-CN"/>
              </w:rPr>
              <w:t>南面60m处的贮木场村、东南面320m处的老虎头上下村</w:t>
            </w:r>
            <w:r>
              <w:rPr>
                <w:color w:val="000000" w:themeColor="text1"/>
                <w:kern w:val="0"/>
                <w:sz w:val="24"/>
                <w:szCs w:val="21"/>
                <w:highlight w:val="none"/>
                <w14:textFill>
                  <w14:solidFill>
                    <w14:schemeClr w14:val="tx1"/>
                  </w14:solidFill>
                </w14:textFill>
              </w:rPr>
              <w:t>。</w:t>
            </w:r>
          </w:p>
          <w:p w14:paraId="358F6C81">
            <w:pPr>
              <w:adjustRightInd w:val="0"/>
              <w:snapToGrid w:val="0"/>
              <w:spacing w:line="360" w:lineRule="auto"/>
              <w:ind w:firstLine="482" w:firstLineChars="200"/>
              <w:rPr>
                <w:b/>
                <w:color w:val="000000" w:themeColor="text1"/>
                <w:kern w:val="0"/>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2.地表水环境保护目标</w:t>
            </w:r>
          </w:p>
          <w:p w14:paraId="6D59015B">
            <w:pPr>
              <w:adjustRightInd w:val="0"/>
              <w:snapToGrid w:val="0"/>
              <w:spacing w:line="360" w:lineRule="auto"/>
              <w:ind w:firstLine="480" w:firstLineChars="200"/>
              <w:rPr>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本项目</w:t>
            </w:r>
            <w:r>
              <w:rPr>
                <w:rFonts w:hint="eastAsia" w:ascii="宋体" w:hAnsi="宋体"/>
                <w:color w:val="000000" w:themeColor="text1"/>
                <w:sz w:val="24"/>
                <w:highlight w:val="none"/>
                <w:lang w:val="en-US" w:eastAsia="zh-CN"/>
                <w14:textFill>
                  <w14:solidFill>
                    <w14:schemeClr w14:val="tx1"/>
                  </w14:solidFill>
                </w14:textFill>
              </w:rPr>
              <w:t>无生产废水排放，生活污水</w:t>
            </w:r>
            <w:r>
              <w:rPr>
                <w:rFonts w:hint="eastAsia" w:ascii="宋体" w:hAnsi="宋体"/>
                <w:color w:val="000000" w:themeColor="text1"/>
                <w:sz w:val="24"/>
                <w:highlight w:val="none"/>
                <w14:textFill>
                  <w14:solidFill>
                    <w14:schemeClr w14:val="tx1"/>
                  </w14:solidFill>
                </w14:textFill>
              </w:rPr>
              <w:t>经</w:t>
            </w:r>
            <w:r>
              <w:rPr>
                <w:rFonts w:hint="eastAsia" w:ascii="宋体" w:hAnsi="宋体"/>
                <w:color w:val="000000" w:themeColor="text1"/>
                <w:sz w:val="24"/>
                <w:highlight w:val="none"/>
                <w:lang w:val="en-US" w:eastAsia="zh-CN"/>
                <w14:textFill>
                  <w14:solidFill>
                    <w14:schemeClr w14:val="tx1"/>
                  </w14:solidFill>
                </w14:textFill>
              </w:rPr>
              <w:t>三级化粪池</w:t>
            </w:r>
            <w:r>
              <w:rPr>
                <w:rFonts w:hint="eastAsia" w:ascii="宋体" w:hAnsi="宋体"/>
                <w:color w:val="000000" w:themeColor="text1"/>
                <w:sz w:val="24"/>
                <w:highlight w:val="none"/>
                <w14:textFill>
                  <w14:solidFill>
                    <w14:schemeClr w14:val="tx1"/>
                  </w14:solidFill>
                </w14:textFill>
              </w:rPr>
              <w:t>污水处理系统</w:t>
            </w:r>
            <w:r>
              <w:rPr>
                <w:rFonts w:ascii="宋体" w:hAnsi="宋体"/>
                <w:color w:val="000000" w:themeColor="text1"/>
                <w:sz w:val="24"/>
                <w:highlight w:val="none"/>
                <w14:textFill>
                  <w14:solidFill>
                    <w14:schemeClr w14:val="tx1"/>
                  </w14:solidFill>
                </w14:textFill>
              </w:rPr>
              <w:t>处理达标后进行</w:t>
            </w:r>
            <w:r>
              <w:rPr>
                <w:rFonts w:hint="eastAsia" w:ascii="宋体" w:hAnsi="宋体"/>
                <w:color w:val="000000" w:themeColor="text1"/>
                <w:sz w:val="24"/>
                <w:highlight w:val="none"/>
                <w:lang w:val="en-US" w:eastAsia="zh-CN"/>
                <w14:textFill>
                  <w14:solidFill>
                    <w14:schemeClr w14:val="tx1"/>
                  </w14:solidFill>
                </w14:textFill>
              </w:rPr>
              <w:t>周边林地浇灌</w:t>
            </w:r>
            <w:r>
              <w:rPr>
                <w:rFonts w:hint="eastAsia" w:ascii="宋体" w:hAnsi="宋体"/>
                <w:color w:val="000000" w:themeColor="text1"/>
                <w:sz w:val="24"/>
                <w:highlight w:val="none"/>
                <w14:textFill>
                  <w14:solidFill>
                    <w14:schemeClr w14:val="tx1"/>
                  </w14:solidFill>
                </w14:textFill>
              </w:rPr>
              <w:t>，不外排地表水体，无直接地表水环境保护目标</w:t>
            </w:r>
            <w:r>
              <w:rPr>
                <w:rFonts w:ascii="宋体" w:hAnsi="宋体"/>
                <w:color w:val="000000" w:themeColor="text1"/>
                <w:kern w:val="0"/>
                <w:sz w:val="24"/>
                <w:highlight w:val="none"/>
                <w14:textFill>
                  <w14:solidFill>
                    <w14:schemeClr w14:val="tx1"/>
                  </w14:solidFill>
                </w14:textFill>
              </w:rPr>
              <w:t>。</w:t>
            </w:r>
          </w:p>
          <w:p w14:paraId="09807675">
            <w:pPr>
              <w:adjustRightInd w:val="0"/>
              <w:snapToGrid w:val="0"/>
              <w:spacing w:line="360" w:lineRule="auto"/>
              <w:ind w:firstLine="482" w:firstLineChars="200"/>
              <w:rPr>
                <w:b/>
                <w:color w:val="000000" w:themeColor="text1"/>
                <w:kern w:val="0"/>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3.声环境保护目标</w:t>
            </w:r>
          </w:p>
          <w:p w14:paraId="7A4DABCC">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本项目</w:t>
            </w:r>
            <w:r>
              <w:rPr>
                <w:color w:val="000000" w:themeColor="text1"/>
                <w:sz w:val="24"/>
                <w:highlight w:val="none"/>
                <w14:textFill>
                  <w14:solidFill>
                    <w14:schemeClr w14:val="tx1"/>
                  </w14:solidFill>
                </w14:textFill>
              </w:rPr>
              <w:t>厂界外周边50米范围内不存在声环境保护目标。</w:t>
            </w:r>
          </w:p>
          <w:p w14:paraId="7F7EC705">
            <w:pPr>
              <w:adjustRightInd w:val="0"/>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4.地下水环境保护目标</w:t>
            </w:r>
          </w:p>
          <w:p w14:paraId="44DD9BFF">
            <w:pPr>
              <w:adjustRightInd w:val="0"/>
              <w:snapToGrid w:val="0"/>
              <w:spacing w:line="360" w:lineRule="auto"/>
              <w:ind w:firstLine="480" w:firstLineChars="20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本项目</w:t>
            </w:r>
            <w:r>
              <w:rPr>
                <w:color w:val="000000" w:themeColor="text1"/>
                <w:sz w:val="24"/>
                <w:highlight w:val="none"/>
                <w14:textFill>
                  <w14:solidFill>
                    <w14:schemeClr w14:val="tx1"/>
                  </w14:solidFill>
                </w14:textFill>
              </w:rPr>
              <w:t>厂界外周边500米范围内不存在</w:t>
            </w:r>
            <w:r>
              <w:rPr>
                <w:color w:val="000000" w:themeColor="text1"/>
                <w:kern w:val="0"/>
                <w:sz w:val="24"/>
                <w:szCs w:val="21"/>
                <w:highlight w:val="none"/>
                <w14:textFill>
                  <w14:solidFill>
                    <w14:schemeClr w14:val="tx1"/>
                  </w14:solidFill>
                </w14:textFill>
              </w:rPr>
              <w:t>地下水集中式饮用水水源和热水、矿泉水、温泉等特殊地下水资源保护区。</w:t>
            </w:r>
          </w:p>
          <w:p w14:paraId="11CE65B4">
            <w:pPr>
              <w:adjustRightInd w:val="0"/>
              <w:snapToGrid w:val="0"/>
              <w:spacing w:line="360" w:lineRule="auto"/>
              <w:ind w:firstLine="482" w:firstLineChars="200"/>
              <w:rPr>
                <w:b/>
                <w:color w:val="000000" w:themeColor="text1"/>
                <w:kern w:val="0"/>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5.生态环境保护目标</w:t>
            </w:r>
          </w:p>
          <w:p w14:paraId="62314A08">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本项目位</w:t>
            </w:r>
            <w:r>
              <w:rPr>
                <w:rFonts w:ascii="Times New Roman" w:hAnsi="Times New Roman" w:eastAsia="宋体" w:cs="Times New Roman"/>
                <w:color w:val="000000" w:themeColor="text1"/>
                <w:sz w:val="24"/>
                <w:highlight w:val="none"/>
                <w14:textFill>
                  <w14:solidFill>
                    <w14:schemeClr w14:val="tx1"/>
                  </w14:solidFill>
                </w14:textFill>
              </w:rPr>
              <w:t>于</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乐昌市乐城街道西联村老虎头（原乐舜电力发展有限公司内）</w:t>
            </w:r>
            <w:r>
              <w:rPr>
                <w:rFonts w:ascii="Times New Roman" w:hAnsi="Times New Roman" w:eastAsia="宋体" w:cs="Times New Roman"/>
                <w:color w:val="000000" w:themeColor="text1"/>
                <w:sz w:val="24"/>
                <w:highlight w:val="none"/>
                <w14:textFill>
                  <w14:solidFill>
                    <w14:schemeClr w14:val="tx1"/>
                  </w14:solidFill>
                </w14:textFill>
              </w:rPr>
              <w:t>，用</w:t>
            </w:r>
            <w:r>
              <w:rPr>
                <w:color w:val="000000" w:themeColor="text1"/>
                <w:sz w:val="24"/>
                <w:highlight w:val="none"/>
                <w14:textFill>
                  <w14:solidFill>
                    <w14:schemeClr w14:val="tx1"/>
                  </w14:solidFill>
                </w14:textFill>
              </w:rPr>
              <w:t>地范围内不含生态环境保护目标。</w:t>
            </w:r>
          </w:p>
          <w:p w14:paraId="64418FE8">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综上所述，本项目环境保护目标如表3-</w:t>
            </w:r>
            <w:r>
              <w:rPr>
                <w:rFonts w:hint="eastAsia"/>
                <w:color w:val="000000" w:themeColor="text1"/>
                <w:sz w:val="24"/>
                <w:highlight w:val="none"/>
                <w:lang w:val="en-US" w:eastAsia="zh-CN"/>
                <w14:textFill>
                  <w14:solidFill>
                    <w14:schemeClr w14:val="tx1"/>
                  </w14:solidFill>
                </w14:textFill>
              </w:rPr>
              <w:t>4</w:t>
            </w:r>
            <w:r>
              <w:rPr>
                <w:color w:val="000000" w:themeColor="text1"/>
                <w:sz w:val="24"/>
                <w:highlight w:val="none"/>
                <w14:textFill>
                  <w14:solidFill>
                    <w14:schemeClr w14:val="tx1"/>
                  </w14:solidFill>
                </w14:textFill>
              </w:rPr>
              <w:t>所示，分布情况见附图</w:t>
            </w:r>
            <w:r>
              <w:rPr>
                <w:rFonts w:hint="eastAsia"/>
                <w:color w:val="000000" w:themeColor="text1"/>
                <w:sz w:val="24"/>
                <w:highlight w:val="none"/>
                <w:lang w:val="en-US" w:eastAsia="zh-CN"/>
                <w14:textFill>
                  <w14:solidFill>
                    <w14:schemeClr w14:val="tx1"/>
                  </w14:solidFill>
                </w14:textFill>
              </w:rPr>
              <w:t>6</w:t>
            </w:r>
            <w:r>
              <w:rPr>
                <w:color w:val="000000" w:themeColor="text1"/>
                <w:sz w:val="24"/>
                <w:highlight w:val="none"/>
                <w14:textFill>
                  <w14:solidFill>
                    <w14:schemeClr w14:val="tx1"/>
                  </w14:solidFill>
                </w14:textFill>
              </w:rPr>
              <w:t>。</w:t>
            </w:r>
          </w:p>
          <w:p w14:paraId="273E1E7E">
            <w:pPr>
              <w:adjustRightInd w:val="0"/>
              <w:snapToGrid w:val="0"/>
              <w:spacing w:line="360" w:lineRule="auto"/>
              <w:jc w:val="center"/>
              <w:rPr>
                <w:b/>
                <w:color w:val="000000" w:themeColor="text1"/>
                <w:sz w:val="24"/>
                <w:szCs w:val="20"/>
                <w:highlight w:val="none"/>
                <w14:textFill>
                  <w14:solidFill>
                    <w14:schemeClr w14:val="tx1"/>
                  </w14:solidFill>
                </w14:textFill>
              </w:rPr>
            </w:pPr>
            <w:r>
              <w:rPr>
                <w:b/>
                <w:color w:val="000000" w:themeColor="text1"/>
                <w:sz w:val="24"/>
                <w:szCs w:val="20"/>
                <w:highlight w:val="none"/>
                <w14:textFill>
                  <w14:solidFill>
                    <w14:schemeClr w14:val="tx1"/>
                  </w14:solidFill>
                </w14:textFill>
              </w:rPr>
              <w:t>表3-</w:t>
            </w:r>
            <w:r>
              <w:rPr>
                <w:rFonts w:hint="eastAsia"/>
                <w:b/>
                <w:color w:val="000000" w:themeColor="text1"/>
                <w:sz w:val="24"/>
                <w:szCs w:val="20"/>
                <w:highlight w:val="none"/>
                <w:lang w:val="en-US" w:eastAsia="zh-CN"/>
                <w14:textFill>
                  <w14:solidFill>
                    <w14:schemeClr w14:val="tx1"/>
                  </w14:solidFill>
                </w14:textFill>
              </w:rPr>
              <w:t xml:space="preserve">4   </w:t>
            </w:r>
            <w:r>
              <w:rPr>
                <w:b/>
                <w:color w:val="000000" w:themeColor="text1"/>
                <w:sz w:val="24"/>
                <w:szCs w:val="20"/>
                <w:highlight w:val="none"/>
                <w14:textFill>
                  <w14:solidFill>
                    <w14:schemeClr w14:val="tx1"/>
                  </w14:solidFill>
                </w14:textFill>
              </w:rPr>
              <w:t>主要环境保护目标</w:t>
            </w:r>
          </w:p>
          <w:tbl>
            <w:tblPr>
              <w:tblStyle w:val="34"/>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022"/>
              <w:gridCol w:w="1459"/>
              <w:gridCol w:w="1511"/>
              <w:gridCol w:w="932"/>
              <w:gridCol w:w="1078"/>
            </w:tblGrid>
            <w:tr w14:paraId="2305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96" w:type="dxa"/>
                  <w:vAlign w:val="center"/>
                </w:tcPr>
                <w:p w14:paraId="4226C088">
                  <w:pPr>
                    <w:overflowPunct w:val="0"/>
                    <w:snapToGrid w:val="0"/>
                    <w:ind w:left="-2" w:leftChars="-1"/>
                    <w:jc w:val="center"/>
                    <w:rPr>
                      <w:b/>
                      <w:bCs/>
                      <w:kern w:val="0"/>
                      <w:szCs w:val="21"/>
                      <w:highlight w:val="none"/>
                    </w:rPr>
                  </w:pPr>
                  <w:r>
                    <w:rPr>
                      <w:b/>
                      <w:bCs/>
                      <w:kern w:val="0"/>
                      <w:szCs w:val="21"/>
                      <w:highlight w:val="none"/>
                    </w:rPr>
                    <w:t>名称</w:t>
                  </w:r>
                </w:p>
              </w:tc>
              <w:tc>
                <w:tcPr>
                  <w:tcW w:w="1022" w:type="dxa"/>
                  <w:vAlign w:val="center"/>
                </w:tcPr>
                <w:p w14:paraId="63B4F16E">
                  <w:pPr>
                    <w:overflowPunct w:val="0"/>
                    <w:snapToGrid w:val="0"/>
                    <w:ind w:left="-2" w:leftChars="-1"/>
                    <w:jc w:val="center"/>
                    <w:rPr>
                      <w:b/>
                      <w:bCs/>
                      <w:kern w:val="0"/>
                      <w:szCs w:val="21"/>
                      <w:highlight w:val="none"/>
                    </w:rPr>
                  </w:pPr>
                  <w:r>
                    <w:rPr>
                      <w:b/>
                      <w:bCs/>
                      <w:kern w:val="0"/>
                      <w:szCs w:val="21"/>
                      <w:highlight w:val="none"/>
                    </w:rPr>
                    <w:t>保护</w:t>
                  </w:r>
                </w:p>
                <w:p w14:paraId="2F9EE280">
                  <w:pPr>
                    <w:overflowPunct w:val="0"/>
                    <w:snapToGrid w:val="0"/>
                    <w:ind w:left="-2" w:leftChars="-1"/>
                    <w:jc w:val="center"/>
                    <w:rPr>
                      <w:b/>
                      <w:bCs/>
                      <w:kern w:val="0"/>
                      <w:szCs w:val="21"/>
                      <w:highlight w:val="none"/>
                    </w:rPr>
                  </w:pPr>
                  <w:r>
                    <w:rPr>
                      <w:b/>
                      <w:bCs/>
                      <w:kern w:val="0"/>
                      <w:szCs w:val="21"/>
                      <w:highlight w:val="none"/>
                    </w:rPr>
                    <w:t>对象</w:t>
                  </w:r>
                </w:p>
              </w:tc>
              <w:tc>
                <w:tcPr>
                  <w:tcW w:w="1459" w:type="dxa"/>
                  <w:vAlign w:val="center"/>
                </w:tcPr>
                <w:p w14:paraId="7D6424A9">
                  <w:pPr>
                    <w:overflowPunct w:val="0"/>
                    <w:snapToGrid w:val="0"/>
                    <w:ind w:left="-2" w:leftChars="-1"/>
                    <w:jc w:val="center"/>
                    <w:rPr>
                      <w:b/>
                      <w:bCs/>
                      <w:kern w:val="0"/>
                      <w:szCs w:val="21"/>
                      <w:highlight w:val="none"/>
                    </w:rPr>
                  </w:pPr>
                  <w:r>
                    <w:rPr>
                      <w:b/>
                      <w:bCs/>
                      <w:kern w:val="0"/>
                      <w:szCs w:val="21"/>
                      <w:highlight w:val="none"/>
                    </w:rPr>
                    <w:t>保护内容</w:t>
                  </w:r>
                </w:p>
              </w:tc>
              <w:tc>
                <w:tcPr>
                  <w:tcW w:w="1511" w:type="dxa"/>
                  <w:vAlign w:val="center"/>
                </w:tcPr>
                <w:p w14:paraId="05DF5146">
                  <w:pPr>
                    <w:overflowPunct w:val="0"/>
                    <w:snapToGrid w:val="0"/>
                    <w:ind w:left="-2" w:leftChars="-1"/>
                    <w:jc w:val="center"/>
                    <w:rPr>
                      <w:b/>
                      <w:bCs/>
                      <w:kern w:val="0"/>
                      <w:szCs w:val="21"/>
                      <w:highlight w:val="none"/>
                    </w:rPr>
                  </w:pPr>
                  <w:r>
                    <w:rPr>
                      <w:b/>
                      <w:bCs/>
                      <w:kern w:val="0"/>
                      <w:szCs w:val="21"/>
                      <w:highlight w:val="none"/>
                    </w:rPr>
                    <w:t>环境功能区</w:t>
                  </w:r>
                </w:p>
              </w:tc>
              <w:tc>
                <w:tcPr>
                  <w:tcW w:w="932" w:type="dxa"/>
                  <w:vAlign w:val="center"/>
                </w:tcPr>
                <w:p w14:paraId="633D90DE">
                  <w:pPr>
                    <w:overflowPunct w:val="0"/>
                    <w:snapToGrid w:val="0"/>
                    <w:ind w:left="-2" w:leftChars="-1"/>
                    <w:jc w:val="center"/>
                    <w:rPr>
                      <w:b/>
                      <w:bCs/>
                      <w:kern w:val="0"/>
                      <w:szCs w:val="21"/>
                      <w:highlight w:val="none"/>
                    </w:rPr>
                  </w:pPr>
                  <w:r>
                    <w:rPr>
                      <w:b/>
                      <w:bCs/>
                      <w:kern w:val="0"/>
                      <w:szCs w:val="21"/>
                      <w:highlight w:val="none"/>
                    </w:rPr>
                    <w:t>相对厂址方位</w:t>
                  </w:r>
                </w:p>
              </w:tc>
              <w:tc>
                <w:tcPr>
                  <w:tcW w:w="1078" w:type="dxa"/>
                  <w:vAlign w:val="center"/>
                </w:tcPr>
                <w:p w14:paraId="4BEB7575">
                  <w:pPr>
                    <w:overflowPunct w:val="0"/>
                    <w:snapToGrid w:val="0"/>
                    <w:ind w:left="-2" w:leftChars="-1"/>
                    <w:jc w:val="center"/>
                    <w:rPr>
                      <w:b/>
                      <w:bCs/>
                      <w:kern w:val="0"/>
                      <w:szCs w:val="21"/>
                      <w:highlight w:val="none"/>
                    </w:rPr>
                  </w:pPr>
                  <w:r>
                    <w:rPr>
                      <w:b/>
                      <w:bCs/>
                      <w:kern w:val="0"/>
                      <w:szCs w:val="21"/>
                      <w:highlight w:val="none"/>
                    </w:rPr>
                    <w:t>相对厂界距离/m/</w:t>
                  </w:r>
                </w:p>
              </w:tc>
            </w:tr>
            <w:tr w14:paraId="02A5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196" w:type="dxa"/>
                  <w:vAlign w:val="center"/>
                </w:tcPr>
                <w:p w14:paraId="32180DDA">
                  <w:pPr>
                    <w:overflowPunct w:val="0"/>
                    <w:snapToGrid w:val="0"/>
                    <w:ind w:left="-2" w:leftChars="-1"/>
                    <w:jc w:val="center"/>
                    <w:rPr>
                      <w:rFonts w:hint="default" w:eastAsia="宋体"/>
                      <w:szCs w:val="21"/>
                      <w:highlight w:val="none"/>
                      <w:lang w:val="en-US" w:eastAsia="zh-CN"/>
                    </w:rPr>
                  </w:pPr>
                  <w:r>
                    <w:rPr>
                      <w:rFonts w:hint="eastAsia"/>
                      <w:kern w:val="0"/>
                      <w:szCs w:val="21"/>
                      <w:highlight w:val="none"/>
                      <w:lang w:val="en-US" w:eastAsia="zh-CN"/>
                    </w:rPr>
                    <w:t>贮木场村</w:t>
                  </w:r>
                </w:p>
              </w:tc>
              <w:tc>
                <w:tcPr>
                  <w:tcW w:w="1022" w:type="dxa"/>
                  <w:vAlign w:val="center"/>
                </w:tcPr>
                <w:p w14:paraId="5FD82EE6">
                  <w:pPr>
                    <w:overflowPunct w:val="0"/>
                    <w:snapToGrid w:val="0"/>
                    <w:ind w:left="-2" w:leftChars="-1"/>
                    <w:jc w:val="center"/>
                    <w:rPr>
                      <w:rFonts w:hint="eastAsia" w:eastAsia="宋体"/>
                      <w:kern w:val="0"/>
                      <w:szCs w:val="21"/>
                      <w:highlight w:val="none"/>
                      <w:lang w:val="en-US" w:eastAsia="zh-CN"/>
                    </w:rPr>
                  </w:pPr>
                  <w:r>
                    <w:rPr>
                      <w:rFonts w:hint="eastAsia"/>
                      <w:kern w:val="0"/>
                      <w:szCs w:val="21"/>
                      <w:highlight w:val="none"/>
                      <w:lang w:val="en-US" w:eastAsia="zh-CN"/>
                    </w:rPr>
                    <w:t>村庄</w:t>
                  </w:r>
                </w:p>
              </w:tc>
              <w:tc>
                <w:tcPr>
                  <w:tcW w:w="1459" w:type="dxa"/>
                  <w:vMerge w:val="restart"/>
                  <w:vAlign w:val="center"/>
                </w:tcPr>
                <w:p w14:paraId="038C0B12">
                  <w:pPr>
                    <w:jc w:val="center"/>
                    <w:rPr>
                      <w:szCs w:val="21"/>
                      <w:highlight w:val="none"/>
                    </w:rPr>
                  </w:pPr>
                  <w:r>
                    <w:rPr>
                      <w:rFonts w:hint="eastAsia"/>
                      <w:szCs w:val="21"/>
                      <w:highlight w:val="none"/>
                    </w:rPr>
                    <w:t>声环境、大气环境</w:t>
                  </w:r>
                </w:p>
              </w:tc>
              <w:tc>
                <w:tcPr>
                  <w:tcW w:w="1511" w:type="dxa"/>
                  <w:vMerge w:val="restart"/>
                  <w:vAlign w:val="center"/>
                </w:tcPr>
                <w:p w14:paraId="2E915907">
                  <w:pPr>
                    <w:overflowPunct w:val="0"/>
                    <w:snapToGrid w:val="0"/>
                    <w:ind w:left="-2" w:leftChars="-1"/>
                    <w:jc w:val="center"/>
                    <w:rPr>
                      <w:szCs w:val="21"/>
                      <w:highlight w:val="none"/>
                    </w:rPr>
                  </w:pPr>
                  <w:r>
                    <w:rPr>
                      <w:rFonts w:hint="eastAsia"/>
                      <w:szCs w:val="21"/>
                      <w:highlight w:val="none"/>
                    </w:rPr>
                    <w:t>声环境2类</w:t>
                  </w:r>
                </w:p>
                <w:p w14:paraId="191130D2">
                  <w:pPr>
                    <w:pStyle w:val="44"/>
                    <w:rPr>
                      <w:color w:val="auto"/>
                      <w:sz w:val="21"/>
                      <w:szCs w:val="21"/>
                      <w:highlight w:val="none"/>
                    </w:rPr>
                  </w:pPr>
                  <w:r>
                    <w:rPr>
                      <w:rFonts w:hint="eastAsia" w:cs="Times New Roman"/>
                      <w:color w:val="auto"/>
                      <w:kern w:val="0"/>
                      <w:sz w:val="21"/>
                      <w:szCs w:val="21"/>
                      <w:highlight w:val="none"/>
                    </w:rPr>
                    <w:t>大气环境二类</w:t>
                  </w:r>
                </w:p>
              </w:tc>
              <w:tc>
                <w:tcPr>
                  <w:tcW w:w="932" w:type="dxa"/>
                  <w:vAlign w:val="center"/>
                </w:tcPr>
                <w:p w14:paraId="438AA282">
                  <w:pPr>
                    <w:overflowPunct w:val="0"/>
                    <w:snapToGrid w:val="0"/>
                    <w:ind w:left="-2" w:leftChars="-1"/>
                    <w:jc w:val="center"/>
                    <w:rPr>
                      <w:rFonts w:hint="eastAsia" w:eastAsia="宋体"/>
                      <w:kern w:val="0"/>
                      <w:szCs w:val="21"/>
                      <w:highlight w:val="none"/>
                      <w:lang w:eastAsia="zh-CN"/>
                    </w:rPr>
                  </w:pPr>
                  <w:r>
                    <w:rPr>
                      <w:rFonts w:hint="eastAsia"/>
                      <w:kern w:val="0"/>
                      <w:szCs w:val="21"/>
                      <w:highlight w:val="none"/>
                      <w:lang w:val="en-US" w:eastAsia="zh-CN"/>
                    </w:rPr>
                    <w:t>S</w:t>
                  </w:r>
                </w:p>
              </w:tc>
              <w:tc>
                <w:tcPr>
                  <w:tcW w:w="1078" w:type="dxa"/>
                  <w:vAlign w:val="center"/>
                </w:tcPr>
                <w:p w14:paraId="3889343D">
                  <w:pPr>
                    <w:overflowPunct w:val="0"/>
                    <w:snapToGrid w:val="0"/>
                    <w:ind w:left="-2" w:leftChars="-1"/>
                    <w:jc w:val="center"/>
                    <w:rPr>
                      <w:rFonts w:hint="default" w:eastAsia="宋体"/>
                      <w:kern w:val="0"/>
                      <w:szCs w:val="21"/>
                      <w:highlight w:val="none"/>
                      <w:lang w:val="en-US" w:eastAsia="zh-CN"/>
                    </w:rPr>
                  </w:pPr>
                  <w:r>
                    <w:rPr>
                      <w:rFonts w:hint="eastAsia"/>
                      <w:kern w:val="0"/>
                      <w:szCs w:val="21"/>
                      <w:highlight w:val="none"/>
                      <w:lang w:val="en-US" w:eastAsia="zh-CN"/>
                    </w:rPr>
                    <w:t>60</w:t>
                  </w:r>
                </w:p>
              </w:tc>
            </w:tr>
            <w:tr w14:paraId="2BDC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196" w:type="dxa"/>
                  <w:vAlign w:val="center"/>
                </w:tcPr>
                <w:p w14:paraId="2CF398AE">
                  <w:pPr>
                    <w:overflowPunct w:val="0"/>
                    <w:snapToGrid w:val="0"/>
                    <w:ind w:left="-2" w:leftChars="-1"/>
                    <w:jc w:val="center"/>
                    <w:rPr>
                      <w:rFonts w:hint="eastAsia" w:eastAsia="宋体"/>
                      <w:kern w:val="0"/>
                      <w:szCs w:val="21"/>
                      <w:highlight w:val="none"/>
                      <w:lang w:eastAsia="zh-CN"/>
                    </w:rPr>
                  </w:pPr>
                  <w:r>
                    <w:rPr>
                      <w:rFonts w:hint="eastAsia"/>
                      <w:kern w:val="0"/>
                      <w:szCs w:val="21"/>
                      <w:highlight w:val="none"/>
                      <w:lang w:eastAsia="zh-CN"/>
                    </w:rPr>
                    <w:t>老虎头上下村</w:t>
                  </w:r>
                </w:p>
              </w:tc>
              <w:tc>
                <w:tcPr>
                  <w:tcW w:w="1022" w:type="dxa"/>
                  <w:vAlign w:val="center"/>
                </w:tcPr>
                <w:p w14:paraId="18350CEE">
                  <w:pPr>
                    <w:overflowPunct w:val="0"/>
                    <w:snapToGrid w:val="0"/>
                    <w:ind w:left="-2" w:leftChars="-1"/>
                    <w:jc w:val="center"/>
                    <w:rPr>
                      <w:rFonts w:hint="eastAsia" w:eastAsia="宋体"/>
                      <w:kern w:val="0"/>
                      <w:szCs w:val="21"/>
                      <w:highlight w:val="none"/>
                      <w:lang w:val="en-US" w:eastAsia="zh-CN"/>
                    </w:rPr>
                  </w:pPr>
                  <w:r>
                    <w:rPr>
                      <w:rFonts w:hint="eastAsia"/>
                      <w:kern w:val="0"/>
                      <w:szCs w:val="21"/>
                      <w:highlight w:val="none"/>
                      <w:lang w:val="en-US" w:eastAsia="zh-CN"/>
                    </w:rPr>
                    <w:t>村庄</w:t>
                  </w:r>
                </w:p>
              </w:tc>
              <w:tc>
                <w:tcPr>
                  <w:tcW w:w="1459" w:type="dxa"/>
                  <w:vMerge w:val="continue"/>
                  <w:vAlign w:val="center"/>
                </w:tcPr>
                <w:p w14:paraId="463DB60A">
                  <w:pPr>
                    <w:jc w:val="center"/>
                    <w:rPr>
                      <w:szCs w:val="21"/>
                      <w:highlight w:val="none"/>
                    </w:rPr>
                  </w:pPr>
                </w:p>
              </w:tc>
              <w:tc>
                <w:tcPr>
                  <w:tcW w:w="1511" w:type="dxa"/>
                  <w:vMerge w:val="continue"/>
                  <w:vAlign w:val="center"/>
                </w:tcPr>
                <w:p w14:paraId="487D8496">
                  <w:pPr>
                    <w:overflowPunct w:val="0"/>
                    <w:snapToGrid w:val="0"/>
                    <w:ind w:left="-2" w:leftChars="-1"/>
                    <w:jc w:val="center"/>
                    <w:rPr>
                      <w:szCs w:val="21"/>
                      <w:highlight w:val="none"/>
                    </w:rPr>
                  </w:pPr>
                </w:p>
              </w:tc>
              <w:tc>
                <w:tcPr>
                  <w:tcW w:w="932" w:type="dxa"/>
                  <w:vAlign w:val="center"/>
                </w:tcPr>
                <w:p w14:paraId="12543800">
                  <w:pPr>
                    <w:overflowPunct w:val="0"/>
                    <w:snapToGrid w:val="0"/>
                    <w:ind w:left="-2" w:leftChars="-1"/>
                    <w:jc w:val="center"/>
                    <w:rPr>
                      <w:kern w:val="0"/>
                      <w:szCs w:val="21"/>
                      <w:highlight w:val="none"/>
                    </w:rPr>
                  </w:pPr>
                  <w:r>
                    <w:rPr>
                      <w:rFonts w:hint="eastAsia"/>
                      <w:kern w:val="0"/>
                      <w:szCs w:val="21"/>
                      <w:highlight w:val="none"/>
                      <w:lang w:val="en-US" w:eastAsia="zh-CN"/>
                    </w:rPr>
                    <w:t>S</w:t>
                  </w:r>
                  <w:r>
                    <w:rPr>
                      <w:rFonts w:hint="eastAsia"/>
                      <w:kern w:val="0"/>
                      <w:szCs w:val="21"/>
                      <w:highlight w:val="none"/>
                    </w:rPr>
                    <w:t>E</w:t>
                  </w:r>
                </w:p>
              </w:tc>
              <w:tc>
                <w:tcPr>
                  <w:tcW w:w="1078" w:type="dxa"/>
                  <w:vAlign w:val="center"/>
                </w:tcPr>
                <w:p w14:paraId="43F512BE">
                  <w:pPr>
                    <w:overflowPunct w:val="0"/>
                    <w:snapToGrid w:val="0"/>
                    <w:ind w:left="-2" w:leftChars="-1"/>
                    <w:jc w:val="center"/>
                    <w:rPr>
                      <w:kern w:val="0"/>
                      <w:szCs w:val="21"/>
                      <w:highlight w:val="none"/>
                    </w:rPr>
                  </w:pPr>
                  <w:r>
                    <w:rPr>
                      <w:rFonts w:hint="eastAsia"/>
                      <w:kern w:val="0"/>
                      <w:szCs w:val="21"/>
                      <w:highlight w:val="none"/>
                      <w:lang w:val="en-US" w:eastAsia="zh-CN"/>
                    </w:rPr>
                    <w:t>32</w:t>
                  </w:r>
                  <w:r>
                    <w:rPr>
                      <w:rFonts w:hint="eastAsia"/>
                      <w:kern w:val="0"/>
                      <w:szCs w:val="21"/>
                      <w:highlight w:val="none"/>
                    </w:rPr>
                    <w:t>0</w:t>
                  </w:r>
                </w:p>
              </w:tc>
            </w:tr>
            <w:tr w14:paraId="6B78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96" w:type="dxa"/>
                  <w:vAlign w:val="center"/>
                </w:tcPr>
                <w:p w14:paraId="5567C10E">
                  <w:pPr>
                    <w:overflowPunct w:val="0"/>
                    <w:snapToGrid w:val="0"/>
                    <w:ind w:left="-2" w:leftChars="-1"/>
                    <w:jc w:val="center"/>
                    <w:rPr>
                      <w:kern w:val="0"/>
                      <w:szCs w:val="21"/>
                      <w:highlight w:val="none"/>
                    </w:rPr>
                  </w:pPr>
                  <w:r>
                    <w:rPr>
                      <w:rFonts w:hint="eastAsia"/>
                      <w:kern w:val="0"/>
                      <w:szCs w:val="21"/>
                      <w:highlight w:val="none"/>
                    </w:rPr>
                    <w:t>武水“乐昌城-犁市</w:t>
                  </w:r>
                  <w:r>
                    <w:rPr>
                      <w:rFonts w:hint="eastAsia"/>
                      <w:kern w:val="0"/>
                      <w:szCs w:val="21"/>
                      <w:highlight w:val="none"/>
                      <w:lang w:eastAsia="zh-CN"/>
                    </w:rPr>
                    <w:t>（</w:t>
                  </w:r>
                  <w:r>
                    <w:rPr>
                      <w:rFonts w:hint="eastAsia"/>
                      <w:kern w:val="0"/>
                      <w:szCs w:val="21"/>
                      <w:highlight w:val="none"/>
                      <w:lang w:val="en-US" w:eastAsia="zh-CN"/>
                    </w:rPr>
                    <w:t>曲江</w:t>
                  </w:r>
                  <w:r>
                    <w:rPr>
                      <w:rFonts w:hint="eastAsia"/>
                      <w:kern w:val="0"/>
                      <w:szCs w:val="21"/>
                      <w:highlight w:val="none"/>
                      <w:lang w:eastAsia="zh-CN"/>
                    </w:rPr>
                    <w:t>）</w:t>
                  </w:r>
                  <w:r>
                    <w:rPr>
                      <w:rFonts w:hint="eastAsia"/>
                      <w:kern w:val="0"/>
                      <w:szCs w:val="21"/>
                      <w:highlight w:val="none"/>
                    </w:rPr>
                    <w:t>”河段</w:t>
                  </w:r>
                </w:p>
              </w:tc>
              <w:tc>
                <w:tcPr>
                  <w:tcW w:w="1022" w:type="dxa"/>
                  <w:vAlign w:val="center"/>
                </w:tcPr>
                <w:p w14:paraId="086628A8">
                  <w:pPr>
                    <w:overflowPunct w:val="0"/>
                    <w:snapToGrid w:val="0"/>
                    <w:ind w:left="-2" w:leftChars="-1"/>
                    <w:jc w:val="center"/>
                    <w:rPr>
                      <w:kern w:val="0"/>
                      <w:szCs w:val="21"/>
                      <w:highlight w:val="none"/>
                    </w:rPr>
                  </w:pPr>
                  <w:r>
                    <w:rPr>
                      <w:kern w:val="0"/>
                      <w:szCs w:val="21"/>
                      <w:highlight w:val="none"/>
                    </w:rPr>
                    <w:t>地表水</w:t>
                  </w:r>
                </w:p>
              </w:tc>
              <w:tc>
                <w:tcPr>
                  <w:tcW w:w="1459" w:type="dxa"/>
                  <w:vAlign w:val="center"/>
                </w:tcPr>
                <w:p w14:paraId="52325E17">
                  <w:pPr>
                    <w:overflowPunct w:val="0"/>
                    <w:snapToGrid w:val="0"/>
                    <w:ind w:left="-2" w:leftChars="-1"/>
                    <w:jc w:val="center"/>
                    <w:rPr>
                      <w:kern w:val="0"/>
                      <w:szCs w:val="21"/>
                      <w:highlight w:val="none"/>
                    </w:rPr>
                  </w:pPr>
                  <w:r>
                    <w:rPr>
                      <w:kern w:val="0"/>
                      <w:szCs w:val="21"/>
                      <w:highlight w:val="none"/>
                    </w:rPr>
                    <w:t>地表水环境</w:t>
                  </w:r>
                </w:p>
              </w:tc>
              <w:tc>
                <w:tcPr>
                  <w:tcW w:w="1511" w:type="dxa"/>
                  <w:vAlign w:val="center"/>
                </w:tcPr>
                <w:p w14:paraId="715086DF">
                  <w:pPr>
                    <w:overflowPunct w:val="0"/>
                    <w:snapToGrid w:val="0"/>
                    <w:ind w:left="-2" w:leftChars="-1"/>
                    <w:jc w:val="center"/>
                    <w:rPr>
                      <w:kern w:val="0"/>
                      <w:szCs w:val="21"/>
                      <w:highlight w:val="none"/>
                    </w:rPr>
                  </w:pPr>
                  <w:r>
                    <w:rPr>
                      <w:rFonts w:hint="eastAsia" w:ascii="宋体" w:hAnsi="宋体" w:cs="宋体"/>
                      <w:kern w:val="0"/>
                      <w:szCs w:val="21"/>
                      <w:highlight w:val="none"/>
                    </w:rPr>
                    <w:t>Ⅲ</w:t>
                  </w:r>
                  <w:r>
                    <w:rPr>
                      <w:kern w:val="0"/>
                      <w:szCs w:val="21"/>
                      <w:highlight w:val="none"/>
                    </w:rPr>
                    <w:t>类</w:t>
                  </w:r>
                </w:p>
              </w:tc>
              <w:tc>
                <w:tcPr>
                  <w:tcW w:w="932" w:type="dxa"/>
                  <w:vAlign w:val="center"/>
                </w:tcPr>
                <w:p w14:paraId="39531625">
                  <w:pPr>
                    <w:overflowPunct w:val="0"/>
                    <w:snapToGrid w:val="0"/>
                    <w:ind w:left="-2" w:leftChars="-1"/>
                    <w:jc w:val="center"/>
                    <w:rPr>
                      <w:rFonts w:hint="eastAsia" w:eastAsia="宋体"/>
                      <w:kern w:val="0"/>
                      <w:szCs w:val="21"/>
                      <w:highlight w:val="none"/>
                      <w:lang w:eastAsia="zh-CN"/>
                    </w:rPr>
                  </w:pPr>
                  <w:r>
                    <w:rPr>
                      <w:rFonts w:hint="eastAsia"/>
                      <w:kern w:val="0"/>
                      <w:szCs w:val="21"/>
                      <w:highlight w:val="none"/>
                      <w:lang w:val="en-US" w:eastAsia="zh-CN"/>
                    </w:rPr>
                    <w:t>S</w:t>
                  </w:r>
                </w:p>
              </w:tc>
              <w:tc>
                <w:tcPr>
                  <w:tcW w:w="1078" w:type="dxa"/>
                  <w:vAlign w:val="center"/>
                </w:tcPr>
                <w:p w14:paraId="43854A1B">
                  <w:pPr>
                    <w:overflowPunct w:val="0"/>
                    <w:snapToGrid w:val="0"/>
                    <w:ind w:left="-2" w:leftChars="-1"/>
                    <w:jc w:val="center"/>
                    <w:rPr>
                      <w:kern w:val="0"/>
                      <w:szCs w:val="21"/>
                      <w:highlight w:val="none"/>
                    </w:rPr>
                  </w:pPr>
                  <w:r>
                    <w:rPr>
                      <w:rFonts w:hint="eastAsia"/>
                      <w:kern w:val="0"/>
                      <w:szCs w:val="21"/>
                      <w:highlight w:val="none"/>
                      <w:lang w:val="en-US" w:eastAsia="zh-CN"/>
                    </w:rPr>
                    <w:t>5</w:t>
                  </w:r>
                  <w:r>
                    <w:rPr>
                      <w:rFonts w:hint="eastAsia"/>
                      <w:kern w:val="0"/>
                      <w:szCs w:val="21"/>
                      <w:highlight w:val="none"/>
                    </w:rPr>
                    <w:t>60</w:t>
                  </w:r>
                </w:p>
              </w:tc>
            </w:tr>
          </w:tbl>
          <w:p w14:paraId="6CAF01CE">
            <w:pPr>
              <w:adjustRightInd w:val="0"/>
              <w:snapToGrid w:val="0"/>
              <w:spacing w:line="360" w:lineRule="auto"/>
              <w:rPr>
                <w:color w:val="000000" w:themeColor="text1"/>
                <w:kern w:val="0"/>
                <w:sz w:val="24"/>
                <w:szCs w:val="21"/>
                <w:highlight w:val="none"/>
                <w14:textFill>
                  <w14:solidFill>
                    <w14:schemeClr w14:val="tx1"/>
                  </w14:solidFill>
                </w14:textFill>
              </w:rPr>
            </w:pPr>
          </w:p>
        </w:tc>
      </w:tr>
      <w:tr w14:paraId="0C4F7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Mar>
              <w:left w:w="28" w:type="dxa"/>
              <w:right w:w="28" w:type="dxa"/>
            </w:tcMar>
            <w:vAlign w:val="center"/>
          </w:tcPr>
          <w:p w14:paraId="63E7C0B0">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污染</w:t>
            </w:r>
          </w:p>
          <w:p w14:paraId="6ED83B8E">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物排</w:t>
            </w:r>
          </w:p>
          <w:p w14:paraId="7C714CC3">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放控</w:t>
            </w:r>
          </w:p>
          <w:p w14:paraId="2CFC0098">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制标</w:t>
            </w:r>
          </w:p>
          <w:p w14:paraId="3552CA01">
            <w:pPr>
              <w:adjustRightInd w:val="0"/>
              <w:snapToGrid w:val="0"/>
              <w:jc w:val="center"/>
              <w:rPr>
                <w:color w:val="000000" w:themeColor="text1"/>
                <w:kern w:val="0"/>
                <w:szCs w:val="21"/>
                <w:highlight w:val="none"/>
                <w14:textFill>
                  <w14:solidFill>
                    <w14:schemeClr w14:val="tx1"/>
                  </w14:solidFill>
                </w14:textFill>
              </w:rPr>
            </w:pPr>
            <w:r>
              <w:rPr>
                <w:rFonts w:ascii="Times New Roman" w:hAnsi="Times New Roman" w:eastAsia="宋体" w:cs="Times New Roman"/>
                <w:kern w:val="0"/>
                <w:sz w:val="24"/>
                <w:szCs w:val="24"/>
                <w:highlight w:val="none"/>
                <w:lang w:val="en-US" w:eastAsia="zh-CN" w:bidi="ar-SA"/>
              </w:rPr>
              <w:t>准</w:t>
            </w:r>
          </w:p>
        </w:tc>
        <w:tc>
          <w:tcPr>
            <w:tcW w:w="8930" w:type="dxa"/>
            <w:vAlign w:val="center"/>
          </w:tcPr>
          <w:p w14:paraId="6AE1D48E">
            <w:pPr>
              <w:adjustRightInd w:val="0"/>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1.废气排放标准</w:t>
            </w:r>
          </w:p>
          <w:p w14:paraId="61C9026D">
            <w:pPr>
              <w:snapToGrid w:val="0"/>
              <w:spacing w:line="360" w:lineRule="auto"/>
              <w:ind w:firstLine="482" w:firstLineChars="200"/>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（1）建设期</w:t>
            </w:r>
          </w:p>
          <w:p w14:paraId="13F322D5">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建设期主要废气污染物为扬尘，属无组织排放源，执行广东省地方标准《大气污染物排放限值》（DB44/27-2001）中第二时段无组织排放监控浓度限值要求，其排放限值为周界外浓度最高点1.0mg/m</w:t>
            </w:r>
            <w:r>
              <w:rPr>
                <w:color w:val="000000" w:themeColor="text1"/>
                <w:sz w:val="24"/>
                <w:highlight w:val="none"/>
                <w:vertAlign w:val="superscript"/>
                <w14:textFill>
                  <w14:solidFill>
                    <w14:schemeClr w14:val="tx1"/>
                  </w14:solidFill>
                </w14:textFill>
              </w:rPr>
              <w:t>3</w:t>
            </w:r>
            <w:r>
              <w:rPr>
                <w:color w:val="000000" w:themeColor="text1"/>
                <w:sz w:val="24"/>
                <w:highlight w:val="none"/>
                <w14:textFill>
                  <w14:solidFill>
                    <w14:schemeClr w14:val="tx1"/>
                  </w14:solidFill>
                </w14:textFill>
              </w:rPr>
              <w:t>。</w:t>
            </w:r>
          </w:p>
          <w:p w14:paraId="0641EF3C">
            <w:pPr>
              <w:pStyle w:val="44"/>
              <w:rPr>
                <w:highlight w:val="none"/>
              </w:rPr>
            </w:pPr>
          </w:p>
          <w:p w14:paraId="5A2142D2">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（2）运营期</w:t>
            </w:r>
          </w:p>
          <w:p w14:paraId="3DEE4B01">
            <w:pPr>
              <w:adjustRightInd w:val="0"/>
              <w:snapToGrid w:val="0"/>
              <w:spacing w:line="360" w:lineRule="auto"/>
              <w:ind w:firstLine="480" w:firstLineChars="200"/>
              <w:rPr>
                <w:rFonts w:hint="default" w:eastAsiaTheme="minor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本</w:t>
            </w:r>
            <w:r>
              <w:rPr>
                <w:rFonts w:hint="eastAsia" w:eastAsia="宋体"/>
                <w:color w:val="000000" w:themeColor="text1"/>
                <w:sz w:val="24"/>
                <w:highlight w:val="none"/>
                <w14:textFill>
                  <w14:solidFill>
                    <w14:schemeClr w14:val="tx1"/>
                  </w14:solidFill>
                </w14:textFill>
              </w:rPr>
              <w:t>项目运营期主要大气污染物为工艺废气，包括</w:t>
            </w:r>
            <w:r>
              <w:rPr>
                <w:rFonts w:hint="eastAsia"/>
                <w:color w:val="000000" w:themeColor="text1"/>
                <w:sz w:val="24"/>
                <w:highlight w:val="none"/>
                <w:lang w:val="en-US" w:eastAsia="zh-CN"/>
                <w14:textFill>
                  <w14:solidFill>
                    <w14:schemeClr w14:val="tx1"/>
                  </w14:solidFill>
                </w14:textFill>
              </w:rPr>
              <w:t>粉碎粉尘、</w:t>
            </w:r>
            <w:r>
              <w:rPr>
                <w:rFonts w:hint="eastAsia" w:eastAsia="宋体"/>
                <w:color w:val="000000" w:themeColor="text1"/>
                <w:sz w:val="24"/>
                <w:highlight w:val="none"/>
                <w14:textFill>
                  <w14:solidFill>
                    <w14:schemeClr w14:val="tx1"/>
                  </w14:solidFill>
                </w14:textFill>
              </w:rPr>
              <w:t>制棒废气、炭化废气和烘干工序产生的</w:t>
            </w:r>
            <w:r>
              <w:rPr>
                <w:rFonts w:hint="eastAsia"/>
                <w:color w:val="000000" w:themeColor="text1"/>
                <w:sz w:val="24"/>
                <w:highlight w:val="none"/>
                <w:lang w:val="en-US" w:eastAsia="zh-CN"/>
                <w14:textFill>
                  <w14:solidFill>
                    <w14:schemeClr w14:val="tx1"/>
                  </w14:solidFill>
                </w14:textFill>
              </w:rPr>
              <w:t>烘干机粉尘及烘干机配套燃烧炉</w:t>
            </w:r>
            <w:r>
              <w:rPr>
                <w:rFonts w:hint="eastAsia" w:eastAsia="宋体"/>
                <w:color w:val="000000" w:themeColor="text1"/>
                <w:sz w:val="24"/>
                <w:highlight w:val="none"/>
                <w14:textFill>
                  <w14:solidFill>
                    <w14:schemeClr w14:val="tx1"/>
                  </w14:solidFill>
                </w14:textFill>
              </w:rPr>
              <w:t>燃料燃烧废气</w:t>
            </w:r>
            <w:r>
              <w:rPr>
                <w:rFonts w:hint="eastAsia"/>
                <w:color w:val="000000" w:themeColor="text1"/>
                <w:sz w:val="24"/>
                <w:highlight w:val="none"/>
                <w:lang w:eastAsia="zh-CN"/>
                <w14:textFill>
                  <w14:solidFill>
                    <w14:schemeClr w14:val="tx1"/>
                  </w14:solidFill>
                </w14:textFill>
              </w:rPr>
              <w:t>，</w:t>
            </w:r>
            <w:r>
              <w:rPr>
                <w:rFonts w:eastAsia="宋体"/>
                <w:color w:val="000000" w:themeColor="text1"/>
                <w:sz w:val="24"/>
                <w:highlight w:val="none"/>
                <w14:textFill>
                  <w14:solidFill>
                    <w14:schemeClr w14:val="tx1"/>
                  </w14:solidFill>
                </w14:textFill>
              </w:rPr>
              <w:t>主要大气特征污染物为颗粒物（烟</w:t>
            </w:r>
            <w:r>
              <w:rPr>
                <w:rFonts w:eastAsiaTheme="minorEastAsia"/>
                <w:color w:val="000000" w:themeColor="text1"/>
                <w:sz w:val="24"/>
                <w:highlight w:val="none"/>
                <w14:textFill>
                  <w14:solidFill>
                    <w14:schemeClr w14:val="tx1"/>
                  </w14:solidFill>
                </w14:textFill>
              </w:rPr>
              <w:t>粉尘）、SO</w:t>
            </w:r>
            <w:r>
              <w:rPr>
                <w:rFonts w:eastAsiaTheme="minorEastAsia"/>
                <w:color w:val="000000" w:themeColor="text1"/>
                <w:sz w:val="24"/>
                <w:highlight w:val="none"/>
                <w:vertAlign w:val="subscript"/>
                <w14:textFill>
                  <w14:solidFill>
                    <w14:schemeClr w14:val="tx1"/>
                  </w14:solidFill>
                </w14:textFill>
              </w:rPr>
              <w:t>2</w:t>
            </w:r>
            <w:r>
              <w:rPr>
                <w:rFonts w:eastAsiaTheme="minorEastAsia"/>
                <w:color w:val="000000" w:themeColor="text1"/>
                <w:sz w:val="24"/>
                <w:highlight w:val="none"/>
                <w14:textFill>
                  <w14:solidFill>
                    <w14:schemeClr w14:val="tx1"/>
                  </w14:solidFill>
                </w14:textFill>
              </w:rPr>
              <w:t>、NOx</w:t>
            </w:r>
            <w:r>
              <w:rPr>
                <w:rFonts w:hint="eastAsia" w:eastAsiaTheme="minorEastAsia"/>
                <w:color w:val="000000" w:themeColor="text1"/>
                <w:sz w:val="24"/>
                <w:highlight w:val="none"/>
                <w:lang w:eastAsia="zh-CN"/>
                <w14:textFill>
                  <w14:solidFill>
                    <w14:schemeClr w14:val="tx1"/>
                  </w14:solidFill>
                </w14:textFill>
              </w:rPr>
              <w:t>，</w:t>
            </w:r>
            <w:r>
              <w:rPr>
                <w:rFonts w:hint="eastAsia" w:eastAsiaTheme="minorEastAsia"/>
                <w:color w:val="000000" w:themeColor="text1"/>
                <w:sz w:val="24"/>
                <w:highlight w:val="none"/>
                <w:lang w:val="en-US" w:eastAsia="zh-CN"/>
                <w14:textFill>
                  <w14:solidFill>
                    <w14:schemeClr w14:val="tx1"/>
                  </w14:solidFill>
                </w14:textFill>
              </w:rPr>
              <w:t>其相应的排放标准如下：</w:t>
            </w:r>
          </w:p>
          <w:p w14:paraId="2B51123F">
            <w:pPr>
              <w:adjustRightInd w:val="0"/>
              <w:snapToGrid w:val="0"/>
              <w:spacing w:line="360" w:lineRule="auto"/>
              <w:ind w:firstLine="480" w:firstLineChars="200"/>
              <w:rPr>
                <w:rFonts w:hint="eastAsia" w:ascii="Times New Roman" w:hAnsi="Times New Roman" w:cs="Times New Roman" w:eastAsiaTheme="majorEastAsia"/>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①</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有组织废气</w:t>
            </w:r>
            <w:r>
              <w:rPr>
                <w:rFonts w:hint="eastAsia" w:ascii="Times New Roman" w:hAnsi="Times New Roman" w:cs="Times New Roman" w:eastAsiaTheme="majorEastAsia"/>
                <w:color w:val="000000" w:themeColor="text1"/>
                <w:sz w:val="24"/>
                <w:highlight w:val="none"/>
                <w:lang w:val="en-US" w:eastAsia="zh-CN"/>
                <w14:textFill>
                  <w14:solidFill>
                    <w14:schemeClr w14:val="tx1"/>
                  </w14:solidFill>
                </w14:textFill>
              </w:rPr>
              <w:t>：</w:t>
            </w:r>
          </w:p>
          <w:p w14:paraId="2BABAE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eastAsiaTheme="minorEastAsia"/>
                <w:color w:val="000000" w:themeColor="text1"/>
                <w:sz w:val="24"/>
                <w:highlight w:val="none"/>
                <w:lang w:val="en-US" w:eastAsia="zh-CN"/>
                <w14:textFill>
                  <w14:solidFill>
                    <w14:schemeClr w14:val="tx1"/>
                  </w14:solidFill>
                </w14:textFill>
              </w:rPr>
            </w:pPr>
            <w:r>
              <w:rPr>
                <w:rFonts w:hint="eastAsia" w:eastAsiaTheme="minorEastAsia"/>
                <w:color w:val="000000" w:themeColor="text1"/>
                <w:sz w:val="24"/>
                <w:highlight w:val="none"/>
                <w:lang w:val="en-US" w:eastAsia="zh-CN"/>
                <w14:textFill>
                  <w14:solidFill>
                    <w14:schemeClr w14:val="tx1"/>
                  </w14:solidFill>
                </w14:textFill>
              </w:rPr>
              <w:t>本项目粉碎粉尘经袋式除尘器处理后，经DA001排气口排放，排放的</w:t>
            </w:r>
            <w:r>
              <w:rPr>
                <w:rFonts w:eastAsiaTheme="minorEastAsia"/>
                <w:color w:val="000000" w:themeColor="text1"/>
                <w:sz w:val="24"/>
                <w:highlight w:val="none"/>
                <w14:textFill>
                  <w14:solidFill>
                    <w14:schemeClr w14:val="tx1"/>
                  </w14:solidFill>
                </w14:textFill>
              </w:rPr>
              <w:t>颗粒物执行</w:t>
            </w:r>
            <w:r>
              <w:rPr>
                <w:rFonts w:hint="eastAsia" w:eastAsiaTheme="minorEastAsia"/>
                <w:color w:val="000000" w:themeColor="text1"/>
                <w:sz w:val="24"/>
                <w:highlight w:val="none"/>
                <w14:textFill>
                  <w14:solidFill>
                    <w14:schemeClr w14:val="tx1"/>
                  </w14:solidFill>
                </w14:textFill>
              </w:rPr>
              <w:t>广东省地方标准《大气污染物排放限值》（DB44/27-2001）</w:t>
            </w:r>
            <w:r>
              <w:rPr>
                <w:rFonts w:eastAsiaTheme="minorEastAsia"/>
                <w:color w:val="000000" w:themeColor="text1"/>
                <w:sz w:val="24"/>
                <w:highlight w:val="none"/>
                <w14:textFill>
                  <w14:solidFill>
                    <w14:schemeClr w14:val="tx1"/>
                  </w14:solidFill>
                </w14:textFill>
              </w:rPr>
              <w:t>中表2</w:t>
            </w:r>
            <w:r>
              <w:rPr>
                <w:rFonts w:hint="eastAsia" w:eastAsiaTheme="minorEastAsia"/>
                <w:color w:val="000000" w:themeColor="text1"/>
                <w:sz w:val="24"/>
                <w:highlight w:val="none"/>
                <w14:textFill>
                  <w14:solidFill>
                    <w14:schemeClr w14:val="tx1"/>
                  </w14:solidFill>
                </w14:textFill>
              </w:rPr>
              <w:t>第二时段</w:t>
            </w:r>
            <w:r>
              <w:rPr>
                <w:rFonts w:eastAsiaTheme="minorEastAsia"/>
                <w:color w:val="000000" w:themeColor="text1"/>
                <w:sz w:val="24"/>
                <w:highlight w:val="none"/>
                <w14:textFill>
                  <w14:solidFill>
                    <w14:schemeClr w14:val="tx1"/>
                  </w14:solidFill>
                </w14:textFill>
              </w:rPr>
              <w:t>的二级标准</w:t>
            </w:r>
            <w:r>
              <w:rPr>
                <w:rFonts w:hint="eastAsia" w:eastAsiaTheme="minorEastAsia"/>
                <w:color w:val="000000" w:themeColor="text1"/>
                <w:sz w:val="24"/>
                <w:highlight w:val="none"/>
                <w:lang w:eastAsia="zh-CN"/>
                <w14:textFill>
                  <w14:solidFill>
                    <w14:schemeClr w14:val="tx1"/>
                  </w14:solidFill>
                </w14:textFill>
              </w:rPr>
              <w:t>。</w:t>
            </w:r>
          </w:p>
          <w:p w14:paraId="70A066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color w:val="000000" w:themeColor="text1"/>
                <w:sz w:val="24"/>
                <w:highlight w:val="none"/>
                <w:shd w:val="clear" w:color="auto" w:fill="FFFFFF"/>
                <w:lang w:eastAsia="zh-CN"/>
                <w14:textFill>
                  <w14:solidFill>
                    <w14:schemeClr w14:val="tx1"/>
                  </w14:solidFill>
                </w14:textFill>
              </w:rPr>
            </w:pPr>
            <w:r>
              <w:rPr>
                <w:rFonts w:eastAsiaTheme="minorEastAsia"/>
                <w:color w:val="000000" w:themeColor="text1"/>
                <w:sz w:val="24"/>
                <w:highlight w:val="none"/>
                <w14:textFill>
                  <w14:solidFill>
                    <w14:schemeClr w14:val="tx1"/>
                  </w14:solidFill>
                </w14:textFill>
              </w:rPr>
              <w:t>本项目</w:t>
            </w:r>
            <w:r>
              <w:rPr>
                <w:rFonts w:hint="eastAsia" w:eastAsiaTheme="minorEastAsia"/>
                <w:color w:val="000000" w:themeColor="text1"/>
                <w:sz w:val="24"/>
                <w:highlight w:val="none"/>
                <w:lang w:val="en-US" w:eastAsia="zh-CN"/>
                <w14:textFill>
                  <w14:solidFill>
                    <w14:schemeClr w14:val="tx1"/>
                  </w14:solidFill>
                </w14:textFill>
              </w:rPr>
              <w:t>燃烧</w:t>
            </w:r>
            <w:r>
              <w:rPr>
                <w:rFonts w:eastAsiaTheme="minorEastAsia"/>
                <w:color w:val="000000" w:themeColor="text1"/>
                <w:sz w:val="24"/>
                <w:highlight w:val="none"/>
                <w14:textFill>
                  <w14:solidFill>
                    <w14:schemeClr w14:val="tx1"/>
                  </w14:solidFill>
                </w14:textFill>
              </w:rPr>
              <w:t>炉、炭化窑设备属于《工业炉窑大气污染物排放标准》（GB 9078-1996）规定的工业炉窑</w:t>
            </w:r>
            <w:r>
              <w:rPr>
                <w:rFonts w:hint="eastAsia" w:eastAsiaTheme="minorEastAsia"/>
                <w:color w:val="000000" w:themeColor="text1"/>
                <w:sz w:val="24"/>
                <w:highlight w:val="none"/>
                <w:lang w:eastAsia="zh-CN"/>
                <w14:textFill>
                  <w14:solidFill>
                    <w14:schemeClr w14:val="tx1"/>
                  </w14:solidFill>
                </w14:textFill>
              </w:rPr>
              <w:t>，</w:t>
            </w:r>
            <w:r>
              <w:rPr>
                <w:rFonts w:eastAsiaTheme="minorEastAsia"/>
                <w:color w:val="000000" w:themeColor="text1"/>
                <w:sz w:val="24"/>
                <w:highlight w:val="none"/>
                <w14:textFill>
                  <w14:solidFill>
                    <w14:schemeClr w14:val="tx1"/>
                  </w14:solidFill>
                </w14:textFill>
              </w:rPr>
              <w:t>项目炭化废气、燃料燃烧废气</w:t>
            </w:r>
            <w:r>
              <w:rPr>
                <w:rFonts w:hint="eastAsia" w:eastAsiaTheme="minorEastAsia"/>
                <w:color w:val="000000" w:themeColor="text1"/>
                <w:sz w:val="24"/>
                <w:highlight w:val="none"/>
                <w:lang w:val="en-US" w:eastAsia="zh-CN"/>
                <w14:textFill>
                  <w14:solidFill>
                    <w14:schemeClr w14:val="tx1"/>
                  </w14:solidFill>
                </w14:textFill>
              </w:rPr>
              <w:t>排放标准执行</w:t>
            </w:r>
            <w:r>
              <w:rPr>
                <w:rFonts w:hint="eastAsia" w:eastAsiaTheme="minorEastAsia"/>
                <w:color w:val="000000" w:themeColor="text1"/>
                <w:sz w:val="24"/>
                <w:highlight w:val="none"/>
                <w:lang w:eastAsia="zh-CN"/>
                <w14:textFill>
                  <w14:solidFill>
                    <w14:schemeClr w14:val="tx1"/>
                  </w14:solidFill>
                </w14:textFill>
              </w:rPr>
              <w:t>“</w:t>
            </w:r>
            <w:r>
              <w:rPr>
                <w:rFonts w:eastAsiaTheme="minorEastAsia"/>
                <w:color w:val="000000" w:themeColor="text1"/>
                <w:sz w:val="24"/>
                <w:highlight w:val="none"/>
                <w14:textFill>
                  <w14:solidFill>
                    <w14:schemeClr w14:val="tx1"/>
                  </w14:solidFill>
                </w14:textFill>
              </w:rPr>
              <w:t>关于印发《工业炉窑大气污染综合治理方案》的通知环大气[2019]56号</w:t>
            </w:r>
            <w:r>
              <w:rPr>
                <w:rFonts w:hint="eastAsia" w:eastAsiaTheme="minorEastAsia"/>
                <w:color w:val="000000" w:themeColor="text1"/>
                <w:sz w:val="24"/>
                <w:highlight w:val="none"/>
                <w:lang w:eastAsia="zh-CN"/>
                <w14:textFill>
                  <w14:solidFill>
                    <w14:schemeClr w14:val="tx1"/>
                  </w14:solidFill>
                </w14:textFill>
              </w:rPr>
              <w:t>”</w:t>
            </w:r>
            <w:r>
              <w:rPr>
                <w:rFonts w:eastAsiaTheme="minorEastAsia"/>
                <w:color w:val="000000" w:themeColor="text1"/>
                <w:sz w:val="24"/>
                <w:highlight w:val="none"/>
                <w14:textFill>
                  <w14:solidFill>
                    <w14:schemeClr w14:val="tx1"/>
                  </w14:solidFill>
                </w14:textFill>
              </w:rPr>
              <w:t>文中提及的</w:t>
            </w:r>
            <w:r>
              <w:rPr>
                <w:rFonts w:eastAsiaTheme="minorEastAsia"/>
                <w:color w:val="000000" w:themeColor="text1"/>
                <w:sz w:val="24"/>
                <w:highlight w:val="none"/>
                <w:shd w:val="clear" w:color="auto" w:fill="FFFFFF"/>
                <w14:textFill>
                  <w14:solidFill>
                    <w14:schemeClr w14:val="tx1"/>
                  </w14:solidFill>
                </w14:textFill>
              </w:rPr>
              <w:t>重点区域原则上按照颗粒物、二氧化硫、氮氧化物排放限值分别不高于30、200、300毫克/立方米的要求</w:t>
            </w:r>
            <w:r>
              <w:rPr>
                <w:rFonts w:hint="eastAsia" w:eastAsiaTheme="minorEastAsia"/>
                <w:color w:val="000000" w:themeColor="text1"/>
                <w:sz w:val="24"/>
                <w:highlight w:val="none"/>
                <w:shd w:val="clear" w:color="auto" w:fill="FFFFFF"/>
                <w:lang w:eastAsia="zh-CN"/>
                <w14:textFill>
                  <w14:solidFill>
                    <w14:schemeClr w14:val="tx1"/>
                  </w14:solidFill>
                </w14:textFill>
              </w:rPr>
              <w:t>。</w:t>
            </w:r>
          </w:p>
          <w:p w14:paraId="31599A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color w:val="000000" w:themeColor="text1"/>
                <w:sz w:val="24"/>
                <w:highlight w:val="none"/>
                <w:lang w:val="en-US" w:eastAsia="zh-CN"/>
                <w14:textFill>
                  <w14:solidFill>
                    <w14:schemeClr w14:val="tx1"/>
                  </w14:solidFill>
                </w14:textFill>
              </w:rPr>
            </w:pPr>
            <w:r>
              <w:rPr>
                <w:rFonts w:hint="eastAsia" w:eastAsiaTheme="minorEastAsia"/>
                <w:color w:val="000000" w:themeColor="text1"/>
                <w:sz w:val="24"/>
                <w:highlight w:val="none"/>
                <w:lang w:val="en-US" w:eastAsia="zh-CN"/>
                <w14:textFill>
                  <w14:solidFill>
                    <w14:schemeClr w14:val="tx1"/>
                  </w14:solidFill>
                </w14:textFill>
              </w:rPr>
              <w:t>本项目</w:t>
            </w:r>
            <w:r>
              <w:rPr>
                <w:rFonts w:hint="eastAsia" w:eastAsiaTheme="minorEastAsia"/>
                <w:color w:val="000000" w:themeColor="text1"/>
                <w:sz w:val="24"/>
                <w:highlight w:val="none"/>
                <w14:textFill>
                  <w14:solidFill>
                    <w14:schemeClr w14:val="tx1"/>
                  </w14:solidFill>
                </w14:textFill>
              </w:rPr>
              <w:t>制棒废气、炭化废气和烘干工序产生的</w:t>
            </w:r>
            <w:r>
              <w:rPr>
                <w:rFonts w:hint="eastAsia" w:eastAsiaTheme="minorEastAsia"/>
                <w:color w:val="000000" w:themeColor="text1"/>
                <w:sz w:val="24"/>
                <w:highlight w:val="none"/>
                <w:lang w:val="en-US" w:eastAsia="zh-CN"/>
                <w14:textFill>
                  <w14:solidFill>
                    <w14:schemeClr w14:val="tx1"/>
                  </w14:solidFill>
                </w14:textFill>
              </w:rPr>
              <w:t>烘干机粉尘、燃烧炉</w:t>
            </w:r>
            <w:r>
              <w:rPr>
                <w:rFonts w:hint="eastAsia" w:eastAsiaTheme="minorEastAsia"/>
                <w:color w:val="000000" w:themeColor="text1"/>
                <w:sz w:val="24"/>
                <w:highlight w:val="none"/>
                <w14:textFill>
                  <w14:solidFill>
                    <w14:schemeClr w14:val="tx1"/>
                  </w14:solidFill>
                </w14:textFill>
              </w:rPr>
              <w:t>燃料燃烧废气</w:t>
            </w:r>
            <w:r>
              <w:rPr>
                <w:rFonts w:hint="eastAsia" w:eastAsiaTheme="minorEastAsia"/>
                <w:color w:val="000000" w:themeColor="text1"/>
                <w:sz w:val="24"/>
                <w:highlight w:val="none"/>
                <w:lang w:val="en-US" w:eastAsia="zh-CN"/>
                <w14:textFill>
                  <w14:solidFill>
                    <w14:schemeClr w14:val="tx1"/>
                  </w14:solidFill>
                </w14:textFill>
              </w:rPr>
              <w:t>最终经DA002排放口排放，则颗粒物（烟粉尘）：DA002排气筒有组织排放的</w:t>
            </w:r>
            <w:r>
              <w:rPr>
                <w:rFonts w:eastAsiaTheme="minorEastAsia"/>
                <w:color w:val="000000" w:themeColor="text1"/>
                <w:sz w:val="24"/>
                <w:highlight w:val="none"/>
                <w14:textFill>
                  <w14:solidFill>
                    <w14:schemeClr w14:val="tx1"/>
                  </w14:solidFill>
                </w14:textFill>
              </w:rPr>
              <w:t>颗粒物</w:t>
            </w:r>
            <w:r>
              <w:rPr>
                <w:rFonts w:hint="eastAsia" w:eastAsiaTheme="minorEastAsia"/>
                <w:color w:val="000000" w:themeColor="text1"/>
                <w:sz w:val="24"/>
                <w:highlight w:val="none"/>
                <w:lang w:val="en-US" w:eastAsia="zh-CN"/>
                <w14:textFill>
                  <w14:solidFill>
                    <w14:schemeClr w14:val="tx1"/>
                  </w14:solidFill>
                </w14:textFill>
              </w:rPr>
              <w:t>执行</w:t>
            </w:r>
            <w:r>
              <w:rPr>
                <w:rFonts w:hint="eastAsia" w:eastAsiaTheme="minorEastAsia"/>
                <w:color w:val="000000" w:themeColor="text1"/>
                <w:sz w:val="24"/>
                <w:highlight w:val="none"/>
                <w14:textFill>
                  <w14:solidFill>
                    <w14:schemeClr w14:val="tx1"/>
                  </w14:solidFill>
                </w14:textFill>
              </w:rPr>
              <w:t>广东省地方标准《大气污染物排放限值》（DB44/27-2001）</w:t>
            </w:r>
            <w:r>
              <w:rPr>
                <w:rFonts w:eastAsiaTheme="minorEastAsia"/>
                <w:color w:val="000000" w:themeColor="text1"/>
                <w:sz w:val="24"/>
                <w:highlight w:val="none"/>
                <w14:textFill>
                  <w14:solidFill>
                    <w14:schemeClr w14:val="tx1"/>
                  </w14:solidFill>
                </w14:textFill>
              </w:rPr>
              <w:t>中表2</w:t>
            </w:r>
            <w:r>
              <w:rPr>
                <w:rFonts w:hint="eastAsia" w:eastAsiaTheme="minorEastAsia"/>
                <w:color w:val="000000" w:themeColor="text1"/>
                <w:sz w:val="24"/>
                <w:highlight w:val="none"/>
                <w14:textFill>
                  <w14:solidFill>
                    <w14:schemeClr w14:val="tx1"/>
                  </w14:solidFill>
                </w14:textFill>
              </w:rPr>
              <w:t>第二时段</w:t>
            </w:r>
            <w:r>
              <w:rPr>
                <w:rFonts w:eastAsiaTheme="minorEastAsia"/>
                <w:color w:val="000000" w:themeColor="text1"/>
                <w:sz w:val="24"/>
                <w:highlight w:val="none"/>
                <w14:textFill>
                  <w14:solidFill>
                    <w14:schemeClr w14:val="tx1"/>
                  </w14:solidFill>
                </w14:textFill>
              </w:rPr>
              <w:t>的二级标准</w:t>
            </w:r>
            <w:r>
              <w:rPr>
                <w:rFonts w:hint="eastAsia" w:eastAsiaTheme="minorEastAsia"/>
                <w:color w:val="000000" w:themeColor="text1"/>
                <w:sz w:val="24"/>
                <w:highlight w:val="none"/>
                <w:lang w:val="en-US" w:eastAsia="zh-CN"/>
                <w14:textFill>
                  <w14:solidFill>
                    <w14:schemeClr w14:val="tx1"/>
                  </w14:solidFill>
                </w14:textFill>
              </w:rPr>
              <w:t>和</w:t>
            </w:r>
            <w:r>
              <w:rPr>
                <w:rFonts w:hint="eastAsia" w:eastAsiaTheme="minorEastAsia"/>
                <w:color w:val="000000" w:themeColor="text1"/>
                <w:sz w:val="24"/>
                <w:highlight w:val="none"/>
                <w:lang w:eastAsia="zh-CN"/>
                <w14:textFill>
                  <w14:solidFill>
                    <w14:schemeClr w14:val="tx1"/>
                  </w14:solidFill>
                </w14:textFill>
              </w:rPr>
              <w:t>“</w:t>
            </w:r>
            <w:r>
              <w:rPr>
                <w:rFonts w:eastAsiaTheme="minorEastAsia"/>
                <w:color w:val="000000" w:themeColor="text1"/>
                <w:sz w:val="24"/>
                <w:highlight w:val="none"/>
                <w14:textFill>
                  <w14:solidFill>
                    <w14:schemeClr w14:val="tx1"/>
                  </w14:solidFill>
                </w14:textFill>
              </w:rPr>
              <w:t>关于印发《工业炉窑大气污染综合治理方案》的通知环大气[2019]56号</w:t>
            </w:r>
            <w:r>
              <w:rPr>
                <w:rFonts w:hint="eastAsia" w:eastAsiaTheme="minorEastAsia"/>
                <w:color w:val="000000" w:themeColor="text1"/>
                <w:sz w:val="24"/>
                <w:highlight w:val="none"/>
                <w:lang w:eastAsia="zh-CN"/>
                <w14:textFill>
                  <w14:solidFill>
                    <w14:schemeClr w14:val="tx1"/>
                  </w14:solidFill>
                </w14:textFill>
              </w:rPr>
              <w:t>”</w:t>
            </w:r>
            <w:r>
              <w:rPr>
                <w:rFonts w:eastAsiaTheme="minorEastAsia"/>
                <w:color w:val="000000" w:themeColor="text1"/>
                <w:sz w:val="24"/>
                <w:highlight w:val="none"/>
                <w14:textFill>
                  <w14:solidFill>
                    <w14:schemeClr w14:val="tx1"/>
                  </w14:solidFill>
                </w14:textFill>
              </w:rPr>
              <w:t>文中提及的重点区域原则上按照颗粒物、二氧化硫、氮氧化物排放限值分别不高于30、200、300毫克/立方米的</w:t>
            </w:r>
            <w:r>
              <w:rPr>
                <w:rFonts w:hint="eastAsia" w:eastAsiaTheme="minorEastAsia"/>
                <w:color w:val="000000" w:themeColor="text1"/>
                <w:sz w:val="24"/>
                <w:highlight w:val="none"/>
                <w:lang w:val="en-US" w:eastAsia="zh-CN"/>
                <w14:textFill>
                  <w14:solidFill>
                    <w14:schemeClr w14:val="tx1"/>
                  </w14:solidFill>
                </w14:textFill>
              </w:rPr>
              <w:t>严者</w:t>
            </w:r>
            <w:r>
              <w:rPr>
                <w:rFonts w:eastAsiaTheme="minorEastAsia"/>
                <w:color w:val="000000" w:themeColor="text1"/>
                <w:sz w:val="24"/>
                <w:highlight w:val="none"/>
                <w14:textFill>
                  <w14:solidFill>
                    <w14:schemeClr w14:val="tx1"/>
                  </w14:solidFill>
                </w14:textFill>
              </w:rPr>
              <w:t>。SO</w:t>
            </w:r>
            <w:r>
              <w:rPr>
                <w:rFonts w:eastAsiaTheme="minorEastAsia"/>
                <w:color w:val="000000" w:themeColor="text1"/>
                <w:sz w:val="24"/>
                <w:highlight w:val="none"/>
                <w:vertAlign w:val="subscript"/>
                <w14:textFill>
                  <w14:solidFill>
                    <w14:schemeClr w14:val="tx1"/>
                  </w14:solidFill>
                </w14:textFill>
              </w:rPr>
              <w:t>2</w:t>
            </w:r>
            <w:r>
              <w:rPr>
                <w:rFonts w:eastAsiaTheme="minorEastAsia"/>
                <w:color w:val="000000" w:themeColor="text1"/>
                <w:sz w:val="24"/>
                <w:highlight w:val="none"/>
                <w14:textFill>
                  <w14:solidFill>
                    <w14:schemeClr w14:val="tx1"/>
                  </w14:solidFill>
                </w14:textFill>
              </w:rPr>
              <w:t>、NOx</w:t>
            </w:r>
            <w:r>
              <w:rPr>
                <w:rFonts w:hint="eastAsia" w:eastAsiaTheme="minorEastAsia"/>
                <w:color w:val="000000" w:themeColor="text1"/>
                <w:sz w:val="24"/>
                <w:highlight w:val="none"/>
                <w:lang w:eastAsia="zh-CN"/>
                <w14:textFill>
                  <w14:solidFill>
                    <w14:schemeClr w14:val="tx1"/>
                  </w14:solidFill>
                </w14:textFill>
              </w:rPr>
              <w:t>：</w:t>
            </w:r>
            <w:r>
              <w:rPr>
                <w:rFonts w:hint="eastAsia" w:eastAsiaTheme="minorEastAsia"/>
                <w:color w:val="000000" w:themeColor="text1"/>
                <w:sz w:val="24"/>
                <w:highlight w:val="none"/>
                <w:lang w:val="en-US" w:eastAsia="zh-CN"/>
                <w14:textFill>
                  <w14:solidFill>
                    <w14:schemeClr w14:val="tx1"/>
                  </w14:solidFill>
                </w14:textFill>
              </w:rPr>
              <w:t>DA002排气筒有组织排放的</w:t>
            </w:r>
            <w:r>
              <w:rPr>
                <w:rFonts w:eastAsiaTheme="minorEastAsia"/>
                <w:color w:val="000000" w:themeColor="text1"/>
                <w:sz w:val="24"/>
                <w:highlight w:val="none"/>
                <w14:textFill>
                  <w14:solidFill>
                    <w14:schemeClr w14:val="tx1"/>
                  </w14:solidFill>
                </w14:textFill>
              </w:rPr>
              <w:t>SO</w:t>
            </w:r>
            <w:r>
              <w:rPr>
                <w:rFonts w:eastAsiaTheme="minorEastAsia"/>
                <w:color w:val="000000" w:themeColor="text1"/>
                <w:sz w:val="24"/>
                <w:highlight w:val="none"/>
                <w:vertAlign w:val="subscript"/>
                <w14:textFill>
                  <w14:solidFill>
                    <w14:schemeClr w14:val="tx1"/>
                  </w14:solidFill>
                </w14:textFill>
              </w:rPr>
              <w:t>2</w:t>
            </w:r>
            <w:r>
              <w:rPr>
                <w:rFonts w:eastAsiaTheme="minorEastAsia"/>
                <w:color w:val="000000" w:themeColor="text1"/>
                <w:sz w:val="24"/>
                <w:highlight w:val="none"/>
                <w14:textFill>
                  <w14:solidFill>
                    <w14:schemeClr w14:val="tx1"/>
                  </w14:solidFill>
                </w14:textFill>
              </w:rPr>
              <w:t>、NOx</w:t>
            </w:r>
            <w:r>
              <w:rPr>
                <w:rFonts w:hint="eastAsia" w:eastAsiaTheme="minorEastAsia"/>
                <w:color w:val="000000" w:themeColor="text1"/>
                <w:sz w:val="24"/>
                <w:highlight w:val="none"/>
                <w:lang w:val="en-US" w:eastAsia="zh-CN"/>
                <w14:textFill>
                  <w14:solidFill>
                    <w14:schemeClr w14:val="tx1"/>
                  </w14:solidFill>
                </w14:textFill>
              </w:rPr>
              <w:t>执行</w:t>
            </w:r>
            <w:r>
              <w:rPr>
                <w:rFonts w:hint="eastAsia" w:eastAsiaTheme="minorEastAsia"/>
                <w:color w:val="000000" w:themeColor="text1"/>
                <w:sz w:val="24"/>
                <w:highlight w:val="none"/>
                <w:lang w:eastAsia="zh-CN"/>
                <w14:textFill>
                  <w14:solidFill>
                    <w14:schemeClr w14:val="tx1"/>
                  </w14:solidFill>
                </w14:textFill>
              </w:rPr>
              <w:t>“</w:t>
            </w:r>
            <w:r>
              <w:rPr>
                <w:rFonts w:eastAsiaTheme="minorEastAsia"/>
                <w:color w:val="000000" w:themeColor="text1"/>
                <w:sz w:val="24"/>
                <w:highlight w:val="none"/>
                <w14:textFill>
                  <w14:solidFill>
                    <w14:schemeClr w14:val="tx1"/>
                  </w14:solidFill>
                </w14:textFill>
              </w:rPr>
              <w:t>关于印发《工业炉窑大气污染综合治理方案》的通知环大气[2019]56号</w:t>
            </w:r>
            <w:r>
              <w:rPr>
                <w:rFonts w:hint="eastAsia" w:eastAsiaTheme="minorEastAsia"/>
                <w:color w:val="000000" w:themeColor="text1"/>
                <w:sz w:val="24"/>
                <w:highlight w:val="none"/>
                <w:lang w:eastAsia="zh-CN"/>
                <w14:textFill>
                  <w14:solidFill>
                    <w14:schemeClr w14:val="tx1"/>
                  </w14:solidFill>
                </w14:textFill>
              </w:rPr>
              <w:t>”</w:t>
            </w:r>
            <w:r>
              <w:rPr>
                <w:rFonts w:eastAsiaTheme="minorEastAsia"/>
                <w:color w:val="000000" w:themeColor="text1"/>
                <w:sz w:val="24"/>
                <w:highlight w:val="none"/>
                <w14:textFill>
                  <w14:solidFill>
                    <w14:schemeClr w14:val="tx1"/>
                  </w14:solidFill>
                </w14:textFill>
              </w:rPr>
              <w:t>文中提及的重点区域原则上按照颗粒物、二氧化硫、氮氧化物排放限值分别不高于30、200、300毫克/立方米的</w:t>
            </w:r>
            <w:r>
              <w:rPr>
                <w:rFonts w:hint="eastAsia" w:eastAsiaTheme="minorEastAsia"/>
                <w:color w:val="000000" w:themeColor="text1"/>
                <w:sz w:val="24"/>
                <w:highlight w:val="none"/>
                <w:lang w:val="en-US" w:eastAsia="zh-CN"/>
                <w14:textFill>
                  <w14:solidFill>
                    <w14:schemeClr w14:val="tx1"/>
                  </w14:solidFill>
                </w14:textFill>
              </w:rPr>
              <w:t>要求。</w:t>
            </w:r>
          </w:p>
          <w:p w14:paraId="0946E71B">
            <w:pPr>
              <w:pStyle w:val="10"/>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eastAsiaTheme="minorEastAsia"/>
                <w:color w:val="000000" w:themeColor="text1"/>
                <w:sz w:val="24"/>
                <w:highlight w:val="none"/>
                <w:shd w:val="clear" w:color="auto" w:fill="FFFFFF"/>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highlight w:val="none"/>
                <w:shd w:val="clear" w:color="auto" w:fill="FFFFFF"/>
                <w:lang w:val="en-US" w:eastAsia="zh-CN"/>
                <w14:textFill>
                  <w14:solidFill>
                    <w14:schemeClr w14:val="tx1"/>
                  </w14:solidFill>
                </w14:textFill>
              </w:rPr>
              <w:t>②</w:t>
            </w:r>
            <w:r>
              <w:rPr>
                <w:rFonts w:hint="eastAsia" w:ascii="Times New Roman" w:hAnsi="Times New Roman" w:cs="Times New Roman" w:eastAsiaTheme="minorEastAsia"/>
                <w:color w:val="000000" w:themeColor="text1"/>
                <w:sz w:val="24"/>
                <w:highlight w:val="none"/>
                <w:shd w:val="clear" w:color="auto" w:fill="FFFFFF"/>
                <w:lang w:val="en-US" w:eastAsia="zh-CN"/>
                <w14:textFill>
                  <w14:solidFill>
                    <w14:schemeClr w14:val="tx1"/>
                  </w14:solidFill>
                </w14:textFill>
              </w:rPr>
              <w:t>无组织废气：</w:t>
            </w:r>
          </w:p>
          <w:p w14:paraId="6B64E1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Theme="minorEastAsia"/>
                <w:color w:val="000000" w:themeColor="text1"/>
                <w:sz w:val="24"/>
                <w:highlight w:val="none"/>
                <w14:textFill>
                  <w14:solidFill>
                    <w14:schemeClr w14:val="tx1"/>
                  </w14:solidFill>
                </w14:textFill>
              </w:rPr>
            </w:pPr>
            <w:r>
              <w:rPr>
                <w:rFonts w:hint="eastAsia" w:eastAsiaTheme="minorEastAsia"/>
                <w:color w:val="000000" w:themeColor="text1"/>
                <w:sz w:val="24"/>
                <w:highlight w:val="none"/>
                <w:lang w:val="en-US" w:eastAsia="zh-CN"/>
                <w14:textFill>
                  <w14:solidFill>
                    <w14:schemeClr w14:val="tx1"/>
                  </w14:solidFill>
                </w14:textFill>
              </w:rPr>
              <w:t>颗粒物：</w:t>
            </w:r>
            <w:r>
              <w:rPr>
                <w:rFonts w:hint="eastAsia" w:eastAsiaTheme="minorEastAsia"/>
                <w:color w:val="000000" w:themeColor="text1"/>
                <w:sz w:val="24"/>
                <w:highlight w:val="none"/>
                <w14:textFill>
                  <w14:solidFill>
                    <w14:schemeClr w14:val="tx1"/>
                  </w14:solidFill>
                </w14:textFill>
              </w:rPr>
              <w:t>厂区无组织废气排放执行广东省地方标准《大气污染物排放限值》（DB44/27-2001）无组织排放监控浓度限值</w:t>
            </w:r>
            <w:r>
              <w:rPr>
                <w:rFonts w:eastAsiaTheme="minorEastAsia"/>
                <w:color w:val="000000" w:themeColor="text1"/>
                <w:sz w:val="24"/>
                <w:highlight w:val="none"/>
                <w14:textFill>
                  <w14:solidFill>
                    <w14:schemeClr w14:val="tx1"/>
                  </w14:solidFill>
                </w14:textFill>
              </w:rPr>
              <w:t>，即≤1.0mg/m</w:t>
            </w:r>
            <w:r>
              <w:rPr>
                <w:rFonts w:eastAsiaTheme="minorEastAsia"/>
                <w:color w:val="000000" w:themeColor="text1"/>
                <w:sz w:val="24"/>
                <w:highlight w:val="none"/>
                <w:vertAlign w:val="superscript"/>
                <w14:textFill>
                  <w14:solidFill>
                    <w14:schemeClr w14:val="tx1"/>
                  </w14:solidFill>
                </w14:textFill>
              </w:rPr>
              <w:t>3</w:t>
            </w:r>
            <w:r>
              <w:rPr>
                <w:rFonts w:eastAsiaTheme="minorEastAsia"/>
                <w:color w:val="000000" w:themeColor="text1"/>
                <w:sz w:val="24"/>
                <w:highlight w:val="none"/>
                <w14:textFill>
                  <w14:solidFill>
                    <w14:schemeClr w14:val="tx1"/>
                  </w14:solidFill>
                </w14:textFill>
              </w:rPr>
              <w:t>。</w:t>
            </w:r>
          </w:p>
          <w:p w14:paraId="04D977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Theme="minorEastAsia"/>
                <w:color w:val="000000" w:themeColor="text1"/>
                <w:sz w:val="24"/>
                <w:highlight w:val="none"/>
                <w14:textFill>
                  <w14:solidFill>
                    <w14:schemeClr w14:val="tx1"/>
                  </w14:solidFill>
                </w14:textFill>
              </w:rPr>
            </w:pPr>
            <w:r>
              <w:rPr>
                <w:rFonts w:hint="eastAsia" w:eastAsiaTheme="minorEastAsia"/>
                <w:color w:val="000000" w:themeColor="text1"/>
                <w:sz w:val="24"/>
                <w:highlight w:val="none"/>
                <w:lang w:val="en-US" w:eastAsia="zh-CN"/>
                <w14:textFill>
                  <w14:solidFill>
                    <w14:schemeClr w14:val="tx1"/>
                  </w14:solidFill>
                </w14:textFill>
              </w:rPr>
              <w:t>各污染物</w:t>
            </w:r>
            <w:r>
              <w:rPr>
                <w:rFonts w:eastAsiaTheme="minorEastAsia"/>
                <w:color w:val="000000" w:themeColor="text1"/>
                <w:sz w:val="24"/>
                <w:highlight w:val="none"/>
                <w14:textFill>
                  <w14:solidFill>
                    <w14:schemeClr w14:val="tx1"/>
                  </w14:solidFill>
                </w14:textFill>
              </w:rPr>
              <w:t>排放标准详见表3-</w:t>
            </w:r>
            <w:r>
              <w:rPr>
                <w:rFonts w:hint="eastAsia" w:eastAsiaTheme="minorEastAsia"/>
                <w:color w:val="000000" w:themeColor="text1"/>
                <w:sz w:val="24"/>
                <w:highlight w:val="none"/>
                <w:lang w:val="en-US" w:eastAsia="zh-CN"/>
                <w14:textFill>
                  <w14:solidFill>
                    <w14:schemeClr w14:val="tx1"/>
                  </w14:solidFill>
                </w14:textFill>
              </w:rPr>
              <w:t>5</w:t>
            </w:r>
            <w:r>
              <w:rPr>
                <w:rFonts w:eastAsiaTheme="minorEastAsia"/>
                <w:color w:val="000000" w:themeColor="text1"/>
                <w:sz w:val="24"/>
                <w:highlight w:val="none"/>
                <w14:textFill>
                  <w14:solidFill>
                    <w14:schemeClr w14:val="tx1"/>
                  </w14:solidFill>
                </w14:textFill>
              </w:rPr>
              <w:t>。</w:t>
            </w:r>
          </w:p>
          <w:p w14:paraId="22A8F890">
            <w:pPr>
              <w:pStyle w:val="44"/>
              <w:rPr>
                <w:rFonts w:eastAsiaTheme="minorEastAsia"/>
                <w:color w:val="000000" w:themeColor="text1"/>
                <w:sz w:val="24"/>
                <w:highlight w:val="none"/>
                <w14:textFill>
                  <w14:solidFill>
                    <w14:schemeClr w14:val="tx1"/>
                  </w14:solidFill>
                </w14:textFill>
              </w:rPr>
            </w:pPr>
          </w:p>
          <w:p w14:paraId="6CCDAF2B">
            <w:pPr>
              <w:pStyle w:val="44"/>
              <w:rPr>
                <w:rFonts w:eastAsiaTheme="minorEastAsia"/>
                <w:color w:val="000000" w:themeColor="text1"/>
                <w:sz w:val="24"/>
                <w:highlight w:val="none"/>
                <w14:textFill>
                  <w14:solidFill>
                    <w14:schemeClr w14:val="tx1"/>
                  </w14:solidFill>
                </w14:textFill>
              </w:rPr>
            </w:pPr>
          </w:p>
          <w:p w14:paraId="0E7CD3EA">
            <w:pPr>
              <w:spacing w:line="360" w:lineRule="auto"/>
              <w:ind w:firstLine="482" w:firstLineChars="200"/>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表3-</w:t>
            </w:r>
            <w:r>
              <w:rPr>
                <w:rFonts w:hint="eastAsia"/>
                <w:b/>
                <w:bCs/>
                <w:color w:val="000000" w:themeColor="text1"/>
                <w:sz w:val="24"/>
                <w:highlight w:val="none"/>
                <w:lang w:val="en-US" w:eastAsia="zh-CN"/>
                <w14:textFill>
                  <w14:solidFill>
                    <w14:schemeClr w14:val="tx1"/>
                  </w14:solidFill>
                </w14:textFill>
              </w:rPr>
              <w:t>5 本项目各污染物排放标准一览表</w:t>
            </w:r>
          </w:p>
          <w:tbl>
            <w:tblPr>
              <w:tblStyle w:val="35"/>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50"/>
              <w:gridCol w:w="787"/>
              <w:gridCol w:w="1247"/>
              <w:gridCol w:w="910"/>
              <w:gridCol w:w="1222"/>
              <w:gridCol w:w="2964"/>
            </w:tblGrid>
            <w:tr w14:paraId="3D61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9" w:type="dxa"/>
                  <w:vAlign w:val="center"/>
                </w:tcPr>
                <w:p w14:paraId="36D4CE4D">
                  <w:pPr>
                    <w:jc w:val="center"/>
                    <w:rPr>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污染</w:t>
                  </w:r>
                  <w:r>
                    <w:rPr>
                      <w:rFonts w:hint="eastAsia"/>
                      <w:b/>
                      <w:bCs/>
                      <w:color w:val="000000" w:themeColor="text1"/>
                      <w:sz w:val="21"/>
                      <w:szCs w:val="21"/>
                      <w:highlight w:val="none"/>
                      <w:lang w:val="en-US" w:eastAsia="zh-CN"/>
                      <w14:textFill>
                        <w14:solidFill>
                          <w14:schemeClr w14:val="tx1"/>
                        </w14:solidFill>
                      </w14:textFill>
                    </w:rPr>
                    <w:t>源</w:t>
                  </w:r>
                </w:p>
              </w:tc>
              <w:tc>
                <w:tcPr>
                  <w:tcW w:w="850" w:type="dxa"/>
                  <w:vAlign w:val="center"/>
                </w:tcPr>
                <w:p w14:paraId="3EC060C5">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排气筒编号</w:t>
                  </w:r>
                </w:p>
              </w:tc>
              <w:tc>
                <w:tcPr>
                  <w:tcW w:w="787" w:type="dxa"/>
                  <w:vAlign w:val="center"/>
                </w:tcPr>
                <w:p w14:paraId="55C3F1CA">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污染物</w:t>
                  </w:r>
                </w:p>
              </w:tc>
              <w:tc>
                <w:tcPr>
                  <w:tcW w:w="1247" w:type="dxa"/>
                  <w:vAlign w:val="center"/>
                </w:tcPr>
                <w:p w14:paraId="1DF28859">
                  <w:pPr>
                    <w:jc w:val="center"/>
                    <w:rPr>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浓度（mg/m</w:t>
                  </w:r>
                  <w:r>
                    <w:rPr>
                      <w:b/>
                      <w:bCs/>
                      <w:color w:val="000000" w:themeColor="text1"/>
                      <w:sz w:val="21"/>
                      <w:szCs w:val="21"/>
                      <w:highlight w:val="none"/>
                      <w:vertAlign w:val="superscript"/>
                      <w14:textFill>
                        <w14:solidFill>
                          <w14:schemeClr w14:val="tx1"/>
                        </w14:solidFill>
                      </w14:textFill>
                    </w:rPr>
                    <w:t>3</w:t>
                  </w:r>
                  <w:r>
                    <w:rPr>
                      <w:b/>
                      <w:bCs/>
                      <w:color w:val="000000" w:themeColor="text1"/>
                      <w:sz w:val="21"/>
                      <w:szCs w:val="21"/>
                      <w:highlight w:val="none"/>
                      <w14:textFill>
                        <w14:solidFill>
                          <w14:schemeClr w14:val="tx1"/>
                        </w14:solidFill>
                      </w14:textFill>
                    </w:rPr>
                    <w:t>）</w:t>
                  </w:r>
                </w:p>
              </w:tc>
              <w:tc>
                <w:tcPr>
                  <w:tcW w:w="910" w:type="dxa"/>
                  <w:vAlign w:val="center"/>
                </w:tcPr>
                <w:p w14:paraId="07093F51">
                  <w:pPr>
                    <w:jc w:val="center"/>
                    <w:rPr>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排气筒(m)</w:t>
                  </w:r>
                </w:p>
              </w:tc>
              <w:tc>
                <w:tcPr>
                  <w:tcW w:w="1222" w:type="dxa"/>
                  <w:vAlign w:val="center"/>
                </w:tcPr>
                <w:p w14:paraId="5D25490D">
                  <w:pPr>
                    <w:jc w:val="center"/>
                    <w:rPr>
                      <w:b/>
                      <w:bCs/>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最高允许排放速率(kg/h)</w:t>
                  </w:r>
                </w:p>
              </w:tc>
              <w:tc>
                <w:tcPr>
                  <w:tcW w:w="2964" w:type="dxa"/>
                  <w:vAlign w:val="center"/>
                </w:tcPr>
                <w:p w14:paraId="00065D00">
                  <w:pPr>
                    <w:jc w:val="center"/>
                    <w:rPr>
                      <w:rFonts w:hint="default" w:eastAsia="宋体"/>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标准来源</w:t>
                  </w:r>
                </w:p>
              </w:tc>
            </w:tr>
            <w:tr w14:paraId="732C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9" w:type="dxa"/>
                  <w:vMerge w:val="restart"/>
                  <w:vAlign w:val="center"/>
                </w:tcPr>
                <w:p w14:paraId="5C25B4D3">
                  <w:pPr>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排气筒</w:t>
                  </w:r>
                </w:p>
              </w:tc>
              <w:tc>
                <w:tcPr>
                  <w:tcW w:w="850" w:type="dxa"/>
                  <w:vAlign w:val="center"/>
                </w:tcPr>
                <w:p w14:paraId="7419E991">
                  <w:pPr>
                    <w:jc w:val="center"/>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DA001</w:t>
                  </w:r>
                </w:p>
              </w:tc>
              <w:tc>
                <w:tcPr>
                  <w:tcW w:w="787" w:type="dxa"/>
                  <w:vAlign w:val="center"/>
                </w:tcPr>
                <w:p w14:paraId="62CE48E6">
                  <w:pPr>
                    <w:jc w:val="center"/>
                    <w:rPr>
                      <w:rFonts w:hint="eastAsia"/>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颗粒物</w:t>
                  </w:r>
                </w:p>
              </w:tc>
              <w:tc>
                <w:tcPr>
                  <w:tcW w:w="1247" w:type="dxa"/>
                  <w:vAlign w:val="center"/>
                </w:tcPr>
                <w:p w14:paraId="7C7A0740">
                  <w:pPr>
                    <w:jc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120</w:t>
                  </w:r>
                </w:p>
              </w:tc>
              <w:tc>
                <w:tcPr>
                  <w:tcW w:w="910" w:type="dxa"/>
                  <w:vAlign w:val="center"/>
                </w:tcPr>
                <w:p w14:paraId="1CB0BE28">
                  <w:pPr>
                    <w:jc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15</w:t>
                  </w:r>
                </w:p>
              </w:tc>
              <w:tc>
                <w:tcPr>
                  <w:tcW w:w="1222" w:type="dxa"/>
                  <w:vAlign w:val="center"/>
                </w:tcPr>
                <w:p w14:paraId="2C412D71">
                  <w:pPr>
                    <w:jc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2.9</w:t>
                  </w:r>
                </w:p>
              </w:tc>
              <w:tc>
                <w:tcPr>
                  <w:tcW w:w="2964" w:type="dxa"/>
                  <w:vAlign w:val="center"/>
                </w:tcPr>
                <w:p w14:paraId="6CB7BB67">
                  <w:pPr>
                    <w:jc w:val="center"/>
                    <w:rPr>
                      <w:rFonts w:hint="eastAsia"/>
                      <w:b/>
                      <w:bCs/>
                      <w:color w:val="000000" w:themeColor="text1"/>
                      <w:sz w:val="21"/>
                      <w:szCs w:val="21"/>
                      <w:highlight w:val="none"/>
                      <w:lang w:val="en-US" w:eastAsia="zh-CN"/>
                      <w14:textFill>
                        <w14:solidFill>
                          <w14:schemeClr w14:val="tx1"/>
                        </w14:solidFill>
                      </w14:textFill>
                    </w:rPr>
                  </w:pPr>
                  <w:r>
                    <w:rPr>
                      <w:rFonts w:hint="eastAsia" w:eastAsiaTheme="minorEastAsia"/>
                      <w:color w:val="000000" w:themeColor="text1"/>
                      <w:sz w:val="21"/>
                      <w:szCs w:val="21"/>
                      <w:highlight w:val="none"/>
                      <w14:textFill>
                        <w14:solidFill>
                          <w14:schemeClr w14:val="tx1"/>
                        </w14:solidFill>
                      </w14:textFill>
                    </w:rPr>
                    <w:t>广东省地方标准《大气污染物排放限值》（DB44/27-2001）</w:t>
                  </w:r>
                  <w:r>
                    <w:rPr>
                      <w:rFonts w:eastAsiaTheme="minorEastAsia"/>
                      <w:color w:val="000000" w:themeColor="text1"/>
                      <w:sz w:val="21"/>
                      <w:szCs w:val="21"/>
                      <w:highlight w:val="none"/>
                      <w14:textFill>
                        <w14:solidFill>
                          <w14:schemeClr w14:val="tx1"/>
                        </w14:solidFill>
                      </w14:textFill>
                    </w:rPr>
                    <w:t>中表2</w:t>
                  </w:r>
                  <w:r>
                    <w:rPr>
                      <w:rFonts w:hint="eastAsia" w:eastAsiaTheme="minorEastAsia"/>
                      <w:color w:val="000000" w:themeColor="text1"/>
                      <w:sz w:val="21"/>
                      <w:szCs w:val="21"/>
                      <w:highlight w:val="none"/>
                      <w14:textFill>
                        <w14:solidFill>
                          <w14:schemeClr w14:val="tx1"/>
                        </w14:solidFill>
                      </w14:textFill>
                    </w:rPr>
                    <w:t>第二时段</w:t>
                  </w:r>
                  <w:r>
                    <w:rPr>
                      <w:rFonts w:eastAsiaTheme="minorEastAsia"/>
                      <w:color w:val="000000" w:themeColor="text1"/>
                      <w:sz w:val="21"/>
                      <w:szCs w:val="21"/>
                      <w:highlight w:val="none"/>
                      <w14:textFill>
                        <w14:solidFill>
                          <w14:schemeClr w14:val="tx1"/>
                        </w14:solidFill>
                      </w14:textFill>
                    </w:rPr>
                    <w:t>的二级标准</w:t>
                  </w:r>
                </w:p>
              </w:tc>
            </w:tr>
            <w:tr w14:paraId="3BEF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819" w:type="dxa"/>
                  <w:vMerge w:val="continue"/>
                  <w:vAlign w:val="center"/>
                </w:tcPr>
                <w:p w14:paraId="125B90CC">
                  <w:pPr>
                    <w:jc w:val="center"/>
                    <w:rPr>
                      <w:rFonts w:hint="eastAsia" w:eastAsia="宋体"/>
                      <w:color w:val="000000" w:themeColor="text1"/>
                      <w:sz w:val="21"/>
                      <w:szCs w:val="21"/>
                      <w:highlight w:val="none"/>
                      <w:lang w:eastAsia="zh-CN"/>
                      <w14:textFill>
                        <w14:solidFill>
                          <w14:schemeClr w14:val="tx1"/>
                        </w14:solidFill>
                      </w14:textFill>
                    </w:rPr>
                  </w:pPr>
                </w:p>
              </w:tc>
              <w:tc>
                <w:tcPr>
                  <w:tcW w:w="850" w:type="dxa"/>
                  <w:vMerge w:val="restart"/>
                  <w:vAlign w:val="center"/>
                </w:tcPr>
                <w:p w14:paraId="75FD1E02">
                  <w:pPr>
                    <w:jc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DA002</w:t>
                  </w:r>
                </w:p>
              </w:tc>
              <w:tc>
                <w:tcPr>
                  <w:tcW w:w="787" w:type="dxa"/>
                  <w:vAlign w:val="center"/>
                </w:tcPr>
                <w:p w14:paraId="4E81719F">
                  <w:pPr>
                    <w:jc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颗粒物</w:t>
                  </w:r>
                </w:p>
              </w:tc>
              <w:tc>
                <w:tcPr>
                  <w:tcW w:w="1247" w:type="dxa"/>
                  <w:vAlign w:val="center"/>
                </w:tcPr>
                <w:p w14:paraId="284D78B8">
                  <w:pPr>
                    <w:jc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30</w:t>
                  </w:r>
                </w:p>
              </w:tc>
              <w:tc>
                <w:tcPr>
                  <w:tcW w:w="910" w:type="dxa"/>
                  <w:vMerge w:val="restart"/>
                  <w:vAlign w:val="center"/>
                </w:tcPr>
                <w:p w14:paraId="14FF9671">
                  <w:pPr>
                    <w:jc w:val="center"/>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15</w:t>
                  </w:r>
                </w:p>
              </w:tc>
              <w:tc>
                <w:tcPr>
                  <w:tcW w:w="1222" w:type="dxa"/>
                  <w:vAlign w:val="center"/>
                </w:tcPr>
                <w:p w14:paraId="69A87769">
                  <w:pPr>
                    <w:jc w:val="center"/>
                    <w:rPr>
                      <w:b w:val="0"/>
                      <w:bCs w:val="0"/>
                      <w:color w:val="000000" w:themeColor="text1"/>
                      <w:sz w:val="21"/>
                      <w:szCs w:val="21"/>
                      <w:highlight w:val="none"/>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2.9</w:t>
                  </w:r>
                </w:p>
              </w:tc>
              <w:tc>
                <w:tcPr>
                  <w:tcW w:w="2964" w:type="dxa"/>
                  <w:vAlign w:val="center"/>
                </w:tcPr>
                <w:p w14:paraId="37934928">
                  <w:pPr>
                    <w:jc w:val="left"/>
                    <w:rPr>
                      <w:color w:val="000000" w:themeColor="text1"/>
                      <w:sz w:val="21"/>
                      <w:szCs w:val="21"/>
                      <w:highlight w:val="none"/>
                      <w14:textFill>
                        <w14:solidFill>
                          <w14:schemeClr w14:val="tx1"/>
                        </w14:solidFill>
                      </w14:textFill>
                    </w:rPr>
                  </w:pPr>
                  <w:r>
                    <w:rPr>
                      <w:rFonts w:hint="eastAsia" w:eastAsiaTheme="minorEastAsia"/>
                      <w:color w:val="000000" w:themeColor="text1"/>
                      <w:sz w:val="21"/>
                      <w:szCs w:val="21"/>
                      <w:highlight w:val="none"/>
                      <w14:textFill>
                        <w14:solidFill>
                          <w14:schemeClr w14:val="tx1"/>
                        </w14:solidFill>
                      </w14:textFill>
                    </w:rPr>
                    <w:t>广东省地方标准《大气污染物排放限值》（DB44/27-2001）</w:t>
                  </w:r>
                  <w:r>
                    <w:rPr>
                      <w:rFonts w:eastAsiaTheme="minorEastAsia"/>
                      <w:color w:val="000000" w:themeColor="text1"/>
                      <w:sz w:val="21"/>
                      <w:szCs w:val="21"/>
                      <w:highlight w:val="none"/>
                      <w14:textFill>
                        <w14:solidFill>
                          <w14:schemeClr w14:val="tx1"/>
                        </w14:solidFill>
                      </w14:textFill>
                    </w:rPr>
                    <w:t>中表2</w:t>
                  </w:r>
                  <w:r>
                    <w:rPr>
                      <w:rFonts w:hint="eastAsia" w:eastAsiaTheme="minorEastAsia"/>
                      <w:color w:val="000000" w:themeColor="text1"/>
                      <w:sz w:val="21"/>
                      <w:szCs w:val="21"/>
                      <w:highlight w:val="none"/>
                      <w14:textFill>
                        <w14:solidFill>
                          <w14:schemeClr w14:val="tx1"/>
                        </w14:solidFill>
                      </w14:textFill>
                    </w:rPr>
                    <w:t>第二时段</w:t>
                  </w:r>
                  <w:r>
                    <w:rPr>
                      <w:rFonts w:eastAsiaTheme="minorEastAsia"/>
                      <w:color w:val="000000" w:themeColor="text1"/>
                      <w:sz w:val="21"/>
                      <w:szCs w:val="21"/>
                      <w:highlight w:val="none"/>
                      <w14:textFill>
                        <w14:solidFill>
                          <w14:schemeClr w14:val="tx1"/>
                        </w14:solidFill>
                      </w14:textFill>
                    </w:rPr>
                    <w:t>的二级标准</w:t>
                  </w:r>
                  <w:r>
                    <w:rPr>
                      <w:rFonts w:hint="eastAsia" w:eastAsiaTheme="minorEastAsia"/>
                      <w:color w:val="000000" w:themeColor="text1"/>
                      <w:sz w:val="21"/>
                      <w:szCs w:val="21"/>
                      <w:highlight w:val="none"/>
                      <w:lang w:val="en-US" w:eastAsia="zh-CN"/>
                      <w14:textFill>
                        <w14:solidFill>
                          <w14:schemeClr w14:val="tx1"/>
                        </w14:solidFill>
                      </w14:textFill>
                    </w:rPr>
                    <w:t>和</w:t>
                  </w:r>
                  <w:r>
                    <w:rPr>
                      <w:rFonts w:hint="eastAsia" w:eastAsiaTheme="minorEastAsia"/>
                      <w:color w:val="000000" w:themeColor="text1"/>
                      <w:sz w:val="21"/>
                      <w:szCs w:val="21"/>
                      <w:highlight w:val="none"/>
                      <w:lang w:eastAsia="zh-CN"/>
                      <w14:textFill>
                        <w14:solidFill>
                          <w14:schemeClr w14:val="tx1"/>
                        </w14:solidFill>
                      </w14:textFill>
                    </w:rPr>
                    <w:t>“</w:t>
                  </w:r>
                  <w:r>
                    <w:rPr>
                      <w:rFonts w:eastAsiaTheme="minorEastAsia"/>
                      <w:color w:val="000000" w:themeColor="text1"/>
                      <w:sz w:val="21"/>
                      <w:szCs w:val="21"/>
                      <w:highlight w:val="none"/>
                      <w14:textFill>
                        <w14:solidFill>
                          <w14:schemeClr w14:val="tx1"/>
                        </w14:solidFill>
                      </w14:textFill>
                    </w:rPr>
                    <w:t>关于印发《工业炉窑大气污染综合治理方案》的通知环大气[2019]56号</w:t>
                  </w:r>
                  <w:r>
                    <w:rPr>
                      <w:rFonts w:hint="eastAsia" w:eastAsiaTheme="minorEastAsia"/>
                      <w:color w:val="000000" w:themeColor="text1"/>
                      <w:sz w:val="21"/>
                      <w:szCs w:val="21"/>
                      <w:highlight w:val="none"/>
                      <w:lang w:eastAsia="zh-CN"/>
                      <w14:textFill>
                        <w14:solidFill>
                          <w14:schemeClr w14:val="tx1"/>
                        </w14:solidFill>
                      </w14:textFill>
                    </w:rPr>
                    <w:t>”</w:t>
                  </w:r>
                  <w:r>
                    <w:rPr>
                      <w:rFonts w:eastAsiaTheme="minorEastAsia"/>
                      <w:color w:val="000000" w:themeColor="text1"/>
                      <w:sz w:val="21"/>
                      <w:szCs w:val="21"/>
                      <w:highlight w:val="none"/>
                      <w14:textFill>
                        <w14:solidFill>
                          <w14:schemeClr w14:val="tx1"/>
                        </w14:solidFill>
                      </w14:textFill>
                    </w:rPr>
                    <w:t>文中提及的</w:t>
                  </w:r>
                  <w:r>
                    <w:rPr>
                      <w:rFonts w:eastAsiaTheme="minorEastAsia"/>
                      <w:color w:val="000000" w:themeColor="text1"/>
                      <w:sz w:val="21"/>
                      <w:szCs w:val="21"/>
                      <w:highlight w:val="none"/>
                      <w:shd w:val="clear" w:color="auto" w:fill="FFFFFF"/>
                      <w14:textFill>
                        <w14:solidFill>
                          <w14:schemeClr w14:val="tx1"/>
                        </w14:solidFill>
                      </w14:textFill>
                    </w:rPr>
                    <w:t>重点区域原则上按照颗粒物、二氧化硫、氮氧化物排放限值分别不高于30、200、300毫克/立方米的</w:t>
                  </w:r>
                  <w:r>
                    <w:rPr>
                      <w:rFonts w:hint="eastAsia" w:eastAsiaTheme="minorEastAsia"/>
                      <w:color w:val="000000" w:themeColor="text1"/>
                      <w:sz w:val="21"/>
                      <w:szCs w:val="21"/>
                      <w:highlight w:val="none"/>
                      <w:shd w:val="clear" w:color="auto" w:fill="FFFFFF"/>
                      <w:lang w:val="en-US" w:eastAsia="zh-CN"/>
                      <w14:textFill>
                        <w14:solidFill>
                          <w14:schemeClr w14:val="tx1"/>
                        </w14:solidFill>
                      </w14:textFill>
                    </w:rPr>
                    <w:t>严者</w:t>
                  </w:r>
                </w:p>
              </w:tc>
            </w:tr>
            <w:tr w14:paraId="4E44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19" w:type="dxa"/>
                  <w:vMerge w:val="continue"/>
                  <w:vAlign w:val="center"/>
                </w:tcPr>
                <w:p w14:paraId="22066664">
                  <w:pPr>
                    <w:jc w:val="center"/>
                    <w:rPr>
                      <w:color w:val="000000" w:themeColor="text1"/>
                      <w:sz w:val="21"/>
                      <w:szCs w:val="21"/>
                      <w:highlight w:val="none"/>
                      <w14:textFill>
                        <w14:solidFill>
                          <w14:schemeClr w14:val="tx1"/>
                        </w14:solidFill>
                      </w14:textFill>
                    </w:rPr>
                  </w:pPr>
                </w:p>
              </w:tc>
              <w:tc>
                <w:tcPr>
                  <w:tcW w:w="850" w:type="dxa"/>
                  <w:vMerge w:val="continue"/>
                  <w:vAlign w:val="center"/>
                </w:tcPr>
                <w:p w14:paraId="4974A2BF">
                  <w:pPr>
                    <w:jc w:val="center"/>
                    <w:rPr>
                      <w:rFonts w:hint="eastAsia"/>
                      <w:color w:val="000000" w:themeColor="text1"/>
                      <w:sz w:val="21"/>
                      <w:szCs w:val="21"/>
                      <w:highlight w:val="none"/>
                      <w14:textFill>
                        <w14:solidFill>
                          <w14:schemeClr w14:val="tx1"/>
                        </w14:solidFill>
                      </w14:textFill>
                    </w:rPr>
                  </w:pPr>
                </w:p>
              </w:tc>
              <w:tc>
                <w:tcPr>
                  <w:tcW w:w="787" w:type="dxa"/>
                  <w:vAlign w:val="center"/>
                </w:tcPr>
                <w:p w14:paraId="4E522930">
                  <w:pPr>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SO</w:t>
                  </w:r>
                  <w:r>
                    <w:rPr>
                      <w:rFonts w:hint="eastAsia"/>
                      <w:color w:val="000000" w:themeColor="text1"/>
                      <w:sz w:val="21"/>
                      <w:szCs w:val="21"/>
                      <w:highlight w:val="none"/>
                      <w:vertAlign w:val="subscript"/>
                      <w:lang w:val="en-US" w:eastAsia="zh-CN"/>
                      <w14:textFill>
                        <w14:solidFill>
                          <w14:schemeClr w14:val="tx1"/>
                        </w14:solidFill>
                      </w14:textFill>
                    </w:rPr>
                    <w:t>2</w:t>
                  </w:r>
                </w:p>
              </w:tc>
              <w:tc>
                <w:tcPr>
                  <w:tcW w:w="1247" w:type="dxa"/>
                  <w:vAlign w:val="center"/>
                </w:tcPr>
                <w:p w14:paraId="6525D204">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200</w:t>
                  </w:r>
                </w:p>
              </w:tc>
              <w:tc>
                <w:tcPr>
                  <w:tcW w:w="910" w:type="dxa"/>
                  <w:vMerge w:val="continue"/>
                  <w:vAlign w:val="center"/>
                </w:tcPr>
                <w:p w14:paraId="2560E3D2">
                  <w:pPr>
                    <w:jc w:val="center"/>
                    <w:rPr>
                      <w:rFonts w:hint="eastAsia"/>
                      <w:color w:val="000000" w:themeColor="text1"/>
                      <w:sz w:val="21"/>
                      <w:szCs w:val="21"/>
                      <w:highlight w:val="none"/>
                      <w:lang w:val="en-US" w:eastAsia="zh-CN"/>
                      <w14:textFill>
                        <w14:solidFill>
                          <w14:schemeClr w14:val="tx1"/>
                        </w14:solidFill>
                      </w14:textFill>
                    </w:rPr>
                  </w:pPr>
                </w:p>
              </w:tc>
              <w:tc>
                <w:tcPr>
                  <w:tcW w:w="1222" w:type="dxa"/>
                  <w:vAlign w:val="center"/>
                </w:tcPr>
                <w:p w14:paraId="15D818F9">
                  <w:pPr>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2964" w:type="dxa"/>
                  <w:vMerge w:val="restart"/>
                  <w:vAlign w:val="center"/>
                </w:tcPr>
                <w:p w14:paraId="69B2E1DC">
                  <w:pPr>
                    <w:jc w:val="left"/>
                    <w:rPr>
                      <w:rFonts w:hint="eastAsia"/>
                      <w:color w:val="000000" w:themeColor="text1"/>
                      <w:sz w:val="21"/>
                      <w:szCs w:val="21"/>
                      <w:highlight w:val="none"/>
                      <w14:textFill>
                        <w14:solidFill>
                          <w14:schemeClr w14:val="tx1"/>
                        </w14:solidFill>
                      </w14:textFill>
                    </w:rPr>
                  </w:pPr>
                  <w:r>
                    <w:rPr>
                      <w:rFonts w:hint="eastAsia" w:eastAsiaTheme="minorEastAsia"/>
                      <w:color w:val="000000" w:themeColor="text1"/>
                      <w:sz w:val="21"/>
                      <w:szCs w:val="21"/>
                      <w:highlight w:val="none"/>
                      <w:lang w:eastAsia="zh-CN"/>
                      <w14:textFill>
                        <w14:solidFill>
                          <w14:schemeClr w14:val="tx1"/>
                        </w14:solidFill>
                      </w14:textFill>
                    </w:rPr>
                    <w:t>“</w:t>
                  </w:r>
                  <w:r>
                    <w:rPr>
                      <w:rFonts w:eastAsiaTheme="minorEastAsia"/>
                      <w:color w:val="000000" w:themeColor="text1"/>
                      <w:sz w:val="21"/>
                      <w:szCs w:val="21"/>
                      <w:highlight w:val="none"/>
                      <w14:textFill>
                        <w14:solidFill>
                          <w14:schemeClr w14:val="tx1"/>
                        </w14:solidFill>
                      </w14:textFill>
                    </w:rPr>
                    <w:t>关于印发《工业炉窑大气污染综合治理方案》的通知环大气[2019]56号</w:t>
                  </w:r>
                  <w:r>
                    <w:rPr>
                      <w:rFonts w:hint="eastAsia" w:eastAsiaTheme="minorEastAsia"/>
                      <w:color w:val="000000" w:themeColor="text1"/>
                      <w:sz w:val="21"/>
                      <w:szCs w:val="21"/>
                      <w:highlight w:val="none"/>
                      <w:lang w:eastAsia="zh-CN"/>
                      <w14:textFill>
                        <w14:solidFill>
                          <w14:schemeClr w14:val="tx1"/>
                        </w14:solidFill>
                      </w14:textFill>
                    </w:rPr>
                    <w:t>”</w:t>
                  </w:r>
                  <w:r>
                    <w:rPr>
                      <w:rFonts w:eastAsiaTheme="minorEastAsia"/>
                      <w:color w:val="000000" w:themeColor="text1"/>
                      <w:sz w:val="21"/>
                      <w:szCs w:val="21"/>
                      <w:highlight w:val="none"/>
                      <w14:textFill>
                        <w14:solidFill>
                          <w14:schemeClr w14:val="tx1"/>
                        </w14:solidFill>
                      </w14:textFill>
                    </w:rPr>
                    <w:t>文中提及的</w:t>
                  </w:r>
                  <w:r>
                    <w:rPr>
                      <w:rFonts w:eastAsiaTheme="minorEastAsia"/>
                      <w:color w:val="000000" w:themeColor="text1"/>
                      <w:sz w:val="21"/>
                      <w:szCs w:val="21"/>
                      <w:highlight w:val="none"/>
                      <w:shd w:val="clear" w:color="auto" w:fill="FFFFFF"/>
                      <w14:textFill>
                        <w14:solidFill>
                          <w14:schemeClr w14:val="tx1"/>
                        </w14:solidFill>
                      </w14:textFill>
                    </w:rPr>
                    <w:t>重点区域原则上按照颗粒物、二氧化硫、氮氧化物排放限值分别不高于30、200、300毫克/立方米的</w:t>
                  </w:r>
                  <w:r>
                    <w:rPr>
                      <w:rFonts w:hint="eastAsia" w:eastAsiaTheme="minorEastAsia"/>
                      <w:color w:val="000000" w:themeColor="text1"/>
                      <w:sz w:val="21"/>
                      <w:szCs w:val="21"/>
                      <w:highlight w:val="none"/>
                      <w:shd w:val="clear" w:color="auto" w:fill="FFFFFF"/>
                      <w:lang w:val="en-US" w:eastAsia="zh-CN"/>
                      <w14:textFill>
                        <w14:solidFill>
                          <w14:schemeClr w14:val="tx1"/>
                        </w14:solidFill>
                      </w14:textFill>
                    </w:rPr>
                    <w:t>要求</w:t>
                  </w:r>
                </w:p>
              </w:tc>
            </w:tr>
            <w:tr w14:paraId="1624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Merge w:val="continue"/>
                  <w:vAlign w:val="center"/>
                </w:tcPr>
                <w:p w14:paraId="70B65285">
                  <w:pPr>
                    <w:jc w:val="center"/>
                    <w:rPr>
                      <w:color w:val="000000" w:themeColor="text1"/>
                      <w:sz w:val="21"/>
                      <w:szCs w:val="21"/>
                      <w:highlight w:val="none"/>
                      <w14:textFill>
                        <w14:solidFill>
                          <w14:schemeClr w14:val="tx1"/>
                        </w14:solidFill>
                      </w14:textFill>
                    </w:rPr>
                  </w:pPr>
                </w:p>
              </w:tc>
              <w:tc>
                <w:tcPr>
                  <w:tcW w:w="850" w:type="dxa"/>
                  <w:vMerge w:val="continue"/>
                  <w:vAlign w:val="center"/>
                </w:tcPr>
                <w:p w14:paraId="01440B4B">
                  <w:pPr>
                    <w:jc w:val="center"/>
                    <w:rPr>
                      <w:rFonts w:hint="eastAsia"/>
                      <w:color w:val="000000" w:themeColor="text1"/>
                      <w:sz w:val="21"/>
                      <w:szCs w:val="21"/>
                      <w:highlight w:val="none"/>
                      <w14:textFill>
                        <w14:solidFill>
                          <w14:schemeClr w14:val="tx1"/>
                        </w14:solidFill>
                      </w14:textFill>
                    </w:rPr>
                  </w:pPr>
                </w:p>
              </w:tc>
              <w:tc>
                <w:tcPr>
                  <w:tcW w:w="787" w:type="dxa"/>
                  <w:vAlign w:val="center"/>
                </w:tcPr>
                <w:p w14:paraId="042CD901">
                  <w:pPr>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NOx</w:t>
                  </w:r>
                </w:p>
              </w:tc>
              <w:tc>
                <w:tcPr>
                  <w:tcW w:w="1247" w:type="dxa"/>
                  <w:vAlign w:val="center"/>
                </w:tcPr>
                <w:p w14:paraId="6B913577">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300</w:t>
                  </w:r>
                </w:p>
              </w:tc>
              <w:tc>
                <w:tcPr>
                  <w:tcW w:w="910" w:type="dxa"/>
                  <w:vMerge w:val="continue"/>
                  <w:vAlign w:val="center"/>
                </w:tcPr>
                <w:p w14:paraId="3415485C">
                  <w:pPr>
                    <w:jc w:val="center"/>
                    <w:rPr>
                      <w:rFonts w:hint="eastAsia"/>
                      <w:color w:val="000000" w:themeColor="text1"/>
                      <w:sz w:val="21"/>
                      <w:szCs w:val="21"/>
                      <w:highlight w:val="none"/>
                      <w:lang w:val="en-US" w:eastAsia="zh-CN"/>
                      <w14:textFill>
                        <w14:solidFill>
                          <w14:schemeClr w14:val="tx1"/>
                        </w14:solidFill>
                      </w14:textFill>
                    </w:rPr>
                  </w:pPr>
                </w:p>
              </w:tc>
              <w:tc>
                <w:tcPr>
                  <w:tcW w:w="1222" w:type="dxa"/>
                  <w:vAlign w:val="center"/>
                </w:tcPr>
                <w:p w14:paraId="0C390E94">
                  <w:pPr>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2964" w:type="dxa"/>
                  <w:vMerge w:val="continue"/>
                  <w:vAlign w:val="center"/>
                </w:tcPr>
                <w:p w14:paraId="70C0452E">
                  <w:pPr>
                    <w:jc w:val="center"/>
                    <w:rPr>
                      <w:rFonts w:hint="eastAsia"/>
                      <w:color w:val="000000" w:themeColor="text1"/>
                      <w:sz w:val="21"/>
                      <w:szCs w:val="21"/>
                      <w:highlight w:val="none"/>
                      <w14:textFill>
                        <w14:solidFill>
                          <w14:schemeClr w14:val="tx1"/>
                        </w14:solidFill>
                      </w14:textFill>
                    </w:rPr>
                  </w:pPr>
                </w:p>
              </w:tc>
            </w:tr>
            <w:tr w14:paraId="1E1C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19" w:type="dxa"/>
                  <w:vAlign w:val="center"/>
                </w:tcPr>
                <w:p w14:paraId="6FE64559">
                  <w:pPr>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厂区内无组织</w:t>
                  </w:r>
                </w:p>
              </w:tc>
              <w:tc>
                <w:tcPr>
                  <w:tcW w:w="850" w:type="dxa"/>
                  <w:vAlign w:val="center"/>
                </w:tcPr>
                <w:p w14:paraId="2B40DA0A">
                  <w:pPr>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787" w:type="dxa"/>
                  <w:vAlign w:val="center"/>
                </w:tcPr>
                <w:p w14:paraId="12310223">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颗粒物</w:t>
                  </w:r>
                </w:p>
              </w:tc>
              <w:tc>
                <w:tcPr>
                  <w:tcW w:w="1247" w:type="dxa"/>
                  <w:vAlign w:val="center"/>
                </w:tcPr>
                <w:p w14:paraId="2FBEB3DA">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910" w:type="dxa"/>
                  <w:vAlign w:val="center"/>
                </w:tcPr>
                <w:p w14:paraId="03159026">
                  <w:pPr>
                    <w:jc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1222" w:type="dxa"/>
                  <w:vAlign w:val="center"/>
                </w:tcPr>
                <w:p w14:paraId="0605CDED">
                  <w:pPr>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w:t>
                  </w:r>
                </w:p>
              </w:tc>
              <w:tc>
                <w:tcPr>
                  <w:tcW w:w="2964" w:type="dxa"/>
                  <w:vAlign w:val="center"/>
                </w:tcPr>
                <w:p w14:paraId="134339E0">
                  <w:pPr>
                    <w:jc w:val="left"/>
                    <w:rPr>
                      <w:rFonts w:hint="eastAsia"/>
                      <w:color w:val="000000" w:themeColor="text1"/>
                      <w:sz w:val="21"/>
                      <w:szCs w:val="21"/>
                      <w:highlight w:val="none"/>
                      <w14:textFill>
                        <w14:solidFill>
                          <w14:schemeClr w14:val="tx1"/>
                        </w14:solidFill>
                      </w14:textFill>
                    </w:rPr>
                  </w:pPr>
                  <w:r>
                    <w:rPr>
                      <w:rFonts w:hint="eastAsia" w:eastAsiaTheme="minorEastAsia"/>
                      <w:color w:val="000000" w:themeColor="text1"/>
                      <w:sz w:val="21"/>
                      <w:szCs w:val="21"/>
                      <w:highlight w:val="none"/>
                      <w14:textFill>
                        <w14:solidFill>
                          <w14:schemeClr w14:val="tx1"/>
                        </w14:solidFill>
                      </w14:textFill>
                    </w:rPr>
                    <w:t>广东省地方标准《大气污染物排放限值》（DB44/27-2001）无组织排放监控浓度限值</w:t>
                  </w:r>
                </w:p>
              </w:tc>
            </w:tr>
          </w:tbl>
          <w:p w14:paraId="4C4C6C74">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2.废水排放标准</w:t>
            </w:r>
          </w:p>
          <w:p w14:paraId="5A2D59E8">
            <w:pPr>
              <w:snapToGrid w:val="0"/>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（1）建设期</w:t>
            </w:r>
          </w:p>
          <w:p w14:paraId="092833D6">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本项目建设期施工废水经临时沉淀池处理后全部用于扬尘点洒水，不外排。施工人员不在现场食宿，无生活污水产生。</w:t>
            </w:r>
          </w:p>
          <w:p w14:paraId="3B1E7D34">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（2）运营期</w:t>
            </w:r>
          </w:p>
          <w:p w14:paraId="36322DB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本项目运营期采用</w:t>
            </w:r>
            <w:r>
              <w:rPr>
                <w:rFonts w:hint="eastAsia" w:ascii="宋体" w:hAnsi="宋体"/>
                <w:color w:val="000000"/>
                <w:kern w:val="0"/>
                <w:sz w:val="24"/>
                <w:highlight w:val="none"/>
                <w:lang w:val="en-US" w:eastAsia="zh-CN"/>
              </w:rPr>
              <w:t>喷淋除尘脱硫塔</w:t>
            </w:r>
            <w:r>
              <w:rPr>
                <w:rFonts w:hint="eastAsia" w:ascii="宋体" w:hAnsi="宋体"/>
                <w:color w:val="000000" w:themeColor="text1"/>
                <w:sz w:val="24"/>
                <w:highlight w:val="none"/>
                <w14:textFill>
                  <w14:solidFill>
                    <w14:schemeClr w14:val="tx1"/>
                  </w14:solidFill>
                </w14:textFill>
              </w:rPr>
              <w:t>过程</w:t>
            </w:r>
            <w:r>
              <w:rPr>
                <w:rFonts w:hint="eastAsia" w:ascii="宋体" w:hAnsi="宋体"/>
                <w:color w:val="000000" w:themeColor="text1"/>
                <w:sz w:val="24"/>
                <w:highlight w:val="none"/>
                <w:lang w:val="en-US" w:eastAsia="zh-CN"/>
                <w14:textFill>
                  <w14:solidFill>
                    <w14:schemeClr w14:val="tx1"/>
                  </w14:solidFill>
                </w14:textFill>
              </w:rPr>
              <w:t>中</w:t>
            </w:r>
            <w:r>
              <w:rPr>
                <w:rFonts w:hint="eastAsia" w:ascii="宋体" w:hAnsi="宋体"/>
                <w:color w:val="000000" w:themeColor="text1"/>
                <w:sz w:val="24"/>
                <w:highlight w:val="none"/>
                <w14:textFill>
                  <w14:solidFill>
                    <w14:schemeClr w14:val="tx1"/>
                  </w14:solidFill>
                </w14:textFill>
              </w:rPr>
              <w:t>会产生</w:t>
            </w:r>
            <w:r>
              <w:rPr>
                <w:rFonts w:hint="eastAsia" w:ascii="宋体" w:hAnsi="宋体"/>
                <w:color w:val="000000" w:themeColor="text1"/>
                <w:sz w:val="24"/>
                <w:highlight w:val="none"/>
                <w:lang w:val="en-US" w:eastAsia="zh-CN"/>
                <w14:textFill>
                  <w14:solidFill>
                    <w14:schemeClr w14:val="tx1"/>
                  </w14:solidFill>
                </w14:textFill>
              </w:rPr>
              <w:t>喷淋</w:t>
            </w:r>
            <w:r>
              <w:rPr>
                <w:rFonts w:hint="eastAsia" w:ascii="宋体" w:hAnsi="宋体"/>
                <w:color w:val="000000" w:themeColor="text1"/>
                <w:sz w:val="24"/>
                <w:highlight w:val="none"/>
                <w14:textFill>
                  <w14:solidFill>
                    <w14:schemeClr w14:val="tx1"/>
                  </w14:solidFill>
                </w14:textFill>
              </w:rPr>
              <w:t>废水，</w:t>
            </w:r>
            <w:r>
              <w:rPr>
                <w:rFonts w:hint="eastAsia" w:ascii="宋体" w:hAnsi="宋体"/>
                <w:color w:val="000000" w:themeColor="text1"/>
                <w:sz w:val="24"/>
                <w:highlight w:val="none"/>
                <w:lang w:val="en-US" w:eastAsia="zh-CN"/>
                <w14:textFill>
                  <w14:solidFill>
                    <w14:schemeClr w14:val="tx1"/>
                  </w14:solidFill>
                </w14:textFill>
              </w:rPr>
              <w:t>喷淋</w:t>
            </w:r>
            <w:r>
              <w:rPr>
                <w:rFonts w:hint="eastAsia" w:ascii="宋体" w:hAnsi="宋体"/>
                <w:color w:val="000000" w:themeColor="text1"/>
                <w:sz w:val="24"/>
                <w:highlight w:val="none"/>
                <w14:textFill>
                  <w14:solidFill>
                    <w14:schemeClr w14:val="tx1"/>
                  </w14:solidFill>
                </w14:textFill>
              </w:rPr>
              <w:t>废水</w:t>
            </w:r>
            <w:r>
              <w:rPr>
                <w:rFonts w:hint="eastAsia" w:ascii="宋体" w:hAnsi="宋体"/>
                <w:color w:val="000000" w:themeColor="text1"/>
                <w:sz w:val="24"/>
                <w:highlight w:val="none"/>
                <w:lang w:val="en-US" w:eastAsia="zh-CN"/>
                <w14:textFill>
                  <w14:solidFill>
                    <w14:schemeClr w14:val="tx1"/>
                  </w14:solidFill>
                </w14:textFill>
              </w:rPr>
              <w:t>喷淋除尘脱硫塔配置</w:t>
            </w:r>
            <w:r>
              <w:rPr>
                <w:rFonts w:hint="eastAsia" w:ascii="宋体" w:hAnsi="宋体"/>
                <w:color w:val="000000" w:themeColor="text1"/>
                <w:sz w:val="24"/>
                <w:highlight w:val="none"/>
                <w14:textFill>
                  <w14:solidFill>
                    <w14:schemeClr w14:val="tx1"/>
                  </w14:solidFill>
                </w14:textFill>
              </w:rPr>
              <w:t>的沉淀池处理后循环利用，不外排；排放</w:t>
            </w:r>
            <w:r>
              <w:rPr>
                <w:rFonts w:ascii="宋体" w:hAnsi="宋体"/>
                <w:color w:val="000000" w:themeColor="text1"/>
                <w:sz w:val="24"/>
                <w:highlight w:val="none"/>
                <w14:textFill>
                  <w14:solidFill>
                    <w14:schemeClr w14:val="tx1"/>
                  </w14:solidFill>
                </w14:textFill>
              </w:rPr>
              <w:t>废水</w:t>
            </w:r>
            <w:r>
              <w:rPr>
                <w:rFonts w:hint="eastAsia" w:ascii="宋体" w:hAnsi="宋体"/>
                <w:color w:val="000000" w:themeColor="text1"/>
                <w:sz w:val="24"/>
                <w:highlight w:val="none"/>
                <w14:textFill>
                  <w14:solidFill>
                    <w14:schemeClr w14:val="tx1"/>
                  </w14:solidFill>
                </w14:textFill>
              </w:rPr>
              <w:t>来源于</w:t>
            </w:r>
            <w:r>
              <w:rPr>
                <w:rFonts w:ascii="宋体" w:hAnsi="宋体"/>
                <w:color w:val="000000" w:themeColor="text1"/>
                <w:sz w:val="24"/>
                <w:highlight w:val="none"/>
                <w14:textFill>
                  <w14:solidFill>
                    <w14:schemeClr w14:val="tx1"/>
                  </w14:solidFill>
                </w14:textFill>
              </w:rPr>
              <w:t>生活污水</w:t>
            </w:r>
            <w:r>
              <w:rPr>
                <w:rFonts w:hint="eastAsia" w:ascii="宋体" w:hAnsi="宋体"/>
                <w:color w:val="000000" w:themeColor="text1"/>
                <w:sz w:val="24"/>
                <w:highlight w:val="none"/>
                <w14:textFill>
                  <w14:solidFill>
                    <w14:schemeClr w14:val="tx1"/>
                  </w14:solidFill>
                </w14:textFill>
              </w:rPr>
              <w:t>，少量生活</w:t>
            </w:r>
            <w:r>
              <w:rPr>
                <w:rFonts w:ascii="宋体" w:hAnsi="宋体"/>
                <w:color w:val="000000" w:themeColor="text1"/>
                <w:sz w:val="24"/>
                <w:highlight w:val="none"/>
                <w14:textFill>
                  <w14:solidFill>
                    <w14:schemeClr w14:val="tx1"/>
                  </w14:solidFill>
                </w14:textFill>
              </w:rPr>
              <w:t>污水经</w:t>
            </w:r>
            <w:r>
              <w:rPr>
                <w:rFonts w:hint="eastAsia" w:ascii="宋体" w:hAnsi="宋体"/>
                <w:color w:val="000000" w:themeColor="text1"/>
                <w:sz w:val="24"/>
                <w:highlight w:val="none"/>
                <w14:textFill>
                  <w14:solidFill>
                    <w14:schemeClr w14:val="tx1"/>
                  </w14:solidFill>
                </w14:textFill>
              </w:rPr>
              <w:t>三级化粪池处理后</w:t>
            </w:r>
            <w:r>
              <w:rPr>
                <w:rFonts w:ascii="宋体" w:hAnsi="宋体"/>
                <w:color w:val="000000" w:themeColor="text1"/>
                <w:sz w:val="24"/>
                <w:highlight w:val="none"/>
                <w14:textFill>
                  <w14:solidFill>
                    <w14:schemeClr w14:val="tx1"/>
                  </w14:solidFill>
                </w14:textFill>
              </w:rPr>
              <w:t>处理达</w:t>
            </w:r>
            <w:r>
              <w:rPr>
                <w:rFonts w:hint="eastAsia" w:ascii="宋体" w:hAnsi="宋体"/>
                <w:color w:val="000000" w:themeColor="text1"/>
                <w:sz w:val="24"/>
                <w:highlight w:val="none"/>
                <w14:textFill>
                  <w14:solidFill>
                    <w14:schemeClr w14:val="tx1"/>
                  </w14:solidFill>
                </w14:textFill>
              </w:rPr>
              <w:t>到《农田灌溉水质标准》（</w:t>
            </w:r>
            <w:r>
              <w:rPr>
                <w:color w:val="000000" w:themeColor="text1"/>
                <w:sz w:val="24"/>
                <w:highlight w:val="none"/>
                <w14:textFill>
                  <w14:solidFill>
                    <w14:schemeClr w14:val="tx1"/>
                  </w14:solidFill>
                </w14:textFill>
              </w:rPr>
              <w:t>GB 5084-2021</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中“表</w:t>
            </w:r>
            <w:r>
              <w:rPr>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基本控制项目限值</w:t>
            </w:r>
            <w:r>
              <w:rPr>
                <w:rFonts w:hint="eastAsia"/>
                <w:color w:val="000000" w:themeColor="text1"/>
                <w:sz w:val="24"/>
                <w:highlight w:val="none"/>
                <w:lang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的旱地作物水质标准后</w:t>
            </w:r>
            <w:r>
              <w:rPr>
                <w:rFonts w:hint="eastAsia" w:ascii="宋体" w:hAnsi="宋体"/>
                <w:color w:val="000000" w:themeColor="text1"/>
                <w:sz w:val="24"/>
                <w:highlight w:val="none"/>
                <w:lang w:val="en-US" w:eastAsia="zh-CN"/>
                <w14:textFill>
                  <w14:solidFill>
                    <w14:schemeClr w14:val="tx1"/>
                  </w14:solidFill>
                </w14:textFill>
              </w:rPr>
              <w:t>用于周边林地浇灌</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农田灌溉水质基本控制项目限值</w:t>
            </w:r>
            <w:r>
              <w:rPr>
                <w:rFonts w:ascii="宋体" w:hAnsi="宋体"/>
                <w:color w:val="000000" w:themeColor="text1"/>
                <w:sz w:val="24"/>
                <w:highlight w:val="none"/>
                <w14:textFill>
                  <w14:solidFill>
                    <w14:schemeClr w14:val="tx1"/>
                  </w14:solidFill>
                </w14:textFill>
              </w:rPr>
              <w:t>见表</w:t>
            </w:r>
            <w:r>
              <w:rPr>
                <w:color w:val="000000" w:themeColor="text1"/>
                <w:sz w:val="24"/>
                <w:highlight w:val="none"/>
                <w14:textFill>
                  <w14:solidFill>
                    <w14:schemeClr w14:val="tx1"/>
                  </w14:solidFill>
                </w14:textFill>
              </w:rPr>
              <w:t>3-</w:t>
            </w:r>
            <w:r>
              <w:rPr>
                <w:rFonts w:hint="eastAsia"/>
                <w:color w:val="000000" w:themeColor="text1"/>
                <w:sz w:val="24"/>
                <w:highlight w:val="non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w:t>
            </w:r>
          </w:p>
          <w:p w14:paraId="0C640B0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p>
          <w:p w14:paraId="7C3CFCA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等线" w:hAnsi="等线" w:eastAsia="等线"/>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表</w:t>
            </w:r>
            <w:r>
              <w:rPr>
                <w:b/>
                <w:color w:val="000000" w:themeColor="text1"/>
                <w:sz w:val="24"/>
                <w:highlight w:val="none"/>
                <w14:textFill>
                  <w14:solidFill>
                    <w14:schemeClr w14:val="tx1"/>
                  </w14:solidFill>
                </w14:textFill>
              </w:rPr>
              <w:t>3-</w:t>
            </w:r>
            <w:r>
              <w:rPr>
                <w:rFonts w:hint="eastAsia"/>
                <w:b/>
                <w:color w:val="000000" w:themeColor="text1"/>
                <w:sz w:val="24"/>
                <w:highlight w:val="none"/>
                <w:lang w:val="en-US" w:eastAsia="zh-CN"/>
                <w14:textFill>
                  <w14:solidFill>
                    <w14:schemeClr w14:val="tx1"/>
                  </w14:solidFill>
                </w14:textFill>
              </w:rPr>
              <w:t>6</w:t>
            </w:r>
            <w:r>
              <w:rPr>
                <w:rFonts w:hint="eastAsia" w:ascii="宋体" w:hAnsi="宋体"/>
                <w:b/>
                <w:color w:val="000000" w:themeColor="text1"/>
                <w:sz w:val="24"/>
                <w:highlight w:val="none"/>
                <w14:textFill>
                  <w14:solidFill>
                    <w14:schemeClr w14:val="tx1"/>
                  </w14:solidFill>
                </w14:textFill>
              </w:rPr>
              <w:t xml:space="preserve"> 农田灌溉水质基本控制项目限值一览表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977"/>
              <w:gridCol w:w="3475"/>
            </w:tblGrid>
            <w:tr w14:paraId="3AA3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46F15202">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bookmarkStart w:id="17" w:name="_Ref488682755"/>
                  <w:r>
                    <w:rPr>
                      <w:rFonts w:ascii="宋体"/>
                      <w:bCs/>
                      <w:color w:val="000000" w:themeColor="text1"/>
                      <w:szCs w:val="21"/>
                      <w:highlight w:val="none"/>
                      <w14:textFill>
                        <w14:solidFill>
                          <w14:schemeClr w14:val="tx1"/>
                        </w14:solidFill>
                      </w14:textFill>
                    </w:rPr>
                    <w:t>序号</w:t>
                  </w:r>
                  <w:bookmarkEnd w:id="17"/>
                </w:p>
              </w:tc>
              <w:tc>
                <w:tcPr>
                  <w:tcW w:w="2977" w:type="dxa"/>
                  <w:tcBorders>
                    <w:top w:val="single" w:color="auto" w:sz="4" w:space="0"/>
                    <w:left w:val="single" w:color="auto" w:sz="4" w:space="0"/>
                    <w:bottom w:val="single" w:color="auto" w:sz="4" w:space="0"/>
                    <w:right w:val="single" w:color="auto" w:sz="4" w:space="0"/>
                  </w:tcBorders>
                  <w:vAlign w:val="center"/>
                </w:tcPr>
                <w:p w14:paraId="0357AD8C">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rFonts w:ascii="宋体"/>
                      <w:bCs/>
                      <w:color w:val="000000" w:themeColor="text1"/>
                      <w:szCs w:val="21"/>
                      <w:highlight w:val="none"/>
                      <w14:textFill>
                        <w14:solidFill>
                          <w14:schemeClr w14:val="tx1"/>
                        </w14:solidFill>
                      </w14:textFill>
                    </w:rPr>
                    <w:t>类别（旱地作物）</w:t>
                  </w:r>
                </w:p>
              </w:tc>
              <w:tc>
                <w:tcPr>
                  <w:tcW w:w="3475" w:type="dxa"/>
                  <w:tcBorders>
                    <w:top w:val="single" w:color="auto" w:sz="4" w:space="0"/>
                    <w:left w:val="single" w:color="auto" w:sz="4" w:space="0"/>
                    <w:bottom w:val="single" w:color="auto" w:sz="4" w:space="0"/>
                    <w:right w:val="single" w:color="auto" w:sz="4" w:space="0"/>
                  </w:tcBorders>
                  <w:vAlign w:val="center"/>
                </w:tcPr>
                <w:p w14:paraId="135B457F">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rFonts w:ascii="宋体"/>
                      <w:bCs/>
                      <w:color w:val="000000" w:themeColor="text1"/>
                      <w:szCs w:val="21"/>
                      <w:highlight w:val="none"/>
                      <w14:textFill>
                        <w14:solidFill>
                          <w14:schemeClr w14:val="tx1"/>
                        </w14:solidFill>
                      </w14:textFill>
                    </w:rPr>
                    <w:t>标准值（</w:t>
                  </w:r>
                  <w:r>
                    <w:rPr>
                      <w:bCs/>
                      <w:color w:val="000000" w:themeColor="text1"/>
                      <w:szCs w:val="21"/>
                      <w:highlight w:val="none"/>
                      <w14:textFill>
                        <w14:solidFill>
                          <w14:schemeClr w14:val="tx1"/>
                        </w14:solidFill>
                      </w14:textFill>
                    </w:rPr>
                    <w:t>mg/L</w:t>
                  </w:r>
                  <w:r>
                    <w:rPr>
                      <w:rFonts w:ascii="宋体"/>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pH</w:t>
                  </w:r>
                  <w:r>
                    <w:rPr>
                      <w:rFonts w:ascii="宋体"/>
                      <w:bCs/>
                      <w:color w:val="000000" w:themeColor="text1"/>
                      <w:szCs w:val="21"/>
                      <w:highlight w:val="none"/>
                      <w14:textFill>
                        <w14:solidFill>
                          <w14:schemeClr w14:val="tx1"/>
                        </w14:solidFill>
                      </w14:textFill>
                    </w:rPr>
                    <w:t>除外）</w:t>
                  </w:r>
                </w:p>
              </w:tc>
            </w:tr>
            <w:tr w14:paraId="565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6EBE6DAE">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w:t>
                  </w:r>
                </w:p>
              </w:tc>
              <w:tc>
                <w:tcPr>
                  <w:tcW w:w="2977" w:type="dxa"/>
                  <w:tcBorders>
                    <w:top w:val="single" w:color="auto" w:sz="4" w:space="0"/>
                    <w:left w:val="single" w:color="auto" w:sz="4" w:space="0"/>
                    <w:bottom w:val="single" w:color="auto" w:sz="4" w:space="0"/>
                    <w:right w:val="single" w:color="auto" w:sz="4" w:space="0"/>
                  </w:tcBorders>
                  <w:vAlign w:val="center"/>
                </w:tcPr>
                <w:p w14:paraId="166FFEA7">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pH</w:t>
                  </w:r>
                </w:p>
              </w:tc>
              <w:tc>
                <w:tcPr>
                  <w:tcW w:w="3475" w:type="dxa"/>
                  <w:tcBorders>
                    <w:top w:val="single" w:color="auto" w:sz="4" w:space="0"/>
                    <w:left w:val="single" w:color="auto" w:sz="4" w:space="0"/>
                    <w:bottom w:val="single" w:color="auto" w:sz="4" w:space="0"/>
                    <w:right w:val="single" w:color="auto" w:sz="4" w:space="0"/>
                  </w:tcBorders>
                  <w:vAlign w:val="center"/>
                </w:tcPr>
                <w:p w14:paraId="74968A6B">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5.5-8.5</w:t>
                  </w:r>
                </w:p>
              </w:tc>
            </w:tr>
            <w:tr w14:paraId="2F49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1A43ADD3">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2</w:t>
                  </w:r>
                </w:p>
              </w:tc>
              <w:tc>
                <w:tcPr>
                  <w:tcW w:w="2977" w:type="dxa"/>
                  <w:tcBorders>
                    <w:top w:val="single" w:color="auto" w:sz="4" w:space="0"/>
                    <w:left w:val="single" w:color="auto" w:sz="4" w:space="0"/>
                    <w:bottom w:val="single" w:color="auto" w:sz="4" w:space="0"/>
                    <w:right w:val="single" w:color="auto" w:sz="4" w:space="0"/>
                  </w:tcBorders>
                  <w:vAlign w:val="center"/>
                </w:tcPr>
                <w:p w14:paraId="6084BD47">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SS</w:t>
                  </w:r>
                </w:p>
              </w:tc>
              <w:tc>
                <w:tcPr>
                  <w:tcW w:w="3475" w:type="dxa"/>
                  <w:tcBorders>
                    <w:top w:val="single" w:color="auto" w:sz="4" w:space="0"/>
                    <w:left w:val="single" w:color="auto" w:sz="4" w:space="0"/>
                    <w:bottom w:val="single" w:color="auto" w:sz="4" w:space="0"/>
                    <w:right w:val="single" w:color="auto" w:sz="4" w:space="0"/>
                  </w:tcBorders>
                  <w:vAlign w:val="center"/>
                </w:tcPr>
                <w:p w14:paraId="143FC943">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100</w:t>
                  </w:r>
                </w:p>
              </w:tc>
            </w:tr>
            <w:tr w14:paraId="61E3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2D150AFB">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3</w:t>
                  </w:r>
                </w:p>
              </w:tc>
              <w:tc>
                <w:tcPr>
                  <w:tcW w:w="2977" w:type="dxa"/>
                  <w:tcBorders>
                    <w:top w:val="single" w:color="auto" w:sz="4" w:space="0"/>
                    <w:left w:val="single" w:color="auto" w:sz="4" w:space="0"/>
                    <w:bottom w:val="single" w:color="auto" w:sz="4" w:space="0"/>
                    <w:right w:val="single" w:color="auto" w:sz="4" w:space="0"/>
                  </w:tcBorders>
                  <w:vAlign w:val="center"/>
                </w:tcPr>
                <w:p w14:paraId="72AA493F">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CODcr</w:t>
                  </w:r>
                </w:p>
              </w:tc>
              <w:tc>
                <w:tcPr>
                  <w:tcW w:w="3475" w:type="dxa"/>
                  <w:tcBorders>
                    <w:top w:val="single" w:color="auto" w:sz="4" w:space="0"/>
                    <w:left w:val="single" w:color="auto" w:sz="4" w:space="0"/>
                    <w:bottom w:val="single" w:color="auto" w:sz="4" w:space="0"/>
                    <w:right w:val="single" w:color="auto" w:sz="4" w:space="0"/>
                  </w:tcBorders>
                  <w:vAlign w:val="center"/>
                </w:tcPr>
                <w:p w14:paraId="24A9A5E3">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200</w:t>
                  </w:r>
                </w:p>
              </w:tc>
            </w:tr>
            <w:tr w14:paraId="299E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34DED5BA">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4</w:t>
                  </w:r>
                </w:p>
              </w:tc>
              <w:tc>
                <w:tcPr>
                  <w:tcW w:w="2977" w:type="dxa"/>
                  <w:tcBorders>
                    <w:top w:val="single" w:color="auto" w:sz="4" w:space="0"/>
                    <w:left w:val="single" w:color="auto" w:sz="4" w:space="0"/>
                    <w:bottom w:val="single" w:color="auto" w:sz="4" w:space="0"/>
                    <w:right w:val="single" w:color="auto" w:sz="4" w:space="0"/>
                  </w:tcBorders>
                  <w:vAlign w:val="center"/>
                </w:tcPr>
                <w:p w14:paraId="52985CBF">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BOD</w:t>
                  </w:r>
                  <w:r>
                    <w:rPr>
                      <w:bCs/>
                      <w:color w:val="000000" w:themeColor="text1"/>
                      <w:szCs w:val="21"/>
                      <w:highlight w:val="none"/>
                      <w:vertAlign w:val="subscript"/>
                      <w14:textFill>
                        <w14:solidFill>
                          <w14:schemeClr w14:val="tx1"/>
                        </w14:solidFill>
                      </w14:textFill>
                    </w:rPr>
                    <w:t>5</w:t>
                  </w:r>
                </w:p>
              </w:tc>
              <w:tc>
                <w:tcPr>
                  <w:tcW w:w="3475" w:type="dxa"/>
                  <w:tcBorders>
                    <w:top w:val="single" w:color="auto" w:sz="4" w:space="0"/>
                    <w:left w:val="single" w:color="auto" w:sz="4" w:space="0"/>
                    <w:bottom w:val="single" w:color="auto" w:sz="4" w:space="0"/>
                    <w:right w:val="single" w:color="auto" w:sz="4" w:space="0"/>
                  </w:tcBorders>
                  <w:vAlign w:val="center"/>
                </w:tcPr>
                <w:p w14:paraId="05D944D0">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100</w:t>
                  </w:r>
                </w:p>
              </w:tc>
            </w:tr>
            <w:tr w14:paraId="6468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dxa"/>
                  <w:tcBorders>
                    <w:top w:val="single" w:color="auto" w:sz="4" w:space="0"/>
                    <w:left w:val="single" w:color="auto" w:sz="4" w:space="0"/>
                    <w:bottom w:val="single" w:color="auto" w:sz="4" w:space="0"/>
                    <w:right w:val="single" w:color="auto" w:sz="4" w:space="0"/>
                  </w:tcBorders>
                  <w:vAlign w:val="center"/>
                </w:tcPr>
                <w:p w14:paraId="538B4DEC">
                  <w:pPr>
                    <w:keepNext w:val="0"/>
                    <w:keepLines w:val="0"/>
                    <w:pageBreakBefore w:val="0"/>
                    <w:widowControl w:val="0"/>
                    <w:kinsoku/>
                    <w:wordWrap/>
                    <w:overflowPunct/>
                    <w:topLinePunct w:val="0"/>
                    <w:autoSpaceDE/>
                    <w:autoSpaceDN/>
                    <w:bidi w:val="0"/>
                    <w:adjustRightInd w:val="0"/>
                    <w:snapToGrid w:val="0"/>
                    <w:jc w:val="center"/>
                    <w:textAlignment w:val="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5</w:t>
                  </w:r>
                </w:p>
              </w:tc>
              <w:tc>
                <w:tcPr>
                  <w:tcW w:w="2977" w:type="dxa"/>
                  <w:tcBorders>
                    <w:top w:val="single" w:color="auto" w:sz="4" w:space="0"/>
                    <w:left w:val="single" w:color="auto" w:sz="4" w:space="0"/>
                    <w:bottom w:val="single" w:color="auto" w:sz="4" w:space="0"/>
                    <w:right w:val="single" w:color="auto" w:sz="4" w:space="0"/>
                  </w:tcBorders>
                  <w:vAlign w:val="center"/>
                </w:tcPr>
                <w:p w14:paraId="08C1FC5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Cs/>
                      <w:color w:val="000000" w:themeColor="text1"/>
                      <w:szCs w:val="21"/>
                      <w:highlight w:val="none"/>
                      <w:lang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NH</w:t>
                  </w:r>
                  <w:r>
                    <w:rPr>
                      <w:rFonts w:hint="eastAsia"/>
                      <w:bCs/>
                      <w:color w:val="000000" w:themeColor="text1"/>
                      <w:szCs w:val="21"/>
                      <w:highlight w:val="none"/>
                      <w:vertAlign w:val="subscript"/>
                      <w:lang w:val="en-US" w:eastAsia="zh-CN"/>
                      <w14:textFill>
                        <w14:solidFill>
                          <w14:schemeClr w14:val="tx1"/>
                        </w14:solidFill>
                      </w14:textFill>
                    </w:rPr>
                    <w:t>3</w:t>
                  </w:r>
                  <w:r>
                    <w:rPr>
                      <w:rFonts w:hint="eastAsia"/>
                      <w:bCs/>
                      <w:color w:val="000000" w:themeColor="text1"/>
                      <w:szCs w:val="21"/>
                      <w:highlight w:val="none"/>
                      <w:lang w:val="en-US" w:eastAsia="zh-CN"/>
                      <w14:textFill>
                        <w14:solidFill>
                          <w14:schemeClr w14:val="tx1"/>
                        </w14:solidFill>
                      </w14:textFill>
                    </w:rPr>
                    <w:t>-N</w:t>
                  </w:r>
                </w:p>
              </w:tc>
              <w:tc>
                <w:tcPr>
                  <w:tcW w:w="3475" w:type="dxa"/>
                  <w:tcBorders>
                    <w:top w:val="single" w:color="auto" w:sz="4" w:space="0"/>
                    <w:left w:val="single" w:color="auto" w:sz="4" w:space="0"/>
                    <w:bottom w:val="single" w:color="auto" w:sz="4" w:space="0"/>
                    <w:right w:val="single" w:color="auto" w:sz="4" w:space="0"/>
                  </w:tcBorders>
                  <w:vAlign w:val="center"/>
                </w:tcPr>
                <w:p w14:paraId="594E6EB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eastAsia="宋体"/>
                      <w:bCs/>
                      <w:color w:val="000000" w:themeColor="text1"/>
                      <w:szCs w:val="21"/>
                      <w:highlight w:val="none"/>
                      <w:lang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w:t>
                  </w:r>
                </w:p>
              </w:tc>
            </w:tr>
          </w:tbl>
          <w:p w14:paraId="2E3FB4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textAlignment w:val="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3.噪声排放标准</w:t>
            </w:r>
          </w:p>
          <w:p w14:paraId="483AA57D">
            <w:pPr>
              <w:adjustRightInd w:val="0"/>
              <w:snapToGrid w:val="0"/>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（1）建设期执行《建筑施工场界环境噪声排放标准》（GB12523-2011）中噪声限值，具体标准值见表3-</w:t>
            </w:r>
            <w:r>
              <w:rPr>
                <w:rFonts w:hint="eastAsia"/>
                <w:color w:val="000000" w:themeColor="text1"/>
                <w:sz w:val="24"/>
                <w:highlight w:val="none"/>
                <w:lang w:val="en-US" w:eastAsia="zh-CN"/>
                <w14:textFill>
                  <w14:solidFill>
                    <w14:schemeClr w14:val="tx1"/>
                  </w14:solidFill>
                </w14:textFill>
              </w:rPr>
              <w:t>7</w:t>
            </w:r>
            <w:r>
              <w:rPr>
                <w:color w:val="000000" w:themeColor="text1"/>
                <w:sz w:val="24"/>
                <w:highlight w:val="none"/>
                <w14:textFill>
                  <w14:solidFill>
                    <w14:schemeClr w14:val="tx1"/>
                  </w14:solidFill>
                </w14:textFill>
              </w:rPr>
              <w:t>。</w:t>
            </w:r>
          </w:p>
          <w:p w14:paraId="7C4A0DC8">
            <w:pPr>
              <w:adjustRightInd w:val="0"/>
              <w:snapToGrid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表3-</w:t>
            </w:r>
            <w:r>
              <w:rPr>
                <w:rFonts w:hint="eastAsia"/>
                <w:b/>
                <w:bCs/>
                <w:color w:val="000000" w:themeColor="text1"/>
                <w:sz w:val="24"/>
                <w:highlight w:val="none"/>
                <w:lang w:val="en-US" w:eastAsia="zh-CN"/>
                <w14:textFill>
                  <w14:solidFill>
                    <w14:schemeClr w14:val="tx1"/>
                  </w14:solidFill>
                </w14:textFill>
              </w:rPr>
              <w:t>7</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lang w:val="en-US" w:eastAsia="zh-CN"/>
                <w14:textFill>
                  <w14:solidFill>
                    <w14:schemeClr w14:val="tx1"/>
                  </w14:solidFill>
                </w14:textFill>
              </w:rPr>
              <w:t xml:space="preserve">    </w:t>
            </w:r>
            <w:r>
              <w:rPr>
                <w:b/>
                <w:bCs/>
                <w:color w:val="000000" w:themeColor="text1"/>
                <w:sz w:val="24"/>
                <w:highlight w:val="none"/>
                <w14:textFill>
                  <w14:solidFill>
                    <w14:schemeClr w14:val="tx1"/>
                  </w14:solidFill>
                </w14:textFill>
              </w:rPr>
              <w:t>建筑施工场界环境噪声排放标准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7"/>
              <w:gridCol w:w="3627"/>
            </w:tblGrid>
            <w:tr w14:paraId="6355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27" w:type="dxa"/>
                  <w:vAlign w:val="center"/>
                </w:tcPr>
                <w:p w14:paraId="582397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昼间</w:t>
                  </w:r>
                </w:p>
              </w:tc>
              <w:tc>
                <w:tcPr>
                  <w:tcW w:w="3627" w:type="dxa"/>
                  <w:vAlign w:val="center"/>
                </w:tcPr>
                <w:p w14:paraId="08C9F1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夜间</w:t>
                  </w:r>
                </w:p>
              </w:tc>
            </w:tr>
            <w:tr w14:paraId="52CA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627" w:type="dxa"/>
                  <w:vAlign w:val="center"/>
                </w:tcPr>
                <w:p w14:paraId="5CE457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70dB（A）</w:t>
                  </w:r>
                </w:p>
              </w:tc>
              <w:tc>
                <w:tcPr>
                  <w:tcW w:w="3627" w:type="dxa"/>
                  <w:vAlign w:val="center"/>
                </w:tcPr>
                <w:p w14:paraId="2ABABD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55dB（A）</w:t>
                  </w:r>
                </w:p>
              </w:tc>
            </w:tr>
          </w:tbl>
          <w:p w14:paraId="66FE7349">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w:t>
            </w:r>
            <w:r>
              <w:rPr>
                <w:color w:val="000000" w:themeColor="text1"/>
                <w:sz w:val="24"/>
                <w:highlight w:val="none"/>
                <w14:textFill>
                  <w14:solidFill>
                    <w14:schemeClr w14:val="tx1"/>
                  </w14:solidFill>
                </w14:textFill>
              </w:rPr>
              <w:t>运营期噪声排放执行《工业企业厂界环境噪声排放标准》（GB12348-2008）</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类标准，具体标准值见表</w:t>
            </w:r>
            <w:r>
              <w:rPr>
                <w:b/>
                <w:bCs/>
                <w:color w:val="000000" w:themeColor="text1"/>
                <w:sz w:val="24"/>
                <w:highlight w:val="none"/>
                <w14:textFill>
                  <w14:solidFill>
                    <w14:schemeClr w14:val="tx1"/>
                  </w14:solidFill>
                </w14:textFill>
              </w:rPr>
              <w:t>3-</w:t>
            </w:r>
            <w:r>
              <w:rPr>
                <w:rFonts w:hint="eastAsia"/>
                <w:b/>
                <w:bCs/>
                <w:color w:val="000000" w:themeColor="text1"/>
                <w:sz w:val="24"/>
                <w:highlight w:val="none"/>
                <w:lang w:val="en-US" w:eastAsia="zh-CN"/>
                <w14:textFill>
                  <w14:solidFill>
                    <w14:schemeClr w14:val="tx1"/>
                  </w14:solidFill>
                </w14:textFill>
              </w:rPr>
              <w:t>8</w:t>
            </w:r>
            <w:r>
              <w:rPr>
                <w:color w:val="000000" w:themeColor="text1"/>
                <w:sz w:val="24"/>
                <w:highlight w:val="none"/>
                <w14:textFill>
                  <w14:solidFill>
                    <w14:schemeClr w14:val="tx1"/>
                  </w14:solidFill>
                </w14:textFill>
              </w:rPr>
              <w:t>。</w:t>
            </w:r>
          </w:p>
          <w:p w14:paraId="14B85E80">
            <w:pPr>
              <w:pStyle w:val="44"/>
              <w:widowControl w:val="0"/>
              <w:numPr>
                <w:ilvl w:val="0"/>
                <w:numId w:val="0"/>
              </w:numPr>
              <w:autoSpaceDE w:val="0"/>
              <w:autoSpaceDN w:val="0"/>
              <w:adjustRightInd w:val="0"/>
              <w:jc w:val="both"/>
              <w:textAlignment w:val="baseline"/>
              <w:rPr>
                <w:highlight w:val="none"/>
              </w:rPr>
            </w:pPr>
          </w:p>
          <w:p w14:paraId="525ED8A1">
            <w:pPr>
              <w:adjustRightInd w:val="0"/>
              <w:snapToGrid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表3-</w:t>
            </w:r>
            <w:r>
              <w:rPr>
                <w:rFonts w:hint="eastAsia"/>
                <w:b/>
                <w:bCs/>
                <w:color w:val="000000" w:themeColor="text1"/>
                <w:sz w:val="24"/>
                <w:highlight w:val="none"/>
                <w:lang w:val="en-US" w:eastAsia="zh-CN"/>
                <w14:textFill>
                  <w14:solidFill>
                    <w14:schemeClr w14:val="tx1"/>
                  </w14:solidFill>
                </w14:textFill>
              </w:rPr>
              <w:t xml:space="preserve">8   </w:t>
            </w:r>
            <w:r>
              <w:rPr>
                <w:b/>
                <w:bCs/>
                <w:color w:val="000000" w:themeColor="text1"/>
                <w:sz w:val="24"/>
                <w:highlight w:val="none"/>
                <w14:textFill>
                  <w14:solidFill>
                    <w14:schemeClr w14:val="tx1"/>
                  </w14:solidFill>
                </w14:textFill>
              </w:rPr>
              <w:t>工业企业厂界环境噪声排放标准（GB12348-2008）</w:t>
            </w:r>
          </w:p>
          <w:tbl>
            <w:tblPr>
              <w:tblStyle w:val="34"/>
              <w:tblW w:w="78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59"/>
              <w:gridCol w:w="1701"/>
              <w:gridCol w:w="3450"/>
            </w:tblGrid>
            <w:tr w14:paraId="63A71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4" w:type="dxa"/>
                  <w:tcBorders>
                    <w:top w:val="single" w:color="auto" w:sz="6" w:space="0"/>
                    <w:left w:val="single" w:color="auto" w:sz="6" w:space="0"/>
                    <w:bottom w:val="single" w:color="auto" w:sz="6" w:space="0"/>
                    <w:right w:val="single" w:color="auto" w:sz="6" w:space="0"/>
                  </w:tcBorders>
                  <w:vAlign w:val="center"/>
                </w:tcPr>
                <w:p w14:paraId="7348574C">
                  <w:pPr>
                    <w:jc w:val="center"/>
                    <w:rPr>
                      <w:b/>
                      <w:bCs/>
                      <w:color w:val="000000" w:themeColor="text1"/>
                      <w:kern w:val="0"/>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类别</w:t>
                  </w:r>
                </w:p>
              </w:tc>
              <w:tc>
                <w:tcPr>
                  <w:tcW w:w="1559" w:type="dxa"/>
                  <w:tcBorders>
                    <w:top w:val="single" w:color="auto" w:sz="6" w:space="0"/>
                    <w:left w:val="nil"/>
                    <w:bottom w:val="single" w:color="auto" w:sz="6" w:space="0"/>
                    <w:right w:val="single" w:color="auto" w:sz="6" w:space="0"/>
                  </w:tcBorders>
                  <w:vAlign w:val="center"/>
                </w:tcPr>
                <w:p w14:paraId="349C0584">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昼间</w:t>
                  </w:r>
                </w:p>
              </w:tc>
              <w:tc>
                <w:tcPr>
                  <w:tcW w:w="1701" w:type="dxa"/>
                  <w:tcBorders>
                    <w:top w:val="single" w:color="auto" w:sz="6" w:space="0"/>
                    <w:left w:val="nil"/>
                    <w:bottom w:val="single" w:color="auto" w:sz="6" w:space="0"/>
                    <w:right w:val="single" w:color="auto" w:sz="6" w:space="0"/>
                  </w:tcBorders>
                  <w:vAlign w:val="center"/>
                </w:tcPr>
                <w:p w14:paraId="6B1F5B60">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夜间</w:t>
                  </w:r>
                </w:p>
              </w:tc>
              <w:tc>
                <w:tcPr>
                  <w:tcW w:w="3450" w:type="dxa"/>
                  <w:tcBorders>
                    <w:top w:val="single" w:color="auto" w:sz="6" w:space="0"/>
                    <w:left w:val="nil"/>
                    <w:bottom w:val="single" w:color="auto" w:sz="6" w:space="0"/>
                    <w:right w:val="single" w:color="auto" w:sz="6" w:space="0"/>
                  </w:tcBorders>
                  <w:vAlign w:val="center"/>
                </w:tcPr>
                <w:p w14:paraId="6759EF8E">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标准</w:t>
                  </w:r>
                </w:p>
              </w:tc>
            </w:tr>
            <w:tr w14:paraId="4834C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4" w:type="dxa"/>
                  <w:tcBorders>
                    <w:top w:val="single" w:color="auto" w:sz="6" w:space="0"/>
                    <w:left w:val="single" w:color="auto" w:sz="6" w:space="0"/>
                    <w:bottom w:val="single" w:color="auto" w:sz="6" w:space="0"/>
                    <w:right w:val="single" w:color="auto" w:sz="6" w:space="0"/>
                  </w:tcBorders>
                  <w:vAlign w:val="center"/>
                </w:tcPr>
                <w:p w14:paraId="05068028">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类</w:t>
                  </w:r>
                </w:p>
              </w:tc>
              <w:tc>
                <w:tcPr>
                  <w:tcW w:w="1559" w:type="dxa"/>
                  <w:tcBorders>
                    <w:top w:val="single" w:color="auto" w:sz="6" w:space="0"/>
                    <w:left w:val="nil"/>
                    <w:bottom w:val="single" w:color="auto" w:sz="6" w:space="0"/>
                    <w:right w:val="single" w:color="auto" w:sz="6" w:space="0"/>
                  </w:tcBorders>
                  <w:vAlign w:val="center"/>
                </w:tcPr>
                <w:p w14:paraId="11BEAB54">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60</w:t>
                  </w:r>
                  <w:r>
                    <w:rPr>
                      <w:color w:val="000000" w:themeColor="text1"/>
                      <w:szCs w:val="21"/>
                      <w:highlight w:val="none"/>
                      <w14:textFill>
                        <w14:solidFill>
                          <w14:schemeClr w14:val="tx1"/>
                        </w14:solidFill>
                      </w14:textFill>
                    </w:rPr>
                    <w:t>dB(A)</w:t>
                  </w:r>
                </w:p>
              </w:tc>
              <w:tc>
                <w:tcPr>
                  <w:tcW w:w="1701" w:type="dxa"/>
                  <w:tcBorders>
                    <w:top w:val="single" w:color="auto" w:sz="6" w:space="0"/>
                    <w:left w:val="nil"/>
                    <w:bottom w:val="single" w:color="auto" w:sz="6" w:space="0"/>
                    <w:right w:val="single" w:color="auto" w:sz="6" w:space="0"/>
                  </w:tcBorders>
                  <w:vAlign w:val="center"/>
                </w:tcPr>
                <w:p w14:paraId="2193B803">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50</w:t>
                  </w:r>
                  <w:r>
                    <w:rPr>
                      <w:color w:val="000000" w:themeColor="text1"/>
                      <w:szCs w:val="21"/>
                      <w:highlight w:val="none"/>
                      <w14:textFill>
                        <w14:solidFill>
                          <w14:schemeClr w14:val="tx1"/>
                        </w14:solidFill>
                      </w14:textFill>
                    </w:rPr>
                    <w:t>dB(A)</w:t>
                  </w:r>
                </w:p>
              </w:tc>
              <w:tc>
                <w:tcPr>
                  <w:tcW w:w="3450" w:type="dxa"/>
                  <w:tcBorders>
                    <w:top w:val="single" w:color="auto" w:sz="6" w:space="0"/>
                    <w:left w:val="nil"/>
                    <w:bottom w:val="single" w:color="auto" w:sz="6" w:space="0"/>
                    <w:right w:val="single" w:color="auto" w:sz="6" w:space="0"/>
                  </w:tcBorders>
                  <w:vAlign w:val="center"/>
                </w:tcPr>
                <w:p w14:paraId="470DF41A">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《工业企业厂界环境噪声排放标准》（GB12348-2008）</w:t>
                  </w:r>
                </w:p>
              </w:tc>
            </w:tr>
          </w:tbl>
          <w:p w14:paraId="73900785">
            <w:pPr>
              <w:pStyle w:val="19"/>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4.固体废弃物执行标准</w:t>
            </w:r>
          </w:p>
          <w:p w14:paraId="21BF7427">
            <w:pPr>
              <w:adjustRightInd w:val="0"/>
              <w:snapToGrid w:val="0"/>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项目一般固体废弃物贮存、处置执行《一般工业固体废物贮存和填埋污染控制标准》（GB 18599-2020）的要求。</w:t>
            </w:r>
          </w:p>
          <w:p w14:paraId="2A147822">
            <w:pPr>
              <w:pStyle w:val="10"/>
              <w:rPr>
                <w:color w:val="000000" w:themeColor="text1"/>
                <w:sz w:val="24"/>
                <w:highlight w:val="none"/>
                <w14:textFill>
                  <w14:solidFill>
                    <w14:schemeClr w14:val="tx1"/>
                  </w14:solidFill>
                </w14:textFill>
              </w:rPr>
            </w:pPr>
          </w:p>
          <w:p w14:paraId="76E90010">
            <w:pPr>
              <w:pStyle w:val="10"/>
              <w:ind w:left="0" w:leftChars="0" w:firstLine="0" w:firstLineChars="0"/>
              <w:rPr>
                <w:color w:val="000000" w:themeColor="text1"/>
                <w:sz w:val="24"/>
                <w:highlight w:val="none"/>
                <w14:textFill>
                  <w14:solidFill>
                    <w14:schemeClr w14:val="tx1"/>
                  </w14:solidFill>
                </w14:textFill>
              </w:rPr>
            </w:pPr>
          </w:p>
          <w:p w14:paraId="3DC56282">
            <w:pPr>
              <w:pStyle w:val="10"/>
              <w:ind w:left="0" w:leftChars="0" w:firstLine="0" w:firstLineChars="0"/>
              <w:rPr>
                <w:color w:val="000000" w:themeColor="text1"/>
                <w:sz w:val="24"/>
                <w:highlight w:val="none"/>
                <w14:textFill>
                  <w14:solidFill>
                    <w14:schemeClr w14:val="tx1"/>
                  </w14:solidFill>
                </w14:textFill>
              </w:rPr>
            </w:pPr>
          </w:p>
          <w:p w14:paraId="08DF9FE2">
            <w:pPr>
              <w:pStyle w:val="10"/>
              <w:ind w:left="0" w:leftChars="0" w:firstLine="0" w:firstLineChars="0"/>
              <w:rPr>
                <w:color w:val="000000" w:themeColor="text1"/>
                <w:sz w:val="24"/>
                <w:highlight w:val="none"/>
                <w14:textFill>
                  <w14:solidFill>
                    <w14:schemeClr w14:val="tx1"/>
                  </w14:solidFill>
                </w14:textFill>
              </w:rPr>
            </w:pPr>
          </w:p>
          <w:p w14:paraId="61AA21EB">
            <w:pPr>
              <w:pStyle w:val="10"/>
              <w:ind w:left="0" w:leftChars="0" w:firstLine="0" w:firstLineChars="0"/>
              <w:rPr>
                <w:color w:val="000000" w:themeColor="text1"/>
                <w:sz w:val="24"/>
                <w:highlight w:val="none"/>
                <w14:textFill>
                  <w14:solidFill>
                    <w14:schemeClr w14:val="tx1"/>
                  </w14:solidFill>
                </w14:textFill>
              </w:rPr>
            </w:pPr>
          </w:p>
          <w:p w14:paraId="212948BB">
            <w:pPr>
              <w:pStyle w:val="10"/>
              <w:ind w:left="0" w:leftChars="0" w:firstLine="0" w:firstLineChars="0"/>
              <w:rPr>
                <w:color w:val="000000" w:themeColor="text1"/>
                <w:sz w:val="24"/>
                <w:highlight w:val="none"/>
                <w14:textFill>
                  <w14:solidFill>
                    <w14:schemeClr w14:val="tx1"/>
                  </w14:solidFill>
                </w14:textFill>
              </w:rPr>
            </w:pPr>
          </w:p>
          <w:p w14:paraId="7EB2E04A">
            <w:pPr>
              <w:pStyle w:val="10"/>
              <w:ind w:left="0" w:leftChars="0" w:firstLine="0" w:firstLineChars="0"/>
              <w:rPr>
                <w:color w:val="000000" w:themeColor="text1"/>
                <w:sz w:val="24"/>
                <w:highlight w:val="none"/>
                <w14:textFill>
                  <w14:solidFill>
                    <w14:schemeClr w14:val="tx1"/>
                  </w14:solidFill>
                </w14:textFill>
              </w:rPr>
            </w:pPr>
          </w:p>
          <w:p w14:paraId="45AF62DD">
            <w:pPr>
              <w:pStyle w:val="10"/>
              <w:ind w:left="0" w:leftChars="0" w:firstLine="0" w:firstLineChars="0"/>
              <w:rPr>
                <w:color w:val="000000" w:themeColor="text1"/>
                <w:sz w:val="24"/>
                <w:highlight w:val="none"/>
                <w14:textFill>
                  <w14:solidFill>
                    <w14:schemeClr w14:val="tx1"/>
                  </w14:solidFill>
                </w14:textFill>
              </w:rPr>
            </w:pPr>
          </w:p>
          <w:p w14:paraId="0C9A727B">
            <w:pPr>
              <w:pStyle w:val="10"/>
              <w:ind w:left="0" w:leftChars="0" w:firstLine="0" w:firstLineChars="0"/>
              <w:rPr>
                <w:color w:val="000000" w:themeColor="text1"/>
                <w:sz w:val="24"/>
                <w:highlight w:val="none"/>
                <w14:textFill>
                  <w14:solidFill>
                    <w14:schemeClr w14:val="tx1"/>
                  </w14:solidFill>
                </w14:textFill>
              </w:rPr>
            </w:pPr>
          </w:p>
          <w:p w14:paraId="7C7A1DAF">
            <w:pPr>
              <w:pStyle w:val="10"/>
              <w:ind w:left="0" w:leftChars="0" w:firstLine="0" w:firstLineChars="0"/>
              <w:rPr>
                <w:color w:val="000000" w:themeColor="text1"/>
                <w:sz w:val="24"/>
                <w:highlight w:val="none"/>
                <w14:textFill>
                  <w14:solidFill>
                    <w14:schemeClr w14:val="tx1"/>
                  </w14:solidFill>
                </w14:textFill>
              </w:rPr>
            </w:pPr>
          </w:p>
        </w:tc>
      </w:tr>
      <w:tr w14:paraId="2D191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73" w:hRule="atLeast"/>
          <w:jc w:val="center"/>
        </w:trPr>
        <w:tc>
          <w:tcPr>
            <w:tcW w:w="426" w:type="dxa"/>
            <w:vAlign w:val="center"/>
          </w:tcPr>
          <w:p w14:paraId="78B41580">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总量</w:t>
            </w:r>
          </w:p>
          <w:p w14:paraId="2BE30F17">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控制</w:t>
            </w:r>
          </w:p>
          <w:p w14:paraId="31428475">
            <w:pPr>
              <w:adjustRightInd w:val="0"/>
              <w:snapToGrid w:val="0"/>
              <w:jc w:val="center"/>
              <w:rPr>
                <w:color w:val="000000" w:themeColor="text1"/>
                <w:kern w:val="0"/>
                <w:sz w:val="24"/>
                <w:highlight w:val="none"/>
                <w14:textFill>
                  <w14:solidFill>
                    <w14:schemeClr w14:val="tx1"/>
                  </w14:solidFill>
                </w14:textFill>
              </w:rPr>
            </w:pPr>
            <w:r>
              <w:rPr>
                <w:rFonts w:ascii="Times New Roman" w:hAnsi="Times New Roman" w:eastAsia="宋体" w:cs="Times New Roman"/>
                <w:kern w:val="0"/>
                <w:sz w:val="24"/>
                <w:szCs w:val="24"/>
                <w:highlight w:val="none"/>
                <w:lang w:val="en-US" w:eastAsia="zh-CN" w:bidi="ar-SA"/>
              </w:rPr>
              <w:t>指标</w:t>
            </w:r>
          </w:p>
        </w:tc>
        <w:tc>
          <w:tcPr>
            <w:tcW w:w="8930" w:type="dxa"/>
            <w:vAlign w:val="center"/>
          </w:tcPr>
          <w:p w14:paraId="5FBF670F">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both"/>
              <w:textAlignment w:val="auto"/>
              <w:rPr>
                <w:rFonts w:eastAsiaTheme="minorEastAsia"/>
                <w:color w:val="000000" w:themeColor="text1"/>
                <w:sz w:val="24"/>
                <w:highlight w:val="none"/>
                <w14:textFill>
                  <w14:solidFill>
                    <w14:schemeClr w14:val="tx1"/>
                  </w14:solidFill>
                </w14:textFill>
              </w:rPr>
            </w:pPr>
            <w:r>
              <w:rPr>
                <w:rFonts w:eastAsiaTheme="minorEastAsia"/>
                <w:bCs/>
                <w:color w:val="000000" w:themeColor="text1"/>
                <w:sz w:val="24"/>
                <w:highlight w:val="none"/>
                <w14:textFill>
                  <w14:solidFill>
                    <w14:schemeClr w14:val="tx1"/>
                  </w14:solidFill>
                </w14:textFill>
              </w:rPr>
              <w:t>本项目</w:t>
            </w:r>
            <w:r>
              <w:rPr>
                <w:rFonts w:hint="eastAsia" w:eastAsiaTheme="minorEastAsia"/>
                <w:bCs/>
                <w:color w:val="000000" w:themeColor="text1"/>
                <w:sz w:val="24"/>
                <w:highlight w:val="none"/>
                <w:lang w:val="en-US" w:eastAsia="zh-CN"/>
                <w14:textFill>
                  <w14:solidFill>
                    <w14:schemeClr w14:val="tx1"/>
                  </w14:solidFill>
                </w14:textFill>
              </w:rPr>
              <w:t>无生产废水外排，</w:t>
            </w:r>
            <w:r>
              <w:rPr>
                <w:rFonts w:eastAsiaTheme="minorEastAsia"/>
                <w:bCs/>
                <w:color w:val="000000" w:themeColor="text1"/>
                <w:sz w:val="24"/>
                <w:highlight w:val="none"/>
                <w14:textFill>
                  <w14:solidFill>
                    <w14:schemeClr w14:val="tx1"/>
                  </w14:solidFill>
                </w14:textFill>
              </w:rPr>
              <w:t>生活污水</w:t>
            </w:r>
            <w:r>
              <w:rPr>
                <w:rFonts w:hint="eastAsia" w:eastAsiaTheme="minorEastAsia"/>
                <w:bCs/>
                <w:color w:val="000000" w:themeColor="text1"/>
                <w:sz w:val="24"/>
                <w:highlight w:val="none"/>
                <w:lang w:val="en-US" w:eastAsia="zh-CN"/>
                <w14:textFill>
                  <w14:solidFill>
                    <w14:schemeClr w14:val="tx1"/>
                  </w14:solidFill>
                </w14:textFill>
              </w:rPr>
              <w:t>排放</w:t>
            </w:r>
            <w:r>
              <w:rPr>
                <w:rFonts w:eastAsiaTheme="minorEastAsia"/>
                <w:bCs/>
                <w:color w:val="000000" w:themeColor="text1"/>
                <w:sz w:val="24"/>
                <w:highlight w:val="none"/>
                <w14:textFill>
                  <w14:solidFill>
                    <w14:schemeClr w14:val="tx1"/>
                  </w14:solidFill>
                </w14:textFill>
              </w:rPr>
              <w:t>总量为</w:t>
            </w:r>
            <w:r>
              <w:rPr>
                <w:rFonts w:hint="eastAsia" w:eastAsiaTheme="minorEastAsia"/>
                <w:bCs/>
                <w:color w:val="000000" w:themeColor="text1"/>
                <w:sz w:val="24"/>
                <w:highlight w:val="none"/>
                <w:lang w:val="en-US" w:eastAsia="zh-CN"/>
                <w14:textFill>
                  <w14:solidFill>
                    <w14:schemeClr w14:val="tx1"/>
                  </w14:solidFill>
                </w14:textFill>
              </w:rPr>
              <w:t>252</w:t>
            </w:r>
            <w:r>
              <w:rPr>
                <w:rFonts w:eastAsiaTheme="minorEastAsia"/>
                <w:bCs/>
                <w:color w:val="000000" w:themeColor="text1"/>
                <w:sz w:val="24"/>
                <w:highlight w:val="none"/>
                <w14:textFill>
                  <w14:solidFill>
                    <w14:schemeClr w14:val="tx1"/>
                  </w14:solidFill>
                </w14:textFill>
              </w:rPr>
              <w:t>m</w:t>
            </w:r>
            <w:r>
              <w:rPr>
                <w:rFonts w:eastAsiaTheme="minorEastAsia"/>
                <w:bCs/>
                <w:color w:val="000000" w:themeColor="text1"/>
                <w:sz w:val="24"/>
                <w:highlight w:val="none"/>
                <w:vertAlign w:val="superscript"/>
                <w14:textFill>
                  <w14:solidFill>
                    <w14:schemeClr w14:val="tx1"/>
                  </w14:solidFill>
                </w14:textFill>
              </w:rPr>
              <w:t>3</w:t>
            </w:r>
            <w:r>
              <w:rPr>
                <w:rFonts w:eastAsiaTheme="minorEastAsia"/>
                <w:bCs/>
                <w:color w:val="000000" w:themeColor="text1"/>
                <w:sz w:val="24"/>
                <w:highlight w:val="none"/>
                <w14:textFill>
                  <w14:solidFill>
                    <w14:schemeClr w14:val="tx1"/>
                  </w14:solidFill>
                </w14:textFill>
              </w:rPr>
              <w:t>/a</w:t>
            </w:r>
            <w:r>
              <w:rPr>
                <w:rFonts w:hint="eastAsia" w:eastAsiaTheme="minorEastAsia"/>
                <w:bCs/>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COD</w:t>
            </w:r>
            <w:r>
              <w:rPr>
                <w:rFonts w:hint="eastAsia" w:eastAsiaTheme="minorEastAsia"/>
                <w:color w:val="000000" w:themeColor="text1"/>
                <w:sz w:val="24"/>
                <w:highlight w:val="none"/>
                <w:lang w:val="en-US" w:eastAsia="zh-CN"/>
                <w14:textFill>
                  <w14:solidFill>
                    <w14:schemeClr w14:val="tx1"/>
                  </w14:solidFill>
                </w14:textFill>
              </w:rPr>
              <w:t>cr、NH</w:t>
            </w:r>
            <w:r>
              <w:rPr>
                <w:rFonts w:hint="eastAsia" w:eastAsiaTheme="minorEastAsia"/>
                <w:color w:val="000000" w:themeColor="text1"/>
                <w:sz w:val="24"/>
                <w:highlight w:val="none"/>
                <w:vertAlign w:val="subscript"/>
                <w:lang w:val="en-US" w:eastAsia="zh-CN"/>
                <w14:textFill>
                  <w14:solidFill>
                    <w14:schemeClr w14:val="tx1"/>
                  </w14:solidFill>
                </w14:textFill>
              </w:rPr>
              <w:t>3</w:t>
            </w:r>
            <w:r>
              <w:rPr>
                <w:rFonts w:hint="eastAsia" w:eastAsiaTheme="minorEastAsia"/>
                <w:color w:val="000000" w:themeColor="text1"/>
                <w:sz w:val="24"/>
                <w:highlight w:val="none"/>
                <w:lang w:val="en-US" w:eastAsia="zh-CN"/>
                <w14:textFill>
                  <w14:solidFill>
                    <w14:schemeClr w14:val="tx1"/>
                  </w14:solidFill>
                </w14:textFill>
              </w:rPr>
              <w:t>-N排放量分别</w:t>
            </w:r>
            <w:r>
              <w:rPr>
                <w:rFonts w:eastAsiaTheme="minorEastAsia"/>
                <w:color w:val="000000" w:themeColor="text1"/>
                <w:sz w:val="24"/>
                <w:highlight w:val="none"/>
                <w14:textFill>
                  <w14:solidFill>
                    <w14:schemeClr w14:val="tx1"/>
                  </w14:solidFill>
                </w14:textFill>
              </w:rPr>
              <w:t>为</w:t>
            </w:r>
            <w:r>
              <w:rPr>
                <w:rFonts w:hint="eastAsia" w:eastAsiaTheme="minorEastAsia"/>
                <w:color w:val="000000" w:themeColor="text1"/>
                <w:sz w:val="24"/>
                <w:highlight w:val="none"/>
                <w:lang w:val="en-US" w:eastAsia="zh-CN"/>
                <w14:textFill>
                  <w14:solidFill>
                    <w14:schemeClr w14:val="tx1"/>
                  </w14:solidFill>
                </w14:textFill>
              </w:rPr>
              <w:t>0.038</w:t>
            </w:r>
            <w:r>
              <w:rPr>
                <w:rFonts w:eastAsiaTheme="minorEastAsia"/>
                <w:color w:val="000000" w:themeColor="text1"/>
                <w:sz w:val="24"/>
                <w:highlight w:val="none"/>
                <w14:textFill>
                  <w14:solidFill>
                    <w14:schemeClr w14:val="tx1"/>
                  </w14:solidFill>
                </w14:textFill>
              </w:rPr>
              <w:t>t/a</w:t>
            </w:r>
            <w:r>
              <w:rPr>
                <w:rFonts w:hint="eastAsia" w:eastAsiaTheme="minorEastAsia"/>
                <w:color w:val="000000" w:themeColor="text1"/>
                <w:sz w:val="24"/>
                <w:highlight w:val="none"/>
                <w:lang w:eastAsia="zh-CN"/>
                <w14:textFill>
                  <w14:solidFill>
                    <w14:schemeClr w14:val="tx1"/>
                  </w14:solidFill>
                </w14:textFill>
              </w:rPr>
              <w:t>、</w:t>
            </w:r>
            <w:r>
              <w:rPr>
                <w:rFonts w:hint="eastAsia" w:eastAsiaTheme="minorEastAsia"/>
                <w:color w:val="000000" w:themeColor="text1"/>
                <w:sz w:val="24"/>
                <w:highlight w:val="none"/>
                <w:lang w:val="en-US" w:eastAsia="zh-CN"/>
                <w14:textFill>
                  <w14:solidFill>
                    <w14:schemeClr w14:val="tx1"/>
                  </w14:solidFill>
                </w14:textFill>
              </w:rPr>
              <w:t>0.005t/a</w:t>
            </w:r>
            <w:r>
              <w:rPr>
                <w:rFonts w:hint="eastAsia" w:eastAsiaTheme="minorEastAsia"/>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本项目</w:t>
            </w:r>
            <w:r>
              <w:rPr>
                <w:rFonts w:hint="eastAsia" w:eastAsiaTheme="minorEastAsia"/>
                <w:color w:val="000000" w:themeColor="text1"/>
                <w:sz w:val="24"/>
                <w:highlight w:val="none"/>
                <w:lang w:val="en-US" w:eastAsia="zh-CN"/>
                <w14:textFill>
                  <w14:solidFill>
                    <w14:schemeClr w14:val="tx1"/>
                  </w14:solidFill>
                </w14:textFill>
              </w:rPr>
              <w:t>生活污水</w:t>
            </w:r>
            <w:r>
              <w:rPr>
                <w:rFonts w:eastAsiaTheme="minorEastAsia"/>
                <w:color w:val="000000" w:themeColor="text1"/>
                <w:sz w:val="24"/>
                <w:highlight w:val="none"/>
                <w14:textFill>
                  <w14:solidFill>
                    <w14:schemeClr w14:val="tx1"/>
                  </w14:solidFill>
                </w14:textFill>
              </w:rPr>
              <w:t>经过</w:t>
            </w:r>
            <w:r>
              <w:rPr>
                <w:rFonts w:eastAsiaTheme="minorEastAsia"/>
                <w:bCs/>
                <w:color w:val="000000" w:themeColor="text1"/>
                <w:sz w:val="24"/>
                <w:highlight w:val="none"/>
                <w14:textFill>
                  <w14:solidFill>
                    <w14:schemeClr w14:val="tx1"/>
                  </w14:solidFill>
                </w14:textFill>
              </w:rPr>
              <w:t>三级化粪池处理后</w:t>
            </w:r>
            <w:r>
              <w:rPr>
                <w:rFonts w:eastAsiaTheme="minorEastAsia"/>
                <w:color w:val="000000" w:themeColor="text1"/>
                <w:sz w:val="24"/>
                <w:highlight w:val="none"/>
                <w14:textFill>
                  <w14:solidFill>
                    <w14:schemeClr w14:val="tx1"/>
                  </w14:solidFill>
                </w14:textFill>
              </w:rPr>
              <w:t>用于周边林地浇灌，不外排，因此本项目不需分配水污染物总量指标。</w:t>
            </w:r>
          </w:p>
          <w:p w14:paraId="0676175A">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eastAsiaTheme="minorEastAsia"/>
                <w:color w:val="000000" w:themeColor="text1"/>
                <w:sz w:val="24"/>
                <w:highlight w:val="none"/>
                <w14:textFill>
                  <w14:solidFill>
                    <w14:schemeClr w14:val="tx1"/>
                  </w14:solidFill>
                </w14:textFill>
              </w:rPr>
            </w:pPr>
            <w:r>
              <w:rPr>
                <w:rFonts w:eastAsiaTheme="minorEastAsia"/>
                <w:bCs/>
                <w:color w:val="000000" w:themeColor="text1"/>
                <w:sz w:val="24"/>
                <w:highlight w:val="none"/>
                <w14:textFill>
                  <w14:solidFill>
                    <w14:schemeClr w14:val="tx1"/>
                  </w14:solidFill>
                </w14:textFill>
              </w:rPr>
              <w:t>本项目大气污染物颗粒物、SO</w:t>
            </w:r>
            <w:r>
              <w:rPr>
                <w:rFonts w:eastAsiaTheme="minorEastAsia"/>
                <w:bCs/>
                <w:color w:val="000000" w:themeColor="text1"/>
                <w:sz w:val="24"/>
                <w:highlight w:val="none"/>
                <w:vertAlign w:val="subscript"/>
                <w14:textFill>
                  <w14:solidFill>
                    <w14:schemeClr w14:val="tx1"/>
                  </w14:solidFill>
                </w14:textFill>
              </w:rPr>
              <w:t>2</w:t>
            </w:r>
            <w:r>
              <w:rPr>
                <w:rFonts w:eastAsiaTheme="minorEastAsia"/>
                <w:bCs/>
                <w:color w:val="000000" w:themeColor="text1"/>
                <w:sz w:val="24"/>
                <w:highlight w:val="none"/>
                <w14:textFill>
                  <w14:solidFill>
                    <w14:schemeClr w14:val="tx1"/>
                  </w14:solidFill>
                </w14:textFill>
              </w:rPr>
              <w:t>、NOx排放量分别为</w:t>
            </w:r>
            <w:r>
              <w:rPr>
                <w:rFonts w:hint="eastAsia" w:eastAsiaTheme="minorEastAsia"/>
                <w:bCs/>
                <w:color w:val="000000" w:themeColor="text1"/>
                <w:sz w:val="24"/>
                <w:highlight w:val="none"/>
                <w:lang w:val="en-US" w:eastAsia="zh-CN"/>
                <w14:textFill>
                  <w14:solidFill>
                    <w14:schemeClr w14:val="tx1"/>
                  </w14:solidFill>
                </w14:textFill>
              </w:rPr>
              <w:t>7.698t</w:t>
            </w:r>
            <w:r>
              <w:rPr>
                <w:rFonts w:eastAsiaTheme="minorEastAsia"/>
                <w:bCs/>
                <w:color w:val="000000" w:themeColor="text1"/>
                <w:sz w:val="24"/>
                <w:highlight w:val="none"/>
                <w14:textFill>
                  <w14:solidFill>
                    <w14:schemeClr w14:val="tx1"/>
                  </w14:solidFill>
                </w14:textFill>
              </w:rPr>
              <w:t>/a、</w:t>
            </w:r>
            <w:r>
              <w:rPr>
                <w:rFonts w:hint="eastAsia" w:eastAsiaTheme="minorEastAsia"/>
                <w:bCs/>
                <w:color w:val="000000" w:themeColor="text1"/>
                <w:sz w:val="24"/>
                <w:highlight w:val="none"/>
                <w:lang w:val="en-US" w:eastAsia="zh-CN"/>
                <w14:textFill>
                  <w14:solidFill>
                    <w14:schemeClr w14:val="tx1"/>
                  </w14:solidFill>
                </w14:textFill>
              </w:rPr>
              <w:t>9.2</w:t>
            </w:r>
            <w:r>
              <w:rPr>
                <w:rFonts w:eastAsiaTheme="minorEastAsia"/>
                <w:bCs/>
                <w:color w:val="000000" w:themeColor="text1"/>
                <w:sz w:val="24"/>
                <w:highlight w:val="none"/>
                <w14:textFill>
                  <w14:solidFill>
                    <w14:schemeClr w14:val="tx1"/>
                  </w14:solidFill>
                </w14:textFill>
              </w:rPr>
              <w:t>t/a、</w:t>
            </w:r>
            <w:r>
              <w:rPr>
                <w:rFonts w:hint="eastAsia" w:eastAsiaTheme="minorEastAsia"/>
                <w:bCs/>
                <w:color w:val="000000" w:themeColor="text1"/>
                <w:sz w:val="24"/>
                <w:highlight w:val="none"/>
                <w:lang w:val="en-US" w:eastAsia="zh-CN"/>
                <w14:textFill>
                  <w14:solidFill>
                    <w14:schemeClr w14:val="tx1"/>
                  </w14:solidFill>
                </w14:textFill>
              </w:rPr>
              <w:t>10.79</w:t>
            </w:r>
            <w:r>
              <w:rPr>
                <w:rFonts w:eastAsiaTheme="minorEastAsia"/>
                <w:bCs/>
                <w:color w:val="000000" w:themeColor="text1"/>
                <w:sz w:val="24"/>
                <w:highlight w:val="none"/>
                <w14:textFill>
                  <w14:solidFill>
                    <w14:schemeClr w14:val="tx1"/>
                  </w14:solidFill>
                </w14:textFill>
              </w:rPr>
              <w:t>t/a</w:t>
            </w:r>
            <w:r>
              <w:rPr>
                <w:rFonts w:hint="eastAsia" w:eastAsiaTheme="minorEastAsia"/>
                <w:bCs/>
                <w:color w:val="000000" w:themeColor="text1"/>
                <w:sz w:val="24"/>
                <w:highlight w:val="none"/>
                <w:lang w:eastAsia="zh-CN"/>
                <w14:textFill>
                  <w14:solidFill>
                    <w14:schemeClr w14:val="tx1"/>
                  </w14:solidFill>
                </w14:textFill>
              </w:rPr>
              <w:t>。</w:t>
            </w:r>
            <w:r>
              <w:rPr>
                <w:rFonts w:eastAsiaTheme="minorEastAsia"/>
                <w:color w:val="000000" w:themeColor="text1"/>
                <w:sz w:val="24"/>
                <w:highlight w:val="none"/>
                <w14:textFill>
                  <w14:solidFill>
                    <w14:schemeClr w14:val="tx1"/>
                  </w14:solidFill>
                </w14:textFill>
              </w:rPr>
              <w:t>建议</w:t>
            </w:r>
            <w:r>
              <w:rPr>
                <w:rFonts w:hint="eastAsia" w:eastAsiaTheme="minorEastAsia"/>
                <w:color w:val="000000" w:themeColor="text1"/>
                <w:sz w:val="24"/>
                <w:highlight w:val="none"/>
                <w:lang w:val="en-US" w:eastAsia="zh-CN"/>
                <w14:textFill>
                  <w14:solidFill>
                    <w14:schemeClr w14:val="tx1"/>
                  </w14:solidFill>
                </w14:textFill>
              </w:rPr>
              <w:t>主要大气污染物排放</w:t>
            </w:r>
            <w:r>
              <w:rPr>
                <w:rFonts w:eastAsiaTheme="minorEastAsia"/>
                <w:color w:val="000000" w:themeColor="text1"/>
                <w:sz w:val="24"/>
                <w:highlight w:val="none"/>
                <w14:textFill>
                  <w14:solidFill>
                    <w14:schemeClr w14:val="tx1"/>
                  </w14:solidFill>
                </w14:textFill>
              </w:rPr>
              <w:t>总量指标为颗粒物：</w:t>
            </w:r>
            <w:r>
              <w:rPr>
                <w:rFonts w:hint="eastAsia" w:eastAsiaTheme="minorEastAsia"/>
                <w:bCs/>
                <w:color w:val="000000" w:themeColor="text1"/>
                <w:sz w:val="24"/>
                <w:highlight w:val="none"/>
                <w:lang w:val="en-US" w:eastAsia="zh-CN"/>
                <w14:textFill>
                  <w14:solidFill>
                    <w14:schemeClr w14:val="tx1"/>
                  </w14:solidFill>
                </w14:textFill>
              </w:rPr>
              <w:t>7.698</w:t>
            </w:r>
            <w:r>
              <w:rPr>
                <w:rFonts w:eastAsiaTheme="minorEastAsia"/>
                <w:color w:val="000000" w:themeColor="text1"/>
                <w:sz w:val="24"/>
                <w:highlight w:val="none"/>
                <w14:textFill>
                  <w14:solidFill>
                    <w14:schemeClr w14:val="tx1"/>
                  </w14:solidFill>
                </w14:textFill>
              </w:rPr>
              <w:t>t/a</w:t>
            </w:r>
            <w:r>
              <w:rPr>
                <w:rFonts w:hint="eastAsia" w:eastAsiaTheme="minorEastAsia"/>
                <w:color w:val="000000" w:themeColor="text1"/>
                <w:sz w:val="24"/>
                <w:highlight w:val="none"/>
                <w:lang w:eastAsia="zh-CN"/>
                <w14:textFill>
                  <w14:solidFill>
                    <w14:schemeClr w14:val="tx1"/>
                  </w14:solidFill>
                </w14:textFill>
              </w:rPr>
              <w:t>、</w:t>
            </w:r>
            <w:r>
              <w:rPr>
                <w:rFonts w:eastAsiaTheme="minorEastAsia"/>
                <w:color w:val="000000" w:themeColor="text1"/>
                <w:sz w:val="24"/>
                <w:highlight w:val="none"/>
                <w14:textFill>
                  <w14:solidFill>
                    <w14:schemeClr w14:val="tx1"/>
                  </w14:solidFill>
                </w14:textFill>
              </w:rPr>
              <w:t>SO</w:t>
            </w:r>
            <w:r>
              <w:rPr>
                <w:rFonts w:eastAsiaTheme="minorEastAsia"/>
                <w:color w:val="000000" w:themeColor="text1"/>
                <w:sz w:val="24"/>
                <w:highlight w:val="none"/>
                <w:vertAlign w:val="subscript"/>
                <w14:textFill>
                  <w14:solidFill>
                    <w14:schemeClr w14:val="tx1"/>
                  </w14:solidFill>
                </w14:textFill>
              </w:rPr>
              <w:t>2</w:t>
            </w:r>
            <w:r>
              <w:rPr>
                <w:rFonts w:eastAsiaTheme="minorEastAsia"/>
                <w:color w:val="000000" w:themeColor="text1"/>
                <w:sz w:val="24"/>
                <w:highlight w:val="none"/>
                <w14:textFill>
                  <w14:solidFill>
                    <w14:schemeClr w14:val="tx1"/>
                  </w14:solidFill>
                </w14:textFill>
              </w:rPr>
              <w:t>：</w:t>
            </w:r>
            <w:r>
              <w:rPr>
                <w:rFonts w:hint="eastAsia" w:eastAsiaTheme="minorEastAsia"/>
                <w:color w:val="000000" w:themeColor="text1"/>
                <w:sz w:val="24"/>
                <w:highlight w:val="none"/>
                <w:lang w:val="en-US" w:eastAsia="zh-CN"/>
                <w14:textFill>
                  <w14:solidFill>
                    <w14:schemeClr w14:val="tx1"/>
                  </w14:solidFill>
                </w14:textFill>
              </w:rPr>
              <w:t>9.2</w:t>
            </w:r>
            <w:r>
              <w:rPr>
                <w:rFonts w:eastAsiaTheme="minorEastAsia"/>
                <w:color w:val="000000" w:themeColor="text1"/>
                <w:sz w:val="24"/>
                <w:highlight w:val="none"/>
                <w14:textFill>
                  <w14:solidFill>
                    <w14:schemeClr w14:val="tx1"/>
                  </w14:solidFill>
                </w14:textFill>
              </w:rPr>
              <w:t>t/a</w:t>
            </w:r>
            <w:r>
              <w:rPr>
                <w:rFonts w:hint="eastAsia" w:eastAsiaTheme="minorEastAsia"/>
                <w:color w:val="000000" w:themeColor="text1"/>
                <w:sz w:val="24"/>
                <w:highlight w:val="none"/>
                <w:lang w:eastAsia="zh-CN"/>
                <w14:textFill>
                  <w14:solidFill>
                    <w14:schemeClr w14:val="tx1"/>
                  </w14:solidFill>
                </w14:textFill>
              </w:rPr>
              <w:t>、</w:t>
            </w:r>
            <w:r>
              <w:rPr>
                <w:rFonts w:eastAsiaTheme="minorEastAsia"/>
                <w:color w:val="000000" w:themeColor="text1"/>
                <w:sz w:val="24"/>
                <w:highlight w:val="none"/>
                <w14:textFill>
                  <w14:solidFill>
                    <w14:schemeClr w14:val="tx1"/>
                  </w14:solidFill>
                </w14:textFill>
              </w:rPr>
              <w:t>NO</w:t>
            </w:r>
            <w:r>
              <w:rPr>
                <w:rFonts w:eastAsiaTheme="minorEastAsia"/>
                <w:color w:val="000000" w:themeColor="text1"/>
                <w:sz w:val="24"/>
                <w:highlight w:val="none"/>
                <w:vertAlign w:val="subscript"/>
                <w14:textFill>
                  <w14:solidFill>
                    <w14:schemeClr w14:val="tx1"/>
                  </w14:solidFill>
                </w14:textFill>
              </w:rPr>
              <w:t>X</w:t>
            </w:r>
            <w:r>
              <w:rPr>
                <w:rFonts w:eastAsiaTheme="minorEastAsia"/>
                <w:color w:val="000000" w:themeColor="text1"/>
                <w:sz w:val="24"/>
                <w:highlight w:val="none"/>
                <w14:textFill>
                  <w14:solidFill>
                    <w14:schemeClr w14:val="tx1"/>
                  </w14:solidFill>
                </w14:textFill>
              </w:rPr>
              <w:t>：</w:t>
            </w:r>
            <w:r>
              <w:rPr>
                <w:rFonts w:hint="eastAsia" w:eastAsiaTheme="minorEastAsia"/>
                <w:color w:val="000000" w:themeColor="text1"/>
                <w:sz w:val="24"/>
                <w:highlight w:val="none"/>
                <w:lang w:val="en-US" w:eastAsia="zh-CN"/>
                <w14:textFill>
                  <w14:solidFill>
                    <w14:schemeClr w14:val="tx1"/>
                  </w14:solidFill>
                </w14:textFill>
              </w:rPr>
              <w:t>10.79</w:t>
            </w:r>
            <w:r>
              <w:rPr>
                <w:rFonts w:eastAsiaTheme="minorEastAsia"/>
                <w:color w:val="000000" w:themeColor="text1"/>
                <w:sz w:val="24"/>
                <w:highlight w:val="none"/>
                <w14:textFill>
                  <w14:solidFill>
                    <w14:schemeClr w14:val="tx1"/>
                  </w14:solidFill>
                </w14:textFill>
              </w:rPr>
              <w:t>t/a。</w:t>
            </w:r>
            <w:r>
              <w:rPr>
                <w:rFonts w:eastAsiaTheme="minorEastAsia"/>
                <w:bCs/>
                <w:color w:val="000000" w:themeColor="text1"/>
                <w:sz w:val="24"/>
                <w:highlight w:val="none"/>
                <w14:textFill>
                  <w14:solidFill>
                    <w14:schemeClr w14:val="tx1"/>
                  </w14:solidFill>
                </w14:textFill>
              </w:rPr>
              <w:t>其中氮氧化物排放总量指标来源于</w:t>
            </w:r>
            <w:r>
              <w:rPr>
                <w:rFonts w:hint="eastAsia" w:eastAsiaTheme="minorEastAsia"/>
                <w:bCs/>
                <w:color w:val="000000" w:themeColor="text1"/>
                <w:sz w:val="24"/>
                <w:highlight w:val="none"/>
                <w:lang w:val="en-US" w:eastAsia="zh-CN"/>
                <w14:textFill>
                  <w14:solidFill>
                    <w14:schemeClr w14:val="tx1"/>
                  </w14:solidFill>
                </w14:textFill>
              </w:rPr>
              <w:t>乐昌东锆燃煤锅炉淘汰项目</w:t>
            </w:r>
            <w:r>
              <w:rPr>
                <w:rFonts w:eastAsiaTheme="minorEastAsia"/>
                <w:bCs/>
                <w:color w:val="000000" w:themeColor="text1"/>
                <w:sz w:val="24"/>
                <w:highlight w:val="none"/>
                <w14:textFill>
                  <w14:solidFill>
                    <w14:schemeClr w14:val="tx1"/>
                  </w14:solidFill>
                </w14:textFill>
              </w:rPr>
              <w:t>的减排量，</w:t>
            </w:r>
            <w:r>
              <w:rPr>
                <w:rFonts w:hint="eastAsia" w:eastAsiaTheme="minorEastAsia"/>
                <w:bCs/>
                <w:color w:val="000000" w:themeColor="text1"/>
                <w:sz w:val="24"/>
                <w:highlight w:val="none"/>
                <w:lang w:val="en-US" w:eastAsia="zh-CN"/>
                <w14:textFill>
                  <w14:solidFill>
                    <w14:schemeClr w14:val="tx1"/>
                  </w14:solidFill>
                </w14:textFill>
              </w:rPr>
              <w:t>氮氧化物总量</w:t>
            </w:r>
            <w:r>
              <w:rPr>
                <w:rFonts w:eastAsiaTheme="minorEastAsia"/>
                <w:bCs/>
                <w:color w:val="000000" w:themeColor="text1"/>
                <w:sz w:val="24"/>
                <w:highlight w:val="none"/>
                <w14:textFill>
                  <w14:solidFill>
                    <w14:schemeClr w14:val="tx1"/>
                  </w14:solidFill>
                </w14:textFill>
              </w:rPr>
              <w:t>指标</w:t>
            </w:r>
            <w:r>
              <w:rPr>
                <w:rFonts w:hint="eastAsia" w:eastAsiaTheme="minorEastAsia"/>
                <w:bCs/>
                <w:color w:val="000000" w:themeColor="text1"/>
                <w:sz w:val="24"/>
                <w:highlight w:val="none"/>
                <w:lang w:val="en-US" w:eastAsia="zh-CN"/>
                <w14:textFill>
                  <w14:solidFill>
                    <w14:schemeClr w14:val="tx1"/>
                  </w14:solidFill>
                </w14:textFill>
              </w:rPr>
              <w:t>来源说明文件</w:t>
            </w:r>
            <w:r>
              <w:rPr>
                <w:rFonts w:eastAsiaTheme="minorEastAsia"/>
                <w:bCs/>
                <w:color w:val="000000" w:themeColor="text1"/>
                <w:sz w:val="24"/>
                <w:highlight w:val="none"/>
                <w14:textFill>
                  <w14:solidFill>
                    <w14:schemeClr w14:val="tx1"/>
                  </w14:solidFill>
                </w14:textFill>
              </w:rPr>
              <w:t>详见附件</w:t>
            </w:r>
            <w:r>
              <w:rPr>
                <w:rFonts w:hint="eastAsia" w:eastAsiaTheme="minorEastAsia"/>
                <w:bCs/>
                <w:color w:val="000000" w:themeColor="text1"/>
                <w:sz w:val="24"/>
                <w:highlight w:val="none"/>
                <w:lang w:val="en-US" w:eastAsia="zh-CN"/>
                <w14:textFill>
                  <w14:solidFill>
                    <w14:schemeClr w14:val="tx1"/>
                  </w14:solidFill>
                </w14:textFill>
              </w:rPr>
              <w:t>5</w:t>
            </w:r>
            <w:r>
              <w:rPr>
                <w:rFonts w:eastAsiaTheme="minorEastAsia"/>
                <w:bCs/>
                <w:color w:val="000000" w:themeColor="text1"/>
                <w:sz w:val="24"/>
                <w:highlight w:val="none"/>
                <w14:textFill>
                  <w14:solidFill>
                    <w14:schemeClr w14:val="tx1"/>
                  </w14:solidFill>
                </w14:textFill>
              </w:rPr>
              <w:t>。</w:t>
            </w:r>
          </w:p>
          <w:p w14:paraId="0DEC98A0">
            <w:pPr>
              <w:pStyle w:val="10"/>
              <w:jc w:val="both"/>
              <w:rPr>
                <w:rFonts w:eastAsiaTheme="minorEastAsia"/>
                <w:color w:val="000000" w:themeColor="text1"/>
                <w:sz w:val="24"/>
                <w:highlight w:val="none"/>
                <w14:textFill>
                  <w14:solidFill>
                    <w14:schemeClr w14:val="tx1"/>
                  </w14:solidFill>
                </w14:textFill>
              </w:rPr>
            </w:pPr>
          </w:p>
          <w:p w14:paraId="5D6DA8BD">
            <w:pPr>
              <w:pStyle w:val="10"/>
              <w:ind w:left="0" w:leftChars="0" w:firstLine="0" w:firstLineChars="0"/>
              <w:jc w:val="both"/>
              <w:rPr>
                <w:rFonts w:eastAsiaTheme="minorEastAsia"/>
                <w:color w:val="000000" w:themeColor="text1"/>
                <w:sz w:val="24"/>
                <w:highlight w:val="none"/>
                <w14:textFill>
                  <w14:solidFill>
                    <w14:schemeClr w14:val="tx1"/>
                  </w14:solidFill>
                </w14:textFill>
              </w:rPr>
            </w:pPr>
          </w:p>
          <w:p w14:paraId="1ABD7532">
            <w:pPr>
              <w:pStyle w:val="10"/>
              <w:jc w:val="both"/>
              <w:rPr>
                <w:rFonts w:hint="eastAsia" w:eastAsiaTheme="minorEastAsia"/>
                <w:color w:val="000000" w:themeColor="text1"/>
                <w:sz w:val="24"/>
                <w:highlight w:val="none"/>
                <w14:textFill>
                  <w14:solidFill>
                    <w14:schemeClr w14:val="tx1"/>
                  </w14:solidFill>
                </w14:textFill>
              </w:rPr>
            </w:pPr>
          </w:p>
          <w:p w14:paraId="6B7FDDA5">
            <w:pPr>
              <w:pStyle w:val="10"/>
              <w:jc w:val="both"/>
              <w:rPr>
                <w:rFonts w:hint="eastAsia"/>
                <w:color w:val="000000" w:themeColor="text1"/>
                <w:kern w:val="0"/>
                <w:sz w:val="24"/>
                <w:highlight w:val="none"/>
                <w:lang w:bidi="ar"/>
                <w14:textFill>
                  <w14:solidFill>
                    <w14:schemeClr w14:val="tx1"/>
                  </w14:solidFill>
                </w14:textFill>
              </w:rPr>
            </w:pPr>
          </w:p>
          <w:p w14:paraId="07CB86AE">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1CF15429">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6068D983">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16EAABDB">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77F9A7F5">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14A4ADC2">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7C2DF59C">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0FFFA125">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2A93C0B3">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77CFD0E2">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45876073">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474894E1">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3085D0B6">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1F10FFDC">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00530976">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13D8B038">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7CFE4052">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76C610D6">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41A029E0">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15837AED">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55E68AC6">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42DE3AA5">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083F7D2E">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6AE6B027">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7B0408EB">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1DA8E2C8">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505D78F3">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0B766F72">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4CA1C8A6">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p w14:paraId="1F366A90">
            <w:pPr>
              <w:pStyle w:val="10"/>
              <w:ind w:left="0" w:leftChars="0" w:firstLine="0" w:firstLineChars="0"/>
              <w:jc w:val="both"/>
              <w:rPr>
                <w:rFonts w:hint="eastAsia"/>
                <w:color w:val="000000" w:themeColor="text1"/>
                <w:kern w:val="0"/>
                <w:sz w:val="24"/>
                <w:highlight w:val="none"/>
                <w:lang w:bidi="ar"/>
                <w14:textFill>
                  <w14:solidFill>
                    <w14:schemeClr w14:val="tx1"/>
                  </w14:solidFill>
                </w14:textFill>
              </w:rPr>
            </w:pPr>
          </w:p>
        </w:tc>
      </w:tr>
    </w:tbl>
    <w:p w14:paraId="2A23BD5A">
      <w:pPr>
        <w:rPr>
          <w:b w:val="0"/>
          <w:bCs w:val="0"/>
          <w:snapToGrid w:val="0"/>
          <w:highlight w:val="none"/>
        </w:rPr>
      </w:pPr>
      <w:bookmarkStart w:id="18" w:name="_Toc28608"/>
      <w:r>
        <w:rPr>
          <w:b w:val="0"/>
          <w:bCs w:val="0"/>
          <w:snapToGrid w:val="0"/>
          <w:highlight w:val="none"/>
        </w:rPr>
        <w:br w:type="page"/>
      </w:r>
    </w:p>
    <w:p w14:paraId="4EEEFFFE">
      <w:pPr>
        <w:pStyle w:val="29"/>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Times New Roman" w:hAnsi="Times New Roman" w:eastAsia="黑体" w:cs="Times New Roman"/>
          <w:snapToGrid w:val="0"/>
          <w:sz w:val="30"/>
          <w:szCs w:val="30"/>
          <w:highlight w:val="none"/>
        </w:rPr>
      </w:pPr>
      <w:bookmarkStart w:id="19" w:name="_Toc2778"/>
      <w:r>
        <w:rPr>
          <w:rFonts w:ascii="Times New Roman" w:hAnsi="Times New Roman" w:eastAsia="黑体" w:cs="Times New Roman"/>
          <w:snapToGrid w:val="0"/>
          <w:sz w:val="30"/>
          <w:szCs w:val="30"/>
          <w:highlight w:val="none"/>
        </w:rPr>
        <w:t>四、主要环境影响和保护措施</w:t>
      </w:r>
      <w:bookmarkEnd w:id="18"/>
      <w:bookmarkEnd w:id="19"/>
    </w:p>
    <w:tbl>
      <w:tblPr>
        <w:tblStyle w:val="34"/>
        <w:tblW w:w="9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6"/>
        <w:gridCol w:w="6"/>
        <w:gridCol w:w="9014"/>
        <w:gridCol w:w="52"/>
      </w:tblGrid>
      <w:tr w14:paraId="31A47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52" w:type="dxa"/>
          <w:trHeight w:val="3413" w:hRule="atLeast"/>
          <w:jc w:val="center"/>
        </w:trPr>
        <w:tc>
          <w:tcPr>
            <w:tcW w:w="422" w:type="dxa"/>
            <w:gridSpan w:val="2"/>
            <w:tcMar>
              <w:left w:w="28" w:type="dxa"/>
              <w:right w:w="28" w:type="dxa"/>
            </w:tcMar>
            <w:vAlign w:val="center"/>
          </w:tcPr>
          <w:p w14:paraId="218F91B5">
            <w:pPr>
              <w:pStyle w:val="29"/>
              <w:adjustRightInd w:val="0"/>
              <w:snapToGrid w:val="0"/>
              <w:spacing w:before="0" w:beforeAutospacing="0" w:after="0" w:afterAutospacing="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施工</w:t>
            </w:r>
          </w:p>
          <w:p w14:paraId="22C35B35">
            <w:pPr>
              <w:pStyle w:val="29"/>
              <w:adjustRightInd w:val="0"/>
              <w:snapToGrid w:val="0"/>
              <w:spacing w:before="0" w:beforeAutospacing="0" w:after="0" w:afterAutospacing="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期环</w:t>
            </w:r>
          </w:p>
          <w:p w14:paraId="53829781">
            <w:pPr>
              <w:pStyle w:val="29"/>
              <w:adjustRightInd w:val="0"/>
              <w:snapToGrid w:val="0"/>
              <w:spacing w:before="0" w:beforeAutospacing="0" w:after="0" w:afterAutospacing="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境保</w:t>
            </w:r>
          </w:p>
          <w:p w14:paraId="20B11D8B">
            <w:pPr>
              <w:pStyle w:val="29"/>
              <w:adjustRightInd w:val="0"/>
              <w:snapToGrid w:val="0"/>
              <w:spacing w:before="0" w:beforeAutospacing="0" w:after="0" w:afterAutospacing="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护措</w:t>
            </w:r>
          </w:p>
          <w:p w14:paraId="7F3D5E1D">
            <w:pPr>
              <w:pStyle w:val="29"/>
              <w:adjustRightInd w:val="0"/>
              <w:snapToGrid w:val="0"/>
              <w:spacing w:before="0" w:beforeAutospacing="0" w:after="0" w:afterAutospacing="0"/>
              <w:jc w:val="center"/>
              <w:rPr>
                <w:rFonts w:ascii="Times New Roman" w:hAnsi="Times New Roman"/>
                <w:bCs/>
                <w:kern w:val="2"/>
                <w:sz w:val="21"/>
                <w:szCs w:val="21"/>
                <w:highlight w:val="none"/>
              </w:rPr>
            </w:pPr>
            <w:r>
              <w:rPr>
                <w:rFonts w:ascii="Times New Roman" w:hAnsi="Times New Roman" w:eastAsia="宋体" w:cs="Times New Roman"/>
                <w:sz w:val="24"/>
                <w:szCs w:val="24"/>
                <w:highlight w:val="none"/>
              </w:rPr>
              <w:t>施</w:t>
            </w:r>
          </w:p>
        </w:tc>
        <w:tc>
          <w:tcPr>
            <w:tcW w:w="9014" w:type="dxa"/>
            <w:vAlign w:val="center"/>
          </w:tcPr>
          <w:p w14:paraId="1D7740F0">
            <w:pPr>
              <w:spacing w:line="360" w:lineRule="auto"/>
              <w:ind w:firstLine="480" w:firstLineChars="200"/>
              <w:rPr>
                <w:rFonts w:hint="eastAsia" w:ascii="Time New Roman" w:hAnsi="Time New Roman" w:cs="Time New Roman"/>
                <w:b/>
                <w:bCs/>
                <w:sz w:val="24"/>
                <w:highlight w:val="none"/>
                <w:lang w:bidi="ar"/>
              </w:rPr>
            </w:pPr>
            <w:r>
              <w:rPr>
                <w:rFonts w:hint="eastAsia" w:ascii="Time New Roman" w:hAnsi="宋体" w:cs="宋体"/>
                <w:sz w:val="24"/>
                <w:highlight w:val="none"/>
                <w:lang w:val="en-US" w:eastAsia="zh-CN" w:bidi="ar"/>
              </w:rPr>
              <w:t>施工期主要污染是施工场地扬尘、施工机械及运输车辆尾气、装修粉尘、装修废气、施工期生活废水、施工废水、施工机械噪声、建筑垃圾、弃土等，但其对环境的不利影响是短暂的，将随着施工期的结束而消失。</w:t>
            </w:r>
          </w:p>
          <w:p w14:paraId="580F21CB">
            <w:pPr>
              <w:spacing w:line="360" w:lineRule="auto"/>
              <w:ind w:firstLine="482" w:firstLineChars="200"/>
              <w:rPr>
                <w:rFonts w:ascii="Time New Roman" w:hAnsi="Time New Roman" w:eastAsia="Time New Roman" w:cs="Time New Roman"/>
                <w:b/>
                <w:bCs/>
                <w:sz w:val="24"/>
                <w:highlight w:val="none"/>
              </w:rPr>
            </w:pPr>
            <w:r>
              <w:rPr>
                <w:rFonts w:hint="eastAsia" w:ascii="Time New Roman" w:hAnsi="Time New Roman" w:cs="Time New Roman"/>
                <w:b/>
                <w:bCs/>
                <w:sz w:val="24"/>
                <w:highlight w:val="none"/>
                <w:lang w:bidi="ar"/>
              </w:rPr>
              <w:t>1</w:t>
            </w:r>
            <w:r>
              <w:rPr>
                <w:rFonts w:hint="eastAsia" w:ascii="Time New Roman" w:hAnsi="Time New Roman" w:cs="Time New Roman"/>
                <w:b/>
                <w:bCs/>
                <w:sz w:val="24"/>
                <w:highlight w:val="none"/>
                <w:lang w:val="en-US" w:eastAsia="zh-CN" w:bidi="ar"/>
              </w:rPr>
              <w:t>.</w:t>
            </w:r>
            <w:r>
              <w:rPr>
                <w:rFonts w:hint="eastAsia" w:ascii="Time New Roman" w:hAnsi="宋体" w:cs="宋体"/>
                <w:b/>
                <w:bCs/>
                <w:sz w:val="24"/>
                <w:highlight w:val="none"/>
                <w:lang w:bidi="ar"/>
              </w:rPr>
              <w:t>施工期废水</w:t>
            </w:r>
            <w:r>
              <w:rPr>
                <w:rFonts w:hint="eastAsia" w:hAnsi="宋体"/>
                <w:b/>
                <w:sz w:val="24"/>
                <w:highlight w:val="none"/>
              </w:rPr>
              <w:t>污染物与源强分析</w:t>
            </w:r>
          </w:p>
          <w:p w14:paraId="3DE84852">
            <w:pPr>
              <w:spacing w:line="360" w:lineRule="auto"/>
              <w:ind w:firstLine="480" w:firstLineChars="200"/>
              <w:rPr>
                <w:rFonts w:hint="default" w:ascii="Time New Roman" w:hAnsi="宋体" w:cs="宋体"/>
                <w:sz w:val="24"/>
                <w:highlight w:val="none"/>
                <w:lang w:val="en-US" w:eastAsia="zh-CN" w:bidi="ar"/>
              </w:rPr>
            </w:pPr>
            <w:r>
              <w:rPr>
                <w:rFonts w:hint="eastAsia" w:ascii="Time New Roman" w:hAnsi="宋体" w:cs="宋体"/>
                <w:sz w:val="24"/>
                <w:highlight w:val="none"/>
                <w:lang w:val="en-US" w:eastAsia="zh-CN" w:bidi="ar"/>
              </w:rPr>
              <w:t>施工废水主要包括打桩阶段的泥浆废水、结构阶段混凝土养护废水及各种车辆冲洗水。施工废水主要污染物有COD</w:t>
            </w:r>
            <w:r>
              <w:rPr>
                <w:rFonts w:hint="eastAsia" w:ascii="Time New Roman" w:hAnsi="宋体" w:cs="宋体"/>
                <w:sz w:val="24"/>
                <w:highlight w:val="none"/>
                <w:vertAlign w:val="subscript"/>
                <w:lang w:val="en-US" w:eastAsia="zh-CN" w:bidi="ar"/>
              </w:rPr>
              <w:t>Cr</w:t>
            </w:r>
            <w:r>
              <w:rPr>
                <w:rFonts w:hint="eastAsia" w:ascii="Time New Roman" w:hAnsi="宋体" w:cs="宋体"/>
                <w:sz w:val="24"/>
                <w:highlight w:val="none"/>
                <w:lang w:val="en-US" w:eastAsia="zh-CN" w:bidi="ar"/>
              </w:rPr>
              <w:t>、石油类、SS，含量分别为100～200mg/L、10～40mg/L、500～4000mg/L。施工废水随意排放会造成排水系统堵塞，必须妥善处置，施工废水经沉淀池澄清后可循环使用。施工期施工人数高峰期约10人，施工人员均不在厂区食宿。</w:t>
            </w:r>
          </w:p>
          <w:p w14:paraId="0C9F7272">
            <w:pPr>
              <w:spacing w:line="360" w:lineRule="auto"/>
              <w:ind w:firstLine="482" w:firstLineChars="200"/>
              <w:rPr>
                <w:rFonts w:hint="eastAsia" w:ascii="Times New Roman" w:hAnsi="宋体" w:cs="Times New Roman"/>
                <w:b/>
                <w:sz w:val="24"/>
                <w:highlight w:val="none"/>
              </w:rPr>
            </w:pPr>
            <w:r>
              <w:rPr>
                <w:rFonts w:hint="eastAsia" w:ascii="Times New Roman" w:hAnsi="宋体" w:cs="Times New Roman"/>
                <w:b/>
                <w:sz w:val="24"/>
                <w:highlight w:val="none"/>
              </w:rPr>
              <w:t>2</w:t>
            </w:r>
            <w:r>
              <w:rPr>
                <w:rFonts w:hint="eastAsia" w:hAnsi="宋体" w:cs="Times New Roman"/>
                <w:b/>
                <w:sz w:val="24"/>
                <w:highlight w:val="none"/>
                <w:lang w:val="en-US" w:eastAsia="zh-CN"/>
              </w:rPr>
              <w:t>.</w:t>
            </w:r>
            <w:r>
              <w:rPr>
                <w:rFonts w:hint="eastAsia" w:ascii="Times New Roman" w:hAnsi="宋体" w:cs="Times New Roman"/>
                <w:b/>
                <w:sz w:val="24"/>
                <w:highlight w:val="none"/>
              </w:rPr>
              <w:t>施工期废气污染物与源强分析</w:t>
            </w:r>
          </w:p>
          <w:p w14:paraId="2A636DBB">
            <w:pPr>
              <w:pStyle w:val="180"/>
              <w:ind w:firstLine="480"/>
              <w:rPr>
                <w:rFonts w:hint="eastAsia"/>
                <w:sz w:val="24"/>
                <w:szCs w:val="24"/>
                <w:highlight w:val="none"/>
                <w:lang w:val="en-US" w:eastAsia="zh-CN"/>
              </w:rPr>
            </w:pPr>
            <w:r>
              <w:rPr>
                <w:rFonts w:hint="eastAsia"/>
                <w:sz w:val="24"/>
                <w:szCs w:val="24"/>
                <w:highlight w:val="none"/>
                <w:lang w:val="en-US" w:eastAsia="zh-CN"/>
              </w:rPr>
              <w:t>施工</w:t>
            </w:r>
            <w:r>
              <w:rPr>
                <w:sz w:val="24"/>
                <w:szCs w:val="24"/>
                <w:highlight w:val="none"/>
                <w:lang w:val="en-US" w:eastAsia="zh-CN"/>
              </w:rPr>
              <w:t>阶段的大气污染物主要来自建筑垃圾搬运、露天堆场和裸露场地的风力扬尘，土石方和建筑材料运输所产生的动力道路扬尘以及</w:t>
            </w:r>
            <w:r>
              <w:rPr>
                <w:rFonts w:hint="eastAsia"/>
                <w:sz w:val="24"/>
                <w:szCs w:val="24"/>
                <w:highlight w:val="none"/>
                <w:lang w:val="en-US" w:eastAsia="zh-CN"/>
              </w:rPr>
              <w:t>机动车尾气</w:t>
            </w:r>
            <w:r>
              <w:rPr>
                <w:sz w:val="24"/>
                <w:szCs w:val="24"/>
                <w:highlight w:val="none"/>
                <w:lang w:val="en-US" w:eastAsia="zh-CN"/>
              </w:rPr>
              <w:t>。</w:t>
            </w:r>
          </w:p>
          <w:p w14:paraId="65B009E1">
            <w:pPr>
              <w:spacing w:line="360" w:lineRule="auto"/>
              <w:ind w:firstLine="480" w:firstLineChars="200"/>
              <w:rPr>
                <w:bCs/>
                <w:sz w:val="24"/>
                <w:highlight w:val="none"/>
              </w:rPr>
            </w:pPr>
            <w:r>
              <w:rPr>
                <w:rFonts w:hint="eastAsia"/>
                <w:bCs/>
                <w:sz w:val="24"/>
                <w:highlight w:val="none"/>
              </w:rPr>
              <w:t>（1）</w:t>
            </w:r>
            <w:r>
              <w:rPr>
                <w:bCs/>
                <w:sz w:val="24"/>
                <w:highlight w:val="none"/>
              </w:rPr>
              <w:t>施工粉尘</w:t>
            </w:r>
          </w:p>
          <w:p w14:paraId="5A0B248D">
            <w:pPr>
              <w:pStyle w:val="180"/>
              <w:ind w:firstLine="480"/>
              <w:rPr>
                <w:rFonts w:hint="eastAsia"/>
                <w:sz w:val="24"/>
                <w:szCs w:val="24"/>
                <w:highlight w:val="none"/>
              </w:rPr>
            </w:pPr>
            <w:r>
              <w:rPr>
                <w:sz w:val="24"/>
                <w:szCs w:val="24"/>
                <w:highlight w:val="none"/>
              </w:rPr>
              <w:t>本项目施工期间产生的扬尘主要集中在施工阶段（土壤开挖、破碎、筛分、搅拌、回填过程）和运输阶段，按扬尘产生的原因可分为风力扬尘和动力扬尘。风力扬尘主要是裸露的施工区表层浮土由于天气干燥及大风而产生风力扬尘；而动力扬尘主要是在土壤的装卸、破碎、筛分、搅拌、土方的挖掘过程中产生及人来车往所造成的现场道路扬尘，如遇到干旱无雨季节，加上大风，扬尘将更为严重。</w:t>
            </w:r>
          </w:p>
          <w:p w14:paraId="59606D75">
            <w:pPr>
              <w:pStyle w:val="180"/>
              <w:ind w:firstLine="480"/>
              <w:rPr>
                <w:sz w:val="24"/>
                <w:szCs w:val="24"/>
                <w:highlight w:val="none"/>
              </w:rPr>
            </w:pPr>
            <w:r>
              <w:rPr>
                <w:rFonts w:hint="eastAsia"/>
                <w:sz w:val="24"/>
                <w:szCs w:val="24"/>
                <w:highlight w:val="none"/>
              </w:rPr>
              <w:fldChar w:fldCharType="begin"/>
            </w:r>
            <w:r>
              <w:rPr>
                <w:rFonts w:hint="eastAsia"/>
                <w:sz w:val="24"/>
                <w:szCs w:val="24"/>
                <w:highlight w:val="none"/>
              </w:rPr>
              <w:instrText xml:space="preserve"> = 1 \* GB3 \* MERGEFORMAT </w:instrText>
            </w:r>
            <w:r>
              <w:rPr>
                <w:rFonts w:hint="eastAsia"/>
                <w:sz w:val="24"/>
                <w:szCs w:val="24"/>
                <w:highlight w:val="none"/>
              </w:rPr>
              <w:fldChar w:fldCharType="separate"/>
            </w:r>
            <w:r>
              <w:rPr>
                <w:sz w:val="24"/>
                <w:szCs w:val="24"/>
                <w:highlight w:val="none"/>
              </w:rPr>
              <w:t>①</w:t>
            </w:r>
            <w:r>
              <w:rPr>
                <w:rFonts w:hint="eastAsia"/>
                <w:sz w:val="24"/>
                <w:szCs w:val="24"/>
                <w:highlight w:val="none"/>
              </w:rPr>
              <w:fldChar w:fldCharType="end"/>
            </w:r>
            <w:r>
              <w:rPr>
                <w:sz w:val="24"/>
                <w:szCs w:val="24"/>
                <w:highlight w:val="none"/>
              </w:rPr>
              <w:t>施工阶段</w:t>
            </w:r>
          </w:p>
          <w:p w14:paraId="2B8872C7">
            <w:pPr>
              <w:pStyle w:val="180"/>
              <w:ind w:firstLine="480"/>
              <w:rPr>
                <w:sz w:val="24"/>
                <w:szCs w:val="24"/>
                <w:highlight w:val="none"/>
              </w:rPr>
            </w:pPr>
            <w:r>
              <w:rPr>
                <w:sz w:val="24"/>
                <w:szCs w:val="24"/>
                <w:highlight w:val="none"/>
              </w:rPr>
              <w:t>根据国内外的有关研究资料，扬尘起尘量与许多因素有关，如：挖土机等施工机械在工作时的起尘量决定于挖坑深度、挖土机抓斗与地面的相对高度、风速、土壤的颗粒度、土壤含水量、渣土分散度等条件；而对于渣土堆场而言，起尘量还与堆放方式、起动风速及堆场有无防护措施等密切相关。</w:t>
            </w:r>
          </w:p>
          <w:p w14:paraId="5DCB2A6B">
            <w:pPr>
              <w:pStyle w:val="180"/>
              <w:ind w:firstLine="480"/>
              <w:rPr>
                <w:rFonts w:hint="eastAsia"/>
                <w:sz w:val="24"/>
                <w:szCs w:val="24"/>
                <w:highlight w:val="none"/>
              </w:rPr>
            </w:pPr>
            <w:r>
              <w:rPr>
                <w:sz w:val="24"/>
                <w:szCs w:val="24"/>
                <w:highlight w:val="none"/>
              </w:rPr>
              <w:t>通过类比调查研究：不采取防护措施和土壤较为干燥时，施工扬尘的影响范围一般在施工场界（管理区施工边界）外200m左右；在采取一定防护措施和土壤较湿时，施工扬尘的影响范围一般在施工场界外50m左右；扬尘的大小跟风力的大小及气候有一定的关系，风速较高，相应的扬尘影响范围较大，而在洒水和避免大风日情况下施工，下风向50m处的TSP浓度会小于0.3mg/m</w:t>
            </w:r>
            <w:r>
              <w:rPr>
                <w:sz w:val="24"/>
                <w:szCs w:val="24"/>
                <w:highlight w:val="none"/>
                <w:vertAlign w:val="superscript"/>
              </w:rPr>
              <w:t>3</w:t>
            </w:r>
            <w:r>
              <w:rPr>
                <w:sz w:val="24"/>
                <w:szCs w:val="24"/>
                <w:highlight w:val="none"/>
              </w:rPr>
              <w:t>。</w:t>
            </w:r>
          </w:p>
          <w:p w14:paraId="401641CA">
            <w:pPr>
              <w:pStyle w:val="180"/>
              <w:ind w:firstLine="480"/>
              <w:rPr>
                <w:rFonts w:hint="eastAsia" w:ascii="宋体" w:hAnsi="宋体" w:cs="宋体"/>
                <w:spacing w:val="4"/>
                <w:sz w:val="24"/>
                <w:highlight w:val="none"/>
                <w:lang w:bidi="ar"/>
              </w:rPr>
            </w:pPr>
            <w:r>
              <w:rPr>
                <w:rFonts w:hint="eastAsia"/>
                <w:sz w:val="24"/>
                <w:szCs w:val="24"/>
                <w:highlight w:val="none"/>
              </w:rPr>
              <w:fldChar w:fldCharType="begin"/>
            </w:r>
            <w:r>
              <w:rPr>
                <w:rFonts w:hint="eastAsia"/>
                <w:sz w:val="24"/>
                <w:szCs w:val="24"/>
                <w:highlight w:val="none"/>
              </w:rPr>
              <w:instrText xml:space="preserve"> = 2 \* GB3 \* MERGEFORMAT </w:instrText>
            </w:r>
            <w:r>
              <w:rPr>
                <w:rFonts w:hint="eastAsia"/>
                <w:sz w:val="24"/>
                <w:szCs w:val="24"/>
                <w:highlight w:val="none"/>
              </w:rPr>
              <w:fldChar w:fldCharType="separate"/>
            </w:r>
            <w:r>
              <w:rPr>
                <w:sz w:val="24"/>
                <w:szCs w:val="24"/>
                <w:highlight w:val="none"/>
              </w:rPr>
              <w:t>②</w:t>
            </w:r>
            <w:r>
              <w:rPr>
                <w:rFonts w:hint="eastAsia"/>
                <w:sz w:val="24"/>
                <w:szCs w:val="24"/>
                <w:highlight w:val="none"/>
              </w:rPr>
              <w:fldChar w:fldCharType="end"/>
            </w:r>
            <w:r>
              <w:rPr>
                <w:sz w:val="24"/>
                <w:szCs w:val="24"/>
                <w:highlight w:val="none"/>
              </w:rPr>
              <w:t>运输阶段</w:t>
            </w:r>
          </w:p>
          <w:p w14:paraId="1F870B24">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lang w:bidi="ar"/>
              </w:rPr>
              <w:t>在整个施工期，产生扬尘的作业有平整土地、开挖土方、道路铺浇、材料运输、装卸和搅拌等过程，如遇干旱无雨季节，扬尘则更为严重。</w:t>
            </w:r>
          </w:p>
          <w:p w14:paraId="29F12100">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lang w:bidi="ar"/>
              </w:rPr>
              <w:t>据有关资料介绍，汽车行驶引起的道路扬尘占扬尘总量的</w:t>
            </w:r>
            <w:r>
              <w:rPr>
                <w:rFonts w:ascii="Time New Roman" w:hAnsi="宋体" w:eastAsia="Time New Roman" w:cs="Time New Roman"/>
                <w:sz w:val="24"/>
                <w:highlight w:val="none"/>
                <w:lang w:bidi="ar"/>
              </w:rPr>
              <w:t>60</w:t>
            </w:r>
            <w:r>
              <w:rPr>
                <w:rFonts w:hint="eastAsia" w:ascii="Time New Roman" w:hAnsi="宋体" w:cs="宋体"/>
                <w:sz w:val="24"/>
                <w:highlight w:val="none"/>
                <w:lang w:bidi="ar"/>
              </w:rPr>
              <w:t>％</w:t>
            </w:r>
            <w:r>
              <w:rPr>
                <w:rFonts w:hint="eastAsia" w:ascii="宋体" w:hAnsi="宋体" w:cs="宋体"/>
                <w:spacing w:val="4"/>
                <w:sz w:val="24"/>
                <w:highlight w:val="none"/>
                <w:lang w:bidi="ar"/>
              </w:rPr>
              <w:t>以上。车辆行驶扬尘的影响主要集中在交通沿线。表</w:t>
            </w:r>
            <w:r>
              <w:rPr>
                <w:rFonts w:hint="eastAsia" w:ascii="Time New Roman" w:hAnsi="宋体" w:eastAsia="宋体" w:cs="Time New Roman"/>
                <w:sz w:val="24"/>
                <w:highlight w:val="none"/>
                <w:lang w:val="en-US" w:eastAsia="zh-CN" w:bidi="ar"/>
              </w:rPr>
              <w:t>4</w:t>
            </w:r>
            <w:r>
              <w:rPr>
                <w:rFonts w:ascii="Time New Roman" w:hAnsi="宋体" w:eastAsia="Time New Roman" w:cs="Time New Roman"/>
                <w:sz w:val="24"/>
                <w:highlight w:val="none"/>
                <w:lang w:bidi="ar"/>
              </w:rPr>
              <w:t>-</w:t>
            </w:r>
            <w:r>
              <w:rPr>
                <w:rFonts w:hint="eastAsia" w:ascii="Time New Roman" w:hAnsi="宋体" w:eastAsia="Time New Roman" w:cs="Time New Roman"/>
                <w:sz w:val="24"/>
                <w:highlight w:val="none"/>
                <w:lang w:bidi="ar"/>
              </w:rPr>
              <w:t>1</w:t>
            </w:r>
            <w:r>
              <w:rPr>
                <w:rFonts w:hint="eastAsia" w:ascii="宋体" w:hAnsi="宋体" w:cs="宋体"/>
                <w:spacing w:val="4"/>
                <w:sz w:val="24"/>
                <w:highlight w:val="none"/>
                <w:lang w:bidi="ar"/>
              </w:rPr>
              <w:t>为一辆</w:t>
            </w:r>
            <w:r>
              <w:rPr>
                <w:rFonts w:ascii="Time New Roman" w:hAnsi="宋体" w:eastAsia="Time New Roman" w:cs="Time New Roman"/>
                <w:sz w:val="24"/>
                <w:highlight w:val="none"/>
                <w:lang w:bidi="ar"/>
              </w:rPr>
              <w:t>10t</w:t>
            </w:r>
            <w:r>
              <w:rPr>
                <w:rFonts w:hint="eastAsia" w:ascii="宋体" w:hAnsi="宋体" w:cs="宋体"/>
                <w:spacing w:val="4"/>
                <w:sz w:val="24"/>
                <w:highlight w:val="none"/>
                <w:lang w:bidi="ar"/>
              </w:rPr>
              <w:t>卡车，通过一段长度为</w:t>
            </w:r>
            <w:r>
              <w:rPr>
                <w:rFonts w:ascii="Time New Roman" w:hAnsi="宋体" w:eastAsia="Time New Roman" w:cs="Time New Roman"/>
                <w:sz w:val="24"/>
                <w:highlight w:val="none"/>
                <w:lang w:bidi="ar"/>
              </w:rPr>
              <w:t>1km</w:t>
            </w:r>
            <w:r>
              <w:rPr>
                <w:rFonts w:hint="eastAsia" w:ascii="宋体" w:hAnsi="宋体" w:cs="宋体"/>
                <w:spacing w:val="4"/>
                <w:sz w:val="24"/>
                <w:highlight w:val="none"/>
                <w:lang w:bidi="ar"/>
              </w:rPr>
              <w:t>的路面时，不同路面清洁程度，不同行驶速度情况下的扬尘量。</w:t>
            </w:r>
          </w:p>
          <w:p w14:paraId="197323E3">
            <w:pPr>
              <w:adjustRightInd w:val="0"/>
              <w:spacing w:line="360" w:lineRule="auto"/>
              <w:ind w:firstLine="482" w:firstLineChars="200"/>
              <w:jc w:val="center"/>
              <w:textAlignment w:val="baseline"/>
              <w:rPr>
                <w:b/>
                <w:kern w:val="21"/>
                <w:sz w:val="24"/>
                <w:highlight w:val="none"/>
              </w:rPr>
            </w:pPr>
            <w:r>
              <w:rPr>
                <w:rFonts w:hint="eastAsia" w:cs="宋体"/>
                <w:b/>
                <w:kern w:val="21"/>
                <w:sz w:val="24"/>
                <w:highlight w:val="none"/>
                <w:lang w:bidi="ar"/>
              </w:rPr>
              <w:t>表</w:t>
            </w:r>
            <w:r>
              <w:rPr>
                <w:rFonts w:hint="eastAsia"/>
                <w:b/>
                <w:kern w:val="21"/>
                <w:sz w:val="24"/>
                <w:highlight w:val="none"/>
                <w:lang w:val="en-US" w:eastAsia="zh-CN" w:bidi="ar"/>
              </w:rPr>
              <w:t>4-1</w:t>
            </w:r>
            <w:r>
              <w:rPr>
                <w:rFonts w:hint="eastAsia"/>
                <w:b/>
                <w:kern w:val="21"/>
                <w:sz w:val="24"/>
                <w:highlight w:val="none"/>
                <w:lang w:bidi="ar"/>
              </w:rPr>
              <w:t xml:space="preserve"> </w:t>
            </w:r>
            <w:r>
              <w:rPr>
                <w:rFonts w:hint="eastAsia" w:cs="宋体"/>
                <w:b/>
                <w:kern w:val="21"/>
                <w:sz w:val="24"/>
                <w:highlight w:val="none"/>
                <w:lang w:bidi="ar"/>
              </w:rPr>
              <w:t>在不同车速和地面清洁程度的汽车扬尘</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1190"/>
              <w:gridCol w:w="1190"/>
              <w:gridCol w:w="1190"/>
              <w:gridCol w:w="1190"/>
              <w:gridCol w:w="1190"/>
              <w:gridCol w:w="1190"/>
            </w:tblGrid>
            <w:tr w14:paraId="3BFD5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355" w:type="dxa"/>
                  <w:tcBorders>
                    <w:top w:val="single" w:color="000000" w:sz="4" w:space="0"/>
                    <w:left w:val="single" w:color="000000" w:sz="4" w:space="0"/>
                    <w:bottom w:val="single" w:color="000000" w:sz="4" w:space="0"/>
                    <w:right w:val="single" w:color="000000" w:sz="4" w:space="0"/>
                    <w:tl2br w:val="single" w:color="auto" w:sz="4" w:space="0"/>
                  </w:tcBorders>
                  <w:noWrap w:val="0"/>
                  <w:vAlign w:val="center"/>
                </w:tcPr>
                <w:p w14:paraId="7CF746D4">
                  <w:pPr>
                    <w:keepNext w:val="0"/>
                    <w:keepLines w:val="0"/>
                    <w:pageBreakBefore w:val="0"/>
                    <w:widowControl w:val="0"/>
                    <w:kinsoku/>
                    <w:wordWrap/>
                    <w:overflowPunct/>
                    <w:topLinePunct w:val="0"/>
                    <w:autoSpaceDE/>
                    <w:autoSpaceDN/>
                    <w:bidi w:val="0"/>
                    <w:ind w:firstLine="650" w:firstLineChars="300"/>
                    <w:rPr>
                      <w:rFonts w:eastAsia="仿宋_GB2312"/>
                      <w:b/>
                      <w:bCs/>
                      <w:spacing w:val="3"/>
                      <w:sz w:val="21"/>
                      <w:szCs w:val="21"/>
                      <w:highlight w:val="none"/>
                      <w:lang w:bidi="ar"/>
                    </w:rPr>
                  </w:pPr>
                  <w:r>
                    <w:rPr>
                      <w:rFonts w:eastAsia="仿宋_GB2312"/>
                      <w:b/>
                      <w:bCs/>
                      <w:spacing w:val="3"/>
                      <w:sz w:val="21"/>
                      <w:szCs w:val="21"/>
                      <w:highlight w:val="none"/>
                      <w:lang w:bidi="ar"/>
                    </w:rPr>
                    <w:t>P</w:t>
                  </w:r>
                </w:p>
                <w:p w14:paraId="3A494C47">
                  <w:pPr>
                    <w:keepNext w:val="0"/>
                    <w:keepLines w:val="0"/>
                    <w:pageBreakBefore w:val="0"/>
                    <w:widowControl w:val="0"/>
                    <w:kinsoku/>
                    <w:wordWrap/>
                    <w:overflowPunct/>
                    <w:topLinePunct w:val="0"/>
                    <w:autoSpaceDE/>
                    <w:autoSpaceDN/>
                    <w:bidi w:val="0"/>
                    <w:ind w:firstLine="0" w:firstLineChars="0"/>
                    <w:rPr>
                      <w:rFonts w:eastAsia="仿宋_GB2312"/>
                      <w:b/>
                      <w:bCs/>
                      <w:spacing w:val="3"/>
                      <w:sz w:val="21"/>
                      <w:szCs w:val="21"/>
                      <w:highlight w:val="none"/>
                      <w:lang w:bidi="ar"/>
                    </w:rPr>
                  </w:pPr>
                  <w:r>
                    <w:rPr>
                      <w:rFonts w:hint="eastAsia" w:eastAsia="仿宋_GB2312"/>
                      <w:b/>
                      <w:bCs/>
                      <w:spacing w:val="3"/>
                      <w:sz w:val="21"/>
                      <w:szCs w:val="21"/>
                      <w:highlight w:val="none"/>
                      <w:lang w:bidi="ar"/>
                    </w:rPr>
                    <w:t>V</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086D40A">
                  <w:pPr>
                    <w:keepNext w:val="0"/>
                    <w:keepLines w:val="0"/>
                    <w:pageBreakBefore w:val="0"/>
                    <w:widowControl w:val="0"/>
                    <w:kinsoku/>
                    <w:wordWrap/>
                    <w:overflowPunct/>
                    <w:topLinePunct w:val="0"/>
                    <w:autoSpaceDE/>
                    <w:autoSpaceDN/>
                    <w:bidi w:val="0"/>
                    <w:ind w:firstLine="0" w:firstLineChars="0"/>
                    <w:jc w:val="center"/>
                    <w:rPr>
                      <w:rFonts w:eastAsia="仿宋_GB2312"/>
                      <w:b/>
                      <w:bCs/>
                      <w:spacing w:val="3"/>
                      <w:sz w:val="21"/>
                      <w:szCs w:val="21"/>
                      <w:highlight w:val="none"/>
                    </w:rPr>
                  </w:pPr>
                  <w:r>
                    <w:rPr>
                      <w:rFonts w:eastAsia="仿宋_GB2312"/>
                      <w:b/>
                      <w:bCs/>
                      <w:spacing w:val="3"/>
                      <w:sz w:val="21"/>
                      <w:szCs w:val="21"/>
                      <w:highlight w:val="none"/>
                      <w:lang w:bidi="ar"/>
                    </w:rPr>
                    <w:t>0.1</w:t>
                  </w:r>
                </w:p>
                <w:p w14:paraId="37488E87">
                  <w:pPr>
                    <w:keepNext w:val="0"/>
                    <w:keepLines w:val="0"/>
                    <w:pageBreakBefore w:val="0"/>
                    <w:widowControl w:val="0"/>
                    <w:kinsoku/>
                    <w:wordWrap/>
                    <w:overflowPunct/>
                    <w:topLinePunct w:val="0"/>
                    <w:autoSpaceDE/>
                    <w:autoSpaceDN/>
                    <w:bidi w:val="0"/>
                    <w:ind w:firstLine="0" w:firstLineChars="0"/>
                    <w:rPr>
                      <w:rFonts w:eastAsia="仿宋_GB2312"/>
                      <w:b/>
                      <w:bCs/>
                      <w:spacing w:val="3"/>
                      <w:sz w:val="21"/>
                      <w:szCs w:val="21"/>
                      <w:highlight w:val="none"/>
                    </w:rPr>
                  </w:pPr>
                  <w:r>
                    <w:rPr>
                      <w:rFonts w:hint="eastAsia" w:eastAsia="仿宋_GB2312" w:cs="仿宋_GB2312"/>
                      <w:b/>
                      <w:bCs/>
                      <w:spacing w:val="3"/>
                      <w:sz w:val="21"/>
                      <w:szCs w:val="21"/>
                      <w:highlight w:val="none"/>
                      <w:lang w:bidi="ar"/>
                    </w:rPr>
                    <w:t>（</w:t>
                  </w:r>
                  <w:r>
                    <w:rPr>
                      <w:rFonts w:eastAsia="仿宋_GB2312"/>
                      <w:b/>
                      <w:bCs/>
                      <w:spacing w:val="3"/>
                      <w:sz w:val="21"/>
                      <w:szCs w:val="21"/>
                      <w:highlight w:val="none"/>
                      <w:lang w:bidi="ar"/>
                    </w:rPr>
                    <w:t>kg/</w:t>
                  </w:r>
                  <w:r>
                    <w:rPr>
                      <w:b/>
                      <w:bCs/>
                      <w:spacing w:val="4"/>
                      <w:sz w:val="21"/>
                      <w:szCs w:val="21"/>
                      <w:highlight w:val="none"/>
                      <w:lang w:bidi="ar"/>
                    </w:rPr>
                    <w:t>m</w:t>
                  </w:r>
                  <w:r>
                    <w:rPr>
                      <w:b/>
                      <w:bCs/>
                      <w:spacing w:val="4"/>
                      <w:sz w:val="21"/>
                      <w:szCs w:val="21"/>
                      <w:highlight w:val="none"/>
                      <w:vertAlign w:val="superscript"/>
                      <w:lang w:bidi="ar"/>
                    </w:rPr>
                    <w:t>2</w:t>
                  </w:r>
                  <w:r>
                    <w:rPr>
                      <w:rFonts w:hint="eastAsia" w:eastAsia="仿宋_GB2312" w:cs="仿宋_GB2312"/>
                      <w:b/>
                      <w:bCs/>
                      <w:spacing w:val="3"/>
                      <w:sz w:val="21"/>
                      <w:szCs w:val="21"/>
                      <w:highlight w:val="none"/>
                      <w:lang w:bidi="ar"/>
                    </w:rPr>
                    <w:t>）</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3B0E331">
                  <w:pPr>
                    <w:keepNext w:val="0"/>
                    <w:keepLines w:val="0"/>
                    <w:pageBreakBefore w:val="0"/>
                    <w:widowControl w:val="0"/>
                    <w:kinsoku/>
                    <w:wordWrap/>
                    <w:overflowPunct/>
                    <w:topLinePunct w:val="0"/>
                    <w:autoSpaceDE/>
                    <w:autoSpaceDN/>
                    <w:bidi w:val="0"/>
                    <w:ind w:firstLine="0" w:firstLineChars="0"/>
                    <w:jc w:val="center"/>
                    <w:rPr>
                      <w:rFonts w:eastAsia="仿宋_GB2312"/>
                      <w:b/>
                      <w:bCs/>
                      <w:spacing w:val="3"/>
                      <w:sz w:val="21"/>
                      <w:szCs w:val="21"/>
                      <w:highlight w:val="none"/>
                    </w:rPr>
                  </w:pPr>
                  <w:r>
                    <w:rPr>
                      <w:rFonts w:eastAsia="仿宋_GB2312"/>
                      <w:b/>
                      <w:bCs/>
                      <w:spacing w:val="3"/>
                      <w:sz w:val="21"/>
                      <w:szCs w:val="21"/>
                      <w:highlight w:val="none"/>
                      <w:lang w:bidi="ar"/>
                    </w:rPr>
                    <w:t>0.2</w:t>
                  </w:r>
                </w:p>
                <w:p w14:paraId="3ADE3328">
                  <w:pPr>
                    <w:keepNext w:val="0"/>
                    <w:keepLines w:val="0"/>
                    <w:pageBreakBefore w:val="0"/>
                    <w:widowControl w:val="0"/>
                    <w:kinsoku/>
                    <w:wordWrap/>
                    <w:overflowPunct/>
                    <w:topLinePunct w:val="0"/>
                    <w:autoSpaceDE/>
                    <w:autoSpaceDN/>
                    <w:bidi w:val="0"/>
                    <w:ind w:firstLine="0" w:firstLineChars="0"/>
                    <w:jc w:val="center"/>
                    <w:rPr>
                      <w:rFonts w:eastAsia="仿宋_GB2312"/>
                      <w:b/>
                      <w:bCs/>
                      <w:spacing w:val="3"/>
                      <w:sz w:val="21"/>
                      <w:szCs w:val="21"/>
                      <w:highlight w:val="none"/>
                    </w:rPr>
                  </w:pPr>
                  <w:r>
                    <w:rPr>
                      <w:rFonts w:hint="eastAsia" w:eastAsia="仿宋_GB2312" w:cs="仿宋_GB2312"/>
                      <w:b/>
                      <w:bCs/>
                      <w:spacing w:val="3"/>
                      <w:sz w:val="21"/>
                      <w:szCs w:val="21"/>
                      <w:highlight w:val="none"/>
                      <w:lang w:bidi="ar"/>
                    </w:rPr>
                    <w:t>（</w:t>
                  </w:r>
                  <w:r>
                    <w:rPr>
                      <w:rFonts w:eastAsia="仿宋_GB2312"/>
                      <w:b/>
                      <w:bCs/>
                      <w:spacing w:val="3"/>
                      <w:sz w:val="21"/>
                      <w:szCs w:val="21"/>
                      <w:highlight w:val="none"/>
                      <w:lang w:bidi="ar"/>
                    </w:rPr>
                    <w:t>kg/</w:t>
                  </w:r>
                  <w:r>
                    <w:rPr>
                      <w:b/>
                      <w:bCs/>
                      <w:spacing w:val="4"/>
                      <w:sz w:val="21"/>
                      <w:szCs w:val="21"/>
                      <w:highlight w:val="none"/>
                      <w:lang w:bidi="ar"/>
                    </w:rPr>
                    <w:t>m</w:t>
                  </w:r>
                  <w:r>
                    <w:rPr>
                      <w:b/>
                      <w:bCs/>
                      <w:spacing w:val="4"/>
                      <w:sz w:val="21"/>
                      <w:szCs w:val="21"/>
                      <w:highlight w:val="none"/>
                      <w:vertAlign w:val="superscript"/>
                      <w:lang w:bidi="ar"/>
                    </w:rPr>
                    <w:t>2</w:t>
                  </w:r>
                  <w:r>
                    <w:rPr>
                      <w:rFonts w:hint="eastAsia" w:eastAsia="仿宋_GB2312" w:cs="仿宋_GB2312"/>
                      <w:b/>
                      <w:bCs/>
                      <w:spacing w:val="3"/>
                      <w:sz w:val="21"/>
                      <w:szCs w:val="21"/>
                      <w:highlight w:val="none"/>
                      <w:lang w:bidi="ar"/>
                    </w:rPr>
                    <w:t>）</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A5A0989">
                  <w:pPr>
                    <w:keepNext w:val="0"/>
                    <w:keepLines w:val="0"/>
                    <w:pageBreakBefore w:val="0"/>
                    <w:widowControl w:val="0"/>
                    <w:kinsoku/>
                    <w:wordWrap/>
                    <w:overflowPunct/>
                    <w:topLinePunct w:val="0"/>
                    <w:autoSpaceDE/>
                    <w:autoSpaceDN/>
                    <w:bidi w:val="0"/>
                    <w:ind w:firstLine="0" w:firstLineChars="0"/>
                    <w:jc w:val="center"/>
                    <w:rPr>
                      <w:rFonts w:eastAsia="仿宋_GB2312"/>
                      <w:b/>
                      <w:bCs/>
                      <w:spacing w:val="3"/>
                      <w:sz w:val="21"/>
                      <w:szCs w:val="21"/>
                      <w:highlight w:val="none"/>
                    </w:rPr>
                  </w:pPr>
                  <w:r>
                    <w:rPr>
                      <w:rFonts w:eastAsia="仿宋_GB2312"/>
                      <w:b/>
                      <w:bCs/>
                      <w:spacing w:val="3"/>
                      <w:sz w:val="21"/>
                      <w:szCs w:val="21"/>
                      <w:highlight w:val="none"/>
                      <w:lang w:bidi="ar"/>
                    </w:rPr>
                    <w:t>0.3</w:t>
                  </w:r>
                </w:p>
                <w:p w14:paraId="4D4BDFD4">
                  <w:pPr>
                    <w:keepNext w:val="0"/>
                    <w:keepLines w:val="0"/>
                    <w:pageBreakBefore w:val="0"/>
                    <w:widowControl w:val="0"/>
                    <w:kinsoku/>
                    <w:wordWrap/>
                    <w:overflowPunct/>
                    <w:topLinePunct w:val="0"/>
                    <w:autoSpaceDE/>
                    <w:autoSpaceDN/>
                    <w:bidi w:val="0"/>
                    <w:ind w:firstLine="0" w:firstLineChars="0"/>
                    <w:jc w:val="center"/>
                    <w:rPr>
                      <w:rFonts w:eastAsia="仿宋_GB2312"/>
                      <w:b/>
                      <w:bCs/>
                      <w:spacing w:val="3"/>
                      <w:sz w:val="21"/>
                      <w:szCs w:val="21"/>
                      <w:highlight w:val="none"/>
                    </w:rPr>
                  </w:pPr>
                  <w:r>
                    <w:rPr>
                      <w:rFonts w:hint="eastAsia" w:eastAsia="仿宋_GB2312" w:cs="仿宋_GB2312"/>
                      <w:b/>
                      <w:bCs/>
                      <w:spacing w:val="3"/>
                      <w:sz w:val="21"/>
                      <w:szCs w:val="21"/>
                      <w:highlight w:val="none"/>
                      <w:lang w:bidi="ar"/>
                    </w:rPr>
                    <w:t>（</w:t>
                  </w:r>
                  <w:r>
                    <w:rPr>
                      <w:rFonts w:eastAsia="仿宋_GB2312"/>
                      <w:b/>
                      <w:bCs/>
                      <w:spacing w:val="3"/>
                      <w:sz w:val="21"/>
                      <w:szCs w:val="21"/>
                      <w:highlight w:val="none"/>
                      <w:lang w:bidi="ar"/>
                    </w:rPr>
                    <w:t>kg/</w:t>
                  </w:r>
                  <w:r>
                    <w:rPr>
                      <w:b/>
                      <w:bCs/>
                      <w:spacing w:val="4"/>
                      <w:sz w:val="21"/>
                      <w:szCs w:val="21"/>
                      <w:highlight w:val="none"/>
                      <w:lang w:bidi="ar"/>
                    </w:rPr>
                    <w:t>m</w:t>
                  </w:r>
                  <w:r>
                    <w:rPr>
                      <w:b/>
                      <w:bCs/>
                      <w:spacing w:val="4"/>
                      <w:sz w:val="21"/>
                      <w:szCs w:val="21"/>
                      <w:highlight w:val="none"/>
                      <w:vertAlign w:val="superscript"/>
                      <w:lang w:bidi="ar"/>
                    </w:rPr>
                    <w:t>2</w:t>
                  </w:r>
                  <w:r>
                    <w:rPr>
                      <w:rFonts w:hint="eastAsia" w:eastAsia="仿宋_GB2312" w:cs="仿宋_GB2312"/>
                      <w:b/>
                      <w:bCs/>
                      <w:spacing w:val="3"/>
                      <w:sz w:val="21"/>
                      <w:szCs w:val="21"/>
                      <w:highlight w:val="none"/>
                      <w:lang w:bidi="ar"/>
                    </w:rPr>
                    <w:t>）</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FDBE821">
                  <w:pPr>
                    <w:keepNext w:val="0"/>
                    <w:keepLines w:val="0"/>
                    <w:pageBreakBefore w:val="0"/>
                    <w:widowControl w:val="0"/>
                    <w:kinsoku/>
                    <w:wordWrap/>
                    <w:overflowPunct/>
                    <w:topLinePunct w:val="0"/>
                    <w:autoSpaceDE/>
                    <w:autoSpaceDN/>
                    <w:bidi w:val="0"/>
                    <w:ind w:firstLine="0" w:firstLineChars="0"/>
                    <w:jc w:val="center"/>
                    <w:rPr>
                      <w:rFonts w:eastAsia="仿宋_GB2312"/>
                      <w:b/>
                      <w:bCs/>
                      <w:spacing w:val="3"/>
                      <w:sz w:val="21"/>
                      <w:szCs w:val="21"/>
                      <w:highlight w:val="none"/>
                    </w:rPr>
                  </w:pPr>
                  <w:r>
                    <w:rPr>
                      <w:rFonts w:eastAsia="仿宋_GB2312"/>
                      <w:b/>
                      <w:bCs/>
                      <w:spacing w:val="3"/>
                      <w:sz w:val="21"/>
                      <w:szCs w:val="21"/>
                      <w:highlight w:val="none"/>
                      <w:lang w:bidi="ar"/>
                    </w:rPr>
                    <w:t>0.4</w:t>
                  </w:r>
                </w:p>
                <w:p w14:paraId="2A5B1493">
                  <w:pPr>
                    <w:keepNext w:val="0"/>
                    <w:keepLines w:val="0"/>
                    <w:pageBreakBefore w:val="0"/>
                    <w:widowControl w:val="0"/>
                    <w:kinsoku/>
                    <w:wordWrap/>
                    <w:overflowPunct/>
                    <w:topLinePunct w:val="0"/>
                    <w:autoSpaceDE/>
                    <w:autoSpaceDN/>
                    <w:bidi w:val="0"/>
                    <w:ind w:firstLine="0" w:firstLineChars="0"/>
                    <w:jc w:val="center"/>
                    <w:rPr>
                      <w:rFonts w:eastAsia="仿宋_GB2312"/>
                      <w:b/>
                      <w:bCs/>
                      <w:spacing w:val="3"/>
                      <w:sz w:val="21"/>
                      <w:szCs w:val="21"/>
                      <w:highlight w:val="none"/>
                    </w:rPr>
                  </w:pPr>
                  <w:r>
                    <w:rPr>
                      <w:rFonts w:hint="eastAsia" w:eastAsia="仿宋_GB2312" w:cs="仿宋_GB2312"/>
                      <w:b/>
                      <w:bCs/>
                      <w:spacing w:val="3"/>
                      <w:sz w:val="21"/>
                      <w:szCs w:val="21"/>
                      <w:highlight w:val="none"/>
                      <w:lang w:bidi="ar"/>
                    </w:rPr>
                    <w:t>（</w:t>
                  </w:r>
                  <w:r>
                    <w:rPr>
                      <w:rFonts w:eastAsia="仿宋_GB2312"/>
                      <w:b/>
                      <w:bCs/>
                      <w:spacing w:val="3"/>
                      <w:sz w:val="21"/>
                      <w:szCs w:val="21"/>
                      <w:highlight w:val="none"/>
                      <w:lang w:bidi="ar"/>
                    </w:rPr>
                    <w:t>kg/</w:t>
                  </w:r>
                  <w:r>
                    <w:rPr>
                      <w:b/>
                      <w:bCs/>
                      <w:spacing w:val="4"/>
                      <w:sz w:val="21"/>
                      <w:szCs w:val="21"/>
                      <w:highlight w:val="none"/>
                      <w:lang w:bidi="ar"/>
                    </w:rPr>
                    <w:t>m</w:t>
                  </w:r>
                  <w:r>
                    <w:rPr>
                      <w:b/>
                      <w:bCs/>
                      <w:spacing w:val="4"/>
                      <w:sz w:val="21"/>
                      <w:szCs w:val="21"/>
                      <w:highlight w:val="none"/>
                      <w:vertAlign w:val="superscript"/>
                      <w:lang w:bidi="ar"/>
                    </w:rPr>
                    <w:t>2</w:t>
                  </w:r>
                  <w:r>
                    <w:rPr>
                      <w:rFonts w:hint="eastAsia" w:eastAsia="仿宋_GB2312" w:cs="仿宋_GB2312"/>
                      <w:b/>
                      <w:bCs/>
                      <w:spacing w:val="3"/>
                      <w:sz w:val="21"/>
                      <w:szCs w:val="21"/>
                      <w:highlight w:val="none"/>
                      <w:lang w:bidi="ar"/>
                    </w:rPr>
                    <w:t>）</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BFF0D58">
                  <w:pPr>
                    <w:keepNext w:val="0"/>
                    <w:keepLines w:val="0"/>
                    <w:pageBreakBefore w:val="0"/>
                    <w:widowControl w:val="0"/>
                    <w:kinsoku/>
                    <w:wordWrap/>
                    <w:overflowPunct/>
                    <w:topLinePunct w:val="0"/>
                    <w:autoSpaceDE/>
                    <w:autoSpaceDN/>
                    <w:bidi w:val="0"/>
                    <w:ind w:firstLine="0" w:firstLineChars="0"/>
                    <w:jc w:val="center"/>
                    <w:rPr>
                      <w:rFonts w:eastAsia="仿宋_GB2312"/>
                      <w:b/>
                      <w:bCs/>
                      <w:spacing w:val="3"/>
                      <w:sz w:val="21"/>
                      <w:szCs w:val="21"/>
                      <w:highlight w:val="none"/>
                    </w:rPr>
                  </w:pPr>
                  <w:r>
                    <w:rPr>
                      <w:rFonts w:eastAsia="仿宋_GB2312"/>
                      <w:b/>
                      <w:bCs/>
                      <w:spacing w:val="3"/>
                      <w:sz w:val="21"/>
                      <w:szCs w:val="21"/>
                      <w:highlight w:val="none"/>
                      <w:lang w:bidi="ar"/>
                    </w:rPr>
                    <w:t>0.5</w:t>
                  </w:r>
                </w:p>
                <w:p w14:paraId="690868D1">
                  <w:pPr>
                    <w:keepNext w:val="0"/>
                    <w:keepLines w:val="0"/>
                    <w:pageBreakBefore w:val="0"/>
                    <w:widowControl w:val="0"/>
                    <w:kinsoku/>
                    <w:wordWrap/>
                    <w:overflowPunct/>
                    <w:topLinePunct w:val="0"/>
                    <w:autoSpaceDE/>
                    <w:autoSpaceDN/>
                    <w:bidi w:val="0"/>
                    <w:ind w:firstLine="0" w:firstLineChars="0"/>
                    <w:jc w:val="center"/>
                    <w:rPr>
                      <w:rFonts w:eastAsia="仿宋_GB2312"/>
                      <w:b/>
                      <w:bCs/>
                      <w:spacing w:val="3"/>
                      <w:sz w:val="21"/>
                      <w:szCs w:val="21"/>
                      <w:highlight w:val="none"/>
                    </w:rPr>
                  </w:pPr>
                  <w:r>
                    <w:rPr>
                      <w:rFonts w:hint="eastAsia" w:eastAsia="仿宋_GB2312" w:cs="仿宋_GB2312"/>
                      <w:b/>
                      <w:bCs/>
                      <w:spacing w:val="3"/>
                      <w:sz w:val="21"/>
                      <w:szCs w:val="21"/>
                      <w:highlight w:val="none"/>
                      <w:lang w:bidi="ar"/>
                    </w:rPr>
                    <w:t>（</w:t>
                  </w:r>
                  <w:r>
                    <w:rPr>
                      <w:rFonts w:eastAsia="仿宋_GB2312"/>
                      <w:b/>
                      <w:bCs/>
                      <w:spacing w:val="3"/>
                      <w:sz w:val="21"/>
                      <w:szCs w:val="21"/>
                      <w:highlight w:val="none"/>
                      <w:lang w:bidi="ar"/>
                    </w:rPr>
                    <w:t>kg/</w:t>
                  </w:r>
                  <w:r>
                    <w:rPr>
                      <w:b/>
                      <w:bCs/>
                      <w:spacing w:val="4"/>
                      <w:sz w:val="21"/>
                      <w:szCs w:val="21"/>
                      <w:highlight w:val="none"/>
                      <w:lang w:bidi="ar"/>
                    </w:rPr>
                    <w:t>m</w:t>
                  </w:r>
                  <w:r>
                    <w:rPr>
                      <w:b/>
                      <w:bCs/>
                      <w:spacing w:val="4"/>
                      <w:sz w:val="21"/>
                      <w:szCs w:val="21"/>
                      <w:highlight w:val="none"/>
                      <w:vertAlign w:val="superscript"/>
                      <w:lang w:bidi="ar"/>
                    </w:rPr>
                    <w:t>2</w:t>
                  </w:r>
                  <w:r>
                    <w:rPr>
                      <w:rFonts w:hint="eastAsia" w:eastAsia="仿宋_GB2312" w:cs="仿宋_GB2312"/>
                      <w:b/>
                      <w:bCs/>
                      <w:spacing w:val="3"/>
                      <w:sz w:val="21"/>
                      <w:szCs w:val="21"/>
                      <w:highlight w:val="none"/>
                      <w:lang w:bidi="ar"/>
                    </w:rPr>
                    <w:t>）</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03BF962">
                  <w:pPr>
                    <w:keepNext w:val="0"/>
                    <w:keepLines w:val="0"/>
                    <w:pageBreakBefore w:val="0"/>
                    <w:widowControl w:val="0"/>
                    <w:kinsoku/>
                    <w:wordWrap/>
                    <w:overflowPunct/>
                    <w:topLinePunct w:val="0"/>
                    <w:autoSpaceDE/>
                    <w:autoSpaceDN/>
                    <w:bidi w:val="0"/>
                    <w:ind w:firstLine="0" w:firstLineChars="0"/>
                    <w:jc w:val="center"/>
                    <w:rPr>
                      <w:rFonts w:eastAsia="仿宋_GB2312"/>
                      <w:b/>
                      <w:bCs/>
                      <w:spacing w:val="3"/>
                      <w:sz w:val="21"/>
                      <w:szCs w:val="21"/>
                      <w:highlight w:val="none"/>
                    </w:rPr>
                  </w:pPr>
                  <w:r>
                    <w:rPr>
                      <w:rFonts w:eastAsia="仿宋_GB2312"/>
                      <w:b/>
                      <w:bCs/>
                      <w:spacing w:val="3"/>
                      <w:sz w:val="21"/>
                      <w:szCs w:val="21"/>
                      <w:highlight w:val="none"/>
                      <w:lang w:bidi="ar"/>
                    </w:rPr>
                    <w:t>1</w:t>
                  </w:r>
                </w:p>
                <w:p w14:paraId="31C9FD96">
                  <w:pPr>
                    <w:keepNext w:val="0"/>
                    <w:keepLines w:val="0"/>
                    <w:pageBreakBefore w:val="0"/>
                    <w:widowControl w:val="0"/>
                    <w:kinsoku/>
                    <w:wordWrap/>
                    <w:overflowPunct/>
                    <w:topLinePunct w:val="0"/>
                    <w:autoSpaceDE/>
                    <w:autoSpaceDN/>
                    <w:bidi w:val="0"/>
                    <w:ind w:firstLine="0" w:firstLineChars="0"/>
                    <w:jc w:val="center"/>
                    <w:rPr>
                      <w:rFonts w:eastAsia="仿宋_GB2312"/>
                      <w:b/>
                      <w:bCs/>
                      <w:spacing w:val="3"/>
                      <w:sz w:val="21"/>
                      <w:szCs w:val="21"/>
                      <w:highlight w:val="none"/>
                    </w:rPr>
                  </w:pPr>
                  <w:r>
                    <w:rPr>
                      <w:rFonts w:hint="eastAsia" w:eastAsia="仿宋_GB2312" w:cs="仿宋_GB2312"/>
                      <w:b/>
                      <w:bCs/>
                      <w:spacing w:val="3"/>
                      <w:sz w:val="21"/>
                      <w:szCs w:val="21"/>
                      <w:highlight w:val="none"/>
                      <w:lang w:bidi="ar"/>
                    </w:rPr>
                    <w:t>（</w:t>
                  </w:r>
                  <w:r>
                    <w:rPr>
                      <w:rFonts w:eastAsia="仿宋_GB2312"/>
                      <w:b/>
                      <w:bCs/>
                      <w:spacing w:val="3"/>
                      <w:sz w:val="21"/>
                      <w:szCs w:val="21"/>
                      <w:highlight w:val="none"/>
                      <w:lang w:bidi="ar"/>
                    </w:rPr>
                    <w:t>kg/</w:t>
                  </w:r>
                  <w:r>
                    <w:rPr>
                      <w:b/>
                      <w:bCs/>
                      <w:spacing w:val="4"/>
                      <w:sz w:val="21"/>
                      <w:szCs w:val="21"/>
                      <w:highlight w:val="none"/>
                      <w:lang w:bidi="ar"/>
                    </w:rPr>
                    <w:t>m</w:t>
                  </w:r>
                  <w:r>
                    <w:rPr>
                      <w:b/>
                      <w:bCs/>
                      <w:spacing w:val="4"/>
                      <w:sz w:val="21"/>
                      <w:szCs w:val="21"/>
                      <w:highlight w:val="none"/>
                      <w:vertAlign w:val="superscript"/>
                      <w:lang w:bidi="ar"/>
                    </w:rPr>
                    <w:t>2</w:t>
                  </w:r>
                  <w:r>
                    <w:rPr>
                      <w:rFonts w:hint="eastAsia" w:eastAsia="仿宋_GB2312" w:cs="仿宋_GB2312"/>
                      <w:b/>
                      <w:bCs/>
                      <w:spacing w:val="3"/>
                      <w:sz w:val="21"/>
                      <w:szCs w:val="21"/>
                      <w:highlight w:val="none"/>
                      <w:lang w:bidi="ar"/>
                    </w:rPr>
                    <w:t>）</w:t>
                  </w:r>
                </w:p>
              </w:tc>
            </w:tr>
            <w:tr w14:paraId="16EAA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BB1FAA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b/>
                      <w:bCs/>
                      <w:snapToGrid w:val="0"/>
                      <w:spacing w:val="4"/>
                      <w:kern w:val="18"/>
                      <w:sz w:val="21"/>
                      <w:szCs w:val="21"/>
                      <w:highlight w:val="none"/>
                      <w:lang w:bidi="ar"/>
                    </w:rPr>
                  </w:pPr>
                  <w:r>
                    <w:rPr>
                      <w:b/>
                      <w:bCs/>
                      <w:snapToGrid w:val="0"/>
                      <w:spacing w:val="4"/>
                      <w:kern w:val="18"/>
                      <w:sz w:val="21"/>
                      <w:szCs w:val="21"/>
                      <w:highlight w:val="none"/>
                      <w:lang w:bidi="ar"/>
                    </w:rPr>
                    <w:t>5</w:t>
                  </w:r>
                </w:p>
                <w:p w14:paraId="7C7563B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b/>
                      <w:bCs/>
                      <w:snapToGrid w:val="0"/>
                      <w:spacing w:val="4"/>
                      <w:kern w:val="18"/>
                      <w:sz w:val="21"/>
                      <w:szCs w:val="21"/>
                      <w:highlight w:val="none"/>
                    </w:rPr>
                  </w:pPr>
                  <w:r>
                    <w:rPr>
                      <w:rFonts w:hint="eastAsia" w:cs="宋体"/>
                      <w:b/>
                      <w:bCs/>
                      <w:snapToGrid w:val="0"/>
                      <w:spacing w:val="4"/>
                      <w:kern w:val="18"/>
                      <w:sz w:val="21"/>
                      <w:szCs w:val="21"/>
                      <w:highlight w:val="none"/>
                      <w:lang w:bidi="ar"/>
                    </w:rPr>
                    <w:t>（</w:t>
                  </w:r>
                  <w:r>
                    <w:rPr>
                      <w:b/>
                      <w:bCs/>
                      <w:snapToGrid w:val="0"/>
                      <w:spacing w:val="4"/>
                      <w:kern w:val="18"/>
                      <w:sz w:val="21"/>
                      <w:szCs w:val="21"/>
                      <w:highlight w:val="none"/>
                      <w:lang w:bidi="ar"/>
                    </w:rPr>
                    <w:t>km/h</w:t>
                  </w:r>
                  <w:r>
                    <w:rPr>
                      <w:rFonts w:hint="eastAsia" w:cs="宋体"/>
                      <w:b/>
                      <w:bCs/>
                      <w:snapToGrid w:val="0"/>
                      <w:spacing w:val="4"/>
                      <w:kern w:val="18"/>
                      <w:sz w:val="21"/>
                      <w:szCs w:val="21"/>
                      <w:highlight w:val="none"/>
                      <w:lang w:bidi="ar"/>
                    </w:rPr>
                    <w:t>）</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DC3F93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0.051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708D56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0.086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7C3563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0.116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B4A199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0.144</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BCF0B8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0.171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EF3E7D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0.287</w:t>
                  </w:r>
                </w:p>
              </w:tc>
            </w:tr>
            <w:tr w14:paraId="40F9C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4A9FB2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b/>
                      <w:bCs/>
                      <w:snapToGrid w:val="0"/>
                      <w:spacing w:val="4"/>
                      <w:kern w:val="18"/>
                      <w:sz w:val="21"/>
                      <w:szCs w:val="21"/>
                      <w:highlight w:val="none"/>
                    </w:rPr>
                  </w:pPr>
                  <w:r>
                    <w:rPr>
                      <w:b/>
                      <w:bCs/>
                      <w:snapToGrid w:val="0"/>
                      <w:spacing w:val="4"/>
                      <w:kern w:val="18"/>
                      <w:sz w:val="21"/>
                      <w:szCs w:val="21"/>
                      <w:highlight w:val="none"/>
                      <w:lang w:bidi="ar"/>
                    </w:rPr>
                    <w:t>10</w:t>
                  </w:r>
                  <w:r>
                    <w:rPr>
                      <w:rFonts w:hint="eastAsia" w:cs="宋体"/>
                      <w:b/>
                      <w:bCs/>
                      <w:snapToGrid w:val="0"/>
                      <w:spacing w:val="4"/>
                      <w:kern w:val="18"/>
                      <w:sz w:val="21"/>
                      <w:szCs w:val="21"/>
                      <w:highlight w:val="none"/>
                      <w:lang w:bidi="ar"/>
                    </w:rPr>
                    <w:t>（</w:t>
                  </w:r>
                  <w:r>
                    <w:rPr>
                      <w:b/>
                      <w:bCs/>
                      <w:snapToGrid w:val="0"/>
                      <w:spacing w:val="4"/>
                      <w:kern w:val="18"/>
                      <w:sz w:val="21"/>
                      <w:szCs w:val="21"/>
                      <w:highlight w:val="none"/>
                      <w:lang w:bidi="ar"/>
                    </w:rPr>
                    <w:t>km/h</w:t>
                  </w:r>
                  <w:r>
                    <w:rPr>
                      <w:rFonts w:hint="eastAsia" w:cs="宋体"/>
                      <w:b/>
                      <w:bCs/>
                      <w:snapToGrid w:val="0"/>
                      <w:spacing w:val="4"/>
                      <w:kern w:val="18"/>
                      <w:sz w:val="21"/>
                      <w:szCs w:val="21"/>
                      <w:highlight w:val="none"/>
                      <w:lang w:bidi="ar"/>
                    </w:rPr>
                    <w:t>）</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172103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0.102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738C0F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0.171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A1AB16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0.232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E897E0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0.289</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8DBA9F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0.341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626580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0.574</w:t>
                  </w:r>
                </w:p>
              </w:tc>
            </w:tr>
            <w:tr w14:paraId="5AAAA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1499D3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b/>
                      <w:bCs/>
                      <w:snapToGrid w:val="0"/>
                      <w:spacing w:val="4"/>
                      <w:kern w:val="18"/>
                      <w:sz w:val="21"/>
                      <w:szCs w:val="21"/>
                      <w:highlight w:val="none"/>
                    </w:rPr>
                  </w:pPr>
                  <w:r>
                    <w:rPr>
                      <w:b/>
                      <w:bCs/>
                      <w:snapToGrid w:val="0"/>
                      <w:spacing w:val="4"/>
                      <w:kern w:val="18"/>
                      <w:sz w:val="21"/>
                      <w:szCs w:val="21"/>
                      <w:highlight w:val="none"/>
                      <w:lang w:bidi="ar"/>
                    </w:rPr>
                    <w:t>15</w:t>
                  </w:r>
                  <w:r>
                    <w:rPr>
                      <w:rFonts w:hint="eastAsia" w:cs="宋体"/>
                      <w:b/>
                      <w:bCs/>
                      <w:snapToGrid w:val="0"/>
                      <w:spacing w:val="4"/>
                      <w:kern w:val="18"/>
                      <w:sz w:val="21"/>
                      <w:szCs w:val="21"/>
                      <w:highlight w:val="none"/>
                      <w:lang w:bidi="ar"/>
                    </w:rPr>
                    <w:t>（</w:t>
                  </w:r>
                  <w:r>
                    <w:rPr>
                      <w:b/>
                      <w:bCs/>
                      <w:snapToGrid w:val="0"/>
                      <w:spacing w:val="4"/>
                      <w:kern w:val="18"/>
                      <w:sz w:val="21"/>
                      <w:szCs w:val="21"/>
                      <w:highlight w:val="none"/>
                      <w:lang w:bidi="ar"/>
                    </w:rPr>
                    <w:t>km/h</w:t>
                  </w:r>
                  <w:r>
                    <w:rPr>
                      <w:rFonts w:hint="eastAsia" w:cs="宋体"/>
                      <w:b/>
                      <w:bCs/>
                      <w:snapToGrid w:val="0"/>
                      <w:spacing w:val="4"/>
                      <w:kern w:val="18"/>
                      <w:sz w:val="21"/>
                      <w:szCs w:val="21"/>
                      <w:highlight w:val="none"/>
                      <w:lang w:bidi="ar"/>
                    </w:rPr>
                    <w:t>）</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99923D0">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0.153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5DEB75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0.257</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51EB25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0.349</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A9A065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0.433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7152FF2">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0.512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06082B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0.861</w:t>
                  </w:r>
                </w:p>
              </w:tc>
            </w:tr>
            <w:tr w14:paraId="3A11B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661D23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b/>
                      <w:bCs/>
                      <w:snapToGrid w:val="0"/>
                      <w:spacing w:val="4"/>
                      <w:kern w:val="18"/>
                      <w:sz w:val="21"/>
                      <w:szCs w:val="21"/>
                      <w:highlight w:val="none"/>
                    </w:rPr>
                  </w:pPr>
                  <w:r>
                    <w:rPr>
                      <w:b/>
                      <w:bCs/>
                      <w:snapToGrid w:val="0"/>
                      <w:spacing w:val="4"/>
                      <w:kern w:val="18"/>
                      <w:sz w:val="21"/>
                      <w:szCs w:val="21"/>
                      <w:highlight w:val="none"/>
                      <w:lang w:bidi="ar"/>
                    </w:rPr>
                    <w:t>20</w:t>
                  </w:r>
                  <w:r>
                    <w:rPr>
                      <w:rFonts w:hint="eastAsia" w:cs="宋体"/>
                      <w:b/>
                      <w:bCs/>
                      <w:snapToGrid w:val="0"/>
                      <w:spacing w:val="4"/>
                      <w:kern w:val="18"/>
                      <w:sz w:val="21"/>
                      <w:szCs w:val="21"/>
                      <w:highlight w:val="none"/>
                      <w:lang w:bidi="ar"/>
                    </w:rPr>
                    <w:t>（</w:t>
                  </w:r>
                  <w:r>
                    <w:rPr>
                      <w:b/>
                      <w:bCs/>
                      <w:snapToGrid w:val="0"/>
                      <w:spacing w:val="4"/>
                      <w:kern w:val="18"/>
                      <w:sz w:val="21"/>
                      <w:szCs w:val="21"/>
                      <w:highlight w:val="none"/>
                      <w:lang w:bidi="ar"/>
                    </w:rPr>
                    <w:t>km/h</w:t>
                  </w:r>
                  <w:r>
                    <w:rPr>
                      <w:rFonts w:hint="eastAsia" w:cs="宋体"/>
                      <w:b/>
                      <w:bCs/>
                      <w:snapToGrid w:val="0"/>
                      <w:spacing w:val="4"/>
                      <w:kern w:val="18"/>
                      <w:sz w:val="21"/>
                      <w:szCs w:val="21"/>
                      <w:highlight w:val="none"/>
                      <w:lang w:bidi="ar"/>
                    </w:rPr>
                    <w:t>）</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195CD4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0.255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FEDB69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0.429</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30FA0A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0.582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5CC035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0.722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5AD447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0.853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5AA7FEB">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baseline"/>
                    <w:rPr>
                      <w:snapToGrid w:val="0"/>
                      <w:spacing w:val="4"/>
                      <w:kern w:val="18"/>
                      <w:sz w:val="21"/>
                      <w:szCs w:val="21"/>
                      <w:highlight w:val="none"/>
                    </w:rPr>
                  </w:pPr>
                  <w:r>
                    <w:rPr>
                      <w:snapToGrid w:val="0"/>
                      <w:spacing w:val="4"/>
                      <w:kern w:val="18"/>
                      <w:sz w:val="21"/>
                      <w:szCs w:val="21"/>
                      <w:highlight w:val="none"/>
                      <w:lang w:bidi="ar"/>
                    </w:rPr>
                    <w:t>1.435</w:t>
                  </w:r>
                </w:p>
              </w:tc>
            </w:tr>
          </w:tbl>
          <w:p w14:paraId="50FE901F">
            <w:pPr>
              <w:spacing w:before="120" w:beforeLines="50" w:line="360" w:lineRule="auto"/>
              <w:ind w:firstLine="480" w:firstLineChars="200"/>
              <w:rPr>
                <w:sz w:val="24"/>
                <w:highlight w:val="none"/>
                <w:lang w:bidi="ar"/>
              </w:rPr>
            </w:pPr>
            <w:r>
              <w:rPr>
                <w:sz w:val="24"/>
                <w:highlight w:val="none"/>
                <w:lang w:bidi="ar"/>
              </w:rPr>
              <w:t>由此可见，在同样路面的清洁度条件下，车速越快，扬尘量越大；而在同样车速情况下，路面越脏，扬尘量越大。因此，限速行驶和保持路面的清洁是减少扬尘的有效方法。</w:t>
            </w:r>
          </w:p>
          <w:p w14:paraId="18CE0801">
            <w:pPr>
              <w:spacing w:line="360" w:lineRule="auto"/>
              <w:ind w:firstLine="480" w:firstLineChars="200"/>
              <w:rPr>
                <w:rFonts w:hint="eastAsia" w:ascii="宋体" w:hAnsi="宋体" w:cs="宋体"/>
                <w:spacing w:val="4"/>
                <w:sz w:val="24"/>
                <w:highlight w:val="none"/>
                <w:lang w:bidi="ar"/>
              </w:rPr>
            </w:pPr>
            <w:r>
              <w:rPr>
                <w:sz w:val="24"/>
                <w:highlight w:val="none"/>
                <w:lang w:bidi="ar"/>
              </w:rPr>
              <w:t>通过类比调查研究：项目场地施工扬尘主要是由运输车辆的行驶产生，约占扬尘总量的60%，并与道路路面及车辆行驶速度有关，一般情况下，施工场地、施工道路在自然风作用下产生的扬尘所影响的范围在100m以内。如果在施工期间对施工区域采用围护或对车辆行驶的路面实施洒水抑尘，每天洒水4～5次，可使扬尘减少70～80%左右，可将TSP污染距离缩小到20～50m范围。</w:t>
            </w:r>
          </w:p>
          <w:p w14:paraId="47F74BCB">
            <w:pPr>
              <w:pStyle w:val="180"/>
              <w:ind w:firstLine="480"/>
              <w:rPr>
                <w:sz w:val="24"/>
                <w:szCs w:val="24"/>
                <w:highlight w:val="none"/>
              </w:rPr>
            </w:pPr>
            <w:r>
              <w:rPr>
                <w:rFonts w:hint="eastAsia"/>
                <w:sz w:val="24"/>
                <w:szCs w:val="24"/>
                <w:highlight w:val="none"/>
              </w:rPr>
              <w:t>（2）</w:t>
            </w:r>
            <w:r>
              <w:rPr>
                <w:sz w:val="24"/>
                <w:szCs w:val="24"/>
                <w:highlight w:val="none"/>
              </w:rPr>
              <w:t>施工机械和施工运输车辆机动车尾气</w:t>
            </w:r>
          </w:p>
          <w:p w14:paraId="566DBBE8">
            <w:pPr>
              <w:spacing w:line="360" w:lineRule="auto"/>
              <w:ind w:firstLine="480" w:firstLineChars="200"/>
              <w:rPr>
                <w:sz w:val="24"/>
                <w:highlight w:val="none"/>
              </w:rPr>
            </w:pPr>
            <w:r>
              <w:rPr>
                <w:sz w:val="24"/>
                <w:highlight w:val="none"/>
              </w:rPr>
              <w:t>施工机械一般使用柴油作动力，开动时会产生一些燃油废气；施工运输车辆一般是大型柴油车，产生机动车尾气</w:t>
            </w:r>
            <w:r>
              <w:rPr>
                <w:rFonts w:hint="eastAsia"/>
                <w:sz w:val="24"/>
                <w:highlight w:val="none"/>
                <w:lang w:eastAsia="zh-CN"/>
              </w:rPr>
              <w:t>，</w:t>
            </w:r>
            <w:r>
              <w:rPr>
                <w:sz w:val="24"/>
                <w:highlight w:val="none"/>
              </w:rPr>
              <w:t>施工机械和运输车辆产生的废气污染物主要为CO、NOx、PM</w:t>
            </w:r>
            <w:r>
              <w:rPr>
                <w:sz w:val="24"/>
                <w:highlight w:val="none"/>
                <w:vertAlign w:val="subscript"/>
              </w:rPr>
              <w:t>10</w:t>
            </w:r>
            <w:r>
              <w:rPr>
                <w:rFonts w:hint="eastAsia"/>
                <w:sz w:val="24"/>
                <w:highlight w:val="none"/>
                <w:vertAlign w:val="baseline"/>
                <w:lang w:val="en-US" w:eastAsia="zh-CN"/>
              </w:rPr>
              <w:t>等污染物</w:t>
            </w:r>
            <w:r>
              <w:rPr>
                <w:sz w:val="24"/>
                <w:highlight w:val="none"/>
              </w:rPr>
              <w:t>。</w:t>
            </w:r>
          </w:p>
          <w:p w14:paraId="4D088D5A">
            <w:pPr>
              <w:spacing w:line="360" w:lineRule="auto"/>
              <w:ind w:firstLine="480" w:firstLineChars="200"/>
              <w:rPr>
                <w:rFonts w:hint="default" w:eastAsia="宋体"/>
                <w:sz w:val="24"/>
                <w:highlight w:val="none"/>
                <w:lang w:val="en-US" w:eastAsia="zh-CN"/>
              </w:rPr>
            </w:pPr>
            <w:r>
              <w:rPr>
                <w:rFonts w:hint="eastAsia"/>
                <w:sz w:val="24"/>
                <w:highlight w:val="none"/>
                <w:lang w:val="en-US" w:eastAsia="zh-CN"/>
              </w:rPr>
              <w:t>采取上述措施后，施工期废气</w:t>
            </w:r>
            <w:r>
              <w:rPr>
                <w:rFonts w:hint="eastAsia" w:ascii="Times New Roman" w:hAnsi="Times New Roman" w:cs="宋体"/>
                <w:sz w:val="24"/>
                <w:highlight w:val="none"/>
                <w:lang w:val="en-US" w:eastAsia="zh-CN" w:bidi="ar"/>
              </w:rPr>
              <w:t>对环境的影响较小</w:t>
            </w:r>
            <w:r>
              <w:rPr>
                <w:rFonts w:hint="eastAsia"/>
                <w:sz w:val="24"/>
                <w:highlight w:val="none"/>
                <w:lang w:val="en-US" w:eastAsia="zh-CN"/>
              </w:rPr>
              <w:t>。</w:t>
            </w:r>
          </w:p>
          <w:p w14:paraId="2977A18B">
            <w:pPr>
              <w:tabs>
                <w:tab w:val="left" w:pos="1275"/>
              </w:tabs>
              <w:spacing w:line="360" w:lineRule="auto"/>
              <w:ind w:firstLine="482" w:firstLineChars="200"/>
              <w:rPr>
                <w:rFonts w:hint="eastAsia" w:eastAsia="宋体"/>
                <w:b/>
                <w:bCs/>
                <w:sz w:val="24"/>
                <w:highlight w:val="none"/>
                <w:lang w:val="en-US" w:eastAsia="zh-CN"/>
              </w:rPr>
            </w:pPr>
            <w:r>
              <w:rPr>
                <w:rFonts w:hint="eastAsia"/>
                <w:b/>
                <w:bCs/>
                <w:sz w:val="24"/>
                <w:highlight w:val="none"/>
                <w:lang w:bidi="ar"/>
              </w:rPr>
              <w:t>3</w:t>
            </w:r>
            <w:r>
              <w:rPr>
                <w:rFonts w:hint="eastAsia"/>
                <w:b/>
                <w:bCs/>
                <w:sz w:val="24"/>
                <w:highlight w:val="none"/>
                <w:lang w:val="en-US" w:eastAsia="zh-CN" w:bidi="ar"/>
              </w:rPr>
              <w:t>.</w:t>
            </w:r>
            <w:r>
              <w:rPr>
                <w:rFonts w:hint="eastAsia" w:cs="宋体"/>
                <w:b/>
                <w:bCs/>
                <w:sz w:val="24"/>
                <w:highlight w:val="none"/>
                <w:lang w:bidi="ar"/>
              </w:rPr>
              <w:t>施工期噪声</w:t>
            </w:r>
            <w:r>
              <w:rPr>
                <w:rFonts w:hint="eastAsia" w:hAnsi="宋体"/>
                <w:b/>
                <w:sz w:val="24"/>
                <w:highlight w:val="none"/>
              </w:rPr>
              <w:t>源强</w:t>
            </w:r>
            <w:r>
              <w:rPr>
                <w:rFonts w:hint="eastAsia" w:hAnsi="宋体"/>
                <w:b/>
                <w:sz w:val="24"/>
                <w:highlight w:val="none"/>
                <w:lang w:val="en-US" w:eastAsia="zh-CN"/>
              </w:rPr>
              <w:t>分析</w:t>
            </w:r>
          </w:p>
          <w:p w14:paraId="368EEF15">
            <w:pPr>
              <w:spacing w:line="360" w:lineRule="auto"/>
              <w:ind w:firstLine="480" w:firstLineChars="200"/>
              <w:rPr>
                <w:rFonts w:hint="eastAsia" w:cs="宋体"/>
                <w:sz w:val="24"/>
                <w:highlight w:val="none"/>
                <w:lang w:eastAsia="zh-CN" w:bidi="ar"/>
              </w:rPr>
            </w:pPr>
            <w:r>
              <w:rPr>
                <w:rFonts w:hint="eastAsia" w:cs="宋体"/>
                <w:sz w:val="24"/>
                <w:highlight w:val="none"/>
                <w:lang w:bidi="ar"/>
              </w:rPr>
              <w:t>施工期噪声主要来源于施工设备和汽车运输</w:t>
            </w:r>
            <w:r>
              <w:rPr>
                <w:rFonts w:hint="eastAsia" w:cs="宋体"/>
                <w:sz w:val="24"/>
                <w:highlight w:val="none"/>
                <w:lang w:eastAsia="zh-CN" w:bidi="ar"/>
              </w:rPr>
              <w:t>。</w:t>
            </w:r>
          </w:p>
          <w:p w14:paraId="478E68EE">
            <w:pPr>
              <w:spacing w:line="360" w:lineRule="auto"/>
              <w:ind w:firstLine="480" w:firstLineChars="200"/>
              <w:rPr>
                <w:sz w:val="24"/>
                <w:highlight w:val="none"/>
              </w:rPr>
            </w:pPr>
            <w:r>
              <w:rPr>
                <w:rFonts w:hint="eastAsia" w:cs="宋体"/>
                <w:sz w:val="24"/>
                <w:highlight w:val="none"/>
                <w:lang w:eastAsia="zh-CN" w:bidi="ar"/>
              </w:rPr>
              <w:t>（</w:t>
            </w:r>
            <w:r>
              <w:rPr>
                <w:rFonts w:hint="eastAsia" w:cs="宋体"/>
                <w:sz w:val="24"/>
                <w:highlight w:val="none"/>
                <w:lang w:val="en-US" w:eastAsia="zh-CN" w:bidi="ar"/>
              </w:rPr>
              <w:t>1</w:t>
            </w:r>
            <w:r>
              <w:rPr>
                <w:rFonts w:hint="eastAsia" w:cs="宋体"/>
                <w:sz w:val="24"/>
                <w:highlight w:val="none"/>
                <w:lang w:eastAsia="zh-CN" w:bidi="ar"/>
              </w:rPr>
              <w:t>）</w:t>
            </w:r>
            <w:r>
              <w:rPr>
                <w:rFonts w:hint="eastAsia" w:cs="宋体"/>
                <w:sz w:val="24"/>
                <w:highlight w:val="none"/>
                <w:lang w:bidi="ar"/>
              </w:rPr>
              <w:t>各种施工机械噪声源强见表</w:t>
            </w:r>
            <w:r>
              <w:rPr>
                <w:rFonts w:hint="eastAsia"/>
                <w:sz w:val="24"/>
                <w:highlight w:val="none"/>
                <w:lang w:val="en-US" w:eastAsia="zh-CN" w:bidi="ar"/>
              </w:rPr>
              <w:t>4-2</w:t>
            </w:r>
            <w:r>
              <w:rPr>
                <w:rFonts w:hint="eastAsia" w:cs="宋体"/>
                <w:sz w:val="24"/>
                <w:highlight w:val="none"/>
                <w:lang w:bidi="ar"/>
              </w:rPr>
              <w:t>。</w:t>
            </w:r>
          </w:p>
          <w:p w14:paraId="15F043DC">
            <w:pPr>
              <w:adjustRightInd w:val="0"/>
              <w:spacing w:line="360" w:lineRule="auto"/>
              <w:ind w:firstLine="482" w:firstLineChars="200"/>
              <w:jc w:val="center"/>
              <w:textAlignment w:val="baseline"/>
              <w:rPr>
                <w:b/>
                <w:kern w:val="21"/>
                <w:sz w:val="24"/>
                <w:highlight w:val="none"/>
              </w:rPr>
            </w:pPr>
            <w:r>
              <w:rPr>
                <w:rFonts w:hint="eastAsia" w:cs="宋体"/>
                <w:b/>
                <w:kern w:val="21"/>
                <w:sz w:val="24"/>
                <w:highlight w:val="none"/>
                <w:lang w:bidi="ar"/>
              </w:rPr>
              <w:t>表</w:t>
            </w:r>
            <w:r>
              <w:rPr>
                <w:rFonts w:hint="eastAsia"/>
                <w:b/>
                <w:kern w:val="21"/>
                <w:sz w:val="24"/>
                <w:highlight w:val="none"/>
                <w:lang w:val="en-US" w:eastAsia="zh-CN" w:bidi="ar"/>
              </w:rPr>
              <w:t>4-2</w:t>
            </w:r>
            <w:r>
              <w:rPr>
                <w:rFonts w:hint="eastAsia"/>
                <w:b/>
                <w:kern w:val="21"/>
                <w:sz w:val="24"/>
                <w:highlight w:val="none"/>
                <w:lang w:bidi="ar"/>
              </w:rPr>
              <w:t xml:space="preserve"> </w:t>
            </w:r>
            <w:r>
              <w:rPr>
                <w:rFonts w:hint="eastAsia" w:cs="宋体"/>
                <w:b/>
                <w:kern w:val="21"/>
                <w:sz w:val="24"/>
                <w:highlight w:val="none"/>
                <w:lang w:bidi="ar"/>
              </w:rPr>
              <w:t>各施工阶段主要噪声源状况</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7"/>
              <w:gridCol w:w="3135"/>
              <w:gridCol w:w="3057"/>
            </w:tblGrid>
            <w:tr w14:paraId="5937E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 w:hRule="atLeast"/>
                <w:jc w:val="center"/>
              </w:trPr>
              <w:tc>
                <w:tcPr>
                  <w:tcW w:w="2067" w:type="dxa"/>
                  <w:tcBorders>
                    <w:top w:val="single" w:color="000000" w:sz="4" w:space="0"/>
                    <w:left w:val="single" w:color="000000" w:sz="4" w:space="0"/>
                    <w:bottom w:val="single" w:color="000000" w:sz="4" w:space="0"/>
                    <w:right w:val="single" w:color="000000" w:sz="4" w:space="0"/>
                  </w:tcBorders>
                  <w:noWrap w:val="0"/>
                  <w:vAlign w:val="center"/>
                </w:tcPr>
                <w:p w14:paraId="6ECCD3EB">
                  <w:pPr>
                    <w:adjustRightInd w:val="0"/>
                    <w:snapToGrid w:val="0"/>
                    <w:jc w:val="center"/>
                    <w:textAlignment w:val="baseline"/>
                    <w:rPr>
                      <w:rFonts w:ascii="Times New Roman" w:hAnsi="Times New Roman" w:cs="Times New Roman"/>
                      <w:b/>
                      <w:bCs/>
                      <w:snapToGrid w:val="0"/>
                      <w:spacing w:val="4"/>
                      <w:kern w:val="18"/>
                      <w:szCs w:val="21"/>
                      <w:highlight w:val="none"/>
                    </w:rPr>
                  </w:pPr>
                  <w:r>
                    <w:rPr>
                      <w:rFonts w:ascii="Times New Roman" w:hAnsi="Times New Roman" w:cs="Times New Roman"/>
                      <w:b/>
                      <w:bCs/>
                      <w:snapToGrid w:val="0"/>
                      <w:spacing w:val="4"/>
                      <w:kern w:val="18"/>
                      <w:szCs w:val="21"/>
                      <w:highlight w:val="none"/>
                      <w:lang w:bidi="ar"/>
                    </w:rPr>
                    <w:t>施工阶段</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23A31157">
                  <w:pPr>
                    <w:adjustRightInd w:val="0"/>
                    <w:snapToGrid w:val="0"/>
                    <w:jc w:val="center"/>
                    <w:textAlignment w:val="baseline"/>
                    <w:rPr>
                      <w:rFonts w:ascii="Times New Roman" w:hAnsi="Times New Roman" w:cs="Times New Roman"/>
                      <w:b/>
                      <w:bCs/>
                      <w:snapToGrid w:val="0"/>
                      <w:spacing w:val="4"/>
                      <w:kern w:val="18"/>
                      <w:szCs w:val="21"/>
                      <w:highlight w:val="none"/>
                    </w:rPr>
                  </w:pPr>
                  <w:r>
                    <w:rPr>
                      <w:rFonts w:ascii="Times New Roman" w:hAnsi="Times New Roman" w:cs="Times New Roman"/>
                      <w:b/>
                      <w:bCs/>
                      <w:snapToGrid w:val="0"/>
                      <w:spacing w:val="4"/>
                      <w:kern w:val="18"/>
                      <w:szCs w:val="21"/>
                      <w:highlight w:val="none"/>
                      <w:lang w:bidi="ar"/>
                    </w:rPr>
                    <w:t>声</w:t>
                  </w:r>
                  <w:r>
                    <w:rPr>
                      <w:rFonts w:ascii="Times New Roman" w:hAnsi="Times New Roman" w:cs="Times New Roman"/>
                      <w:b/>
                      <w:bCs/>
                      <w:spacing w:val="4"/>
                      <w:kern w:val="18"/>
                      <w:szCs w:val="21"/>
                      <w:highlight w:val="none"/>
                      <w:lang w:bidi="ar"/>
                    </w:rPr>
                    <w:t xml:space="preserve">  </w:t>
                  </w:r>
                  <w:r>
                    <w:rPr>
                      <w:rFonts w:ascii="Times New Roman" w:hAnsi="Times New Roman" w:cs="Times New Roman"/>
                      <w:b/>
                      <w:bCs/>
                      <w:snapToGrid w:val="0"/>
                      <w:spacing w:val="4"/>
                      <w:kern w:val="18"/>
                      <w:szCs w:val="21"/>
                      <w:highlight w:val="none"/>
                      <w:lang w:bidi="ar"/>
                    </w:rPr>
                    <w:t>源</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2308A5F6">
                  <w:pPr>
                    <w:adjustRightInd w:val="0"/>
                    <w:snapToGrid w:val="0"/>
                    <w:jc w:val="center"/>
                    <w:textAlignment w:val="baseline"/>
                    <w:rPr>
                      <w:rFonts w:ascii="Times New Roman" w:hAnsi="Times New Roman" w:cs="Times New Roman"/>
                      <w:b/>
                      <w:bCs/>
                      <w:snapToGrid w:val="0"/>
                      <w:spacing w:val="4"/>
                      <w:kern w:val="18"/>
                      <w:szCs w:val="21"/>
                      <w:highlight w:val="none"/>
                    </w:rPr>
                  </w:pPr>
                  <w:r>
                    <w:rPr>
                      <w:rFonts w:ascii="Times New Roman" w:hAnsi="Times New Roman" w:cs="Times New Roman"/>
                      <w:b/>
                      <w:bCs/>
                      <w:snapToGrid w:val="0"/>
                      <w:spacing w:val="4"/>
                      <w:kern w:val="18"/>
                      <w:szCs w:val="21"/>
                      <w:highlight w:val="none"/>
                      <w:lang w:bidi="ar"/>
                    </w:rPr>
                    <w:t>声级dB(A)</w:t>
                  </w:r>
                </w:p>
              </w:tc>
            </w:tr>
            <w:tr w14:paraId="463F7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6" w:hRule="atLeast"/>
                <w:jc w:val="center"/>
              </w:trPr>
              <w:tc>
                <w:tcPr>
                  <w:tcW w:w="20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D5ECDA6">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土石方阶段</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F2B781E">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挖土机</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535EC7BA">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78～96</w:t>
                  </w:r>
                </w:p>
              </w:tc>
            </w:tr>
            <w:tr w14:paraId="36F1A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 w:hRule="atLeast"/>
                <w:jc w:val="center"/>
              </w:trPr>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D9916">
                  <w:pPr>
                    <w:rPr>
                      <w:rFonts w:ascii="Times New Roman" w:hAnsi="Times New Roman" w:cs="Times New Roman"/>
                      <w:szCs w:val="21"/>
                      <w:highlight w:val="none"/>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0B98399F">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冲击机</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536B976A">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95</w:t>
                  </w:r>
                </w:p>
              </w:tc>
            </w:tr>
            <w:tr w14:paraId="6F025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 w:hRule="atLeast"/>
                <w:jc w:val="center"/>
              </w:trPr>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DBF80">
                  <w:pPr>
                    <w:rPr>
                      <w:rFonts w:ascii="Times New Roman" w:hAnsi="Times New Roman" w:cs="Times New Roman"/>
                      <w:szCs w:val="21"/>
                      <w:highlight w:val="none"/>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54074616">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空压机</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3DCF4407">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75～85</w:t>
                  </w:r>
                </w:p>
              </w:tc>
            </w:tr>
            <w:tr w14:paraId="7E4F6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 w:hRule="atLeast"/>
                <w:jc w:val="center"/>
              </w:trPr>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A5706">
                  <w:pPr>
                    <w:rPr>
                      <w:rFonts w:ascii="Times New Roman" w:hAnsi="Times New Roman" w:cs="Times New Roman"/>
                      <w:szCs w:val="21"/>
                      <w:highlight w:val="none"/>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CA57490">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大型载重车</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5911097D">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90</w:t>
                  </w:r>
                </w:p>
              </w:tc>
            </w:tr>
            <w:tr w14:paraId="38A2B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 w:hRule="atLeast"/>
                <w:jc w:val="center"/>
              </w:trPr>
              <w:tc>
                <w:tcPr>
                  <w:tcW w:w="2067" w:type="dxa"/>
                  <w:tcBorders>
                    <w:top w:val="single" w:color="000000" w:sz="4" w:space="0"/>
                    <w:left w:val="single" w:color="000000" w:sz="4" w:space="0"/>
                    <w:bottom w:val="single" w:color="000000" w:sz="4" w:space="0"/>
                    <w:right w:val="single" w:color="000000" w:sz="4" w:space="0"/>
                  </w:tcBorders>
                  <w:noWrap w:val="0"/>
                  <w:vAlign w:val="center"/>
                </w:tcPr>
                <w:p w14:paraId="4F5F1731">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基础阶段</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6B61E23">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打桩机</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1FE81B02">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95～110</w:t>
                  </w:r>
                </w:p>
              </w:tc>
            </w:tr>
            <w:tr w14:paraId="42F0B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jc w:val="center"/>
              </w:trPr>
              <w:tc>
                <w:tcPr>
                  <w:tcW w:w="20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CED1704">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结构阶段</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67D5DFC">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振捣器</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7238E2D6">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100～105</w:t>
                  </w:r>
                </w:p>
              </w:tc>
            </w:tr>
            <w:tr w14:paraId="683B9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 w:hRule="atLeast"/>
                <w:jc w:val="center"/>
              </w:trPr>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0DC4B">
                  <w:pPr>
                    <w:rPr>
                      <w:rFonts w:ascii="Times New Roman" w:hAnsi="Times New Roman" w:cs="Times New Roman"/>
                      <w:szCs w:val="21"/>
                      <w:highlight w:val="none"/>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3300C9CF">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电锯</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146F7457">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100～110</w:t>
                  </w:r>
                </w:p>
              </w:tc>
            </w:tr>
            <w:tr w14:paraId="19FEA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 w:hRule="atLeast"/>
                <w:jc w:val="center"/>
              </w:trPr>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989F5">
                  <w:pPr>
                    <w:rPr>
                      <w:rFonts w:ascii="Times New Roman" w:hAnsi="Times New Roman" w:cs="Times New Roman"/>
                      <w:szCs w:val="21"/>
                      <w:highlight w:val="none"/>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2AF45588">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空压机</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54C11DFA">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75～85</w:t>
                  </w:r>
                </w:p>
              </w:tc>
            </w:tr>
            <w:tr w14:paraId="6E480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 w:hRule="atLeast"/>
                <w:jc w:val="center"/>
              </w:trPr>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6F9B0">
                  <w:pPr>
                    <w:rPr>
                      <w:rFonts w:ascii="Times New Roman" w:hAnsi="Times New Roman" w:cs="Times New Roman"/>
                      <w:szCs w:val="21"/>
                      <w:highlight w:val="none"/>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460A9C6">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混凝土罐车、载重车</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15BB258E">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80～85</w:t>
                  </w:r>
                </w:p>
              </w:tc>
            </w:tr>
            <w:tr w14:paraId="58739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2067" w:type="dxa"/>
                  <w:vMerge w:val="restart"/>
                  <w:tcBorders>
                    <w:top w:val="single" w:color="000000" w:sz="4" w:space="0"/>
                    <w:left w:val="single" w:color="000000" w:sz="4" w:space="0"/>
                    <w:bottom w:val="single" w:color="000000" w:sz="4" w:space="0"/>
                    <w:right w:val="single" w:color="000000" w:sz="4" w:space="0"/>
                  </w:tcBorders>
                  <w:noWrap w:val="0"/>
                  <w:vAlign w:val="center"/>
                </w:tcPr>
                <w:p w14:paraId="4D3B26DF">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装修阶段</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265D34A8">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电钻</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47BD6A30">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100～115</w:t>
                  </w:r>
                </w:p>
              </w:tc>
            </w:tr>
            <w:tr w14:paraId="00650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 w:hRule="atLeast"/>
                <w:jc w:val="center"/>
              </w:trPr>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C9CBF">
                  <w:pPr>
                    <w:rPr>
                      <w:rFonts w:ascii="Times New Roman" w:hAnsi="Times New Roman" w:cs="Times New Roman"/>
                      <w:szCs w:val="21"/>
                      <w:highlight w:val="none"/>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32D54594">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电锤</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62D9436C">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100～105</w:t>
                  </w:r>
                </w:p>
              </w:tc>
            </w:tr>
            <w:tr w14:paraId="2A3C8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4CF38">
                  <w:pPr>
                    <w:rPr>
                      <w:rFonts w:ascii="Times New Roman" w:hAnsi="Times New Roman" w:cs="Times New Roman"/>
                      <w:szCs w:val="21"/>
                      <w:highlight w:val="none"/>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3E47904">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手工钻</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454D2746">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100～105</w:t>
                  </w:r>
                </w:p>
              </w:tc>
            </w:tr>
            <w:tr w14:paraId="18831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 w:hRule="atLeast"/>
                <w:jc w:val="center"/>
              </w:trPr>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15CFB">
                  <w:pPr>
                    <w:rPr>
                      <w:rFonts w:ascii="Times New Roman" w:hAnsi="Times New Roman" w:cs="Times New Roman"/>
                      <w:szCs w:val="21"/>
                      <w:highlight w:val="none"/>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0915FFAD">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无齿钻</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54E0E726">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105</w:t>
                  </w:r>
                </w:p>
              </w:tc>
            </w:tr>
            <w:tr w14:paraId="0DC9D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9" w:hRule="atLeast"/>
                <w:jc w:val="center"/>
              </w:trPr>
              <w:tc>
                <w:tcPr>
                  <w:tcW w:w="20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E0BB0">
                  <w:pPr>
                    <w:rPr>
                      <w:rFonts w:ascii="Times New Roman" w:hAnsi="Times New Roman" w:cs="Times New Roman"/>
                      <w:szCs w:val="21"/>
                      <w:highlight w:val="none"/>
                    </w:rPr>
                  </w:pP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3B7AC581">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角向磨光机</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1ABE9E85">
                  <w:pPr>
                    <w:adjustRightInd w:val="0"/>
                    <w:snapToGrid w:val="0"/>
                    <w:jc w:val="center"/>
                    <w:textAlignment w:val="baseline"/>
                    <w:rPr>
                      <w:rFonts w:ascii="Times New Roman" w:hAnsi="Times New Roman" w:cs="Times New Roman"/>
                      <w:snapToGrid w:val="0"/>
                      <w:spacing w:val="4"/>
                      <w:kern w:val="18"/>
                      <w:szCs w:val="21"/>
                      <w:highlight w:val="none"/>
                    </w:rPr>
                  </w:pPr>
                  <w:r>
                    <w:rPr>
                      <w:rFonts w:ascii="Times New Roman" w:hAnsi="Times New Roman" w:cs="Times New Roman"/>
                      <w:snapToGrid w:val="0"/>
                      <w:spacing w:val="4"/>
                      <w:kern w:val="18"/>
                      <w:szCs w:val="21"/>
                      <w:highlight w:val="none"/>
                      <w:lang w:bidi="ar"/>
                    </w:rPr>
                    <w:t>100～115</w:t>
                  </w:r>
                </w:p>
              </w:tc>
            </w:tr>
          </w:tbl>
          <w:p w14:paraId="72C085A3">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cs="宋体"/>
                <w:sz w:val="24"/>
                <w:highlight w:val="none"/>
                <w:lang w:val="en-US" w:eastAsia="zh-CN" w:bidi="ar"/>
              </w:rPr>
            </w:pPr>
            <w:r>
              <w:rPr>
                <w:rFonts w:hint="eastAsia" w:ascii="Times New Roman" w:hAnsi="Times New Roman" w:eastAsia="宋体" w:cs="宋体"/>
                <w:kern w:val="2"/>
                <w:sz w:val="24"/>
                <w:szCs w:val="24"/>
                <w:highlight w:val="none"/>
                <w:lang w:val="en-US" w:eastAsia="zh-CN" w:bidi="ar"/>
              </w:rPr>
              <w:t>（2）</w:t>
            </w:r>
            <w:r>
              <w:rPr>
                <w:rFonts w:hint="eastAsia" w:cs="宋体"/>
                <w:sz w:val="24"/>
                <w:highlight w:val="none"/>
                <w:lang w:val="en-US" w:eastAsia="zh-CN" w:bidi="ar"/>
              </w:rPr>
              <w:t>建筑材料运输时，噪声级一般为75-85dB(A)，运输车辆产生的噪声将对运输道路沿线环境造成影响。</w:t>
            </w:r>
          </w:p>
          <w:p w14:paraId="29EA1B0D">
            <w:pPr>
              <w:numPr>
                <w:ilvl w:val="0"/>
                <w:numId w:val="0"/>
              </w:numPr>
              <w:spacing w:line="360" w:lineRule="auto"/>
              <w:ind w:firstLine="480" w:firstLineChars="200"/>
              <w:rPr>
                <w:rFonts w:hint="eastAsia" w:ascii="Times New Roman" w:hAnsi="Times New Roman" w:cs="宋体"/>
                <w:sz w:val="24"/>
                <w:highlight w:val="none"/>
                <w:lang w:val="en-US" w:eastAsia="zh-CN" w:bidi="ar"/>
              </w:rPr>
            </w:pPr>
            <w:r>
              <w:rPr>
                <w:rFonts w:hint="eastAsia" w:ascii="Times New Roman" w:hAnsi="Times New Roman" w:cs="宋体"/>
                <w:sz w:val="24"/>
                <w:highlight w:val="none"/>
                <w:lang w:val="en-US" w:eastAsia="zh-CN" w:bidi="ar"/>
              </w:rPr>
              <w:t>由于施工期噪声具有无规则、强度大的特点，对某一时间段、某一区域会产生暂时性的影响，施工期噪声影响随着施工期的结束而结束。建议施工单位尽量使用噪声小的施工设备，且平时要注意机械的维护与管理、规范操作；加强对出入施工场地施工车辆的管理，控制汽车数量和行车密度，途经村庄等敏感点时，应保持运输车辆匀速、减速行驶，控制鸣笛。采取措施后，施工期噪声对环境的影响较小。</w:t>
            </w:r>
          </w:p>
          <w:p w14:paraId="2FE3772E">
            <w:pPr>
              <w:keepNext w:val="0"/>
              <w:keepLines w:val="0"/>
              <w:pageBreakBefore w:val="0"/>
              <w:widowControl w:val="0"/>
              <w:tabs>
                <w:tab w:val="left" w:pos="1275"/>
              </w:tabs>
              <w:kinsoku/>
              <w:wordWrap/>
              <w:overflowPunct/>
              <w:topLinePunct w:val="0"/>
              <w:autoSpaceDE/>
              <w:autoSpaceDN/>
              <w:bidi w:val="0"/>
              <w:adjustRightInd/>
              <w:snapToGrid/>
              <w:spacing w:line="360" w:lineRule="auto"/>
              <w:ind w:firstLine="498" w:firstLineChars="200"/>
              <w:textAlignment w:val="auto"/>
              <w:rPr>
                <w:rFonts w:hint="default" w:eastAsia="宋体"/>
                <w:b/>
                <w:bCs/>
                <w:spacing w:val="4"/>
                <w:sz w:val="24"/>
                <w:highlight w:val="none"/>
                <w:lang w:val="en-US" w:eastAsia="zh-CN"/>
              </w:rPr>
            </w:pPr>
            <w:r>
              <w:rPr>
                <w:rFonts w:hint="eastAsia"/>
                <w:b/>
                <w:bCs/>
                <w:spacing w:val="4"/>
                <w:sz w:val="24"/>
                <w:highlight w:val="none"/>
                <w:lang w:bidi="ar"/>
              </w:rPr>
              <w:t>4</w:t>
            </w:r>
            <w:r>
              <w:rPr>
                <w:rFonts w:hint="eastAsia"/>
                <w:b/>
                <w:bCs/>
                <w:spacing w:val="4"/>
                <w:sz w:val="24"/>
                <w:highlight w:val="none"/>
                <w:lang w:val="en-US" w:eastAsia="zh-CN" w:bidi="ar"/>
              </w:rPr>
              <w:t>.</w:t>
            </w:r>
            <w:r>
              <w:rPr>
                <w:rFonts w:hint="eastAsia" w:hAnsi="宋体" w:cs="宋体"/>
                <w:b/>
                <w:bCs/>
                <w:spacing w:val="4"/>
                <w:sz w:val="24"/>
                <w:highlight w:val="none"/>
                <w:lang w:bidi="ar"/>
              </w:rPr>
              <w:t>施工期固体废弃物</w:t>
            </w:r>
            <w:r>
              <w:rPr>
                <w:rFonts w:hint="eastAsia" w:hAnsi="宋体" w:cs="宋体"/>
                <w:b/>
                <w:bCs/>
                <w:spacing w:val="4"/>
                <w:sz w:val="24"/>
                <w:highlight w:val="none"/>
                <w:lang w:val="en-US" w:eastAsia="zh-CN" w:bidi="ar"/>
              </w:rPr>
              <w:t>源强分析</w:t>
            </w:r>
          </w:p>
          <w:p w14:paraId="471C4041">
            <w:pPr>
              <w:spacing w:line="360" w:lineRule="auto"/>
              <w:ind w:firstLine="480" w:firstLineChars="200"/>
              <w:rPr>
                <w:rFonts w:hint="default" w:cs="宋体"/>
                <w:sz w:val="24"/>
                <w:highlight w:val="none"/>
                <w:lang w:val="en-US" w:eastAsia="zh-CN" w:bidi="ar"/>
              </w:rPr>
            </w:pPr>
            <w:r>
              <w:rPr>
                <w:rFonts w:hint="eastAsia" w:cs="宋体"/>
                <w:sz w:val="24"/>
                <w:highlight w:val="none"/>
                <w:lang w:val="en-US" w:eastAsia="zh-CN" w:bidi="ar"/>
              </w:rPr>
              <w:t>施工期工程渣土较少，用于厂内平整，可实现土石方平衡，无弃渣外运。</w:t>
            </w:r>
          </w:p>
          <w:p w14:paraId="72B2A8A1">
            <w:pPr>
              <w:spacing w:line="360" w:lineRule="auto"/>
              <w:ind w:firstLine="480" w:firstLineChars="200"/>
              <w:rPr>
                <w:rFonts w:ascii="宋体" w:hAnsi="宋体"/>
                <w:sz w:val="24"/>
                <w:highlight w:val="none"/>
              </w:rPr>
            </w:pPr>
            <w:r>
              <w:rPr>
                <w:rFonts w:hint="default" w:ascii="Times New Roman" w:hAnsi="Times New Roman" w:eastAsia="宋体" w:cs="Times New Roman"/>
                <w:color w:val="auto"/>
                <w:kern w:val="0"/>
                <w:sz w:val="24"/>
                <w:szCs w:val="24"/>
                <w:highlight w:val="none"/>
                <w:lang w:val="en-US" w:eastAsia="zh-CN" w:bidi="ar"/>
              </w:rPr>
              <w:t>综上，施工期间，企业将加强施工过程中的粉尘、噪声、废水和建筑</w:t>
            </w:r>
            <w:r>
              <w:rPr>
                <w:rFonts w:hint="eastAsia" w:cs="Times New Roman"/>
                <w:color w:val="auto"/>
                <w:kern w:val="0"/>
                <w:sz w:val="24"/>
                <w:szCs w:val="24"/>
                <w:highlight w:val="none"/>
                <w:lang w:val="en-US" w:eastAsia="zh-CN" w:bidi="ar"/>
              </w:rPr>
              <w:t>渣土</w:t>
            </w:r>
            <w:r>
              <w:rPr>
                <w:rFonts w:hint="default" w:ascii="Times New Roman" w:hAnsi="Times New Roman" w:eastAsia="宋体" w:cs="Times New Roman"/>
                <w:color w:val="auto"/>
                <w:kern w:val="0"/>
                <w:sz w:val="24"/>
                <w:szCs w:val="24"/>
                <w:highlight w:val="none"/>
                <w:lang w:val="en-US" w:eastAsia="zh-CN" w:bidi="ar"/>
              </w:rPr>
              <w:t>等管理，通过采取上述合理的措施后，施工过程基本不会对周边环境造成不良影响，上述污染随着施工期的结束而消失。</w:t>
            </w:r>
          </w:p>
        </w:tc>
      </w:tr>
      <w:tr w14:paraId="5DF99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13" w:hRule="atLeast"/>
          <w:jc w:val="center"/>
        </w:trPr>
        <w:tc>
          <w:tcPr>
            <w:tcW w:w="416" w:type="dxa"/>
            <w:tcMar>
              <w:left w:w="28" w:type="dxa"/>
              <w:right w:w="28" w:type="dxa"/>
            </w:tcMar>
            <w:vAlign w:val="center"/>
          </w:tcPr>
          <w:p w14:paraId="1D71B308">
            <w:pPr>
              <w:adjustRightInd w:val="0"/>
              <w:snapToGrid w:val="0"/>
              <w:jc w:val="center"/>
              <w:rPr>
                <w:rFonts w:ascii="Times New Roman" w:hAnsi="Times New Roman" w:eastAsia="宋体" w:cs="Times New Roman"/>
                <w:kern w:val="0"/>
                <w:sz w:val="24"/>
                <w:szCs w:val="24"/>
                <w:highlight w:val="none"/>
                <w:lang w:val="en-US" w:eastAsia="zh-CN" w:bidi="ar-SA"/>
              </w:rPr>
            </w:pPr>
            <w:bookmarkStart w:id="20" w:name="_Toc7531"/>
            <w:r>
              <w:rPr>
                <w:rFonts w:ascii="Times New Roman" w:hAnsi="Times New Roman" w:eastAsia="宋体" w:cs="Times New Roman"/>
                <w:kern w:val="0"/>
                <w:sz w:val="24"/>
                <w:szCs w:val="24"/>
                <w:highlight w:val="none"/>
                <w:lang w:val="en-US" w:eastAsia="zh-CN" w:bidi="ar-SA"/>
              </w:rPr>
              <w:t>运营</w:t>
            </w:r>
          </w:p>
          <w:p w14:paraId="1D09AA0A">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期环</w:t>
            </w:r>
          </w:p>
          <w:p w14:paraId="07CC3645">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境影</w:t>
            </w:r>
          </w:p>
          <w:p w14:paraId="5986AF91">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响和</w:t>
            </w:r>
          </w:p>
          <w:p w14:paraId="506F25CD">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保护</w:t>
            </w:r>
          </w:p>
          <w:p w14:paraId="577A7C2D">
            <w:pPr>
              <w:adjustRightInd w:val="0"/>
              <w:snapToGrid w:val="0"/>
              <w:jc w:val="center"/>
              <w:rPr>
                <w:bCs/>
                <w:szCs w:val="21"/>
                <w:highlight w:val="none"/>
              </w:rPr>
            </w:pPr>
            <w:r>
              <w:rPr>
                <w:rFonts w:ascii="Times New Roman" w:hAnsi="Times New Roman" w:eastAsia="宋体" w:cs="Times New Roman"/>
                <w:kern w:val="0"/>
                <w:sz w:val="24"/>
                <w:szCs w:val="24"/>
                <w:highlight w:val="none"/>
                <w:lang w:val="en-US" w:eastAsia="zh-CN" w:bidi="ar-SA"/>
              </w:rPr>
              <w:t>措施</w:t>
            </w:r>
          </w:p>
        </w:tc>
        <w:tc>
          <w:tcPr>
            <w:tcW w:w="9072" w:type="dxa"/>
            <w:gridSpan w:val="3"/>
            <w:vAlign w:val="center"/>
          </w:tcPr>
          <w:p w14:paraId="50AF678B">
            <w:pPr>
              <w:pStyle w:val="21"/>
              <w:adjustRightInd w:val="0"/>
              <w:snapToGrid w:val="0"/>
              <w:spacing w:after="0" w:line="360" w:lineRule="auto"/>
              <w:rPr>
                <w:b/>
                <w:bCs/>
                <w:sz w:val="24"/>
                <w:szCs w:val="32"/>
                <w:highlight w:val="none"/>
              </w:rPr>
            </w:pPr>
            <w:r>
              <w:rPr>
                <w:b/>
                <w:bCs/>
                <w:sz w:val="24"/>
                <w:szCs w:val="32"/>
                <w:highlight w:val="none"/>
              </w:rPr>
              <w:t>1.废气</w:t>
            </w:r>
          </w:p>
          <w:p w14:paraId="1988A712">
            <w:pPr>
              <w:pStyle w:val="170"/>
              <w:adjustRightInd w:val="0"/>
              <w:snapToGrid w:val="0"/>
              <w:spacing w:before="0" w:beforeAutospacing="0" w:after="0" w:line="360" w:lineRule="auto"/>
              <w:ind w:left="0" w:leftChars="0" w:firstLine="480"/>
              <w:rPr>
                <w:rFonts w:ascii="Times New Roman" w:hAnsi="Times New Roman"/>
                <w:sz w:val="24"/>
                <w:szCs w:val="24"/>
                <w:highlight w:val="none"/>
              </w:rPr>
            </w:pPr>
            <w:r>
              <w:rPr>
                <w:rFonts w:ascii="Times New Roman" w:hAnsi="Times New Roman"/>
                <w:sz w:val="24"/>
                <w:szCs w:val="24"/>
                <w:highlight w:val="none"/>
              </w:rPr>
              <w:t>本项目</w:t>
            </w:r>
            <w:r>
              <w:rPr>
                <w:rFonts w:hint="eastAsia" w:ascii="Times New Roman" w:hAnsi="Times New Roman"/>
                <w:sz w:val="24"/>
                <w:szCs w:val="24"/>
                <w:highlight w:val="none"/>
                <w:lang w:val="en-US" w:eastAsia="zh-CN"/>
              </w:rPr>
              <w:t>废气</w:t>
            </w:r>
            <w:r>
              <w:rPr>
                <w:rFonts w:ascii="Times New Roman" w:hAnsi="Times New Roman"/>
                <w:sz w:val="24"/>
                <w:szCs w:val="24"/>
                <w:highlight w:val="none"/>
              </w:rPr>
              <w:t>主要</w:t>
            </w:r>
            <w:r>
              <w:rPr>
                <w:rFonts w:hint="eastAsia" w:ascii="Times New Roman" w:hAnsi="Times New Roman"/>
                <w:sz w:val="24"/>
                <w:szCs w:val="24"/>
                <w:highlight w:val="none"/>
                <w:lang w:val="en-US" w:eastAsia="zh-CN"/>
              </w:rPr>
              <w:t>来源于原料运输、装卸、堆存扬尘，</w:t>
            </w:r>
            <w:r>
              <w:rPr>
                <w:rFonts w:ascii="Times New Roman" w:hAnsi="Times New Roman"/>
                <w:sz w:val="24"/>
                <w:szCs w:val="24"/>
                <w:highlight w:val="none"/>
              </w:rPr>
              <w:t>烘干</w:t>
            </w:r>
            <w:r>
              <w:rPr>
                <w:rFonts w:hint="eastAsia" w:ascii="Times New Roman" w:hAnsi="Times New Roman"/>
                <w:sz w:val="24"/>
                <w:szCs w:val="24"/>
                <w:highlight w:val="none"/>
                <w:lang w:val="en-US" w:eastAsia="zh-CN"/>
              </w:rPr>
              <w:t>炉配置燃烧炉燃烧燃料</w:t>
            </w:r>
            <w:r>
              <w:rPr>
                <w:rFonts w:ascii="Times New Roman" w:hAnsi="Times New Roman"/>
                <w:sz w:val="24"/>
                <w:szCs w:val="24"/>
                <w:highlight w:val="none"/>
              </w:rPr>
              <w:t>废气</w:t>
            </w:r>
            <w:r>
              <w:rPr>
                <w:rFonts w:hint="eastAsia" w:ascii="Times New Roman" w:hAnsi="Times New Roman"/>
                <w:sz w:val="24"/>
                <w:szCs w:val="24"/>
                <w:highlight w:val="none"/>
                <w:lang w:val="en-US" w:eastAsia="zh-CN"/>
              </w:rPr>
              <w:t>及烘干机产生的粉尘</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制棒废气和炭化废气</w:t>
            </w:r>
            <w:r>
              <w:rPr>
                <w:rFonts w:ascii="Times New Roman" w:hAnsi="Times New Roman"/>
                <w:sz w:val="24"/>
                <w:szCs w:val="24"/>
                <w:highlight w:val="none"/>
              </w:rPr>
              <w:t>。</w:t>
            </w:r>
            <w:r>
              <w:rPr>
                <w:rFonts w:hint="eastAsia" w:ascii="Times New Roman" w:hAnsi="Times New Roman" w:cs="Times New Roman"/>
                <w:sz w:val="24"/>
                <w:szCs w:val="24"/>
                <w:highlight w:val="none"/>
                <w:lang w:val="en-US" w:eastAsia="zh-CN"/>
              </w:rPr>
              <w:t>因制棒机和炭化窑与烘干系统的燃烧炉采用管道相连接，制棒废气、炭化废气通过管道收集全部返回烘干系统的燃烧炉燃烧提供热源。</w:t>
            </w:r>
          </w:p>
          <w:p w14:paraId="1D4FE8A1">
            <w:pPr>
              <w:pStyle w:val="170"/>
              <w:numPr>
                <w:ilvl w:val="0"/>
                <w:numId w:val="0"/>
              </w:numPr>
              <w:adjustRightInd w:val="0"/>
              <w:snapToGrid w:val="0"/>
              <w:spacing w:before="0" w:beforeAutospacing="0" w:after="0" w:line="360" w:lineRule="auto"/>
              <w:ind w:left="0" w:leftChars="0" w:firstLine="482" w:firstLineChars="200"/>
              <w:rPr>
                <w:rFonts w:hint="eastAsia" w:ascii="Times New Roman" w:hAnsi="Times New Roman"/>
                <w:b/>
                <w:bCs/>
                <w:sz w:val="24"/>
                <w:szCs w:val="24"/>
                <w:highlight w:val="none"/>
                <w:lang w:val="en-US" w:eastAsia="zh-CN"/>
              </w:rPr>
            </w:pPr>
            <w:r>
              <w:rPr>
                <w:rFonts w:hint="eastAsia" w:ascii="Times New Roman" w:hAnsi="Times New Roman" w:eastAsia="宋体" w:cs="Times New Roman"/>
                <w:b/>
                <w:bCs/>
                <w:kern w:val="2"/>
                <w:sz w:val="24"/>
                <w:szCs w:val="24"/>
                <w:highlight w:val="none"/>
                <w:lang w:val="en-US" w:eastAsia="zh-CN" w:bidi="ar-SA"/>
              </w:rPr>
              <w:t>（1）</w:t>
            </w:r>
            <w:r>
              <w:rPr>
                <w:rFonts w:hint="eastAsia" w:ascii="Times New Roman" w:hAnsi="Times New Roman"/>
                <w:b/>
                <w:bCs/>
                <w:sz w:val="24"/>
                <w:szCs w:val="24"/>
                <w:highlight w:val="none"/>
                <w:lang w:val="en-US" w:eastAsia="zh-CN"/>
              </w:rPr>
              <w:t>原料运输、装卸、堆存扬尘</w:t>
            </w:r>
          </w:p>
          <w:p w14:paraId="21D74238">
            <w:pPr>
              <w:pStyle w:val="170"/>
              <w:adjustRightInd w:val="0"/>
              <w:snapToGrid w:val="0"/>
              <w:spacing w:before="0" w:beforeAutospacing="0" w:after="0" w:line="360" w:lineRule="auto"/>
              <w:ind w:left="0" w:leftChars="0"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项目原料运输、装卸、堆存过程粉尘的产生量与物料的粒径、湿度、物料转运的速度、落差以及生产操作管理等有关。本项目使用的原料在转运、装卸进料口、出料口等过程中，会有无组织粉尘产生和排放。</w:t>
            </w:r>
            <w:r>
              <w:rPr>
                <w:rFonts w:hint="eastAsia" w:ascii="Times New Roman" w:hAnsi="Times New Roman" w:eastAsia="宋体" w:cs="宋体"/>
                <w:color w:val="auto"/>
                <w:kern w:val="0"/>
                <w:sz w:val="24"/>
                <w:szCs w:val="24"/>
                <w:highlight w:val="none"/>
                <w:lang w:val="en-US" w:eastAsia="zh-CN"/>
              </w:rPr>
              <w:t>参考</w:t>
            </w:r>
            <w:r>
              <w:rPr>
                <w:rFonts w:hint="eastAsia" w:ascii="Times New Roman" w:hAnsi="Times New Roman" w:eastAsia="宋体" w:cs="宋体"/>
                <w:color w:val="auto"/>
                <w:kern w:val="0"/>
                <w:sz w:val="24"/>
                <w:szCs w:val="24"/>
                <w:highlight w:val="none"/>
              </w:rPr>
              <w:t>《</w:t>
            </w:r>
            <w:r>
              <w:rPr>
                <w:rFonts w:hint="eastAsia" w:ascii="Times New Roman" w:hAnsi="Times New Roman" w:eastAsia="宋体" w:cs="宋体"/>
                <w:color w:val="auto"/>
                <w:kern w:val="0"/>
                <w:sz w:val="24"/>
                <w:szCs w:val="24"/>
                <w:highlight w:val="none"/>
                <w:lang w:val="en-US" w:eastAsia="zh-CN"/>
              </w:rPr>
              <w:t>散逸性工业粉尘控制技术</w:t>
            </w:r>
            <w:r>
              <w:rPr>
                <w:rFonts w:hint="eastAsia" w:ascii="Times New Roman" w:hAnsi="Times New Roman" w:eastAsia="宋体" w:cs="宋体"/>
                <w:color w:val="auto"/>
                <w:kern w:val="0"/>
                <w:sz w:val="24"/>
                <w:szCs w:val="24"/>
                <w:highlight w:val="none"/>
              </w:rPr>
              <w:t>》</w:t>
            </w:r>
            <w:r>
              <w:rPr>
                <w:rFonts w:hint="eastAsia" w:ascii="Times New Roman" w:hAnsi="Times New Roman" w:eastAsia="宋体" w:cs="宋体"/>
                <w:color w:val="auto"/>
                <w:kern w:val="0"/>
                <w:sz w:val="24"/>
                <w:szCs w:val="24"/>
                <w:highlight w:val="none"/>
                <w:lang w:val="en-US" w:eastAsia="zh-CN"/>
              </w:rPr>
              <w:t>“木材加工厂-锯末堆的进料、出料、装卸和储存过程”粉尘排放系数为0.5kg/t原料木屑，本项目原料（木糠）用量为112</w:t>
            </w:r>
            <w:r>
              <w:rPr>
                <w:rFonts w:hint="eastAsia" w:ascii="Times New Roman" w:hAnsi="Times New Roman" w:cs="宋体"/>
                <w:color w:val="auto"/>
                <w:kern w:val="0"/>
                <w:sz w:val="24"/>
                <w:szCs w:val="24"/>
                <w:highlight w:val="none"/>
                <w:lang w:val="en-US" w:eastAsia="zh-CN"/>
              </w:rPr>
              <w:t>43</w:t>
            </w:r>
            <w:r>
              <w:rPr>
                <w:rFonts w:hint="eastAsia" w:ascii="Times New Roman" w:hAnsi="Times New Roman" w:eastAsia="宋体" w:cs="宋体"/>
                <w:color w:val="auto"/>
                <w:kern w:val="0"/>
                <w:sz w:val="24"/>
                <w:szCs w:val="24"/>
                <w:highlight w:val="none"/>
                <w:lang w:val="en-US" w:eastAsia="zh-CN"/>
              </w:rPr>
              <w:t>t/a，因此，</w:t>
            </w:r>
            <w:r>
              <w:rPr>
                <w:rFonts w:hint="default" w:ascii="Times New Roman" w:hAnsi="Times New Roman" w:eastAsia="宋体" w:cs="Times New Roman"/>
                <w:sz w:val="24"/>
                <w:szCs w:val="24"/>
                <w:highlight w:val="none"/>
              </w:rPr>
              <w:t>原料运输、装卸</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堆存</w:t>
            </w:r>
            <w:r>
              <w:rPr>
                <w:rFonts w:hint="eastAsia" w:ascii="Times New Roman" w:hAnsi="Times New Roman" w:cs="Times New Roman"/>
                <w:sz w:val="24"/>
                <w:szCs w:val="24"/>
                <w:highlight w:val="none"/>
                <w:lang w:val="en-US" w:eastAsia="zh-CN"/>
              </w:rPr>
              <w:t>过程中粉尘</w:t>
            </w:r>
            <w:r>
              <w:rPr>
                <w:rFonts w:hint="eastAsia" w:ascii="Times New Roman" w:hAnsi="Times New Roman" w:eastAsia="宋体" w:cs="宋体"/>
                <w:color w:val="auto"/>
                <w:kern w:val="0"/>
                <w:sz w:val="24"/>
                <w:szCs w:val="24"/>
                <w:highlight w:val="none"/>
                <w:lang w:val="en-US" w:eastAsia="zh-CN"/>
              </w:rPr>
              <w:t>产生量为</w:t>
            </w:r>
            <w:r>
              <w:rPr>
                <w:rFonts w:hint="eastAsia" w:ascii="Times New Roman" w:hAnsi="Times New Roman" w:cs="宋体"/>
                <w:color w:val="auto"/>
                <w:kern w:val="0"/>
                <w:sz w:val="24"/>
                <w:szCs w:val="24"/>
                <w:highlight w:val="none"/>
                <w:lang w:val="en-US" w:eastAsia="zh-CN"/>
              </w:rPr>
              <w:t>5.62</w:t>
            </w:r>
            <w:r>
              <w:rPr>
                <w:rFonts w:hint="eastAsia" w:ascii="Times New Roman" w:hAnsi="Times New Roman" w:eastAsia="宋体" w:cs="宋体"/>
                <w:color w:val="auto"/>
                <w:kern w:val="0"/>
                <w:sz w:val="24"/>
                <w:szCs w:val="24"/>
                <w:highlight w:val="none"/>
                <w:lang w:val="en-US" w:eastAsia="zh-CN"/>
              </w:rPr>
              <w:t>t/a，产生速率为</w:t>
            </w:r>
            <w:r>
              <w:rPr>
                <w:rFonts w:hint="eastAsia" w:ascii="Times New Roman" w:hAnsi="Times New Roman" w:cs="宋体"/>
                <w:color w:val="auto"/>
                <w:kern w:val="0"/>
                <w:sz w:val="24"/>
                <w:szCs w:val="24"/>
                <w:highlight w:val="none"/>
                <w:lang w:val="en-US" w:eastAsia="zh-CN"/>
              </w:rPr>
              <w:t>2.34</w:t>
            </w:r>
            <w:r>
              <w:rPr>
                <w:rFonts w:hint="eastAsia" w:ascii="Times New Roman" w:hAnsi="Times New Roman" w:eastAsia="宋体" w:cs="宋体"/>
                <w:color w:val="auto"/>
                <w:kern w:val="0"/>
                <w:sz w:val="24"/>
                <w:szCs w:val="24"/>
                <w:highlight w:val="none"/>
                <w:lang w:val="en-US" w:eastAsia="zh-CN"/>
              </w:rPr>
              <w:t>kg/h。</w:t>
            </w:r>
            <w:r>
              <w:rPr>
                <w:rFonts w:hint="default" w:ascii="Times New Roman" w:hAnsi="Times New Roman" w:eastAsia="宋体" w:cs="Times New Roman"/>
                <w:sz w:val="24"/>
                <w:szCs w:val="24"/>
                <w:highlight w:val="none"/>
              </w:rPr>
              <w:t>本项目原料</w:t>
            </w:r>
            <w:r>
              <w:rPr>
                <w:rFonts w:hint="eastAsia" w:ascii="Times New Roman" w:hAnsi="Times New Roman" w:cs="Times New Roman"/>
                <w:sz w:val="24"/>
                <w:szCs w:val="24"/>
                <w:highlight w:val="none"/>
                <w:lang w:val="en-US" w:eastAsia="zh-CN"/>
              </w:rPr>
              <w:t>木糠（木粉）</w:t>
            </w:r>
            <w:r>
              <w:rPr>
                <w:rFonts w:hint="default" w:ascii="Times New Roman" w:hAnsi="Times New Roman" w:eastAsia="宋体" w:cs="Times New Roman"/>
                <w:sz w:val="24"/>
                <w:szCs w:val="24"/>
                <w:highlight w:val="none"/>
              </w:rPr>
              <w:t>含水率较高（约</w:t>
            </w:r>
            <w:r>
              <w:rPr>
                <w:rFonts w:hint="eastAsia" w:ascii="Times New Roman" w:hAnsi="Times New Roman" w:cs="Times New Roman"/>
                <w:sz w:val="24"/>
                <w:szCs w:val="24"/>
                <w:highlight w:val="none"/>
                <w:lang w:val="en-US" w:eastAsia="zh-CN"/>
              </w:rPr>
              <w:t>5</w:t>
            </w:r>
            <w:r>
              <w:rPr>
                <w:rFonts w:hint="default" w:ascii="Times New Roman" w:hAnsi="Times New Roman" w:eastAsia="宋体" w:cs="Times New Roman"/>
                <w:sz w:val="24"/>
                <w:szCs w:val="24"/>
                <w:highlight w:val="none"/>
              </w:rPr>
              <w:t>0%），因此沉降较好，不易起尘，且</w:t>
            </w:r>
            <w:r>
              <w:rPr>
                <w:rFonts w:hint="eastAsia" w:ascii="Times New Roman" w:hAnsi="Times New Roman" w:cs="Times New Roman"/>
                <w:sz w:val="24"/>
                <w:szCs w:val="24"/>
                <w:highlight w:val="none"/>
              </w:rPr>
              <w:t>原料</w:t>
            </w:r>
            <w:r>
              <w:rPr>
                <w:rFonts w:hint="eastAsia" w:ascii="Times New Roman" w:hAnsi="Times New Roman" w:cs="Times New Roman"/>
                <w:sz w:val="24"/>
                <w:szCs w:val="24"/>
                <w:highlight w:val="none"/>
                <w:lang w:val="en-US" w:eastAsia="zh-CN"/>
              </w:rPr>
              <w:t>堆放时</w:t>
            </w:r>
            <w:r>
              <w:rPr>
                <w:rFonts w:hint="eastAsia" w:ascii="Times New Roman" w:hAnsi="Times New Roman" w:cs="Times New Roman"/>
                <w:sz w:val="24"/>
                <w:szCs w:val="24"/>
                <w:highlight w:val="none"/>
              </w:rPr>
              <w:t>用篷布进行遮盖，堆场为三面围墙+顶棚设置，可以减少外排的粉尘量，</w:t>
            </w:r>
            <w:r>
              <w:rPr>
                <w:rFonts w:hint="eastAsia" w:ascii="Times New Roman" w:hAnsi="Times New Roman" w:cs="Times New Roman"/>
                <w:sz w:val="24"/>
                <w:szCs w:val="24"/>
                <w:highlight w:val="none"/>
                <w:lang w:val="en-US" w:eastAsia="zh-CN"/>
              </w:rPr>
              <w:t>同时</w:t>
            </w:r>
            <w:r>
              <w:rPr>
                <w:rFonts w:hint="default" w:ascii="Times New Roman" w:hAnsi="Times New Roman" w:eastAsia="宋体" w:cs="Times New Roman"/>
                <w:sz w:val="24"/>
                <w:szCs w:val="24"/>
                <w:highlight w:val="none"/>
              </w:rPr>
              <w:t>建设单位拟通过加强管理，采取及时清扫洒落的散料、进出料口加装软性布袋口、密封运输等措施，降低无组织排放的粉尘带来的影响</w:t>
            </w:r>
            <w:r>
              <w:rPr>
                <w:rFonts w:hint="eastAsia"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无组织产生的粉尘经厂房内自然沉降，沉降系数取</w:t>
            </w:r>
            <w:r>
              <w:rPr>
                <w:rFonts w:hint="eastAsia" w:ascii="Times New Roman" w:hAnsi="Times New Roman" w:cs="Times New Roman"/>
                <w:sz w:val="24"/>
                <w:szCs w:val="24"/>
                <w:highlight w:val="none"/>
                <w:lang w:val="en-US" w:eastAsia="zh-CN"/>
              </w:rPr>
              <w:t>6</w:t>
            </w:r>
            <w:r>
              <w:rPr>
                <w:rFonts w:hint="default" w:ascii="Times New Roman" w:hAnsi="Times New Roman" w:eastAsia="宋体" w:cs="Times New Roman"/>
                <w:sz w:val="24"/>
                <w:szCs w:val="24"/>
                <w:highlight w:val="none"/>
              </w:rPr>
              <w:t>0%，即</w:t>
            </w:r>
            <w:r>
              <w:rPr>
                <w:rFonts w:hint="eastAsia" w:ascii="Times New Roman" w:hAnsi="Times New Roman" w:cs="Times New Roman"/>
                <w:sz w:val="24"/>
                <w:szCs w:val="24"/>
                <w:highlight w:val="none"/>
                <w:lang w:val="en-US" w:eastAsia="zh-CN"/>
              </w:rPr>
              <w:t>外排粉尘</w:t>
            </w:r>
            <w:r>
              <w:rPr>
                <w:rFonts w:hint="default" w:ascii="Times New Roman" w:hAnsi="Times New Roman" w:eastAsia="宋体" w:cs="Times New Roman"/>
                <w:sz w:val="24"/>
                <w:szCs w:val="24"/>
                <w:highlight w:val="none"/>
              </w:rPr>
              <w:t>量</w:t>
            </w:r>
            <w:r>
              <w:rPr>
                <w:rFonts w:hint="eastAsia" w:ascii="Times New Roman" w:hAnsi="Times New Roman" w:cs="Times New Roman"/>
                <w:sz w:val="24"/>
                <w:szCs w:val="24"/>
                <w:highlight w:val="none"/>
                <w:lang w:val="en-US" w:eastAsia="zh-CN"/>
              </w:rPr>
              <w:t>2.25</w:t>
            </w:r>
            <w:r>
              <w:rPr>
                <w:rFonts w:hint="default" w:ascii="Times New Roman" w:hAnsi="Times New Roman" w:eastAsia="宋体" w:cs="Times New Roman"/>
                <w:sz w:val="24"/>
                <w:szCs w:val="24"/>
                <w:highlight w:val="none"/>
              </w:rPr>
              <w:t>t/a。</w:t>
            </w:r>
          </w:p>
          <w:p w14:paraId="76EEDBDE">
            <w:pPr>
              <w:pStyle w:val="170"/>
              <w:numPr>
                <w:ilvl w:val="0"/>
                <w:numId w:val="0"/>
              </w:numPr>
              <w:adjustRightInd w:val="0"/>
              <w:snapToGrid w:val="0"/>
              <w:spacing w:before="0" w:beforeAutospacing="0" w:after="0" w:line="360" w:lineRule="auto"/>
              <w:ind w:left="0" w:leftChars="0" w:firstLine="482" w:firstLineChars="200"/>
              <w:rPr>
                <w:rFonts w:hint="eastAsia" w:ascii="Times New Roman" w:hAnsi="Times New Roman" w:cs="Times New Roman"/>
                <w:b/>
                <w:bCs/>
                <w:sz w:val="24"/>
                <w:szCs w:val="24"/>
                <w:highlight w:val="none"/>
                <w:lang w:val="en-US" w:eastAsia="zh-CN"/>
              </w:rPr>
            </w:pPr>
            <w:r>
              <w:rPr>
                <w:rFonts w:hint="eastAsia" w:ascii="Times New Roman" w:hAnsi="Times New Roman" w:eastAsia="宋体" w:cs="Times New Roman"/>
                <w:b/>
                <w:bCs/>
                <w:kern w:val="2"/>
                <w:sz w:val="24"/>
                <w:szCs w:val="24"/>
                <w:highlight w:val="none"/>
                <w:lang w:val="en-US" w:eastAsia="zh-CN" w:bidi="ar-SA"/>
              </w:rPr>
              <w:t>（</w:t>
            </w:r>
            <w:r>
              <w:rPr>
                <w:rFonts w:hint="eastAsia" w:ascii="Times New Roman" w:hAnsi="Times New Roman" w:cs="Times New Roman"/>
                <w:b/>
                <w:bCs/>
                <w:kern w:val="2"/>
                <w:sz w:val="24"/>
                <w:szCs w:val="24"/>
                <w:highlight w:val="none"/>
                <w:lang w:val="en-US" w:eastAsia="zh-CN" w:bidi="ar-SA"/>
              </w:rPr>
              <w:t>2</w:t>
            </w:r>
            <w:r>
              <w:rPr>
                <w:rFonts w:hint="eastAsia" w:ascii="Times New Roman" w:hAnsi="Times New Roman" w:eastAsia="宋体" w:cs="Times New Roman"/>
                <w:b/>
                <w:bCs/>
                <w:kern w:val="2"/>
                <w:sz w:val="24"/>
                <w:szCs w:val="24"/>
                <w:highlight w:val="none"/>
                <w:lang w:val="en-US" w:eastAsia="zh-CN" w:bidi="ar-SA"/>
              </w:rPr>
              <w:t>）</w:t>
            </w:r>
            <w:r>
              <w:rPr>
                <w:rFonts w:hint="eastAsia" w:ascii="Times New Roman" w:hAnsi="Times New Roman" w:cs="Times New Roman"/>
                <w:b/>
                <w:bCs/>
                <w:sz w:val="24"/>
                <w:szCs w:val="24"/>
                <w:highlight w:val="none"/>
                <w:lang w:val="en-US" w:eastAsia="zh-CN"/>
              </w:rPr>
              <w:t>粉碎粉尘</w:t>
            </w:r>
          </w:p>
          <w:p w14:paraId="4DA4EC16">
            <w:pPr>
              <w:spacing w:line="360" w:lineRule="auto"/>
              <w:ind w:firstLine="472" w:firstLineChars="200"/>
              <w:rPr>
                <w:rFonts w:hint="eastAsia"/>
                <w:sz w:val="24"/>
                <w:highlight w:val="none"/>
                <w:lang w:val="en-GB"/>
              </w:rPr>
            </w:pPr>
            <w:r>
              <w:rPr>
                <w:rFonts w:hint="eastAsia"/>
                <w:spacing w:val="-2"/>
                <w:sz w:val="24"/>
                <w:highlight w:val="none"/>
              </w:rPr>
              <w:t>将外购的</w:t>
            </w:r>
            <w:r>
              <w:rPr>
                <w:rFonts w:hint="eastAsia"/>
                <w:spacing w:val="-2"/>
                <w:sz w:val="24"/>
                <w:highlight w:val="none"/>
                <w:lang w:val="en-US" w:eastAsia="zh-CN"/>
              </w:rPr>
              <w:t>原料</w:t>
            </w:r>
            <w:r>
              <w:rPr>
                <w:rFonts w:hint="eastAsia"/>
                <w:spacing w:val="-2"/>
                <w:sz w:val="24"/>
                <w:highlight w:val="none"/>
              </w:rPr>
              <w:t>通过</w:t>
            </w:r>
            <w:r>
              <w:rPr>
                <w:rFonts w:hint="eastAsia"/>
                <w:color w:val="auto"/>
                <w:spacing w:val="-2"/>
                <w:sz w:val="24"/>
                <w:highlight w:val="none"/>
              </w:rPr>
              <w:t>密闭的粉碎机进行粉碎成纤维状屑粉，</w:t>
            </w:r>
            <w:r>
              <w:rPr>
                <w:rFonts w:hint="eastAsia"/>
                <w:color w:val="auto"/>
                <w:sz w:val="24"/>
                <w:highlight w:val="none"/>
                <w:lang w:val="en-GB"/>
              </w:rPr>
              <w:t>粉尘产生量参照《逸散性工业粉尘控制技术》中“木材加工厂”逸散尘排放因子系数，本项目粉碎工序粉尘产生量取1.0kg/t</w:t>
            </w:r>
            <w:r>
              <w:rPr>
                <w:rFonts w:hint="eastAsia"/>
                <w:color w:val="auto"/>
                <w:sz w:val="24"/>
                <w:highlight w:val="none"/>
                <w:lang w:val="en-US" w:eastAsia="zh-CN"/>
              </w:rPr>
              <w:t>原料</w:t>
            </w:r>
            <w:r>
              <w:rPr>
                <w:rFonts w:hint="eastAsia"/>
                <w:color w:val="auto"/>
                <w:sz w:val="24"/>
                <w:highlight w:val="none"/>
                <w:lang w:val="en-GB"/>
              </w:rPr>
              <w:t>来核算，</w:t>
            </w:r>
            <w:r>
              <w:rPr>
                <w:color w:val="auto"/>
                <w:sz w:val="24"/>
                <w:highlight w:val="none"/>
                <w:lang w:val="en-GB"/>
              </w:rPr>
              <w:t>本项目</w:t>
            </w:r>
            <w:r>
              <w:rPr>
                <w:rFonts w:hint="eastAsia"/>
                <w:color w:val="auto"/>
                <w:sz w:val="24"/>
                <w:highlight w:val="none"/>
                <w:lang w:val="en-GB"/>
              </w:rPr>
              <w:t>使用的原料</w:t>
            </w:r>
            <w:r>
              <w:rPr>
                <w:color w:val="auto"/>
                <w:sz w:val="24"/>
                <w:highlight w:val="none"/>
                <w:lang w:val="en-GB"/>
              </w:rPr>
              <w:t>约为</w:t>
            </w:r>
            <w:r>
              <w:rPr>
                <w:rFonts w:hint="eastAsia"/>
                <w:color w:val="auto"/>
                <w:sz w:val="24"/>
                <w:highlight w:val="none"/>
                <w:lang w:val="en-US" w:eastAsia="zh-CN"/>
              </w:rPr>
              <w:t>11237.38</w:t>
            </w:r>
            <w:r>
              <w:rPr>
                <w:color w:val="auto"/>
                <w:sz w:val="24"/>
                <w:highlight w:val="none"/>
                <w:lang w:val="en-GB"/>
              </w:rPr>
              <w:t>t/a</w:t>
            </w:r>
            <w:r>
              <w:rPr>
                <w:rFonts w:hint="eastAsia"/>
                <w:sz w:val="24"/>
                <w:highlight w:val="none"/>
              </w:rPr>
              <w:t>，则本项目粉碎工序</w:t>
            </w:r>
            <w:r>
              <w:rPr>
                <w:sz w:val="24"/>
                <w:highlight w:val="none"/>
                <w:lang w:val="en-GB"/>
              </w:rPr>
              <w:t>粉尘产生量约为</w:t>
            </w:r>
            <w:r>
              <w:rPr>
                <w:rFonts w:hint="eastAsia"/>
                <w:sz w:val="24"/>
                <w:highlight w:val="none"/>
                <w:lang w:val="en-US" w:eastAsia="zh-CN"/>
              </w:rPr>
              <w:t>11.24</w:t>
            </w:r>
            <w:r>
              <w:rPr>
                <w:sz w:val="24"/>
                <w:highlight w:val="none"/>
                <w:lang w:val="en-GB"/>
              </w:rPr>
              <w:t>t/a</w:t>
            </w:r>
            <w:r>
              <w:rPr>
                <w:rFonts w:hint="eastAsia"/>
                <w:sz w:val="24"/>
                <w:highlight w:val="none"/>
                <w:lang w:val="en-GB" w:eastAsia="zh-CN"/>
              </w:rPr>
              <w:t>，</w:t>
            </w:r>
            <w:r>
              <w:rPr>
                <w:rFonts w:hint="eastAsia"/>
                <w:sz w:val="24"/>
                <w:highlight w:val="none"/>
                <w:lang w:val="en-GB"/>
              </w:rPr>
              <w:t>在</w:t>
            </w:r>
            <w:r>
              <w:rPr>
                <w:rFonts w:hint="eastAsia"/>
                <w:sz w:val="24"/>
                <w:highlight w:val="none"/>
                <w:lang w:val="en-US" w:eastAsia="zh-CN"/>
              </w:rPr>
              <w:t>粉</w:t>
            </w:r>
            <w:r>
              <w:rPr>
                <w:rFonts w:hint="eastAsia"/>
                <w:sz w:val="24"/>
                <w:highlight w:val="none"/>
                <w:lang w:val="en-GB"/>
              </w:rPr>
              <w:t>碎机上方安装集气罩，集气效率为90%</w:t>
            </w:r>
            <w:r>
              <w:rPr>
                <w:rFonts w:hint="eastAsia"/>
                <w:sz w:val="24"/>
                <w:highlight w:val="none"/>
                <w:lang w:val="en-US" w:eastAsia="zh-CN"/>
              </w:rPr>
              <w:t>，</w:t>
            </w:r>
            <w:r>
              <w:rPr>
                <w:rFonts w:hint="eastAsia" w:ascii="Times New Roman" w:hAnsi="Times New Roman" w:cs="Times New Roman"/>
                <w:spacing w:val="-2"/>
                <w:sz w:val="24"/>
                <w:highlight w:val="none"/>
              </w:rPr>
              <w:t>粉碎粉尘从粉碎机经密闭管道收集通过风机引至</w:t>
            </w:r>
            <w:r>
              <w:rPr>
                <w:rFonts w:hint="eastAsia" w:cs="Times New Roman"/>
                <w:spacing w:val="-2"/>
                <w:sz w:val="24"/>
                <w:highlight w:val="none"/>
                <w:lang w:val="en-US" w:eastAsia="zh-CN"/>
              </w:rPr>
              <w:t>袋式除尘器</w:t>
            </w:r>
            <w:r>
              <w:rPr>
                <w:rFonts w:hint="eastAsia" w:ascii="Times New Roman" w:hAnsi="Times New Roman" w:cs="Times New Roman"/>
                <w:spacing w:val="-2"/>
                <w:sz w:val="24"/>
                <w:highlight w:val="none"/>
              </w:rPr>
              <w:t>处理后（处理效率约9</w:t>
            </w:r>
            <w:r>
              <w:rPr>
                <w:rFonts w:hint="eastAsia" w:cs="Times New Roman"/>
                <w:spacing w:val="-2"/>
                <w:sz w:val="24"/>
                <w:highlight w:val="none"/>
                <w:lang w:val="en-US" w:eastAsia="zh-CN"/>
              </w:rPr>
              <w:t>5</w:t>
            </w:r>
            <w:r>
              <w:rPr>
                <w:rFonts w:hint="eastAsia" w:ascii="Times New Roman" w:hAnsi="Times New Roman" w:cs="Times New Roman"/>
                <w:spacing w:val="-2"/>
                <w:sz w:val="24"/>
                <w:highlight w:val="none"/>
              </w:rPr>
              <w:t>%），通过</w:t>
            </w:r>
            <w:r>
              <w:rPr>
                <w:rFonts w:hint="eastAsia" w:cs="Times New Roman"/>
                <w:spacing w:val="-2"/>
                <w:sz w:val="24"/>
                <w:highlight w:val="none"/>
                <w:lang w:val="en-US" w:eastAsia="zh-CN"/>
              </w:rPr>
              <w:t>15</w:t>
            </w:r>
            <w:r>
              <w:rPr>
                <w:rFonts w:hint="eastAsia" w:ascii="Times New Roman" w:hAnsi="Times New Roman" w:cs="Times New Roman"/>
                <w:spacing w:val="-2"/>
                <w:sz w:val="24"/>
                <w:highlight w:val="none"/>
              </w:rPr>
              <w:t>m高排气筒</w:t>
            </w:r>
            <w:r>
              <w:rPr>
                <w:rFonts w:hint="eastAsia" w:cs="Times New Roman"/>
                <w:spacing w:val="-2"/>
                <w:sz w:val="24"/>
                <w:highlight w:val="none"/>
                <w:lang w:eastAsia="zh-CN"/>
              </w:rPr>
              <w:t>（</w:t>
            </w:r>
            <w:r>
              <w:rPr>
                <w:rFonts w:hint="eastAsia" w:cs="Times New Roman"/>
                <w:spacing w:val="-2"/>
                <w:sz w:val="24"/>
                <w:highlight w:val="none"/>
                <w:lang w:val="en-US" w:eastAsia="zh-CN"/>
              </w:rPr>
              <w:t>DA001</w:t>
            </w:r>
            <w:r>
              <w:rPr>
                <w:rFonts w:hint="eastAsia" w:cs="Times New Roman"/>
                <w:spacing w:val="-2"/>
                <w:sz w:val="24"/>
                <w:highlight w:val="none"/>
                <w:lang w:eastAsia="zh-CN"/>
              </w:rPr>
              <w:t>）</w:t>
            </w:r>
            <w:r>
              <w:rPr>
                <w:rFonts w:hint="eastAsia" w:cs="Times New Roman"/>
                <w:spacing w:val="-2"/>
                <w:sz w:val="24"/>
                <w:highlight w:val="none"/>
                <w:lang w:val="en-US" w:eastAsia="zh-CN"/>
              </w:rPr>
              <w:t>排放</w:t>
            </w:r>
            <w:r>
              <w:rPr>
                <w:rFonts w:hint="eastAsia" w:ascii="Times New Roman" w:hAnsi="Times New Roman" w:cs="Times New Roman"/>
                <w:spacing w:val="-2"/>
                <w:sz w:val="24"/>
                <w:highlight w:val="none"/>
              </w:rPr>
              <w:t>，</w:t>
            </w:r>
            <w:r>
              <w:rPr>
                <w:rFonts w:ascii="Times New Roman" w:hAnsi="Times New Roman" w:cs="Times New Roman"/>
                <w:color w:val="auto"/>
                <w:sz w:val="24"/>
                <w:szCs w:val="24"/>
                <w:highlight w:val="none"/>
                <w:lang w:bidi="ar"/>
              </w:rPr>
              <w:t>引风机风量为</w:t>
            </w:r>
            <w:r>
              <w:rPr>
                <w:rFonts w:hint="eastAsia" w:cs="Times New Roman"/>
                <w:color w:val="auto"/>
                <w:sz w:val="24"/>
                <w:szCs w:val="24"/>
                <w:highlight w:val="none"/>
                <w:lang w:val="en-US" w:eastAsia="zh-CN" w:bidi="ar"/>
              </w:rPr>
              <w:t>5</w:t>
            </w:r>
            <w:r>
              <w:rPr>
                <w:rFonts w:ascii="Times New Roman" w:hAnsi="Times New Roman" w:cs="Times New Roman"/>
                <w:color w:val="auto"/>
                <w:sz w:val="24"/>
                <w:szCs w:val="24"/>
                <w:highlight w:val="none"/>
                <w:lang w:bidi="ar"/>
              </w:rPr>
              <w:t>000m³/h</w:t>
            </w:r>
            <w:r>
              <w:rPr>
                <w:rFonts w:hint="eastAsia" w:ascii="Times New Roman" w:hAnsi="Times New Roman" w:cs="Times New Roman"/>
                <w:color w:val="auto"/>
                <w:sz w:val="24"/>
                <w:highlight w:val="none"/>
                <w:lang w:eastAsia="zh-CN"/>
              </w:rPr>
              <w:t>（工时按</w:t>
            </w:r>
            <w:r>
              <w:rPr>
                <w:rFonts w:hint="eastAsia" w:cs="Times New Roman"/>
                <w:color w:val="auto"/>
                <w:sz w:val="24"/>
                <w:highlight w:val="none"/>
                <w:lang w:val="en-US" w:eastAsia="zh-CN"/>
              </w:rPr>
              <w:t>24</w:t>
            </w:r>
            <w:r>
              <w:rPr>
                <w:rFonts w:hint="eastAsia" w:ascii="Times New Roman" w:hAnsi="Times New Roman" w:cs="Times New Roman"/>
                <w:color w:val="auto"/>
                <w:sz w:val="24"/>
                <w:highlight w:val="none"/>
                <w:lang w:val="en-US" w:eastAsia="zh-CN"/>
              </w:rPr>
              <w:t>00h/a</w:t>
            </w:r>
            <w:r>
              <w:rPr>
                <w:rFonts w:hint="eastAsia" w:ascii="Times New Roman" w:hAnsi="Times New Roman" w:cs="Times New Roman"/>
                <w:color w:val="auto"/>
                <w:sz w:val="24"/>
                <w:highlight w:val="none"/>
                <w:lang w:eastAsia="zh-CN"/>
              </w:rPr>
              <w:t>），</w:t>
            </w:r>
            <w:r>
              <w:rPr>
                <w:rFonts w:hint="eastAsia" w:ascii="Times New Roman" w:hAnsi="Times New Roman" w:cs="Times New Roman"/>
                <w:spacing w:val="-2"/>
                <w:sz w:val="24"/>
                <w:highlight w:val="none"/>
              </w:rPr>
              <w:t>则计算可得粉碎粉尘</w:t>
            </w:r>
            <w:r>
              <w:rPr>
                <w:rFonts w:hint="eastAsia" w:cs="Times New Roman"/>
                <w:spacing w:val="-2"/>
                <w:sz w:val="24"/>
                <w:highlight w:val="none"/>
                <w:lang w:val="en-US" w:eastAsia="zh-CN"/>
              </w:rPr>
              <w:t>有组织</w:t>
            </w:r>
            <w:r>
              <w:rPr>
                <w:rFonts w:hint="eastAsia" w:ascii="Times New Roman" w:hAnsi="Times New Roman" w:cs="Times New Roman"/>
                <w:spacing w:val="-2"/>
                <w:sz w:val="24"/>
                <w:highlight w:val="none"/>
              </w:rPr>
              <w:t>排放量为</w:t>
            </w:r>
            <w:r>
              <w:rPr>
                <w:rFonts w:hint="eastAsia" w:cs="Times New Roman"/>
                <w:spacing w:val="-2"/>
                <w:sz w:val="24"/>
                <w:highlight w:val="none"/>
                <w:lang w:val="en-US" w:eastAsia="zh-CN"/>
              </w:rPr>
              <w:t>0.51</w:t>
            </w:r>
            <w:r>
              <w:rPr>
                <w:rFonts w:hint="eastAsia" w:ascii="Times New Roman" w:hAnsi="Times New Roman" w:cs="Times New Roman"/>
                <w:spacing w:val="-2"/>
                <w:sz w:val="24"/>
                <w:highlight w:val="none"/>
              </w:rPr>
              <w:t>t/a</w:t>
            </w:r>
            <w:r>
              <w:rPr>
                <w:rFonts w:hint="eastAsia" w:cs="Times New Roman"/>
                <w:spacing w:val="-2"/>
                <w:sz w:val="24"/>
                <w:highlight w:val="none"/>
                <w:lang w:eastAsia="zh-CN"/>
              </w:rPr>
              <w:t>，</w:t>
            </w:r>
            <w:r>
              <w:rPr>
                <w:rFonts w:hint="eastAsia" w:ascii="Times New Roman" w:hAnsi="Times New Roman" w:cs="Times New Roman"/>
                <w:spacing w:val="-2"/>
                <w:sz w:val="24"/>
                <w:highlight w:val="none"/>
              </w:rPr>
              <w:t>粉碎工序除尘器截留粉尘量为</w:t>
            </w:r>
            <w:r>
              <w:rPr>
                <w:rFonts w:hint="eastAsia" w:cs="Times New Roman"/>
                <w:spacing w:val="-2"/>
                <w:sz w:val="24"/>
                <w:highlight w:val="none"/>
                <w:lang w:val="en-US" w:eastAsia="zh-CN"/>
              </w:rPr>
              <w:t>9.61</w:t>
            </w:r>
            <w:r>
              <w:rPr>
                <w:rFonts w:hint="eastAsia" w:ascii="Times New Roman" w:hAnsi="Times New Roman" w:cs="Times New Roman"/>
                <w:spacing w:val="-2"/>
                <w:sz w:val="24"/>
                <w:highlight w:val="none"/>
              </w:rPr>
              <w:t>t/a，粉碎工序除尘器截留粉尘全部回用于制炭生产工艺中；无组织产生的粉尘为</w:t>
            </w:r>
            <w:r>
              <w:rPr>
                <w:rFonts w:hint="eastAsia" w:cs="Times New Roman"/>
                <w:spacing w:val="-2"/>
                <w:sz w:val="24"/>
                <w:highlight w:val="none"/>
                <w:lang w:val="en-US" w:eastAsia="zh-CN"/>
              </w:rPr>
              <w:t>1.12</w:t>
            </w:r>
            <w:r>
              <w:rPr>
                <w:rFonts w:hint="eastAsia" w:ascii="Times New Roman" w:hAnsi="Times New Roman" w:cs="Times New Roman"/>
                <w:spacing w:val="-2"/>
                <w:sz w:val="24"/>
                <w:highlight w:val="none"/>
              </w:rPr>
              <w:t>t/a，此部分粉尘经厂房内自然沉降，沉降系数取60%，约有40%的粉尘向外排放，即</w:t>
            </w:r>
            <w:r>
              <w:rPr>
                <w:rFonts w:hint="eastAsia"/>
                <w:sz w:val="24"/>
                <w:highlight w:val="none"/>
                <w:lang w:val="en-US" w:eastAsia="zh-CN"/>
              </w:rPr>
              <w:t>排放量</w:t>
            </w:r>
            <w:r>
              <w:rPr>
                <w:rFonts w:hint="eastAsia"/>
                <w:sz w:val="24"/>
                <w:highlight w:val="none"/>
                <w:lang w:val="en-GB"/>
              </w:rPr>
              <w:t>量为</w:t>
            </w:r>
            <w:r>
              <w:rPr>
                <w:rFonts w:hint="eastAsia"/>
                <w:sz w:val="24"/>
                <w:highlight w:val="none"/>
                <w:lang w:val="en-US" w:eastAsia="zh-CN"/>
              </w:rPr>
              <w:t>0.45</w:t>
            </w:r>
            <w:r>
              <w:rPr>
                <w:rFonts w:hint="eastAsia"/>
                <w:sz w:val="24"/>
                <w:highlight w:val="none"/>
                <w:lang w:val="en-GB"/>
              </w:rPr>
              <w:t>t/a，在车间呈无组织排放，通过加强车间通风，工组人员佩戴口罩，来减少粉尘的影响。</w:t>
            </w:r>
          </w:p>
          <w:p w14:paraId="19758BFF">
            <w:pPr>
              <w:spacing w:line="360" w:lineRule="auto"/>
              <w:ind w:firstLine="482" w:firstLineChars="200"/>
              <w:rPr>
                <w:b/>
                <w:bCs/>
                <w:sz w:val="24"/>
                <w:highlight w:val="none"/>
                <w:lang w:val="en-GB"/>
              </w:rPr>
            </w:pPr>
            <w:r>
              <w:rPr>
                <w:rFonts w:hint="eastAsia"/>
                <w:b/>
                <w:bCs/>
                <w:sz w:val="24"/>
                <w:highlight w:val="none"/>
                <w:lang w:val="en-GB" w:eastAsia="zh-CN"/>
              </w:rPr>
              <w:t>（</w:t>
            </w:r>
            <w:r>
              <w:rPr>
                <w:rFonts w:hint="eastAsia"/>
                <w:b/>
                <w:bCs/>
                <w:sz w:val="24"/>
                <w:highlight w:val="none"/>
                <w:lang w:val="en-US" w:eastAsia="zh-CN"/>
              </w:rPr>
              <w:t>3</w:t>
            </w:r>
            <w:r>
              <w:rPr>
                <w:rFonts w:hint="eastAsia"/>
                <w:b/>
                <w:bCs/>
                <w:sz w:val="24"/>
                <w:highlight w:val="none"/>
                <w:lang w:val="en-GB" w:eastAsia="zh-CN"/>
              </w:rPr>
              <w:t>）</w:t>
            </w:r>
            <w:r>
              <w:rPr>
                <w:rFonts w:hAnsi="宋体"/>
                <w:b/>
                <w:bCs/>
                <w:sz w:val="24"/>
                <w:highlight w:val="none"/>
                <w:lang w:val="en-GB"/>
              </w:rPr>
              <w:t>制棒废气</w:t>
            </w:r>
          </w:p>
          <w:p w14:paraId="1B45C51B">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Calibri" w:hAnsi="Calibri" w:cs="Calibri"/>
                <w:sz w:val="24"/>
                <w:highlight w:val="none"/>
                <w:lang w:eastAsia="zh-CN"/>
              </w:rPr>
            </w:pPr>
            <w:r>
              <w:rPr>
                <w:rFonts w:hint="eastAsia"/>
                <w:spacing w:val="-2"/>
                <w:sz w:val="24"/>
                <w:highlight w:val="none"/>
              </w:rPr>
              <w:t>项目制棒过程中产生大量热量，产生的高温使原料内部软化，在推进杆强大的压力下，原料被挤压成机制棒，从制棒机出口挤出。因此，在</w:t>
            </w:r>
            <w:r>
              <w:rPr>
                <w:rFonts w:hint="eastAsia"/>
                <w:spacing w:val="-2"/>
                <w:sz w:val="24"/>
                <w:highlight w:val="none"/>
                <w:lang w:eastAsia="zh-CN"/>
              </w:rPr>
              <w:t>木</w:t>
            </w:r>
            <w:r>
              <w:rPr>
                <w:rFonts w:hint="eastAsia"/>
                <w:spacing w:val="-2"/>
                <w:sz w:val="24"/>
                <w:highlight w:val="none"/>
              </w:rPr>
              <w:t>炭成型机出口原料软化及水分蒸发形成废气。制棒废气中主要污染物为颗粒物，建设单位拟在制棒机设置废气出口与密闭管道相连，将制棒废气引入烘干系统的</w:t>
            </w:r>
            <w:r>
              <w:rPr>
                <w:rFonts w:hint="eastAsia"/>
                <w:spacing w:val="-2"/>
                <w:sz w:val="24"/>
                <w:highlight w:val="none"/>
                <w:lang w:eastAsia="zh-CN"/>
              </w:rPr>
              <w:t>燃烧炉</w:t>
            </w:r>
            <w:r>
              <w:rPr>
                <w:rFonts w:hint="eastAsia"/>
                <w:spacing w:val="-2"/>
                <w:sz w:val="24"/>
                <w:highlight w:val="none"/>
              </w:rPr>
              <w:t>内充分燃烧。</w:t>
            </w:r>
            <w:r>
              <w:rPr>
                <w:rFonts w:hint="eastAsia" w:ascii="Times New Roman" w:hAnsi="Times New Roman" w:eastAsia="宋体" w:cs="Times New Roman"/>
                <w:color w:val="000000"/>
                <w:kern w:val="0"/>
                <w:sz w:val="24"/>
                <w:szCs w:val="24"/>
                <w:highlight w:val="none"/>
                <w:lang w:val="en-US" w:eastAsia="zh-CN" w:bidi="ar"/>
              </w:rPr>
              <w:t>制棒</w:t>
            </w:r>
            <w:r>
              <w:rPr>
                <w:rFonts w:hint="default" w:ascii="Times New Roman" w:hAnsi="Times New Roman" w:eastAsia="宋体" w:cs="Times New Roman"/>
                <w:color w:val="000000"/>
                <w:kern w:val="0"/>
                <w:sz w:val="24"/>
                <w:szCs w:val="24"/>
                <w:highlight w:val="none"/>
                <w:lang w:val="en-US" w:eastAsia="zh-CN" w:bidi="ar"/>
              </w:rPr>
              <w:t>过程产生的粉尘产污系数选用《排放源统计调查产排污核算方法和系数手册》中“2542生物质致密成型燃料加工行业系数手册” 中</w:t>
            </w:r>
            <w:r>
              <w:rPr>
                <w:rFonts w:hint="eastAsia" w:ascii="Times New Roman" w:hAnsi="Times New Roman" w:eastAsia="宋体" w:cs="Times New Roman"/>
                <w:color w:val="000000"/>
                <w:kern w:val="0"/>
                <w:sz w:val="24"/>
                <w:szCs w:val="24"/>
                <w:highlight w:val="none"/>
                <w:lang w:val="en-US" w:eastAsia="zh-CN" w:bidi="ar"/>
              </w:rPr>
              <w:t>剪切、破碎、筛分、造粒工段</w:t>
            </w:r>
            <w:r>
              <w:rPr>
                <w:rFonts w:hint="default" w:ascii="Times New Roman" w:hAnsi="Times New Roman" w:eastAsia="宋体" w:cs="Times New Roman"/>
                <w:color w:val="000000"/>
                <w:kern w:val="0"/>
                <w:sz w:val="24"/>
                <w:szCs w:val="24"/>
                <w:highlight w:val="none"/>
                <w:lang w:val="en-US" w:eastAsia="zh-CN" w:bidi="ar"/>
              </w:rPr>
              <w:t>颗粒物产污系数进行核算，颗粒物产生系数为</w:t>
            </w:r>
            <w:r>
              <w:rPr>
                <w:rFonts w:hint="eastAsia" w:ascii="Times New Roman" w:hAnsi="Times New Roman" w:eastAsia="宋体" w:cs="Times New Roman"/>
                <w:color w:val="000000"/>
                <w:kern w:val="0"/>
                <w:sz w:val="24"/>
                <w:szCs w:val="24"/>
                <w:highlight w:val="none"/>
                <w:lang w:val="en-US" w:eastAsia="zh-CN" w:bidi="ar"/>
              </w:rPr>
              <w:t>0.669</w:t>
            </w:r>
            <w:r>
              <w:rPr>
                <w:rFonts w:hint="default" w:ascii="Times New Roman" w:hAnsi="Times New Roman" w:eastAsia="宋体" w:cs="Times New Roman"/>
                <w:color w:val="000000"/>
                <w:kern w:val="0"/>
                <w:sz w:val="24"/>
                <w:szCs w:val="24"/>
                <w:highlight w:val="none"/>
                <w:lang w:val="en-US" w:eastAsia="zh-CN" w:bidi="ar"/>
              </w:rPr>
              <w:t>kg/t原料。</w:t>
            </w:r>
            <w:r>
              <w:rPr>
                <w:rFonts w:hint="eastAsia"/>
                <w:spacing w:val="-2"/>
                <w:sz w:val="24"/>
                <w:highlight w:val="none"/>
                <w:shd w:val="clear"/>
                <w:lang w:val="en-US" w:eastAsia="zh-CN"/>
              </w:rPr>
              <w:t>进入制棒工序（烘干后原料减去粉碎工序排放量）的原</w:t>
            </w:r>
            <w:r>
              <w:rPr>
                <w:rFonts w:hint="eastAsia" w:ascii="宋体" w:hAnsi="宋体"/>
                <w:sz w:val="24"/>
                <w:highlight w:val="none"/>
                <w:shd w:val="clear"/>
              </w:rPr>
              <w:t>料重量</w:t>
            </w:r>
            <w:r>
              <w:rPr>
                <w:rFonts w:hint="eastAsia" w:ascii="宋体" w:hAnsi="宋体"/>
                <w:sz w:val="24"/>
                <w:highlight w:val="none"/>
                <w:shd w:val="clear"/>
                <w:lang w:val="en-US" w:eastAsia="zh-CN"/>
              </w:rPr>
              <w:t>约</w:t>
            </w:r>
            <w:r>
              <w:rPr>
                <w:rFonts w:hint="eastAsia" w:ascii="宋体" w:hAnsi="宋体"/>
                <w:sz w:val="24"/>
                <w:highlight w:val="none"/>
                <w:shd w:val="clear"/>
              </w:rPr>
              <w:t>为</w:t>
            </w:r>
            <w:r>
              <w:rPr>
                <w:rFonts w:hint="eastAsia" w:cs="Times New Roman"/>
                <w:sz w:val="24"/>
                <w:highlight w:val="none"/>
                <w:shd w:val="clear"/>
                <w:lang w:val="en-US" w:eastAsia="zh-CN"/>
              </w:rPr>
              <w:t>6177.38</w:t>
            </w:r>
            <w:r>
              <w:rPr>
                <w:rFonts w:hint="eastAsia"/>
                <w:sz w:val="24"/>
                <w:highlight w:val="none"/>
                <w:shd w:val="clear"/>
              </w:rPr>
              <w:t>t/a</w:t>
            </w:r>
            <w:r>
              <w:rPr>
                <w:rFonts w:hint="eastAsia"/>
                <w:spacing w:val="-2"/>
                <w:sz w:val="24"/>
                <w:highlight w:val="none"/>
                <w:shd w:val="clear"/>
              </w:rPr>
              <w:t>，则制棒废气（颗粒物）的产生量为</w:t>
            </w:r>
            <w:r>
              <w:rPr>
                <w:rFonts w:hint="eastAsia"/>
                <w:spacing w:val="-2"/>
                <w:sz w:val="24"/>
                <w:highlight w:val="none"/>
                <w:shd w:val="clear"/>
                <w:lang w:val="en-US" w:eastAsia="zh-CN"/>
              </w:rPr>
              <w:t>4.13</w:t>
            </w:r>
            <w:r>
              <w:rPr>
                <w:rFonts w:hint="eastAsia"/>
                <w:spacing w:val="-2"/>
                <w:sz w:val="24"/>
                <w:highlight w:val="none"/>
                <w:shd w:val="clear"/>
              </w:rPr>
              <w:t>t/a</w:t>
            </w:r>
            <w:r>
              <w:rPr>
                <w:rFonts w:hint="eastAsia"/>
                <w:spacing w:val="-2"/>
                <w:sz w:val="24"/>
                <w:highlight w:val="none"/>
                <w:shd w:val="clear"/>
                <w:lang w:eastAsia="zh-CN"/>
              </w:rPr>
              <w:t>，</w:t>
            </w:r>
            <w:r>
              <w:rPr>
                <w:rFonts w:hint="default" w:ascii="Times New Roman" w:hAnsi="Times New Roman" w:eastAsia="宋体" w:cs="Times New Roman"/>
                <w:spacing w:val="-2"/>
                <w:sz w:val="24"/>
                <w:highlight w:val="none"/>
                <w:shd w:val="clear"/>
              </w:rPr>
              <w:t>项目拟在制棒机出口设置集气罩和烟气收集管道，将制棒机出口烟尘引至</w:t>
            </w:r>
            <w:r>
              <w:rPr>
                <w:rFonts w:hint="eastAsia" w:cs="Times New Roman"/>
                <w:spacing w:val="-2"/>
                <w:sz w:val="24"/>
                <w:highlight w:val="none"/>
                <w:shd w:val="clear"/>
                <w:lang w:val="en-US" w:eastAsia="zh-CN"/>
              </w:rPr>
              <w:t>燃烧</w:t>
            </w:r>
            <w:r>
              <w:rPr>
                <w:rFonts w:hint="eastAsia" w:ascii="Times New Roman" w:hAnsi="Times New Roman" w:eastAsia="宋体" w:cs="Times New Roman"/>
                <w:spacing w:val="-2"/>
                <w:sz w:val="24"/>
                <w:highlight w:val="none"/>
                <w:shd w:val="clear"/>
                <w:lang w:eastAsia="zh-CN"/>
              </w:rPr>
              <w:t>炉</w:t>
            </w:r>
            <w:r>
              <w:rPr>
                <w:rFonts w:hint="default" w:ascii="Times New Roman" w:hAnsi="Times New Roman" w:eastAsia="宋体" w:cs="Times New Roman"/>
                <w:spacing w:val="-2"/>
                <w:sz w:val="24"/>
                <w:highlight w:val="none"/>
                <w:shd w:val="clear"/>
              </w:rPr>
              <w:t>内充分燃烧</w:t>
            </w:r>
            <w:r>
              <w:rPr>
                <w:rFonts w:hint="eastAsia" w:ascii="Times New Roman" w:hAnsi="Times New Roman" w:eastAsia="宋体" w:cs="Times New Roman"/>
                <w:spacing w:val="-2"/>
                <w:sz w:val="24"/>
                <w:highlight w:val="none"/>
                <w:shd w:val="clear"/>
                <w:lang w:val="en-US" w:eastAsia="zh-CN"/>
              </w:rPr>
              <w:t>后经旋风除尘器+</w:t>
            </w:r>
            <w:r>
              <w:rPr>
                <w:rFonts w:hint="eastAsia" w:cs="Times New Roman"/>
                <w:spacing w:val="-2"/>
                <w:sz w:val="24"/>
                <w:highlight w:val="none"/>
                <w:shd w:val="clear"/>
                <w:lang w:val="en-US" w:eastAsia="zh-CN"/>
              </w:rPr>
              <w:t>喷淋除尘脱硫塔</w:t>
            </w:r>
            <w:r>
              <w:rPr>
                <w:rFonts w:hint="eastAsia" w:ascii="Times New Roman" w:hAnsi="Times New Roman" w:eastAsia="宋体" w:cs="Times New Roman"/>
                <w:spacing w:val="-2"/>
                <w:sz w:val="24"/>
                <w:highlight w:val="none"/>
                <w:shd w:val="clear"/>
                <w:lang w:val="en-US" w:eastAsia="zh-CN"/>
              </w:rPr>
              <w:t>进一步处理达标后15m高烟气筒（</w:t>
            </w:r>
            <w:r>
              <w:rPr>
                <w:rFonts w:hint="eastAsia" w:cs="Times New Roman"/>
                <w:spacing w:val="-2"/>
                <w:sz w:val="24"/>
                <w:highlight w:val="none"/>
                <w:shd w:val="clear"/>
                <w:lang w:val="en-US" w:eastAsia="zh-CN"/>
              </w:rPr>
              <w:t>DA002</w:t>
            </w:r>
            <w:r>
              <w:rPr>
                <w:rFonts w:hint="eastAsia" w:ascii="Times New Roman" w:hAnsi="Times New Roman" w:eastAsia="宋体" w:cs="Times New Roman"/>
                <w:spacing w:val="-2"/>
                <w:sz w:val="24"/>
                <w:highlight w:val="none"/>
                <w:shd w:val="clear"/>
                <w:lang w:val="en-US" w:eastAsia="zh-CN"/>
              </w:rPr>
              <w:t>）排放</w:t>
            </w:r>
            <w:r>
              <w:rPr>
                <w:rFonts w:hint="eastAsia"/>
                <w:spacing w:val="-2"/>
                <w:sz w:val="24"/>
                <w:highlight w:val="none"/>
              </w:rPr>
              <w:t>。</w:t>
            </w:r>
            <w:r>
              <w:rPr>
                <w:rFonts w:ascii="Times New Roman" w:hAnsi="Times New Roman" w:cs="Times New Roman"/>
                <w:color w:val="auto"/>
                <w:sz w:val="24"/>
                <w:szCs w:val="24"/>
                <w:highlight w:val="none"/>
                <w:lang w:bidi="ar"/>
              </w:rPr>
              <w:t>引风机风量为</w:t>
            </w:r>
            <w:r>
              <w:rPr>
                <w:rFonts w:hint="eastAsia" w:cs="Times New Roman"/>
                <w:color w:val="auto"/>
                <w:sz w:val="24"/>
                <w:szCs w:val="24"/>
                <w:highlight w:val="none"/>
                <w:lang w:val="en-US" w:eastAsia="zh-CN" w:bidi="ar"/>
              </w:rPr>
              <w:t>35</w:t>
            </w:r>
            <w:r>
              <w:rPr>
                <w:rFonts w:ascii="Times New Roman" w:hAnsi="Times New Roman" w:cs="Times New Roman"/>
                <w:color w:val="auto"/>
                <w:sz w:val="24"/>
                <w:szCs w:val="24"/>
                <w:highlight w:val="none"/>
                <w:lang w:bidi="ar"/>
              </w:rPr>
              <w:t>000m³/h</w:t>
            </w:r>
            <w:r>
              <w:rPr>
                <w:rFonts w:hint="eastAsia" w:ascii="Times New Roman" w:hAnsi="Times New Roman" w:cs="Times New Roman"/>
                <w:color w:val="auto"/>
                <w:sz w:val="24"/>
                <w:highlight w:val="none"/>
                <w:lang w:eastAsia="zh-CN"/>
              </w:rPr>
              <w:t>，</w:t>
            </w:r>
            <w:r>
              <w:rPr>
                <w:rFonts w:hint="eastAsia"/>
                <w:spacing w:val="-2"/>
                <w:sz w:val="24"/>
                <w:highlight w:val="none"/>
              </w:rPr>
              <w:t>收集效率按90%计，综合处理效率</w:t>
            </w:r>
            <w:r>
              <w:rPr>
                <w:rFonts w:hint="eastAsia"/>
                <w:spacing w:val="-2"/>
                <w:sz w:val="24"/>
                <w:highlight w:val="none"/>
                <w:lang w:val="en-US" w:eastAsia="zh-CN"/>
              </w:rPr>
              <w:t>按</w:t>
            </w:r>
            <w:r>
              <w:rPr>
                <w:rFonts w:hint="eastAsia"/>
                <w:spacing w:val="-2"/>
                <w:sz w:val="24"/>
                <w:highlight w:val="none"/>
              </w:rPr>
              <w:t>9</w:t>
            </w:r>
            <w:r>
              <w:rPr>
                <w:rFonts w:hint="eastAsia"/>
                <w:spacing w:val="-2"/>
                <w:sz w:val="24"/>
                <w:highlight w:val="none"/>
                <w:lang w:val="en-US" w:eastAsia="zh-CN"/>
              </w:rPr>
              <w:t>5</w:t>
            </w:r>
            <w:r>
              <w:rPr>
                <w:rFonts w:hint="eastAsia"/>
                <w:spacing w:val="-2"/>
                <w:sz w:val="24"/>
                <w:highlight w:val="none"/>
              </w:rPr>
              <w:t>%，则有组织排放量为</w:t>
            </w:r>
            <w:r>
              <w:rPr>
                <w:rFonts w:hint="eastAsia"/>
                <w:spacing w:val="-2"/>
                <w:sz w:val="24"/>
                <w:highlight w:val="none"/>
                <w:lang w:val="en-US" w:eastAsia="zh-CN"/>
              </w:rPr>
              <w:t>0.19</w:t>
            </w:r>
            <w:r>
              <w:rPr>
                <w:rFonts w:hint="eastAsia"/>
                <w:spacing w:val="-2"/>
                <w:sz w:val="24"/>
                <w:highlight w:val="none"/>
              </w:rPr>
              <w:t>t/a，除尘器截留粉尘量为</w:t>
            </w:r>
            <w:r>
              <w:rPr>
                <w:rFonts w:hint="eastAsia"/>
                <w:spacing w:val="-2"/>
                <w:sz w:val="24"/>
                <w:highlight w:val="none"/>
                <w:lang w:val="en-US" w:eastAsia="zh-CN"/>
              </w:rPr>
              <w:t>3.53</w:t>
            </w:r>
            <w:r>
              <w:rPr>
                <w:rFonts w:hint="eastAsia"/>
                <w:spacing w:val="-2"/>
                <w:sz w:val="24"/>
                <w:highlight w:val="none"/>
              </w:rPr>
              <w:t>t/a，截留粉尘全部回用于制炭生产工艺中；无组织产生的粉尘为</w:t>
            </w:r>
            <w:r>
              <w:rPr>
                <w:rFonts w:hint="eastAsia"/>
                <w:spacing w:val="-2"/>
                <w:sz w:val="24"/>
                <w:highlight w:val="none"/>
                <w:lang w:val="en-US" w:eastAsia="zh-CN"/>
              </w:rPr>
              <w:t>0.41</w:t>
            </w:r>
            <w:r>
              <w:rPr>
                <w:rFonts w:hint="eastAsia"/>
                <w:spacing w:val="-2"/>
                <w:sz w:val="24"/>
                <w:highlight w:val="none"/>
              </w:rPr>
              <w:t>t/a，此部分粉尘经厂房内自然沉降，沉降系数同上取6</w:t>
            </w:r>
            <w:r>
              <w:rPr>
                <w:spacing w:val="-2"/>
                <w:sz w:val="24"/>
                <w:highlight w:val="none"/>
              </w:rPr>
              <w:t>0%</w:t>
            </w:r>
            <w:r>
              <w:rPr>
                <w:rFonts w:hint="eastAsia"/>
                <w:spacing w:val="-2"/>
                <w:sz w:val="24"/>
                <w:highlight w:val="none"/>
              </w:rPr>
              <w:t>，即排放量</w:t>
            </w:r>
            <w:r>
              <w:rPr>
                <w:spacing w:val="-2"/>
                <w:sz w:val="24"/>
                <w:highlight w:val="none"/>
              </w:rPr>
              <w:t>0.</w:t>
            </w:r>
            <w:r>
              <w:rPr>
                <w:rFonts w:hint="eastAsia"/>
                <w:spacing w:val="-2"/>
                <w:sz w:val="24"/>
                <w:highlight w:val="none"/>
                <w:lang w:val="en-US" w:eastAsia="zh-CN"/>
              </w:rPr>
              <w:t>16</w:t>
            </w:r>
            <w:r>
              <w:rPr>
                <w:rFonts w:hint="eastAsia"/>
                <w:spacing w:val="-2"/>
                <w:sz w:val="24"/>
                <w:highlight w:val="none"/>
              </w:rPr>
              <w:t>t/a。</w:t>
            </w:r>
          </w:p>
          <w:p w14:paraId="574536AE">
            <w:pPr>
              <w:pStyle w:val="10"/>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b/>
                <w:bCs/>
                <w:sz w:val="24"/>
                <w:szCs w:val="24"/>
                <w:highlight w:val="none"/>
                <w:lang w:val="en-US" w:eastAsia="zh-CN"/>
              </w:rPr>
            </w:pPr>
            <w:r>
              <w:rPr>
                <w:rFonts w:hint="eastAsia"/>
                <w:b/>
                <w:bCs/>
                <w:sz w:val="24"/>
                <w:highlight w:val="none"/>
                <w:lang w:val="en-GB" w:eastAsia="zh-CN"/>
              </w:rPr>
              <w:t>（</w:t>
            </w:r>
            <w:r>
              <w:rPr>
                <w:rFonts w:hint="eastAsia"/>
                <w:b/>
                <w:bCs/>
                <w:sz w:val="24"/>
                <w:highlight w:val="none"/>
                <w:lang w:val="en-US" w:eastAsia="zh-CN"/>
              </w:rPr>
              <w:t>4</w:t>
            </w:r>
            <w:r>
              <w:rPr>
                <w:rFonts w:hint="eastAsia"/>
                <w:b/>
                <w:bCs/>
                <w:sz w:val="24"/>
                <w:highlight w:val="none"/>
                <w:lang w:val="en-GB" w:eastAsia="zh-CN"/>
              </w:rPr>
              <w:t>）</w:t>
            </w:r>
            <w:r>
              <w:rPr>
                <w:rFonts w:hint="eastAsia"/>
                <w:b/>
                <w:bCs/>
                <w:sz w:val="24"/>
                <w:highlight w:val="none"/>
                <w:lang w:val="en-US" w:eastAsia="zh-CN"/>
              </w:rPr>
              <w:t>烘干</w:t>
            </w:r>
            <w:r>
              <w:rPr>
                <w:rFonts w:hint="eastAsia" w:ascii="Times New Roman" w:hAnsi="Times New Roman"/>
                <w:b/>
                <w:bCs/>
                <w:sz w:val="24"/>
                <w:szCs w:val="24"/>
                <w:highlight w:val="none"/>
                <w:lang w:val="en-US" w:eastAsia="zh-CN"/>
              </w:rPr>
              <w:t>废气</w:t>
            </w:r>
          </w:p>
          <w:p w14:paraId="61E9F127">
            <w:pPr>
              <w:spacing w:line="360" w:lineRule="auto"/>
              <w:ind w:firstLine="480" w:firstLineChars="200"/>
              <w:rPr>
                <w:rFonts w:hint="eastAsia" w:ascii="宋体" w:hAnsi="宋体" w:eastAsia="宋体" w:cs="宋体"/>
                <w:sz w:val="24"/>
                <w:highlight w:val="none"/>
              </w:rPr>
            </w:pPr>
            <w:r>
              <w:rPr>
                <w:rFonts w:hint="default" w:ascii="Calibri" w:hAnsi="Calibri" w:cs="Calibri"/>
                <w:sz w:val="24"/>
                <w:highlight w:val="none"/>
              </w:rPr>
              <w:t>①</w:t>
            </w:r>
            <w:r>
              <w:rPr>
                <w:rFonts w:hint="eastAsia"/>
                <w:b/>
                <w:bCs/>
                <w:sz w:val="24"/>
                <w:highlight w:val="none"/>
                <w:lang w:val="en-US" w:eastAsia="zh-CN"/>
              </w:rPr>
              <w:t>生物质成型燃料燃烧</w:t>
            </w:r>
            <w:r>
              <w:rPr>
                <w:rFonts w:hint="eastAsia" w:ascii="Times New Roman" w:hAnsi="Times New Roman"/>
                <w:b/>
                <w:bCs/>
                <w:sz w:val="24"/>
                <w:szCs w:val="24"/>
                <w:highlight w:val="none"/>
                <w:lang w:val="en-US" w:eastAsia="zh-CN"/>
              </w:rPr>
              <w:t>废气</w:t>
            </w:r>
          </w:p>
          <w:p w14:paraId="19BDD0E8">
            <w:pPr>
              <w:spacing w:line="360" w:lineRule="auto"/>
              <w:ind w:firstLine="480" w:firstLineChars="200"/>
              <w:rPr>
                <w:b/>
                <w:sz w:val="24"/>
                <w:highlight w:val="none"/>
              </w:rPr>
            </w:pPr>
            <w:r>
              <w:rPr>
                <w:rFonts w:ascii="宋体" w:hAnsi="宋体"/>
                <w:sz w:val="24"/>
                <w:highlight w:val="none"/>
              </w:rPr>
              <w:t>项目烘干工序主要有两股热源，一是使用炭化、制棒废气引回烘干系统的</w:t>
            </w:r>
            <w:r>
              <w:rPr>
                <w:rFonts w:hint="eastAsia" w:ascii="宋体" w:hAnsi="宋体"/>
                <w:sz w:val="24"/>
                <w:highlight w:val="none"/>
                <w:lang w:eastAsia="zh-CN"/>
              </w:rPr>
              <w:t>燃烧炉</w:t>
            </w:r>
            <w:r>
              <w:rPr>
                <w:rFonts w:ascii="宋体" w:hAnsi="宋体"/>
                <w:sz w:val="24"/>
                <w:highlight w:val="none"/>
              </w:rPr>
              <w:t>内燃烧提供</w:t>
            </w:r>
            <w:r>
              <w:rPr>
                <w:rFonts w:hint="eastAsia" w:ascii="宋体" w:hAnsi="宋体"/>
                <w:sz w:val="24"/>
                <w:highlight w:val="none"/>
                <w:lang w:eastAsia="zh-CN"/>
              </w:rPr>
              <w:t>的</w:t>
            </w:r>
            <w:r>
              <w:rPr>
                <w:rFonts w:ascii="宋体" w:hAnsi="宋体"/>
                <w:sz w:val="24"/>
                <w:highlight w:val="none"/>
              </w:rPr>
              <w:t>热量，二是通过在</w:t>
            </w:r>
            <w:r>
              <w:rPr>
                <w:rFonts w:hint="eastAsia" w:ascii="宋体" w:hAnsi="宋体"/>
                <w:sz w:val="24"/>
                <w:highlight w:val="none"/>
                <w:lang w:eastAsia="zh-CN"/>
              </w:rPr>
              <w:t>燃烧炉</w:t>
            </w:r>
            <w:r>
              <w:rPr>
                <w:rFonts w:ascii="宋体" w:hAnsi="宋体"/>
                <w:sz w:val="24"/>
                <w:highlight w:val="none"/>
              </w:rPr>
              <w:t>内点燃</w:t>
            </w:r>
            <w:r>
              <w:rPr>
                <w:rFonts w:hint="eastAsia" w:ascii="宋体" w:hAnsi="宋体"/>
                <w:sz w:val="24"/>
                <w:highlight w:val="none"/>
                <w:lang w:eastAsia="zh-CN"/>
              </w:rPr>
              <w:t>生物质燃料</w:t>
            </w:r>
            <w:r>
              <w:rPr>
                <w:rFonts w:ascii="宋体" w:hAnsi="宋体"/>
                <w:sz w:val="24"/>
                <w:highlight w:val="none"/>
              </w:rPr>
              <w:t>提供热源。</w:t>
            </w:r>
            <w:r>
              <w:rPr>
                <w:rFonts w:hint="eastAsia" w:ascii="宋体" w:hAnsi="宋体"/>
                <w:sz w:val="24"/>
                <w:highlight w:val="none"/>
              </w:rPr>
              <w:t>根据业主提供资料，本项目采用的燃料为</w:t>
            </w:r>
            <w:r>
              <w:rPr>
                <w:rFonts w:hint="eastAsia" w:ascii="宋体" w:hAnsi="宋体"/>
                <w:sz w:val="24"/>
                <w:highlight w:val="none"/>
                <w:lang w:val="en-US" w:eastAsia="zh-CN"/>
              </w:rPr>
              <w:t>生物质成型燃料</w:t>
            </w:r>
            <w:r>
              <w:rPr>
                <w:rFonts w:hint="eastAsia" w:ascii="宋体" w:hAnsi="宋体"/>
                <w:sz w:val="24"/>
                <w:highlight w:val="none"/>
              </w:rPr>
              <w:t>，首批物料烘干时，</w:t>
            </w:r>
            <w:r>
              <w:rPr>
                <w:rFonts w:hint="eastAsia" w:ascii="宋体" w:hAnsi="宋体"/>
                <w:sz w:val="24"/>
                <w:highlight w:val="none"/>
                <w:lang w:eastAsia="zh-CN"/>
              </w:rPr>
              <w:t>燃烧炉</w:t>
            </w:r>
            <w:r>
              <w:rPr>
                <w:rFonts w:hint="eastAsia" w:ascii="宋体" w:hAnsi="宋体"/>
                <w:sz w:val="24"/>
                <w:highlight w:val="none"/>
              </w:rPr>
              <w:t>内采用明火（燃烧燃料），待第一批物料进行炭化，产生炭化废气（含可燃气体）后，即有可燃气体可用。本项目炭化窑为地窑，可燃气体沿炭化区设置的地下烟道进入</w:t>
            </w:r>
            <w:r>
              <w:rPr>
                <w:rFonts w:hint="eastAsia" w:ascii="宋体" w:hAnsi="宋体"/>
                <w:sz w:val="24"/>
                <w:highlight w:val="none"/>
                <w:lang w:eastAsia="zh-CN"/>
              </w:rPr>
              <w:t>燃烧炉</w:t>
            </w:r>
            <w:r>
              <w:rPr>
                <w:rFonts w:hint="eastAsia" w:ascii="宋体" w:hAnsi="宋体"/>
                <w:sz w:val="24"/>
                <w:highlight w:val="none"/>
              </w:rPr>
              <w:t>内，遇火星即燃烧。在气量充足时仅用可燃气体作为燃料，在可燃气体气量不足时，才燃烧燃料进行补充，</w:t>
            </w:r>
            <w:r>
              <w:rPr>
                <w:rFonts w:hint="eastAsia" w:ascii="宋体" w:hAnsi="宋体"/>
                <w:sz w:val="24"/>
                <w:highlight w:val="none"/>
                <w:lang w:val="en-US" w:eastAsia="zh-CN"/>
              </w:rPr>
              <w:t>根据企业提供资料</w:t>
            </w:r>
            <w:r>
              <w:rPr>
                <w:rFonts w:hint="eastAsia" w:ascii="宋体" w:hAnsi="宋体"/>
                <w:sz w:val="24"/>
                <w:highlight w:val="none"/>
              </w:rPr>
              <w:t>预计</w:t>
            </w:r>
            <w:r>
              <w:rPr>
                <w:rFonts w:hint="eastAsia" w:ascii="宋体" w:hAnsi="宋体"/>
                <w:sz w:val="24"/>
                <w:highlight w:val="none"/>
                <w:lang w:val="en-US" w:eastAsia="zh-CN"/>
              </w:rPr>
              <w:t>生物质成型燃料最大</w:t>
            </w:r>
            <w:r>
              <w:rPr>
                <w:rFonts w:hint="eastAsia" w:ascii="宋体" w:hAnsi="宋体"/>
                <w:sz w:val="24"/>
                <w:highlight w:val="none"/>
              </w:rPr>
              <w:t>消耗量约</w:t>
            </w:r>
            <w:r>
              <w:rPr>
                <w:rFonts w:hint="eastAsia" w:cs="Times New Roman"/>
                <w:sz w:val="24"/>
                <w:highlight w:val="none"/>
                <w:lang w:val="en-US" w:eastAsia="zh-CN"/>
              </w:rPr>
              <w:t>300</w:t>
            </w:r>
            <w:r>
              <w:rPr>
                <w:rFonts w:hint="default" w:ascii="Times New Roman" w:hAnsi="Times New Roman" w:cs="Times New Roman"/>
                <w:sz w:val="24"/>
                <w:highlight w:val="none"/>
                <w:lang w:val="en-US" w:eastAsia="zh-CN"/>
              </w:rPr>
              <w:t>t</w:t>
            </w:r>
            <w:r>
              <w:rPr>
                <w:rFonts w:hint="default" w:ascii="Times New Roman" w:hAnsi="Times New Roman" w:cs="Times New Roman"/>
                <w:sz w:val="24"/>
                <w:highlight w:val="none"/>
              </w:rPr>
              <w:t>/a。</w:t>
            </w:r>
            <w:r>
              <w:rPr>
                <w:rFonts w:hint="eastAsia" w:ascii="宋体" w:hAnsi="宋体"/>
                <w:sz w:val="24"/>
                <w:highlight w:val="none"/>
              </w:rPr>
              <w:t>燃料燃烧废气中主要污染物为</w:t>
            </w:r>
            <w:r>
              <w:rPr>
                <w:rFonts w:hint="eastAsia" w:ascii="宋体" w:hAnsi="宋体"/>
                <w:sz w:val="24"/>
                <w:highlight w:val="none"/>
                <w:lang w:val="en-US" w:eastAsia="zh-CN"/>
              </w:rPr>
              <w:t>烟尘</w:t>
            </w:r>
            <w:r>
              <w:rPr>
                <w:rFonts w:hint="eastAsia" w:ascii="宋体" w:hAnsi="宋体"/>
                <w:sz w:val="24"/>
                <w:highlight w:val="none"/>
              </w:rPr>
              <w:t>、</w:t>
            </w:r>
            <w:r>
              <w:rPr>
                <w:rFonts w:hint="eastAsia"/>
                <w:sz w:val="24"/>
                <w:highlight w:val="none"/>
              </w:rPr>
              <w:t>S</w:t>
            </w:r>
            <w:r>
              <w:rPr>
                <w:sz w:val="24"/>
                <w:highlight w:val="none"/>
              </w:rPr>
              <w:t>O</w:t>
            </w:r>
            <w:r>
              <w:rPr>
                <w:sz w:val="24"/>
                <w:highlight w:val="none"/>
                <w:vertAlign w:val="subscript"/>
              </w:rPr>
              <w:t>2</w:t>
            </w:r>
            <w:r>
              <w:rPr>
                <w:rFonts w:hint="eastAsia" w:ascii="宋体" w:hAnsi="宋体"/>
                <w:sz w:val="24"/>
                <w:highlight w:val="none"/>
              </w:rPr>
              <w:t>和</w:t>
            </w:r>
            <w:r>
              <w:rPr>
                <w:rFonts w:hint="eastAsia"/>
                <w:sz w:val="24"/>
                <w:highlight w:val="none"/>
              </w:rPr>
              <w:t>N</w:t>
            </w:r>
            <w:r>
              <w:rPr>
                <w:sz w:val="24"/>
                <w:highlight w:val="none"/>
              </w:rPr>
              <w:t>O</w:t>
            </w:r>
            <w:r>
              <w:rPr>
                <w:rFonts w:hint="eastAsia"/>
                <w:sz w:val="24"/>
                <w:highlight w:val="none"/>
              </w:rPr>
              <w:t>x</w:t>
            </w:r>
            <w:r>
              <w:rPr>
                <w:rFonts w:hint="eastAsia" w:ascii="宋体" w:hAnsi="宋体"/>
                <w:sz w:val="24"/>
                <w:highlight w:val="none"/>
              </w:rPr>
              <w:t>，</w:t>
            </w:r>
            <w:r>
              <w:rPr>
                <w:rFonts w:ascii="宋体" w:hAnsi="宋体"/>
                <w:sz w:val="24"/>
                <w:highlight w:val="none"/>
              </w:rPr>
              <w:t>根据</w:t>
            </w:r>
            <w:r>
              <w:rPr>
                <w:rFonts w:hint="eastAsia" w:ascii="宋体" w:hAnsi="宋体" w:eastAsia="宋体" w:cs="宋体"/>
                <w:color w:val="000000"/>
                <w:kern w:val="0"/>
                <w:sz w:val="24"/>
                <w:szCs w:val="24"/>
                <w:highlight w:val="none"/>
                <w:lang w:val="en-US" w:eastAsia="zh-CN" w:bidi="ar"/>
              </w:rPr>
              <w:t>《排放源统计调查产排污核算方法和系数手册》中“</w:t>
            </w:r>
            <w:r>
              <w:rPr>
                <w:rFonts w:hint="default" w:ascii="Times New Roman" w:hAnsi="Times New Roman" w:eastAsia="宋体" w:cs="Times New Roman"/>
                <w:color w:val="000000"/>
                <w:kern w:val="0"/>
                <w:sz w:val="24"/>
                <w:szCs w:val="24"/>
                <w:highlight w:val="none"/>
                <w:lang w:val="en-US" w:eastAsia="zh-CN" w:bidi="ar"/>
              </w:rPr>
              <w:t>4430</w:t>
            </w:r>
            <w:r>
              <w:rPr>
                <w:rFonts w:hint="eastAsia" w:ascii="宋体" w:hAnsi="宋体" w:eastAsia="宋体" w:cs="宋体"/>
                <w:color w:val="000000"/>
                <w:kern w:val="0"/>
                <w:sz w:val="24"/>
                <w:szCs w:val="24"/>
                <w:highlight w:val="none"/>
                <w:lang w:val="en-US" w:eastAsia="zh-CN" w:bidi="ar"/>
              </w:rPr>
              <w:t>工业锅炉（热力生产与供应业）产污系数表</w:t>
            </w:r>
            <w:r>
              <w:rPr>
                <w:rFonts w:hint="default" w:ascii="Times New Roman" w:hAnsi="Times New Roman" w:eastAsia="宋体" w:cs="Times New Roman"/>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生物质工业锅炉”的产污系数，</w:t>
            </w:r>
            <w:r>
              <w:rPr>
                <w:rFonts w:hint="eastAsia" w:cs="Times New Roman"/>
                <w:sz w:val="24"/>
                <w:szCs w:val="24"/>
                <w:highlight w:val="none"/>
                <w:lang w:val="en-US" w:eastAsia="zh-CN"/>
              </w:rPr>
              <w:t>具体</w:t>
            </w:r>
            <w:r>
              <w:rPr>
                <w:rFonts w:hint="default" w:ascii="Times New Roman" w:hAnsi="Times New Roman" w:eastAsia="宋体" w:cs="Times New Roman"/>
                <w:sz w:val="24"/>
                <w:szCs w:val="24"/>
                <w:highlight w:val="none"/>
              </w:rPr>
              <w:t>产污系数</w:t>
            </w:r>
            <w:r>
              <w:rPr>
                <w:rFonts w:hint="default" w:ascii="Times New Roman" w:hAnsi="Times New Roman" w:eastAsia="宋体" w:cs="Times New Roman"/>
                <w:sz w:val="24"/>
                <w:highlight w:val="none"/>
              </w:rPr>
              <w:t>见表4-</w:t>
            </w:r>
            <w:r>
              <w:rPr>
                <w:rFonts w:hint="eastAsia" w:cs="Times New Roman"/>
                <w:sz w:val="24"/>
                <w:highlight w:val="none"/>
                <w:lang w:val="en-US" w:eastAsia="zh-CN"/>
              </w:rPr>
              <w:t>3</w:t>
            </w:r>
            <w:r>
              <w:rPr>
                <w:rFonts w:hint="default" w:ascii="Times New Roman" w:hAnsi="Times New Roman" w:eastAsia="宋体" w:cs="Times New Roman"/>
                <w:sz w:val="24"/>
                <w:highlight w:val="none"/>
              </w:rPr>
              <w:t>。</w:t>
            </w:r>
          </w:p>
          <w:p w14:paraId="4E8510CF">
            <w:pPr>
              <w:pStyle w:val="171"/>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eastAsiaTheme="minorEastAsia"/>
                <w:sz w:val="24"/>
                <w:szCs w:val="24"/>
                <w:highlight w:val="none"/>
              </w:rPr>
            </w:pPr>
            <w:r>
              <w:rPr>
                <w:rFonts w:ascii="Times New Roman" w:hAnsi="Times New Roman" w:cs="Times New Roman" w:eastAsiaTheme="minorEastAsia"/>
                <w:b/>
                <w:sz w:val="24"/>
                <w:szCs w:val="24"/>
                <w:highlight w:val="none"/>
              </w:rPr>
              <w:t>表</w:t>
            </w:r>
            <w:r>
              <w:rPr>
                <w:rFonts w:ascii="Times New Roman" w:hAnsi="Times New Roman" w:cs="Times New Roman" w:eastAsiaTheme="minorEastAsia"/>
                <w:b/>
                <w:spacing w:val="-2"/>
                <w:sz w:val="24"/>
                <w:highlight w:val="none"/>
              </w:rPr>
              <w:t>4-</w:t>
            </w:r>
            <w:r>
              <w:rPr>
                <w:rFonts w:hint="eastAsia" w:ascii="Times New Roman" w:hAnsi="Times New Roman" w:cs="Times New Roman" w:eastAsiaTheme="minorEastAsia"/>
                <w:b/>
                <w:spacing w:val="-2"/>
                <w:sz w:val="24"/>
                <w:highlight w:val="none"/>
                <w:lang w:val="en-US" w:eastAsia="zh-CN"/>
              </w:rPr>
              <w:t>3</w:t>
            </w:r>
            <w:r>
              <w:rPr>
                <w:rFonts w:ascii="Times New Roman" w:hAnsi="Times New Roman" w:cs="Times New Roman" w:eastAsiaTheme="minorEastAsia"/>
                <w:b/>
                <w:spacing w:val="-2"/>
                <w:sz w:val="24"/>
                <w:highlight w:val="none"/>
              </w:rPr>
              <w:t xml:space="preserve"> </w:t>
            </w:r>
            <w:r>
              <w:rPr>
                <w:rFonts w:ascii="Times New Roman" w:hAnsi="Times New Roman" w:cs="Times New Roman" w:eastAsiaTheme="minorEastAsia"/>
                <w:b/>
                <w:sz w:val="24"/>
                <w:szCs w:val="24"/>
                <w:highlight w:val="none"/>
              </w:rPr>
              <w:t>烘干系统</w:t>
            </w:r>
            <w:r>
              <w:rPr>
                <w:rFonts w:hint="eastAsia" w:ascii="Times New Roman" w:hAnsi="Times New Roman" w:cs="Times New Roman" w:eastAsiaTheme="minorEastAsia"/>
                <w:b/>
                <w:sz w:val="24"/>
                <w:szCs w:val="24"/>
                <w:highlight w:val="none"/>
                <w:lang w:eastAsia="zh-CN"/>
              </w:rPr>
              <w:t>燃烧炉</w:t>
            </w:r>
            <w:r>
              <w:rPr>
                <w:rFonts w:ascii="Times New Roman" w:hAnsi="Times New Roman" w:cs="Times New Roman" w:eastAsiaTheme="minorEastAsia"/>
                <w:b/>
                <w:sz w:val="24"/>
                <w:szCs w:val="24"/>
                <w:highlight w:val="none"/>
              </w:rPr>
              <w:t>燃料燃烧产污系数</w:t>
            </w:r>
          </w:p>
          <w:tbl>
            <w:tblPr>
              <w:tblStyle w:val="34"/>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097"/>
              <w:gridCol w:w="1115"/>
              <w:gridCol w:w="1106"/>
              <w:gridCol w:w="1294"/>
              <w:gridCol w:w="1838"/>
              <w:gridCol w:w="1118"/>
            </w:tblGrid>
            <w:tr w14:paraId="1886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vAlign w:val="center"/>
                </w:tcPr>
                <w:p w14:paraId="12AB5455">
                  <w:pPr>
                    <w:pStyle w:val="19"/>
                    <w:adjustRightInd w:val="0"/>
                    <w:snapToGrid w:val="0"/>
                    <w:jc w:val="center"/>
                    <w:rPr>
                      <w:rFonts w:ascii="Times New Roman" w:hAnsi="Times New Roman" w:cs="Times New Roman" w:eastAsiaTheme="minorEastAsia"/>
                      <w:b/>
                      <w:color w:val="000000"/>
                      <w:kern w:val="0"/>
                      <w:highlight w:val="none"/>
                    </w:rPr>
                  </w:pPr>
                  <w:r>
                    <w:rPr>
                      <w:rFonts w:ascii="Times New Roman" w:hAnsi="Times New Roman" w:cs="Times New Roman" w:eastAsiaTheme="minorEastAsia"/>
                      <w:b/>
                      <w:color w:val="000000"/>
                      <w:kern w:val="0"/>
                      <w:highlight w:val="none"/>
                    </w:rPr>
                    <w:t>产品名称</w:t>
                  </w:r>
                </w:p>
              </w:tc>
              <w:tc>
                <w:tcPr>
                  <w:tcW w:w="1097" w:type="dxa"/>
                  <w:vAlign w:val="center"/>
                </w:tcPr>
                <w:p w14:paraId="17CAAE1C">
                  <w:pPr>
                    <w:pStyle w:val="19"/>
                    <w:adjustRightInd w:val="0"/>
                    <w:snapToGrid w:val="0"/>
                    <w:jc w:val="center"/>
                    <w:rPr>
                      <w:rFonts w:ascii="Times New Roman" w:hAnsi="Times New Roman" w:cs="Times New Roman" w:eastAsiaTheme="minorEastAsia"/>
                      <w:b/>
                      <w:color w:val="000000"/>
                      <w:kern w:val="0"/>
                      <w:highlight w:val="none"/>
                    </w:rPr>
                  </w:pPr>
                  <w:r>
                    <w:rPr>
                      <w:rFonts w:ascii="Times New Roman" w:hAnsi="Times New Roman" w:cs="Times New Roman" w:eastAsiaTheme="minorEastAsia"/>
                      <w:b/>
                      <w:color w:val="000000"/>
                      <w:kern w:val="0"/>
                      <w:highlight w:val="none"/>
                    </w:rPr>
                    <w:t>燃料名称</w:t>
                  </w:r>
                </w:p>
              </w:tc>
              <w:tc>
                <w:tcPr>
                  <w:tcW w:w="1115" w:type="dxa"/>
                  <w:vAlign w:val="center"/>
                </w:tcPr>
                <w:p w14:paraId="4CA6919B">
                  <w:pPr>
                    <w:pStyle w:val="19"/>
                    <w:adjustRightInd w:val="0"/>
                    <w:snapToGrid w:val="0"/>
                    <w:jc w:val="center"/>
                    <w:rPr>
                      <w:rFonts w:ascii="Times New Roman" w:hAnsi="Times New Roman" w:cs="Times New Roman" w:eastAsiaTheme="minorEastAsia"/>
                      <w:b/>
                      <w:color w:val="000000"/>
                      <w:kern w:val="0"/>
                      <w:highlight w:val="none"/>
                    </w:rPr>
                  </w:pPr>
                  <w:r>
                    <w:rPr>
                      <w:rFonts w:ascii="Times New Roman" w:hAnsi="Times New Roman" w:cs="Times New Roman" w:eastAsiaTheme="minorEastAsia"/>
                      <w:b/>
                      <w:color w:val="000000"/>
                      <w:kern w:val="0"/>
                      <w:highlight w:val="none"/>
                    </w:rPr>
                    <w:t>工艺名称</w:t>
                  </w:r>
                </w:p>
              </w:tc>
              <w:tc>
                <w:tcPr>
                  <w:tcW w:w="1106" w:type="dxa"/>
                  <w:vAlign w:val="center"/>
                </w:tcPr>
                <w:p w14:paraId="7DC5BE96">
                  <w:pPr>
                    <w:pStyle w:val="19"/>
                    <w:adjustRightInd w:val="0"/>
                    <w:snapToGrid w:val="0"/>
                    <w:jc w:val="center"/>
                    <w:rPr>
                      <w:rFonts w:ascii="Times New Roman" w:hAnsi="Times New Roman" w:cs="Times New Roman" w:eastAsiaTheme="minorEastAsia"/>
                      <w:b/>
                      <w:color w:val="000000"/>
                      <w:kern w:val="0"/>
                      <w:highlight w:val="none"/>
                    </w:rPr>
                  </w:pPr>
                  <w:r>
                    <w:rPr>
                      <w:rFonts w:ascii="Times New Roman" w:hAnsi="Times New Roman" w:cs="Times New Roman" w:eastAsiaTheme="minorEastAsia"/>
                      <w:b/>
                      <w:color w:val="000000"/>
                      <w:kern w:val="0"/>
                      <w:highlight w:val="none"/>
                    </w:rPr>
                    <w:t>规模等级</w:t>
                  </w:r>
                </w:p>
              </w:tc>
              <w:tc>
                <w:tcPr>
                  <w:tcW w:w="1294" w:type="dxa"/>
                  <w:vAlign w:val="center"/>
                </w:tcPr>
                <w:p w14:paraId="22F5FBA9">
                  <w:pPr>
                    <w:pStyle w:val="19"/>
                    <w:adjustRightInd w:val="0"/>
                    <w:snapToGrid w:val="0"/>
                    <w:jc w:val="center"/>
                    <w:rPr>
                      <w:rFonts w:ascii="Times New Roman" w:hAnsi="Times New Roman" w:cs="Times New Roman" w:eastAsiaTheme="minorEastAsia"/>
                      <w:b/>
                      <w:color w:val="000000"/>
                      <w:kern w:val="0"/>
                      <w:highlight w:val="none"/>
                    </w:rPr>
                  </w:pPr>
                  <w:r>
                    <w:rPr>
                      <w:rFonts w:ascii="Times New Roman" w:hAnsi="Times New Roman" w:cs="Times New Roman" w:eastAsiaTheme="minorEastAsia"/>
                      <w:b/>
                      <w:color w:val="000000"/>
                      <w:kern w:val="0"/>
                      <w:highlight w:val="none"/>
                    </w:rPr>
                    <w:t>污染物指标</w:t>
                  </w:r>
                </w:p>
              </w:tc>
              <w:tc>
                <w:tcPr>
                  <w:tcW w:w="1838" w:type="dxa"/>
                  <w:vAlign w:val="center"/>
                </w:tcPr>
                <w:p w14:paraId="6861D201">
                  <w:pPr>
                    <w:pStyle w:val="19"/>
                    <w:adjustRightInd w:val="0"/>
                    <w:snapToGrid w:val="0"/>
                    <w:jc w:val="center"/>
                    <w:rPr>
                      <w:rFonts w:ascii="Times New Roman" w:hAnsi="Times New Roman" w:cs="Times New Roman" w:eastAsiaTheme="minorEastAsia"/>
                      <w:b/>
                      <w:color w:val="000000"/>
                      <w:kern w:val="0"/>
                      <w:highlight w:val="none"/>
                    </w:rPr>
                  </w:pPr>
                  <w:r>
                    <w:rPr>
                      <w:rFonts w:ascii="Times New Roman" w:hAnsi="Times New Roman" w:cs="Times New Roman" w:eastAsiaTheme="minorEastAsia"/>
                      <w:b/>
                      <w:color w:val="000000"/>
                      <w:kern w:val="0"/>
                      <w:highlight w:val="none"/>
                    </w:rPr>
                    <w:t>单位</w:t>
                  </w:r>
                </w:p>
              </w:tc>
              <w:tc>
                <w:tcPr>
                  <w:tcW w:w="1118" w:type="dxa"/>
                  <w:vAlign w:val="center"/>
                </w:tcPr>
                <w:p w14:paraId="00F48C09">
                  <w:pPr>
                    <w:pStyle w:val="19"/>
                    <w:adjustRightInd w:val="0"/>
                    <w:snapToGrid w:val="0"/>
                    <w:jc w:val="center"/>
                    <w:rPr>
                      <w:rFonts w:ascii="Times New Roman" w:hAnsi="Times New Roman" w:cs="Times New Roman" w:eastAsiaTheme="minorEastAsia"/>
                      <w:b/>
                      <w:color w:val="000000"/>
                      <w:kern w:val="0"/>
                      <w:highlight w:val="none"/>
                    </w:rPr>
                  </w:pPr>
                  <w:r>
                    <w:rPr>
                      <w:rFonts w:ascii="Times New Roman" w:hAnsi="Times New Roman" w:cs="Times New Roman" w:eastAsiaTheme="minorEastAsia"/>
                      <w:b/>
                      <w:color w:val="000000"/>
                      <w:kern w:val="0"/>
                      <w:highlight w:val="none"/>
                    </w:rPr>
                    <w:t>产污系数</w:t>
                  </w:r>
                </w:p>
              </w:tc>
            </w:tr>
            <w:tr w14:paraId="01A5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2" w:type="dxa"/>
                  <w:vMerge w:val="restart"/>
                  <w:vAlign w:val="center"/>
                </w:tcPr>
                <w:p w14:paraId="605CBCEA">
                  <w:pPr>
                    <w:pStyle w:val="19"/>
                    <w:adjustRightInd w:val="0"/>
                    <w:snapToGrid w:val="0"/>
                    <w:jc w:val="center"/>
                    <w:rPr>
                      <w:rFonts w:ascii="Times New Roman" w:hAnsi="Times New Roman" w:cs="Times New Roman" w:eastAsiaTheme="minorEastAsia"/>
                      <w:highlight w:val="none"/>
                    </w:rPr>
                  </w:pPr>
                  <w:r>
                    <w:rPr>
                      <w:rFonts w:ascii="Times New Roman" w:hAnsi="Times New Roman" w:cs="Times New Roman" w:eastAsiaTheme="minorEastAsia"/>
                      <w:highlight w:val="none"/>
                    </w:rPr>
                    <w:t>蒸汽/热水/其他</w:t>
                  </w:r>
                </w:p>
              </w:tc>
              <w:tc>
                <w:tcPr>
                  <w:tcW w:w="1097" w:type="dxa"/>
                  <w:vMerge w:val="restart"/>
                  <w:vAlign w:val="center"/>
                </w:tcPr>
                <w:p w14:paraId="59DC048C">
                  <w:pPr>
                    <w:pStyle w:val="19"/>
                    <w:adjustRightInd w:val="0"/>
                    <w:snapToGrid w:val="0"/>
                    <w:jc w:val="center"/>
                    <w:rPr>
                      <w:rFonts w:hint="eastAsia" w:ascii="Times New Roman" w:hAnsi="Times New Roman" w:cs="Times New Roman" w:eastAsiaTheme="minorEastAsia"/>
                      <w:color w:val="000000"/>
                      <w:kern w:val="0"/>
                      <w:highlight w:val="none"/>
                      <w:lang w:eastAsia="zh-CN"/>
                    </w:rPr>
                  </w:pPr>
                  <w:r>
                    <w:rPr>
                      <w:rFonts w:hint="eastAsia" w:ascii="Times New Roman" w:hAnsi="Times New Roman" w:cs="Times New Roman" w:eastAsiaTheme="minorEastAsia"/>
                      <w:color w:val="000000"/>
                      <w:kern w:val="0"/>
                      <w:highlight w:val="none"/>
                      <w:lang w:eastAsia="zh-CN"/>
                    </w:rPr>
                    <w:t>生物质燃料</w:t>
                  </w:r>
                </w:p>
              </w:tc>
              <w:tc>
                <w:tcPr>
                  <w:tcW w:w="1115" w:type="dxa"/>
                  <w:vMerge w:val="restart"/>
                  <w:vAlign w:val="center"/>
                </w:tcPr>
                <w:p w14:paraId="5C4AC82D">
                  <w:pPr>
                    <w:pStyle w:val="19"/>
                    <w:adjustRightInd w:val="0"/>
                    <w:snapToGrid w:val="0"/>
                    <w:jc w:val="center"/>
                    <w:rPr>
                      <w:rFonts w:hint="default" w:ascii="Times New Roman" w:hAnsi="Times New Roman" w:cs="Times New Roman" w:eastAsiaTheme="minorEastAsia"/>
                      <w:color w:val="000000"/>
                      <w:kern w:val="0"/>
                      <w:highlight w:val="none"/>
                      <w:lang w:val="en-US" w:eastAsia="zh-CN"/>
                    </w:rPr>
                  </w:pPr>
                  <w:r>
                    <w:rPr>
                      <w:rFonts w:ascii="Times New Roman" w:hAnsi="Times New Roman" w:cs="Times New Roman" w:eastAsiaTheme="minorEastAsia"/>
                      <w:color w:val="000000"/>
                      <w:kern w:val="0"/>
                      <w:highlight w:val="none"/>
                    </w:rPr>
                    <w:t>层燃炉</w:t>
                  </w:r>
                </w:p>
              </w:tc>
              <w:tc>
                <w:tcPr>
                  <w:tcW w:w="1106" w:type="dxa"/>
                  <w:vMerge w:val="restart"/>
                  <w:vAlign w:val="center"/>
                </w:tcPr>
                <w:p w14:paraId="4657876B">
                  <w:pPr>
                    <w:pStyle w:val="19"/>
                    <w:adjustRightInd w:val="0"/>
                    <w:snapToGrid w:val="0"/>
                    <w:jc w:val="center"/>
                    <w:rPr>
                      <w:rFonts w:hint="eastAsia" w:ascii="Times New Roman" w:hAnsi="Times New Roman" w:cs="Times New Roman" w:eastAsiaTheme="minorEastAsia"/>
                      <w:color w:val="000000"/>
                      <w:kern w:val="0"/>
                      <w:highlight w:val="none"/>
                      <w:lang w:val="en-US" w:eastAsia="zh-CN"/>
                    </w:rPr>
                  </w:pPr>
                  <w:r>
                    <w:rPr>
                      <w:rFonts w:ascii="Times New Roman" w:hAnsi="Times New Roman" w:cs="Times New Roman" w:eastAsiaTheme="minorEastAsia"/>
                      <w:color w:val="000000"/>
                      <w:kern w:val="0"/>
                      <w:highlight w:val="none"/>
                    </w:rPr>
                    <w:t>所有</w:t>
                  </w:r>
                  <w:r>
                    <w:rPr>
                      <w:rFonts w:hint="eastAsia" w:ascii="Times New Roman" w:hAnsi="Times New Roman" w:cs="Times New Roman" w:eastAsiaTheme="minorEastAsia"/>
                      <w:color w:val="000000"/>
                      <w:kern w:val="0"/>
                      <w:highlight w:val="none"/>
                      <w:lang w:val="en-US" w:eastAsia="zh-CN"/>
                    </w:rPr>
                    <w:t>规模</w:t>
                  </w:r>
                </w:p>
              </w:tc>
              <w:tc>
                <w:tcPr>
                  <w:tcW w:w="1294" w:type="dxa"/>
                  <w:vAlign w:val="center"/>
                </w:tcPr>
                <w:p w14:paraId="2B1FC7A5">
                  <w:pPr>
                    <w:pStyle w:val="19"/>
                    <w:adjustRightInd w:val="0"/>
                    <w:snapToGrid w:val="0"/>
                    <w:jc w:val="center"/>
                    <w:rPr>
                      <w:rFonts w:hint="default" w:ascii="Times New Roman" w:hAnsi="Times New Roman" w:cs="Times New Roman" w:eastAsiaTheme="minorEastAsia"/>
                      <w:color w:val="000000"/>
                      <w:kern w:val="0"/>
                      <w:highlight w:val="none"/>
                      <w:lang w:val="en-US" w:eastAsia="zh-CN"/>
                    </w:rPr>
                  </w:pPr>
                  <w:r>
                    <w:rPr>
                      <w:rFonts w:hint="eastAsia" w:ascii="Times New Roman" w:hAnsi="Times New Roman" w:cs="Times New Roman" w:eastAsiaTheme="minorEastAsia"/>
                      <w:color w:val="000000"/>
                      <w:kern w:val="0"/>
                      <w:highlight w:val="none"/>
                      <w:lang w:val="en-US" w:eastAsia="zh-CN"/>
                    </w:rPr>
                    <w:t>废气量</w:t>
                  </w:r>
                </w:p>
              </w:tc>
              <w:tc>
                <w:tcPr>
                  <w:tcW w:w="1838" w:type="dxa"/>
                  <w:vAlign w:val="center"/>
                </w:tcPr>
                <w:p w14:paraId="6185118E">
                  <w:pPr>
                    <w:pStyle w:val="115"/>
                    <w:ind w:left="-2" w:leftChars="0"/>
                    <w:rPr>
                      <w:rFonts w:hint="default" w:ascii="Times New Roman" w:hAnsi="Times New Roman" w:eastAsiaTheme="minorEastAsia"/>
                      <w:kern w:val="2"/>
                      <w:szCs w:val="21"/>
                      <w:highlight w:val="none"/>
                      <w:lang w:val="en-US" w:eastAsia="zh-CN"/>
                    </w:rPr>
                  </w:pPr>
                  <w:r>
                    <w:rPr>
                      <w:rFonts w:hint="eastAsia" w:ascii="Times New Roman" w:hAnsi="Times New Roman" w:eastAsiaTheme="minorEastAsia"/>
                      <w:kern w:val="2"/>
                      <w:szCs w:val="21"/>
                      <w:highlight w:val="none"/>
                      <w:lang w:val="en-US" w:eastAsia="zh-CN"/>
                    </w:rPr>
                    <w:t>标立方米/吨-原料</w:t>
                  </w:r>
                </w:p>
              </w:tc>
              <w:tc>
                <w:tcPr>
                  <w:tcW w:w="1118" w:type="dxa"/>
                  <w:vAlign w:val="center"/>
                </w:tcPr>
                <w:p w14:paraId="33000A95">
                  <w:pPr>
                    <w:pStyle w:val="115"/>
                    <w:ind w:left="-2" w:leftChars="0"/>
                    <w:rPr>
                      <w:rFonts w:hint="default" w:ascii="Times New Roman" w:hAnsi="Times New Roman" w:eastAsiaTheme="minorEastAsia"/>
                      <w:szCs w:val="21"/>
                      <w:highlight w:val="none"/>
                      <w:lang w:val="en-US" w:eastAsia="zh-CN"/>
                    </w:rPr>
                  </w:pPr>
                  <w:r>
                    <w:rPr>
                      <w:rFonts w:hint="eastAsia" w:ascii="Times New Roman" w:hAnsi="Times New Roman" w:eastAsiaTheme="minorEastAsia"/>
                      <w:szCs w:val="21"/>
                      <w:highlight w:val="none"/>
                      <w:lang w:val="en-US" w:eastAsia="zh-CN"/>
                    </w:rPr>
                    <w:t>6240</w:t>
                  </w:r>
                </w:p>
              </w:tc>
            </w:tr>
            <w:tr w14:paraId="75B4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2" w:type="dxa"/>
                  <w:vMerge w:val="continue"/>
                  <w:vAlign w:val="center"/>
                </w:tcPr>
                <w:p w14:paraId="45F2B240">
                  <w:pPr>
                    <w:pStyle w:val="19"/>
                    <w:adjustRightInd w:val="0"/>
                    <w:snapToGrid w:val="0"/>
                    <w:jc w:val="center"/>
                    <w:rPr>
                      <w:rFonts w:ascii="Times New Roman" w:hAnsi="Times New Roman" w:cs="Times New Roman" w:eastAsiaTheme="minorEastAsia"/>
                      <w:highlight w:val="none"/>
                    </w:rPr>
                  </w:pPr>
                </w:p>
              </w:tc>
              <w:tc>
                <w:tcPr>
                  <w:tcW w:w="1097" w:type="dxa"/>
                  <w:vMerge w:val="continue"/>
                  <w:vAlign w:val="center"/>
                </w:tcPr>
                <w:p w14:paraId="66611287">
                  <w:pPr>
                    <w:pStyle w:val="19"/>
                    <w:adjustRightInd w:val="0"/>
                    <w:snapToGrid w:val="0"/>
                    <w:jc w:val="center"/>
                    <w:rPr>
                      <w:rFonts w:hint="eastAsia" w:ascii="Times New Roman" w:hAnsi="Times New Roman" w:cs="Times New Roman" w:eastAsiaTheme="minorEastAsia"/>
                      <w:color w:val="000000"/>
                      <w:kern w:val="0"/>
                      <w:highlight w:val="none"/>
                      <w:lang w:eastAsia="zh-CN"/>
                    </w:rPr>
                  </w:pPr>
                </w:p>
              </w:tc>
              <w:tc>
                <w:tcPr>
                  <w:tcW w:w="1115" w:type="dxa"/>
                  <w:vMerge w:val="continue"/>
                  <w:vAlign w:val="center"/>
                </w:tcPr>
                <w:p w14:paraId="28AE458C">
                  <w:pPr>
                    <w:pStyle w:val="19"/>
                    <w:adjustRightInd w:val="0"/>
                    <w:snapToGrid w:val="0"/>
                    <w:jc w:val="center"/>
                    <w:rPr>
                      <w:rFonts w:ascii="Times New Roman" w:hAnsi="Times New Roman" w:cs="Times New Roman" w:eastAsiaTheme="minorEastAsia"/>
                      <w:color w:val="000000"/>
                      <w:kern w:val="0"/>
                      <w:highlight w:val="none"/>
                    </w:rPr>
                  </w:pPr>
                </w:p>
              </w:tc>
              <w:tc>
                <w:tcPr>
                  <w:tcW w:w="1106" w:type="dxa"/>
                  <w:vMerge w:val="continue"/>
                  <w:vAlign w:val="center"/>
                </w:tcPr>
                <w:p w14:paraId="2EDEBCC5">
                  <w:pPr>
                    <w:pStyle w:val="19"/>
                    <w:adjustRightInd w:val="0"/>
                    <w:snapToGrid w:val="0"/>
                    <w:jc w:val="center"/>
                    <w:rPr>
                      <w:rFonts w:ascii="Times New Roman" w:hAnsi="Times New Roman" w:cs="Times New Roman" w:eastAsiaTheme="minorEastAsia"/>
                      <w:color w:val="000000"/>
                      <w:kern w:val="0"/>
                      <w:highlight w:val="none"/>
                    </w:rPr>
                  </w:pPr>
                </w:p>
              </w:tc>
              <w:tc>
                <w:tcPr>
                  <w:tcW w:w="1294" w:type="dxa"/>
                  <w:shd w:val="clear" w:color="auto" w:fill="auto"/>
                  <w:vAlign w:val="center"/>
                </w:tcPr>
                <w:p w14:paraId="50EB314A">
                  <w:pPr>
                    <w:pStyle w:val="19"/>
                    <w:adjustRightInd w:val="0"/>
                    <w:snapToGrid w:val="0"/>
                    <w:jc w:val="center"/>
                    <w:rPr>
                      <w:rFonts w:hint="eastAsia" w:ascii="Times New Roman" w:hAnsi="Times New Roman" w:cs="Times New Roman" w:eastAsiaTheme="minorEastAsia"/>
                      <w:color w:val="000000"/>
                      <w:kern w:val="0"/>
                      <w:sz w:val="21"/>
                      <w:szCs w:val="21"/>
                      <w:highlight w:val="none"/>
                      <w:lang w:val="en-US" w:eastAsia="zh-CN" w:bidi="ar-SA"/>
                    </w:rPr>
                  </w:pPr>
                  <w:r>
                    <w:rPr>
                      <w:rFonts w:hint="eastAsia" w:ascii="Times New Roman" w:hAnsi="Times New Roman" w:cs="Times New Roman" w:eastAsiaTheme="minorEastAsia"/>
                      <w:color w:val="000000"/>
                      <w:kern w:val="0"/>
                      <w:highlight w:val="none"/>
                      <w:lang w:val="en-US" w:eastAsia="zh-CN"/>
                    </w:rPr>
                    <w:t>颗粒物</w:t>
                  </w:r>
                </w:p>
              </w:tc>
              <w:tc>
                <w:tcPr>
                  <w:tcW w:w="1838" w:type="dxa"/>
                  <w:shd w:val="clear" w:color="auto" w:fill="auto"/>
                  <w:vAlign w:val="center"/>
                </w:tcPr>
                <w:p w14:paraId="5C94D209">
                  <w:pPr>
                    <w:pStyle w:val="115"/>
                    <w:ind w:left="-2" w:leftChars="0"/>
                    <w:rPr>
                      <w:rFonts w:ascii="Times New Roman" w:hAnsi="Times New Roman" w:cs="Times New Roman" w:eastAsiaTheme="minorEastAsia"/>
                      <w:kern w:val="2"/>
                      <w:sz w:val="21"/>
                      <w:szCs w:val="21"/>
                      <w:highlight w:val="none"/>
                      <w:lang w:val="en-US" w:eastAsia="zh-CN" w:bidi="ar-SA"/>
                    </w:rPr>
                  </w:pPr>
                  <w:r>
                    <w:rPr>
                      <w:rFonts w:ascii="Times New Roman" w:hAnsi="Times New Roman" w:eastAsiaTheme="minorEastAsia"/>
                      <w:szCs w:val="21"/>
                      <w:highlight w:val="none"/>
                    </w:rPr>
                    <w:t>千克/吨-原料</w:t>
                  </w:r>
                </w:p>
              </w:tc>
              <w:tc>
                <w:tcPr>
                  <w:tcW w:w="1118" w:type="dxa"/>
                  <w:shd w:val="clear" w:color="auto" w:fill="auto"/>
                  <w:vAlign w:val="center"/>
                </w:tcPr>
                <w:p w14:paraId="7DB840DA">
                  <w:pPr>
                    <w:pStyle w:val="115"/>
                    <w:ind w:left="-2" w:leftChars="0"/>
                    <w:rPr>
                      <w:rFonts w:hint="default" w:ascii="Times New Roman" w:hAnsi="Times New Roman" w:cs="Times New Roman" w:eastAsiaTheme="minorEastAsia"/>
                      <w:kern w:val="0"/>
                      <w:sz w:val="21"/>
                      <w:szCs w:val="21"/>
                      <w:highlight w:val="none"/>
                      <w:lang w:val="en-US" w:eastAsia="zh-CN" w:bidi="ar-SA"/>
                    </w:rPr>
                  </w:pPr>
                  <w:r>
                    <w:rPr>
                      <w:rFonts w:hint="eastAsia" w:ascii="Times New Roman" w:hAnsi="Times New Roman" w:eastAsiaTheme="minorEastAsia"/>
                      <w:szCs w:val="21"/>
                      <w:highlight w:val="none"/>
                      <w:lang w:val="en-US" w:eastAsia="zh-CN"/>
                    </w:rPr>
                    <w:t>0.5</w:t>
                  </w:r>
                </w:p>
              </w:tc>
            </w:tr>
            <w:tr w14:paraId="39BD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2" w:type="dxa"/>
                  <w:vMerge w:val="continue"/>
                  <w:vAlign w:val="center"/>
                </w:tcPr>
                <w:p w14:paraId="56082F3A">
                  <w:pPr>
                    <w:pStyle w:val="19"/>
                    <w:adjustRightInd w:val="0"/>
                    <w:snapToGrid w:val="0"/>
                    <w:jc w:val="center"/>
                    <w:rPr>
                      <w:rFonts w:ascii="Times New Roman" w:hAnsi="Times New Roman" w:cs="Times New Roman" w:eastAsiaTheme="minorEastAsia"/>
                      <w:color w:val="000000"/>
                      <w:kern w:val="0"/>
                      <w:highlight w:val="none"/>
                    </w:rPr>
                  </w:pPr>
                </w:p>
              </w:tc>
              <w:tc>
                <w:tcPr>
                  <w:tcW w:w="1097" w:type="dxa"/>
                  <w:vMerge w:val="continue"/>
                  <w:vAlign w:val="center"/>
                </w:tcPr>
                <w:p w14:paraId="30F07578">
                  <w:pPr>
                    <w:pStyle w:val="19"/>
                    <w:adjustRightInd w:val="0"/>
                    <w:snapToGrid w:val="0"/>
                    <w:jc w:val="center"/>
                    <w:rPr>
                      <w:rFonts w:ascii="Times New Roman" w:hAnsi="Times New Roman" w:cs="Times New Roman" w:eastAsiaTheme="minorEastAsia"/>
                      <w:color w:val="000000"/>
                      <w:kern w:val="0"/>
                      <w:highlight w:val="none"/>
                    </w:rPr>
                  </w:pPr>
                </w:p>
              </w:tc>
              <w:tc>
                <w:tcPr>
                  <w:tcW w:w="1115" w:type="dxa"/>
                  <w:vMerge w:val="continue"/>
                  <w:vAlign w:val="center"/>
                </w:tcPr>
                <w:p w14:paraId="025ED53C">
                  <w:pPr>
                    <w:pStyle w:val="19"/>
                    <w:adjustRightInd w:val="0"/>
                    <w:snapToGrid w:val="0"/>
                    <w:jc w:val="center"/>
                    <w:rPr>
                      <w:rFonts w:ascii="Times New Roman" w:hAnsi="Times New Roman" w:cs="Times New Roman" w:eastAsiaTheme="minorEastAsia"/>
                      <w:color w:val="000000"/>
                      <w:kern w:val="0"/>
                      <w:highlight w:val="none"/>
                    </w:rPr>
                  </w:pPr>
                </w:p>
              </w:tc>
              <w:tc>
                <w:tcPr>
                  <w:tcW w:w="1106" w:type="dxa"/>
                  <w:vMerge w:val="continue"/>
                  <w:vAlign w:val="center"/>
                </w:tcPr>
                <w:p w14:paraId="0B14D6C5">
                  <w:pPr>
                    <w:pStyle w:val="19"/>
                    <w:adjustRightInd w:val="0"/>
                    <w:snapToGrid w:val="0"/>
                    <w:jc w:val="center"/>
                    <w:rPr>
                      <w:rFonts w:ascii="Times New Roman" w:hAnsi="Times New Roman" w:cs="Times New Roman" w:eastAsiaTheme="minorEastAsia"/>
                      <w:color w:val="000000"/>
                      <w:kern w:val="0"/>
                      <w:highlight w:val="none"/>
                    </w:rPr>
                  </w:pPr>
                </w:p>
              </w:tc>
              <w:tc>
                <w:tcPr>
                  <w:tcW w:w="1294" w:type="dxa"/>
                  <w:vAlign w:val="center"/>
                </w:tcPr>
                <w:p w14:paraId="6C393F58">
                  <w:pPr>
                    <w:pStyle w:val="19"/>
                    <w:adjustRightInd w:val="0"/>
                    <w:snapToGrid w:val="0"/>
                    <w:jc w:val="center"/>
                    <w:rPr>
                      <w:rFonts w:ascii="Times New Roman" w:hAnsi="Times New Roman" w:cs="Times New Roman" w:eastAsiaTheme="minorEastAsia"/>
                      <w:color w:val="000000"/>
                      <w:kern w:val="0"/>
                      <w:highlight w:val="none"/>
                    </w:rPr>
                  </w:pPr>
                  <w:r>
                    <w:rPr>
                      <w:rFonts w:ascii="Times New Roman" w:hAnsi="Times New Roman" w:cs="Times New Roman" w:eastAsiaTheme="minorEastAsia"/>
                      <w:color w:val="000000"/>
                      <w:kern w:val="0"/>
                      <w:highlight w:val="none"/>
                    </w:rPr>
                    <w:t>二氧化硫</w:t>
                  </w:r>
                </w:p>
              </w:tc>
              <w:tc>
                <w:tcPr>
                  <w:tcW w:w="1838" w:type="dxa"/>
                  <w:vAlign w:val="center"/>
                </w:tcPr>
                <w:p w14:paraId="47B36D07">
                  <w:pPr>
                    <w:pStyle w:val="115"/>
                    <w:ind w:left="-2" w:leftChars="0"/>
                    <w:rPr>
                      <w:rFonts w:ascii="Times New Roman" w:hAnsi="Times New Roman" w:eastAsiaTheme="minorEastAsia"/>
                      <w:szCs w:val="21"/>
                      <w:highlight w:val="none"/>
                    </w:rPr>
                  </w:pPr>
                  <w:r>
                    <w:rPr>
                      <w:rFonts w:ascii="Times New Roman" w:hAnsi="Times New Roman" w:eastAsiaTheme="minorEastAsia"/>
                      <w:szCs w:val="21"/>
                      <w:highlight w:val="none"/>
                    </w:rPr>
                    <w:t>千克/吨-原料</w:t>
                  </w:r>
                </w:p>
              </w:tc>
              <w:tc>
                <w:tcPr>
                  <w:tcW w:w="1118" w:type="dxa"/>
                  <w:vAlign w:val="center"/>
                </w:tcPr>
                <w:p w14:paraId="20D96368">
                  <w:pPr>
                    <w:pStyle w:val="115"/>
                    <w:ind w:left="-2" w:leftChars="0"/>
                    <w:rPr>
                      <w:rFonts w:ascii="Times New Roman" w:hAnsi="Times New Roman" w:eastAsiaTheme="minorEastAsia"/>
                      <w:szCs w:val="21"/>
                      <w:highlight w:val="none"/>
                    </w:rPr>
                  </w:pPr>
                  <w:r>
                    <w:rPr>
                      <w:rFonts w:ascii="Times New Roman" w:hAnsi="Times New Roman" w:eastAsiaTheme="minorEastAsia"/>
                      <w:szCs w:val="21"/>
                      <w:highlight w:val="none"/>
                    </w:rPr>
                    <w:t>17S</w:t>
                  </w:r>
                </w:p>
              </w:tc>
            </w:tr>
            <w:tr w14:paraId="108E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32" w:type="dxa"/>
                  <w:vMerge w:val="continue"/>
                  <w:vAlign w:val="center"/>
                </w:tcPr>
                <w:p w14:paraId="2D7FE9F7">
                  <w:pPr>
                    <w:widowControl/>
                    <w:adjustRightInd w:val="0"/>
                    <w:snapToGrid w:val="0"/>
                    <w:jc w:val="left"/>
                    <w:rPr>
                      <w:rFonts w:eastAsiaTheme="minorEastAsia"/>
                      <w:color w:val="000000"/>
                      <w:kern w:val="0"/>
                      <w:szCs w:val="21"/>
                      <w:highlight w:val="none"/>
                    </w:rPr>
                  </w:pPr>
                </w:p>
              </w:tc>
              <w:tc>
                <w:tcPr>
                  <w:tcW w:w="1097" w:type="dxa"/>
                  <w:vMerge w:val="continue"/>
                  <w:vAlign w:val="center"/>
                </w:tcPr>
                <w:p w14:paraId="3DC027B8">
                  <w:pPr>
                    <w:widowControl/>
                    <w:adjustRightInd w:val="0"/>
                    <w:snapToGrid w:val="0"/>
                    <w:jc w:val="left"/>
                    <w:rPr>
                      <w:rFonts w:eastAsiaTheme="minorEastAsia"/>
                      <w:color w:val="000000"/>
                      <w:kern w:val="0"/>
                      <w:szCs w:val="21"/>
                      <w:highlight w:val="none"/>
                    </w:rPr>
                  </w:pPr>
                </w:p>
              </w:tc>
              <w:tc>
                <w:tcPr>
                  <w:tcW w:w="1115" w:type="dxa"/>
                  <w:vMerge w:val="continue"/>
                  <w:vAlign w:val="center"/>
                </w:tcPr>
                <w:p w14:paraId="46AE0A3B">
                  <w:pPr>
                    <w:widowControl/>
                    <w:adjustRightInd w:val="0"/>
                    <w:snapToGrid w:val="0"/>
                    <w:jc w:val="left"/>
                    <w:rPr>
                      <w:rFonts w:eastAsiaTheme="minorEastAsia"/>
                      <w:color w:val="000000"/>
                      <w:kern w:val="0"/>
                      <w:szCs w:val="21"/>
                      <w:highlight w:val="none"/>
                    </w:rPr>
                  </w:pPr>
                </w:p>
              </w:tc>
              <w:tc>
                <w:tcPr>
                  <w:tcW w:w="1106" w:type="dxa"/>
                  <w:vMerge w:val="continue"/>
                  <w:vAlign w:val="center"/>
                </w:tcPr>
                <w:p w14:paraId="23488664">
                  <w:pPr>
                    <w:widowControl/>
                    <w:adjustRightInd w:val="0"/>
                    <w:snapToGrid w:val="0"/>
                    <w:jc w:val="left"/>
                    <w:rPr>
                      <w:rFonts w:eastAsiaTheme="minorEastAsia"/>
                      <w:color w:val="000000"/>
                      <w:kern w:val="0"/>
                      <w:szCs w:val="21"/>
                      <w:highlight w:val="none"/>
                    </w:rPr>
                  </w:pPr>
                </w:p>
              </w:tc>
              <w:tc>
                <w:tcPr>
                  <w:tcW w:w="1294" w:type="dxa"/>
                  <w:vAlign w:val="center"/>
                </w:tcPr>
                <w:p w14:paraId="29718DB8">
                  <w:pPr>
                    <w:pStyle w:val="19"/>
                    <w:adjustRightInd w:val="0"/>
                    <w:snapToGrid w:val="0"/>
                    <w:jc w:val="center"/>
                    <w:rPr>
                      <w:rFonts w:ascii="Times New Roman" w:hAnsi="Times New Roman" w:cs="Times New Roman" w:eastAsiaTheme="minorEastAsia"/>
                      <w:color w:val="000000"/>
                      <w:kern w:val="0"/>
                      <w:highlight w:val="none"/>
                    </w:rPr>
                  </w:pPr>
                  <w:r>
                    <w:rPr>
                      <w:rFonts w:ascii="Times New Roman" w:hAnsi="Times New Roman" w:cs="Times New Roman" w:eastAsiaTheme="minorEastAsia"/>
                      <w:color w:val="000000"/>
                      <w:kern w:val="0"/>
                      <w:highlight w:val="none"/>
                    </w:rPr>
                    <w:t>氮氧化物</w:t>
                  </w:r>
                </w:p>
              </w:tc>
              <w:tc>
                <w:tcPr>
                  <w:tcW w:w="1838" w:type="dxa"/>
                  <w:vAlign w:val="center"/>
                </w:tcPr>
                <w:p w14:paraId="551B859A">
                  <w:pPr>
                    <w:pStyle w:val="115"/>
                    <w:ind w:left="-2" w:leftChars="0"/>
                    <w:rPr>
                      <w:rFonts w:ascii="Times New Roman" w:hAnsi="Times New Roman" w:eastAsiaTheme="minorEastAsia"/>
                      <w:szCs w:val="21"/>
                      <w:highlight w:val="none"/>
                    </w:rPr>
                  </w:pPr>
                  <w:r>
                    <w:rPr>
                      <w:rFonts w:ascii="Times New Roman" w:hAnsi="Times New Roman" w:eastAsiaTheme="minorEastAsia"/>
                      <w:szCs w:val="21"/>
                      <w:highlight w:val="none"/>
                    </w:rPr>
                    <w:t>千克/吨-原料</w:t>
                  </w:r>
                </w:p>
              </w:tc>
              <w:tc>
                <w:tcPr>
                  <w:tcW w:w="1118" w:type="dxa"/>
                  <w:vAlign w:val="center"/>
                </w:tcPr>
                <w:p w14:paraId="4BEB9B16">
                  <w:pPr>
                    <w:pStyle w:val="115"/>
                    <w:ind w:left="-2" w:leftChars="0"/>
                    <w:rPr>
                      <w:rFonts w:ascii="Times New Roman" w:hAnsi="Times New Roman" w:eastAsiaTheme="minorEastAsia"/>
                      <w:szCs w:val="21"/>
                      <w:highlight w:val="none"/>
                    </w:rPr>
                  </w:pPr>
                  <w:r>
                    <w:rPr>
                      <w:rFonts w:ascii="Times New Roman" w:hAnsi="Times New Roman" w:eastAsiaTheme="minorEastAsia"/>
                      <w:szCs w:val="21"/>
                      <w:highlight w:val="none"/>
                    </w:rPr>
                    <w:t>1.02</w:t>
                  </w:r>
                </w:p>
              </w:tc>
            </w:tr>
            <w:tr w14:paraId="4A4A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700" w:type="dxa"/>
                  <w:gridSpan w:val="7"/>
                  <w:vAlign w:val="center"/>
                </w:tcPr>
                <w:p w14:paraId="2DDC18C3">
                  <w:pPr>
                    <w:pStyle w:val="171"/>
                    <w:rPr>
                      <w:rFonts w:ascii="Times New Roman" w:hAnsi="Times New Roman" w:cs="Times New Roman" w:eastAsiaTheme="minorEastAsia"/>
                      <w:highlight w:val="none"/>
                    </w:rPr>
                  </w:pPr>
                  <w:r>
                    <w:rPr>
                      <w:rFonts w:ascii="Times New Roman" w:hAnsi="Times New Roman" w:cs="Times New Roman" w:eastAsiaTheme="minorEastAsia"/>
                      <w:b/>
                      <w:bCs/>
                      <w:highlight w:val="none"/>
                    </w:rPr>
                    <w:t>注：</w:t>
                  </w:r>
                  <w:r>
                    <w:rPr>
                      <w:rFonts w:hint="default" w:ascii="Times New Roman" w:hAnsi="Times New Roman" w:eastAsia="宋体" w:cs="Times New Roman"/>
                      <w:sz w:val="21"/>
                      <w:szCs w:val="21"/>
                      <w:highlight w:val="none"/>
                    </w:rPr>
                    <w:t>二氧化硫的产排污系数是以含硫量（S％）的形式表示的，其中含硫量（S％）是指生物质收到基硫分含量，以质量百分数的形式表示。生物质中含硫量（S％）为0.</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％，则S=0.</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。本项目使用的生物质</w:t>
                  </w:r>
                  <w:r>
                    <w:rPr>
                      <w:rFonts w:hint="eastAsia" w:ascii="Times New Roman" w:hAnsi="Times New Roman" w:cs="Times New Roman"/>
                      <w:sz w:val="21"/>
                      <w:szCs w:val="21"/>
                      <w:highlight w:val="none"/>
                      <w:lang w:eastAsia="zh-CN"/>
                    </w:rPr>
                    <w:t>成型燃料</w:t>
                  </w:r>
                  <w:r>
                    <w:rPr>
                      <w:rFonts w:hint="default" w:ascii="Times New Roman" w:hAnsi="Times New Roman" w:eastAsia="宋体" w:cs="Times New Roman"/>
                      <w:sz w:val="21"/>
                      <w:szCs w:val="21"/>
                      <w:highlight w:val="none"/>
                    </w:rPr>
                    <w:t>的含硫量（S％）取0.</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％，则S=0.</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w:t>
                  </w:r>
                </w:p>
              </w:tc>
            </w:tr>
          </w:tbl>
          <w:p w14:paraId="0913F8B2">
            <w:pPr>
              <w:spacing w:before="120" w:beforeLines="50" w:line="360" w:lineRule="auto"/>
              <w:ind w:firstLine="480" w:firstLineChars="200"/>
              <w:rPr>
                <w:rFonts w:hint="eastAsia"/>
                <w:highlight w:val="none"/>
                <w:lang w:eastAsia="zh-CN"/>
              </w:rPr>
            </w:pPr>
            <w:r>
              <w:rPr>
                <w:rFonts w:hint="default" w:ascii="Times New Roman" w:hAnsi="Times New Roman" w:eastAsia="宋体" w:cs="Times New Roman"/>
                <w:sz w:val="24"/>
                <w:highlight w:val="none"/>
              </w:rPr>
              <w:t>根据上述计算得烘干工序燃料燃烧废气的</w:t>
            </w:r>
            <w:r>
              <w:rPr>
                <w:rFonts w:hint="eastAsia" w:cs="Times New Roman"/>
                <w:sz w:val="24"/>
                <w:highlight w:val="none"/>
                <w:lang w:val="en-US" w:eastAsia="zh-CN"/>
              </w:rPr>
              <w:t>废气产生量为187.2万m</w:t>
            </w:r>
            <w:r>
              <w:rPr>
                <w:rFonts w:hint="eastAsia" w:cs="Times New Roman"/>
                <w:sz w:val="24"/>
                <w:highlight w:val="none"/>
                <w:vertAlign w:val="superscript"/>
                <w:lang w:val="en-US" w:eastAsia="zh-CN"/>
              </w:rPr>
              <w:t>3</w:t>
            </w:r>
            <w:r>
              <w:rPr>
                <w:rFonts w:hint="eastAsia" w:cs="Times New Roman"/>
                <w:sz w:val="24"/>
                <w:highlight w:val="none"/>
                <w:lang w:val="en-US" w:eastAsia="zh-CN"/>
              </w:rPr>
              <w:t>/a，</w:t>
            </w:r>
            <w:r>
              <w:rPr>
                <w:rFonts w:hint="eastAsia" w:ascii="Times New Roman" w:hAnsi="Times New Roman" w:eastAsia="宋体" w:cs="Times New Roman"/>
                <w:sz w:val="24"/>
                <w:highlight w:val="none"/>
                <w:lang w:val="en-US" w:eastAsia="zh-CN"/>
              </w:rPr>
              <w:t>烟尘</w:t>
            </w:r>
            <w:r>
              <w:rPr>
                <w:rFonts w:hint="eastAsia" w:cs="Times New Roman"/>
                <w:sz w:val="24"/>
                <w:highlight w:val="none"/>
                <w:lang w:val="en-US" w:eastAsia="zh-CN"/>
              </w:rPr>
              <w:t>（主要为颗粒物）</w:t>
            </w:r>
            <w:r>
              <w:rPr>
                <w:rFonts w:hint="default" w:ascii="Times New Roman" w:hAnsi="Times New Roman" w:eastAsia="宋体" w:cs="Times New Roman"/>
                <w:sz w:val="24"/>
                <w:highlight w:val="none"/>
              </w:rPr>
              <w:t>产生量为</w:t>
            </w:r>
            <w:r>
              <w:rPr>
                <w:rFonts w:hint="eastAsia" w:cs="Times New Roman"/>
                <w:sz w:val="24"/>
                <w:highlight w:val="none"/>
                <w:lang w:val="en-US" w:eastAsia="zh-CN"/>
              </w:rPr>
              <w:t>0.15</w:t>
            </w:r>
            <w:r>
              <w:rPr>
                <w:rFonts w:hint="default" w:ascii="Times New Roman" w:hAnsi="Times New Roman" w:eastAsia="宋体" w:cs="Times New Roman"/>
                <w:sz w:val="24"/>
                <w:highlight w:val="none"/>
              </w:rPr>
              <w:t>t/a，SO</w:t>
            </w:r>
            <w:r>
              <w:rPr>
                <w:rFonts w:hint="default" w:ascii="Times New Roman" w:hAnsi="Times New Roman" w:eastAsia="宋体" w:cs="Times New Roman"/>
                <w:sz w:val="24"/>
                <w:highlight w:val="none"/>
                <w:vertAlign w:val="subscript"/>
              </w:rPr>
              <w:t>2</w:t>
            </w:r>
            <w:r>
              <w:rPr>
                <w:rFonts w:hint="default" w:ascii="Times New Roman" w:hAnsi="Times New Roman" w:eastAsia="宋体" w:cs="Times New Roman"/>
                <w:sz w:val="24"/>
                <w:highlight w:val="none"/>
              </w:rPr>
              <w:t>产生量为</w:t>
            </w:r>
            <w:r>
              <w:rPr>
                <w:rFonts w:hint="eastAsia" w:cs="Times New Roman"/>
                <w:sz w:val="24"/>
                <w:highlight w:val="none"/>
                <w:lang w:val="en-US" w:eastAsia="zh-CN"/>
              </w:rPr>
              <w:t>0.26</w:t>
            </w:r>
            <w:r>
              <w:rPr>
                <w:rFonts w:hint="default" w:ascii="Times New Roman" w:hAnsi="Times New Roman" w:eastAsia="宋体" w:cs="Times New Roman"/>
                <w:sz w:val="24"/>
                <w:highlight w:val="none"/>
              </w:rPr>
              <w:t>t/a，NOx产生量为</w:t>
            </w:r>
            <w:r>
              <w:rPr>
                <w:rFonts w:hint="eastAsia" w:cs="Times New Roman"/>
                <w:sz w:val="24"/>
                <w:highlight w:val="none"/>
                <w:lang w:val="en-US" w:eastAsia="zh-CN"/>
              </w:rPr>
              <w:t>0.31</w:t>
            </w:r>
            <w:r>
              <w:rPr>
                <w:rFonts w:hint="default" w:ascii="Times New Roman" w:hAnsi="Times New Roman" w:eastAsia="宋体" w:cs="Times New Roman"/>
                <w:sz w:val="24"/>
                <w:highlight w:val="none"/>
              </w:rPr>
              <w:t>t/a。这部分废气由管道收集引至</w:t>
            </w:r>
            <w:r>
              <w:rPr>
                <w:rFonts w:hint="eastAsia" w:cs="Times New Roman"/>
                <w:sz w:val="24"/>
                <w:highlight w:val="none"/>
                <w:lang w:val="en-US" w:eastAsia="zh-CN"/>
              </w:rPr>
              <w:t>旋风除尘器+喷淋除尘脱硫塔</w:t>
            </w:r>
            <w:r>
              <w:rPr>
                <w:rFonts w:hint="default" w:ascii="Times New Roman" w:hAnsi="Times New Roman" w:eastAsia="宋体" w:cs="Times New Roman"/>
                <w:sz w:val="24"/>
                <w:highlight w:val="none"/>
              </w:rPr>
              <w:t>处理达标后，通过厂区1</w:t>
            </w:r>
            <w:r>
              <w:rPr>
                <w:rFonts w:hint="default"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m高排气筒</w:t>
            </w:r>
            <w:r>
              <w:rPr>
                <w:rFonts w:hint="default" w:ascii="Times New Roman" w:hAnsi="Times New Roman" w:eastAsia="宋体" w:cs="Times New Roman"/>
                <w:sz w:val="24"/>
                <w:highlight w:val="none"/>
                <w:lang w:eastAsia="zh-CN"/>
              </w:rPr>
              <w:t>（</w:t>
            </w:r>
            <w:r>
              <w:rPr>
                <w:rFonts w:hint="eastAsia" w:cs="Times New Roman"/>
                <w:sz w:val="24"/>
                <w:highlight w:val="none"/>
                <w:lang w:val="en-US" w:eastAsia="zh-CN"/>
              </w:rPr>
              <w:t>DA002</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lang w:val="en-US" w:eastAsia="zh-CN"/>
              </w:rPr>
              <w:t>排放</w:t>
            </w:r>
            <w:r>
              <w:rPr>
                <w:rFonts w:hint="default" w:ascii="Times New Roman" w:hAnsi="Times New Roman" w:eastAsia="宋体" w:cs="Times New Roman"/>
                <w:sz w:val="24"/>
                <w:highlight w:val="none"/>
              </w:rPr>
              <w:t>，</w:t>
            </w:r>
            <w:r>
              <w:rPr>
                <w:rFonts w:ascii="Times New Roman" w:hAnsi="Times New Roman" w:cs="Times New Roman"/>
                <w:color w:val="auto"/>
                <w:sz w:val="24"/>
                <w:szCs w:val="24"/>
                <w:highlight w:val="none"/>
                <w:lang w:bidi="ar"/>
              </w:rPr>
              <w:t>引风机风量为</w:t>
            </w:r>
            <w:r>
              <w:rPr>
                <w:rFonts w:hint="eastAsia" w:cs="Times New Roman"/>
                <w:color w:val="auto"/>
                <w:sz w:val="24"/>
                <w:szCs w:val="24"/>
                <w:highlight w:val="none"/>
                <w:lang w:val="en-US" w:eastAsia="zh-CN" w:bidi="ar"/>
              </w:rPr>
              <w:t>35</w:t>
            </w:r>
            <w:r>
              <w:rPr>
                <w:rFonts w:ascii="Times New Roman" w:hAnsi="Times New Roman" w:cs="Times New Roman"/>
                <w:color w:val="auto"/>
                <w:sz w:val="24"/>
                <w:szCs w:val="24"/>
                <w:highlight w:val="none"/>
                <w:lang w:bidi="ar"/>
              </w:rPr>
              <w:t>000m³/h</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sz w:val="24"/>
                <w:highlight w:val="none"/>
              </w:rPr>
              <w:t>综合除尘效率为9</w:t>
            </w:r>
            <w:r>
              <w:rPr>
                <w:rFonts w:hint="eastAsia" w:cs="Times New Roman"/>
                <w:sz w:val="24"/>
                <w:highlight w:val="none"/>
                <w:lang w:val="en-US" w:eastAsia="zh-CN"/>
              </w:rPr>
              <w:t>5</w:t>
            </w:r>
            <w:r>
              <w:rPr>
                <w:rFonts w:hint="default" w:ascii="Times New Roman" w:hAnsi="Times New Roman" w:eastAsia="宋体" w:cs="Times New Roman"/>
                <w:sz w:val="24"/>
                <w:highlight w:val="none"/>
              </w:rPr>
              <w:t>%</w:t>
            </w:r>
            <w:r>
              <w:rPr>
                <w:rFonts w:hint="eastAsia" w:cs="Times New Roman"/>
                <w:sz w:val="24"/>
                <w:highlight w:val="none"/>
                <w:lang w:eastAsia="zh-CN"/>
              </w:rPr>
              <w:t>，</w:t>
            </w:r>
            <w:r>
              <w:rPr>
                <w:rFonts w:hint="default" w:ascii="Times New Roman" w:hAnsi="Times New Roman" w:eastAsia="宋体" w:cs="Times New Roman"/>
                <w:sz w:val="24"/>
                <w:highlight w:val="none"/>
              </w:rPr>
              <w:t>脱硫效率为50%</w:t>
            </w:r>
            <w:r>
              <w:rPr>
                <w:rFonts w:hint="eastAsia" w:cs="Times New Roman"/>
                <w:sz w:val="24"/>
                <w:highlight w:val="none"/>
                <w:lang w:eastAsia="zh-CN"/>
              </w:rPr>
              <w:t>。</w:t>
            </w:r>
          </w:p>
          <w:p w14:paraId="75A501E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Calibri" w:hAnsi="Calibri" w:cs="Calibri"/>
                <w:b/>
                <w:bCs/>
                <w:sz w:val="24"/>
                <w:highlight w:val="none"/>
                <w:lang w:eastAsia="zh-CN"/>
              </w:rPr>
            </w:pPr>
            <w:r>
              <w:rPr>
                <w:rFonts w:hint="default" w:ascii="Times New Roman" w:hAnsi="Times New Roman" w:cs="Times New Roman"/>
                <w:b/>
                <w:bCs/>
                <w:sz w:val="24"/>
                <w:highlight w:val="none"/>
                <w:lang w:eastAsia="zh-CN"/>
              </w:rPr>
              <w:t>②烘</w:t>
            </w:r>
            <w:r>
              <w:rPr>
                <w:rFonts w:hint="eastAsia" w:ascii="Calibri" w:hAnsi="Calibri" w:cs="Calibri"/>
                <w:b/>
                <w:bCs/>
                <w:sz w:val="24"/>
                <w:highlight w:val="none"/>
                <w:lang w:eastAsia="zh-CN"/>
              </w:rPr>
              <w:t>干粉尘</w:t>
            </w:r>
          </w:p>
          <w:p w14:paraId="7FC8129B">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ascii="Calibri" w:hAnsi="Calibri" w:cs="Calibri"/>
                <w:sz w:val="24"/>
                <w:highlight w:val="none"/>
                <w:lang w:eastAsia="zh-CN"/>
              </w:rPr>
            </w:pPr>
            <w:r>
              <w:rPr>
                <w:rFonts w:hint="eastAsia"/>
                <w:spacing w:val="-2"/>
                <w:sz w:val="24"/>
                <w:highlight w:val="none"/>
              </w:rPr>
              <w:t>原料在滚筒烘干机内进行烘干时会产生烘干粉尘，随烘干工序产生的燃料燃烧废气一并进入同一套</w:t>
            </w:r>
            <w:r>
              <w:rPr>
                <w:rFonts w:hint="eastAsia"/>
                <w:spacing w:val="-2"/>
                <w:sz w:val="24"/>
                <w:highlight w:val="none"/>
                <w:lang w:eastAsia="zh-CN"/>
              </w:rPr>
              <w:t>废气治理</w:t>
            </w:r>
            <w:r>
              <w:rPr>
                <w:rFonts w:hint="eastAsia"/>
                <w:spacing w:val="-2"/>
                <w:sz w:val="24"/>
                <w:highlight w:val="none"/>
              </w:rPr>
              <w:t>设备处理。</w:t>
            </w:r>
            <w:r>
              <w:rPr>
                <w:rFonts w:hint="default" w:ascii="Times New Roman" w:hAnsi="Times New Roman" w:eastAsia="宋体" w:cs="Times New Roman"/>
                <w:color w:val="000000"/>
                <w:kern w:val="0"/>
                <w:sz w:val="24"/>
                <w:szCs w:val="24"/>
                <w:highlight w:val="none"/>
                <w:lang w:val="en-US" w:eastAsia="zh-CN" w:bidi="ar"/>
              </w:rPr>
              <w:t>烘干过程产生的粉尘产污系数选用《排放源统计调查产排污核算方法和系数手册》附件中“2542生物质致密成型燃料加工行业系数手册” 中</w:t>
            </w:r>
            <w:r>
              <w:rPr>
                <w:rFonts w:hint="eastAsia" w:ascii="Times New Roman" w:hAnsi="Times New Roman" w:eastAsia="宋体" w:cs="Times New Roman"/>
                <w:color w:val="000000"/>
                <w:kern w:val="0"/>
                <w:sz w:val="24"/>
                <w:szCs w:val="24"/>
                <w:highlight w:val="none"/>
                <w:lang w:val="en-US" w:eastAsia="zh-CN" w:bidi="ar"/>
              </w:rPr>
              <w:t>烘干工段</w:t>
            </w:r>
            <w:r>
              <w:rPr>
                <w:rFonts w:hint="default" w:ascii="Times New Roman" w:hAnsi="Times New Roman" w:eastAsia="宋体" w:cs="Times New Roman"/>
                <w:color w:val="000000"/>
                <w:kern w:val="0"/>
                <w:sz w:val="24"/>
                <w:szCs w:val="24"/>
                <w:highlight w:val="none"/>
                <w:lang w:val="en-US" w:eastAsia="zh-CN" w:bidi="ar"/>
              </w:rPr>
              <w:t>颗粒物产污系数进行核算，颗粒物产生系数为4.01kg/t原料。</w:t>
            </w:r>
            <w:r>
              <w:rPr>
                <w:rFonts w:hint="eastAsia"/>
                <w:spacing w:val="-2"/>
                <w:sz w:val="24"/>
                <w:highlight w:val="none"/>
              </w:rPr>
              <w:t>本项目需烘干物</w:t>
            </w:r>
            <w:r>
              <w:rPr>
                <w:rFonts w:hint="eastAsia"/>
                <w:spacing w:val="-2"/>
                <w:sz w:val="24"/>
                <w:highlight w:val="none"/>
                <w:lang w:val="en-US" w:eastAsia="zh-CN"/>
              </w:rPr>
              <w:t>11226.14</w:t>
            </w:r>
            <w:r>
              <w:rPr>
                <w:rFonts w:hint="eastAsia"/>
                <w:spacing w:val="-2"/>
                <w:sz w:val="24"/>
                <w:highlight w:val="none"/>
              </w:rPr>
              <w:t>t/a，则烘干粉尘产生量为</w:t>
            </w:r>
            <w:r>
              <w:rPr>
                <w:rFonts w:hint="eastAsia"/>
                <w:spacing w:val="-2"/>
                <w:sz w:val="24"/>
                <w:highlight w:val="none"/>
                <w:lang w:val="en-US" w:eastAsia="zh-CN"/>
              </w:rPr>
              <w:t>45.02</w:t>
            </w:r>
            <w:r>
              <w:rPr>
                <w:rFonts w:hint="eastAsia"/>
                <w:spacing w:val="-2"/>
                <w:sz w:val="24"/>
                <w:highlight w:val="none"/>
              </w:rPr>
              <w:t>t/a，随烘干工序产生的燃料燃烧废气一并进入同一套</w:t>
            </w:r>
            <w:r>
              <w:rPr>
                <w:rFonts w:hint="eastAsia"/>
                <w:spacing w:val="-2"/>
                <w:sz w:val="24"/>
                <w:highlight w:val="none"/>
                <w:lang w:val="en-US" w:eastAsia="zh-CN"/>
              </w:rPr>
              <w:t>废气处理设施</w:t>
            </w:r>
            <w:r>
              <w:rPr>
                <w:rFonts w:hint="eastAsia"/>
                <w:spacing w:val="-2"/>
                <w:sz w:val="24"/>
                <w:highlight w:val="none"/>
              </w:rPr>
              <w:t>。收集效率按90%计，综合处理效率</w:t>
            </w:r>
            <w:r>
              <w:rPr>
                <w:rFonts w:hint="eastAsia"/>
                <w:spacing w:val="-2"/>
                <w:sz w:val="24"/>
                <w:highlight w:val="none"/>
                <w:lang w:val="en-US" w:eastAsia="zh-CN"/>
              </w:rPr>
              <w:t>按</w:t>
            </w:r>
            <w:r>
              <w:rPr>
                <w:rFonts w:hint="eastAsia"/>
                <w:spacing w:val="-2"/>
                <w:sz w:val="24"/>
                <w:highlight w:val="none"/>
              </w:rPr>
              <w:t>9</w:t>
            </w:r>
            <w:r>
              <w:rPr>
                <w:rFonts w:hint="eastAsia"/>
                <w:spacing w:val="-2"/>
                <w:sz w:val="24"/>
                <w:highlight w:val="none"/>
                <w:lang w:val="en-US" w:eastAsia="zh-CN"/>
              </w:rPr>
              <w:t>5</w:t>
            </w:r>
            <w:r>
              <w:rPr>
                <w:rFonts w:hint="eastAsia"/>
                <w:spacing w:val="-2"/>
                <w:sz w:val="24"/>
                <w:highlight w:val="none"/>
              </w:rPr>
              <w:t>%，则有组织排放量为</w:t>
            </w:r>
            <w:r>
              <w:rPr>
                <w:rFonts w:hint="eastAsia"/>
                <w:spacing w:val="-2"/>
                <w:sz w:val="24"/>
                <w:highlight w:val="none"/>
                <w:lang w:val="en-US" w:eastAsia="zh-CN"/>
              </w:rPr>
              <w:t>2.03</w:t>
            </w:r>
            <w:r>
              <w:rPr>
                <w:rFonts w:hint="eastAsia"/>
                <w:spacing w:val="-2"/>
                <w:sz w:val="24"/>
                <w:highlight w:val="none"/>
              </w:rPr>
              <w:t>t/a，除尘器截留粉尘量为</w:t>
            </w:r>
            <w:r>
              <w:rPr>
                <w:rFonts w:hint="eastAsia"/>
                <w:spacing w:val="-2"/>
                <w:sz w:val="24"/>
                <w:highlight w:val="none"/>
                <w:lang w:val="en-US" w:eastAsia="zh-CN"/>
              </w:rPr>
              <w:t>38.49</w:t>
            </w:r>
            <w:r>
              <w:rPr>
                <w:rFonts w:hint="eastAsia"/>
                <w:spacing w:val="-2"/>
                <w:sz w:val="24"/>
                <w:highlight w:val="none"/>
              </w:rPr>
              <w:t>t/a，截留粉尘全部回用于制炭生产工艺中；无组织产生的粉尘为</w:t>
            </w:r>
            <w:r>
              <w:rPr>
                <w:rFonts w:hint="eastAsia"/>
                <w:spacing w:val="-2"/>
                <w:sz w:val="24"/>
                <w:highlight w:val="none"/>
                <w:lang w:val="en-US" w:eastAsia="zh-CN"/>
              </w:rPr>
              <w:t>4.5</w:t>
            </w:r>
            <w:r>
              <w:rPr>
                <w:rFonts w:hint="eastAsia"/>
                <w:spacing w:val="-2"/>
                <w:sz w:val="24"/>
                <w:highlight w:val="none"/>
              </w:rPr>
              <w:t>t/a，此部分粉尘经厂房内自然沉降，沉降系数同上取6</w:t>
            </w:r>
            <w:r>
              <w:rPr>
                <w:spacing w:val="-2"/>
                <w:sz w:val="24"/>
                <w:highlight w:val="none"/>
              </w:rPr>
              <w:t>0%</w:t>
            </w:r>
            <w:r>
              <w:rPr>
                <w:rFonts w:hint="eastAsia"/>
                <w:spacing w:val="-2"/>
                <w:sz w:val="24"/>
                <w:highlight w:val="none"/>
              </w:rPr>
              <w:t>，即排放量</w:t>
            </w:r>
            <w:r>
              <w:rPr>
                <w:rFonts w:hint="eastAsia"/>
                <w:spacing w:val="-2"/>
                <w:sz w:val="24"/>
                <w:highlight w:val="none"/>
                <w:lang w:val="en-US" w:eastAsia="zh-CN"/>
              </w:rPr>
              <w:t>1.8</w:t>
            </w:r>
            <w:r>
              <w:rPr>
                <w:rFonts w:hint="eastAsia"/>
                <w:spacing w:val="-2"/>
                <w:sz w:val="24"/>
                <w:highlight w:val="none"/>
              </w:rPr>
              <w:t>t/a。</w:t>
            </w:r>
          </w:p>
          <w:p w14:paraId="7AD52459">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b/>
                <w:bCs/>
                <w:sz w:val="24"/>
                <w:szCs w:val="24"/>
                <w:highlight w:val="none"/>
                <w:lang w:val="en-US" w:eastAsia="zh-CN"/>
              </w:rPr>
            </w:pPr>
            <w:r>
              <w:rPr>
                <w:rFonts w:hint="eastAsia"/>
                <w:b/>
                <w:bCs/>
                <w:sz w:val="24"/>
                <w:highlight w:val="none"/>
                <w:lang w:val="en-GB" w:eastAsia="zh-CN"/>
              </w:rPr>
              <w:t>（</w:t>
            </w:r>
            <w:r>
              <w:rPr>
                <w:rFonts w:hint="eastAsia"/>
                <w:b/>
                <w:bCs/>
                <w:sz w:val="24"/>
                <w:highlight w:val="none"/>
                <w:lang w:val="en-US" w:eastAsia="zh-CN"/>
              </w:rPr>
              <w:t>5</w:t>
            </w:r>
            <w:r>
              <w:rPr>
                <w:rFonts w:hint="eastAsia"/>
                <w:b/>
                <w:bCs/>
                <w:sz w:val="24"/>
                <w:highlight w:val="none"/>
                <w:lang w:val="en-GB" w:eastAsia="zh-CN"/>
              </w:rPr>
              <w:t>）</w:t>
            </w:r>
            <w:r>
              <w:rPr>
                <w:rFonts w:hint="eastAsia"/>
                <w:b/>
                <w:bCs/>
                <w:sz w:val="24"/>
                <w:highlight w:val="none"/>
                <w:lang w:val="en-US" w:eastAsia="zh-CN"/>
              </w:rPr>
              <w:t>炭化</w:t>
            </w:r>
            <w:r>
              <w:rPr>
                <w:rFonts w:hint="eastAsia" w:ascii="Times New Roman" w:hAnsi="Times New Roman"/>
                <w:b/>
                <w:bCs/>
                <w:sz w:val="24"/>
                <w:szCs w:val="24"/>
                <w:highlight w:val="none"/>
                <w:lang w:val="en-US" w:eastAsia="zh-CN"/>
              </w:rPr>
              <w:t>废气</w:t>
            </w:r>
          </w:p>
          <w:p w14:paraId="68948F97">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炭化工序是将成型棒装入炭化窑，在</w:t>
            </w:r>
            <w:r>
              <w:rPr>
                <w:rFonts w:hint="eastAsia" w:ascii="Times New Roman" w:hAnsi="Times New Roman" w:eastAsia="宋体" w:cs="Times New Roman"/>
                <w:sz w:val="24"/>
                <w:highlight w:val="none"/>
                <w:lang w:val="en-US" w:eastAsia="zh-CN"/>
              </w:rPr>
              <w:t>少</w:t>
            </w:r>
            <w:r>
              <w:rPr>
                <w:rFonts w:hint="default" w:ascii="Times New Roman" w:hAnsi="Times New Roman" w:eastAsia="宋体" w:cs="Times New Roman"/>
                <w:sz w:val="24"/>
                <w:highlight w:val="none"/>
              </w:rPr>
              <w:t>氧条件下进行炭化处理。</w:t>
            </w:r>
            <w:r>
              <w:rPr>
                <w:rFonts w:hint="eastAsia" w:ascii="Times New Roman" w:hAnsi="Times New Roman" w:eastAsia="宋体" w:cs="Times New Roman"/>
                <w:sz w:val="24"/>
                <w:highlight w:val="none"/>
              </w:rPr>
              <w:t>炭棒在炭化窑内少氧的条件下，不完全燃烧的炭化过程会产生炭化</w:t>
            </w:r>
            <w:r>
              <w:rPr>
                <w:rFonts w:hint="eastAsia" w:ascii="Times New Roman" w:hAnsi="Times New Roman" w:eastAsia="宋体" w:cs="Times New Roman"/>
                <w:sz w:val="24"/>
                <w:highlight w:val="none"/>
                <w:lang w:val="en-US" w:eastAsia="zh-CN"/>
              </w:rPr>
              <w:t>气体</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主要为竹粉</w:t>
            </w:r>
            <w:r>
              <w:rPr>
                <w:rFonts w:hint="eastAsia" w:cs="Times New Roman"/>
                <w:sz w:val="24"/>
                <w:highlight w:val="none"/>
                <w:lang w:val="en-US" w:eastAsia="zh-CN"/>
              </w:rPr>
              <w:t>等</w:t>
            </w:r>
            <w:r>
              <w:rPr>
                <w:rFonts w:hint="default" w:ascii="Times New Roman" w:hAnsi="Times New Roman" w:eastAsia="宋体" w:cs="Times New Roman"/>
                <w:sz w:val="24"/>
                <w:highlight w:val="none"/>
              </w:rPr>
              <w:t>炭化过程中氧受限的环境内被气化产生可燃气体，在富氧环境中，这些气体可以作为燃料被焚烧。主要</w:t>
            </w:r>
            <w:r>
              <w:rPr>
                <w:rFonts w:hint="eastAsia" w:cs="Times New Roman"/>
                <w:sz w:val="24"/>
                <w:highlight w:val="none"/>
                <w:lang w:val="en-US" w:eastAsia="zh-CN"/>
              </w:rPr>
              <w:t>炭化</w:t>
            </w:r>
            <w:r>
              <w:rPr>
                <w:rFonts w:hint="default" w:ascii="Times New Roman" w:hAnsi="Times New Roman" w:eastAsia="宋体" w:cs="Times New Roman"/>
                <w:sz w:val="24"/>
                <w:highlight w:val="none"/>
              </w:rPr>
              <w:t>废气有</w:t>
            </w:r>
            <w:r>
              <w:rPr>
                <w:rFonts w:hint="eastAsia"/>
                <w:color w:val="000000"/>
                <w:sz w:val="24"/>
                <w:highlight w:val="none"/>
              </w:rPr>
              <w:t>气态的竹醋液、气态竹焦油</w:t>
            </w:r>
            <w:r>
              <w:rPr>
                <w:rFonts w:hint="eastAsia" w:cs="Times New Roman"/>
                <w:sz w:val="24"/>
                <w:highlight w:val="none"/>
                <w:lang w:val="en-US" w:eastAsia="zh-CN"/>
              </w:rPr>
              <w:t>和</w:t>
            </w:r>
            <w:r>
              <w:rPr>
                <w:rFonts w:hint="eastAsia"/>
                <w:color w:val="000000"/>
                <w:sz w:val="24"/>
                <w:highlight w:val="none"/>
              </w:rPr>
              <w:t>可燃气体（主要是一氧化碳、甲烷、乙烯及氢气）</w:t>
            </w:r>
            <w:r>
              <w:rPr>
                <w:rFonts w:hint="default" w:ascii="Times New Roman" w:hAnsi="Times New Roman" w:eastAsia="宋体" w:cs="Times New Roman"/>
                <w:sz w:val="24"/>
                <w:highlight w:val="none"/>
              </w:rPr>
              <w:t>。</w:t>
            </w:r>
          </w:p>
          <w:p w14:paraId="4B855DA8">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本项目采用燃</w:t>
            </w:r>
            <w:r>
              <w:rPr>
                <w:rFonts w:hint="default" w:ascii="Times New Roman" w:hAnsi="Times New Roman" w:eastAsia="宋体" w:cs="Times New Roman"/>
                <w:sz w:val="24"/>
                <w:highlight w:val="none"/>
              </w:rPr>
              <w:t>烧法处理炭化废气，燃烧法就是把炭化窑尾气中的</w:t>
            </w:r>
            <w:r>
              <w:rPr>
                <w:rFonts w:hint="eastAsia" w:ascii="Times New Roman" w:hAnsi="Times New Roman" w:eastAsia="宋体" w:cs="Times New Roman"/>
                <w:sz w:val="24"/>
                <w:highlight w:val="none"/>
                <w:lang w:val="en-US" w:eastAsia="zh-CN"/>
              </w:rPr>
              <w:t>竹</w:t>
            </w:r>
            <w:r>
              <w:rPr>
                <w:rFonts w:hint="default" w:ascii="Times New Roman" w:hAnsi="Times New Roman" w:eastAsia="宋体" w:cs="Times New Roman"/>
                <w:sz w:val="24"/>
                <w:highlight w:val="none"/>
              </w:rPr>
              <w:t>焦油、醋液和可燃气体（</w:t>
            </w:r>
            <w:r>
              <w:rPr>
                <w:rFonts w:hint="eastAsia" w:ascii="Times New Roman" w:hAnsi="Times New Roman" w:eastAsia="宋体" w:cs="Times New Roman"/>
                <w:sz w:val="24"/>
                <w:highlight w:val="none"/>
                <w:lang w:val="en-US" w:eastAsia="zh-CN"/>
              </w:rPr>
              <w:t>竹</w:t>
            </w:r>
            <w:r>
              <w:rPr>
                <w:rFonts w:hint="default" w:ascii="Times New Roman" w:hAnsi="Times New Roman" w:eastAsia="宋体" w:cs="Times New Roman"/>
                <w:sz w:val="24"/>
                <w:highlight w:val="none"/>
              </w:rPr>
              <w:t>煤气）通过</w:t>
            </w:r>
            <w:r>
              <w:rPr>
                <w:rFonts w:hint="eastAsia" w:ascii="Times New Roman" w:hAnsi="Times New Roman" w:eastAsia="宋体" w:cs="Times New Roman"/>
                <w:sz w:val="24"/>
                <w:highlight w:val="none"/>
                <w:lang w:val="en-US" w:eastAsia="zh-CN"/>
              </w:rPr>
              <w:t>燃烧炉</w:t>
            </w:r>
            <w:r>
              <w:rPr>
                <w:rFonts w:hint="default" w:ascii="Times New Roman" w:hAnsi="Times New Roman" w:eastAsia="宋体" w:cs="Times New Roman"/>
                <w:sz w:val="24"/>
                <w:highlight w:val="none"/>
              </w:rPr>
              <w:t>燃烧高温分解进行</w:t>
            </w:r>
            <w:r>
              <w:rPr>
                <w:rFonts w:ascii="Times New Roman" w:hAnsi="Times New Roman" w:cs="Times New Roman"/>
                <w:bCs/>
                <w:color w:val="auto"/>
                <w:sz w:val="24"/>
                <w:szCs w:val="24"/>
                <w:highlight w:val="none"/>
                <w:lang w:bidi="ar"/>
              </w:rPr>
              <w:t>无害化处理</w:t>
            </w:r>
            <w:r>
              <w:rPr>
                <w:rFonts w:hint="eastAsia" w:cs="Times New Roman"/>
                <w:bCs/>
                <w:color w:val="auto"/>
                <w:sz w:val="24"/>
                <w:szCs w:val="24"/>
                <w:highlight w:val="none"/>
                <w:lang w:eastAsia="zh-CN" w:bidi="ar"/>
              </w:rPr>
              <w:t>，</w:t>
            </w:r>
            <w:r>
              <w:rPr>
                <w:rFonts w:hint="eastAsia" w:ascii="Times New Roman" w:hAnsi="Times New Roman" w:eastAsia="宋体" w:cs="Times New Roman"/>
                <w:sz w:val="24"/>
                <w:highlight w:val="none"/>
                <w:lang w:val="en-US" w:eastAsia="zh-CN"/>
              </w:rPr>
              <w:t>竹</w:t>
            </w:r>
            <w:r>
              <w:rPr>
                <w:rFonts w:hint="default" w:ascii="Times New Roman" w:hAnsi="Times New Roman" w:eastAsia="宋体" w:cs="Times New Roman"/>
                <w:sz w:val="24"/>
                <w:highlight w:val="none"/>
              </w:rPr>
              <w:t>焦油及</w:t>
            </w:r>
            <w:r>
              <w:rPr>
                <w:rFonts w:hint="eastAsia" w:ascii="Times New Roman" w:hAnsi="Times New Roman" w:eastAsia="宋体" w:cs="Times New Roman"/>
                <w:sz w:val="24"/>
                <w:highlight w:val="none"/>
                <w:lang w:val="en-US" w:eastAsia="zh-CN"/>
              </w:rPr>
              <w:t>竹</w:t>
            </w:r>
            <w:r>
              <w:rPr>
                <w:rFonts w:hint="default" w:ascii="Times New Roman" w:hAnsi="Times New Roman" w:eastAsia="宋体" w:cs="Times New Roman"/>
                <w:sz w:val="24"/>
                <w:highlight w:val="none"/>
              </w:rPr>
              <w:t>醋液的沸点为200~220℃，在260~420℃范围内</w:t>
            </w:r>
            <w:r>
              <w:rPr>
                <w:rFonts w:hint="eastAsia" w:ascii="Times New Roman" w:hAnsi="Times New Roman" w:eastAsia="宋体" w:cs="Times New Roman"/>
                <w:sz w:val="24"/>
                <w:highlight w:val="none"/>
                <w:lang w:val="en-US" w:eastAsia="zh-CN"/>
              </w:rPr>
              <w:t>竹</w:t>
            </w:r>
            <w:r>
              <w:rPr>
                <w:rFonts w:hint="default" w:ascii="Times New Roman" w:hAnsi="Times New Roman" w:eastAsia="宋体" w:cs="Times New Roman"/>
                <w:sz w:val="24"/>
                <w:highlight w:val="none"/>
              </w:rPr>
              <w:t>焦油及</w:t>
            </w:r>
            <w:r>
              <w:rPr>
                <w:rFonts w:hint="eastAsia" w:ascii="Times New Roman" w:hAnsi="Times New Roman" w:eastAsia="宋体" w:cs="Times New Roman"/>
                <w:sz w:val="24"/>
                <w:highlight w:val="none"/>
                <w:lang w:val="en-US" w:eastAsia="zh-CN"/>
              </w:rPr>
              <w:t>竹</w:t>
            </w:r>
            <w:r>
              <w:rPr>
                <w:rFonts w:hint="default" w:ascii="Times New Roman" w:hAnsi="Times New Roman" w:eastAsia="宋体" w:cs="Times New Roman"/>
                <w:sz w:val="24"/>
                <w:highlight w:val="none"/>
              </w:rPr>
              <w:t>醋液以气态的形式经烟气管道导入</w:t>
            </w:r>
            <w:r>
              <w:rPr>
                <w:rFonts w:hint="eastAsia" w:ascii="Times New Roman" w:hAnsi="Times New Roman" w:eastAsia="宋体" w:cs="Times New Roman"/>
                <w:sz w:val="24"/>
                <w:highlight w:val="none"/>
                <w:lang w:val="en-US" w:eastAsia="zh-CN"/>
              </w:rPr>
              <w:t>烘干系统的燃烧炉</w:t>
            </w:r>
            <w:r>
              <w:rPr>
                <w:rFonts w:hint="default" w:ascii="Times New Roman" w:hAnsi="Times New Roman" w:eastAsia="宋体" w:cs="Times New Roman"/>
                <w:sz w:val="24"/>
                <w:highlight w:val="none"/>
              </w:rPr>
              <w:t>进行充分燃烧，燃烧产物为CO</w:t>
            </w:r>
            <w:r>
              <w:rPr>
                <w:rFonts w:hint="default" w:ascii="Times New Roman" w:hAnsi="Times New Roman" w:eastAsia="宋体" w:cs="Times New Roman"/>
                <w:sz w:val="24"/>
                <w:highlight w:val="none"/>
                <w:vertAlign w:val="subscript"/>
              </w:rPr>
              <w:t>2</w:t>
            </w:r>
            <w:r>
              <w:rPr>
                <w:rFonts w:hint="default" w:ascii="Times New Roman" w:hAnsi="Times New Roman" w:eastAsia="宋体" w:cs="Times New Roman"/>
                <w:sz w:val="24"/>
                <w:highlight w:val="none"/>
              </w:rPr>
              <w:t>、H</w:t>
            </w:r>
            <w:r>
              <w:rPr>
                <w:rFonts w:hint="default" w:ascii="Times New Roman" w:hAnsi="Times New Roman" w:eastAsia="宋体" w:cs="Times New Roman"/>
                <w:sz w:val="24"/>
                <w:highlight w:val="none"/>
                <w:vertAlign w:val="subscript"/>
              </w:rPr>
              <w:t>2</w:t>
            </w:r>
            <w:r>
              <w:rPr>
                <w:rFonts w:hint="default" w:ascii="Times New Roman" w:hAnsi="Times New Roman" w:eastAsia="宋体" w:cs="Times New Roman"/>
                <w:sz w:val="24"/>
                <w:highlight w:val="none"/>
              </w:rPr>
              <w:t>O。</w:t>
            </w:r>
            <w:r>
              <w:rPr>
                <w:rFonts w:ascii="Times New Roman" w:hAnsi="Times New Roman" w:cs="Times New Roman"/>
                <w:bCs/>
                <w:color w:val="auto"/>
                <w:sz w:val="24"/>
                <w:szCs w:val="24"/>
                <w:highlight w:val="none"/>
                <w:lang w:bidi="ar"/>
              </w:rPr>
              <w:t>本项目设置烘干</w:t>
            </w:r>
            <w:r>
              <w:rPr>
                <w:rFonts w:hint="eastAsia" w:cs="Times New Roman"/>
                <w:bCs/>
                <w:color w:val="auto"/>
                <w:sz w:val="24"/>
                <w:szCs w:val="24"/>
                <w:highlight w:val="none"/>
                <w:lang w:val="en-US" w:eastAsia="zh-CN" w:bidi="ar"/>
              </w:rPr>
              <w:t>机（含燃烧炉）</w:t>
            </w:r>
            <w:r>
              <w:rPr>
                <w:rFonts w:ascii="Times New Roman" w:hAnsi="Times New Roman" w:cs="Times New Roman"/>
                <w:bCs/>
                <w:color w:val="auto"/>
                <w:sz w:val="24"/>
                <w:szCs w:val="24"/>
                <w:highlight w:val="none"/>
                <w:lang w:bidi="ar"/>
              </w:rPr>
              <w:t>，</w:t>
            </w:r>
            <w:r>
              <w:rPr>
                <w:rFonts w:hint="eastAsia" w:cs="Times New Roman"/>
                <w:bCs/>
                <w:color w:val="auto"/>
                <w:sz w:val="24"/>
                <w:szCs w:val="24"/>
                <w:highlight w:val="none"/>
                <w:lang w:val="en-US" w:eastAsia="zh-CN" w:bidi="ar"/>
              </w:rPr>
              <w:t>供热</w:t>
            </w:r>
            <w:r>
              <w:rPr>
                <w:rFonts w:ascii="Times New Roman" w:hAnsi="Times New Roman" w:cs="Times New Roman"/>
                <w:bCs/>
                <w:color w:val="auto"/>
                <w:sz w:val="24"/>
                <w:szCs w:val="24"/>
                <w:highlight w:val="none"/>
                <w:lang w:bidi="ar"/>
              </w:rPr>
              <w:t>为</w:t>
            </w:r>
            <w:r>
              <w:rPr>
                <w:rFonts w:hint="eastAsia" w:ascii="Times New Roman" w:hAnsi="Times New Roman" w:cs="Times New Roman"/>
                <w:bCs/>
                <w:color w:val="auto"/>
                <w:sz w:val="24"/>
                <w:szCs w:val="24"/>
                <w:highlight w:val="none"/>
                <w:lang w:eastAsia="zh-CN" w:bidi="ar"/>
              </w:rPr>
              <w:t>主要为炭化窑尾气、生物质颗粒燃料</w:t>
            </w:r>
            <w:r>
              <w:rPr>
                <w:rFonts w:hint="eastAsia" w:cs="Times New Roman"/>
                <w:bCs/>
                <w:color w:val="auto"/>
                <w:sz w:val="24"/>
                <w:szCs w:val="24"/>
                <w:highlight w:val="none"/>
                <w:lang w:val="en-US" w:eastAsia="zh-CN" w:bidi="ar"/>
              </w:rPr>
              <w:t>燃烧</w:t>
            </w:r>
            <w:r>
              <w:rPr>
                <w:rFonts w:hint="eastAsia" w:ascii="Times New Roman" w:hAnsi="Times New Roman" w:cs="Times New Roman"/>
                <w:bCs/>
                <w:color w:val="auto"/>
                <w:sz w:val="24"/>
                <w:szCs w:val="24"/>
                <w:highlight w:val="none"/>
                <w:lang w:eastAsia="zh-CN" w:bidi="ar"/>
              </w:rPr>
              <w:t>和制棒</w:t>
            </w:r>
            <w:r>
              <w:rPr>
                <w:rFonts w:hint="eastAsia" w:cs="Times New Roman"/>
                <w:bCs/>
                <w:color w:val="auto"/>
                <w:sz w:val="24"/>
                <w:szCs w:val="24"/>
                <w:highlight w:val="none"/>
                <w:lang w:val="en-US" w:eastAsia="zh-CN" w:bidi="ar"/>
              </w:rPr>
              <w:t>废气</w:t>
            </w:r>
            <w:r>
              <w:rPr>
                <w:rFonts w:ascii="Times New Roman" w:hAnsi="Times New Roman" w:cs="Times New Roman"/>
                <w:bCs/>
                <w:color w:val="auto"/>
                <w:sz w:val="24"/>
                <w:szCs w:val="24"/>
                <w:highlight w:val="none"/>
                <w:lang w:bidi="ar"/>
              </w:rPr>
              <w:t>，根据工艺技术其燃烧产生的温度大于</w:t>
            </w:r>
            <w:r>
              <w:rPr>
                <w:rFonts w:hint="eastAsia" w:cs="Times New Roman"/>
                <w:bCs/>
                <w:color w:val="auto"/>
                <w:sz w:val="24"/>
                <w:szCs w:val="24"/>
                <w:highlight w:val="none"/>
                <w:lang w:val="en-US" w:eastAsia="zh-CN" w:bidi="ar"/>
              </w:rPr>
              <w:t>5</w:t>
            </w:r>
            <w:r>
              <w:rPr>
                <w:rFonts w:ascii="Times New Roman" w:hAnsi="Times New Roman" w:cs="Times New Roman"/>
                <w:bCs/>
                <w:color w:val="auto"/>
                <w:sz w:val="24"/>
                <w:szCs w:val="24"/>
                <w:highlight w:val="none"/>
                <w:lang w:bidi="ar"/>
              </w:rPr>
              <w:t>00</w:t>
            </w:r>
            <w:r>
              <w:rPr>
                <w:rFonts w:hint="eastAsia" w:cs="Times New Roman"/>
                <w:bCs/>
                <w:color w:val="auto"/>
                <w:sz w:val="24"/>
                <w:szCs w:val="24"/>
                <w:highlight w:val="none"/>
                <w:lang w:val="en-US" w:eastAsia="zh-CN" w:bidi="ar"/>
              </w:rPr>
              <w:t>℃</w:t>
            </w:r>
            <w:r>
              <w:rPr>
                <w:rFonts w:ascii="Times New Roman" w:hAnsi="Times New Roman" w:cs="Times New Roman"/>
                <w:bCs/>
                <w:color w:val="auto"/>
                <w:sz w:val="24"/>
                <w:szCs w:val="24"/>
                <w:highlight w:val="none"/>
                <w:lang w:bidi="ar"/>
              </w:rPr>
              <w:t>，炭化废气能在烘</w:t>
            </w:r>
            <w:r>
              <w:rPr>
                <w:rFonts w:hint="eastAsia" w:cs="Times New Roman"/>
                <w:bCs/>
                <w:color w:val="auto"/>
                <w:sz w:val="24"/>
                <w:szCs w:val="24"/>
                <w:highlight w:val="none"/>
                <w:lang w:val="en-US" w:eastAsia="zh-CN" w:bidi="ar"/>
              </w:rPr>
              <w:t>燃烧炉</w:t>
            </w:r>
            <w:r>
              <w:rPr>
                <w:rFonts w:ascii="Times New Roman" w:hAnsi="Times New Roman" w:cs="Times New Roman"/>
                <w:bCs/>
                <w:color w:val="auto"/>
                <w:sz w:val="24"/>
                <w:szCs w:val="24"/>
                <w:highlight w:val="none"/>
                <w:lang w:bidi="ar"/>
              </w:rPr>
              <w:t>中能充分燃烧</w:t>
            </w:r>
            <w:r>
              <w:rPr>
                <w:rFonts w:hint="eastAsia" w:ascii="Times New Roman" w:hAnsi="Times New Roman" w:cs="Times New Roman"/>
                <w:bCs/>
                <w:color w:val="auto"/>
                <w:sz w:val="24"/>
                <w:szCs w:val="24"/>
                <w:highlight w:val="none"/>
                <w:lang w:eastAsia="zh-CN" w:bidi="ar"/>
              </w:rPr>
              <w:t>，燃烧效率</w:t>
            </w:r>
            <w:r>
              <w:rPr>
                <w:rFonts w:hint="eastAsia" w:cs="Times New Roman"/>
                <w:bCs/>
                <w:color w:val="auto"/>
                <w:sz w:val="24"/>
                <w:szCs w:val="24"/>
                <w:highlight w:val="none"/>
                <w:lang w:val="en-US" w:eastAsia="zh-CN" w:bidi="ar"/>
              </w:rPr>
              <w:t>按99%计算，经燃烧炉燃烧后剩余的</w:t>
            </w:r>
            <w:r>
              <w:rPr>
                <w:rFonts w:hint="eastAsia" w:ascii="Times New Roman" w:hAnsi="Times New Roman" w:cs="Times New Roman"/>
                <w:color w:val="auto"/>
                <w:sz w:val="24"/>
                <w:szCs w:val="24"/>
                <w:highlight w:val="none"/>
                <w:lang w:val="en-US" w:eastAsia="zh-CN" w:bidi="ar"/>
              </w:rPr>
              <w:t>VOCs量极少，本报告忽略不计</w:t>
            </w:r>
            <w:r>
              <w:rPr>
                <w:rFonts w:ascii="Times New Roman" w:hAnsi="Times New Roman" w:cs="Times New Roman"/>
                <w:bCs/>
                <w:color w:val="auto"/>
                <w:sz w:val="24"/>
                <w:szCs w:val="24"/>
                <w:highlight w:val="none"/>
                <w:lang w:bidi="ar"/>
              </w:rPr>
              <w:t>。</w:t>
            </w:r>
            <w:r>
              <w:rPr>
                <w:rFonts w:hint="eastAsia" w:ascii="宋体" w:hAnsi="宋体" w:eastAsia="宋体" w:cs="宋体"/>
                <w:sz w:val="24"/>
                <w:szCs w:val="24"/>
                <w:highlight w:val="none"/>
                <w:lang w:val="en-US" w:eastAsia="zh-CN"/>
              </w:rPr>
              <w:t>因此炭化废气主要污染物为</w:t>
            </w:r>
            <w:r>
              <w:rPr>
                <w:rFonts w:ascii="宋体" w:hAnsi="宋体" w:eastAsia="宋体" w:cs="宋体"/>
                <w:sz w:val="24"/>
                <w:szCs w:val="24"/>
                <w:highlight w:val="none"/>
              </w:rPr>
              <w:t>烟尘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颗粒物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以及</w:t>
            </w:r>
            <w:r>
              <w:rPr>
                <w:rFonts w:hint="default" w:ascii="Times New Roman" w:hAnsi="Times New Roman" w:eastAsia="宋体" w:cs="Times New Roman"/>
                <w:sz w:val="24"/>
                <w:highlight w:val="none"/>
              </w:rPr>
              <w:t>在前期引燃升温过程中半成品炭棒里的S和N元素部分转变为主要的污染因子SO</w:t>
            </w:r>
            <w:r>
              <w:rPr>
                <w:rFonts w:hint="default" w:ascii="Times New Roman" w:hAnsi="Times New Roman" w:eastAsia="宋体" w:cs="Times New Roman"/>
                <w:sz w:val="24"/>
                <w:highlight w:val="none"/>
                <w:vertAlign w:val="subscript"/>
              </w:rPr>
              <w:t>2</w:t>
            </w:r>
            <w:r>
              <w:rPr>
                <w:rFonts w:hint="default" w:ascii="Times New Roman" w:hAnsi="Times New Roman" w:eastAsia="宋体" w:cs="Times New Roman"/>
                <w:sz w:val="24"/>
                <w:highlight w:val="none"/>
              </w:rPr>
              <w:t>、NOx。</w:t>
            </w:r>
          </w:p>
          <w:p w14:paraId="6086591B">
            <w:pPr>
              <w:pStyle w:val="135"/>
              <w:spacing w:before="2" w:line="364" w:lineRule="auto"/>
              <w:ind w:left="109" w:right="-29" w:firstLine="480"/>
              <w:jc w:val="left"/>
              <w:rPr>
                <w:rFonts w:hint="eastAsia" w:ascii="Times New Roman" w:hAnsi="Times New Roman" w:eastAsia="宋体" w:cs="宋体"/>
                <w:sz w:val="24"/>
                <w:highlight w:val="none"/>
                <w:lang w:val="en-US" w:eastAsia="zh-CN"/>
              </w:rPr>
            </w:pPr>
            <w:r>
              <w:rPr>
                <w:rFonts w:hint="eastAsia" w:ascii="Times New Roman" w:hAnsi="Times New Roman" w:eastAsia="宋体" w:cs="宋体"/>
                <w:sz w:val="24"/>
                <w:highlight w:val="none"/>
                <w:lang w:val="en-US" w:eastAsia="zh-CN"/>
              </w:rPr>
              <w:t>根据《生物质热解气化原理与技术》（化学工业出版社2013年4月出版）中典型的热解产物实验数据，热解产物的大致产率为（其产物质量分数对应于绝干木材）：机制炭33%~38%，木醋液及木焦油45%~50%，木煤气（即可燃气体）16%~18%，损耗（固体残渣、烟尘废气等）0.3%~1%。评价按机制炭36%，木醋液及木焦油45%（其中木焦油取4.5%，木醋液取40.5%），木煤气18%，损耗1%计，项目环保机制炭产量为2000t/a，</w:t>
            </w:r>
            <w:r>
              <w:rPr>
                <w:rFonts w:hint="default" w:ascii="Times New Roman" w:hAnsi="Times New Roman" w:eastAsia="宋体" w:cs="Times New Roman"/>
                <w:spacing w:val="0"/>
                <w:w w:val="100"/>
                <w:sz w:val="24"/>
                <w:szCs w:val="24"/>
                <w:highlight w:val="none"/>
              </w:rPr>
              <w:t>进入炭化工序的绝干物料</w:t>
            </w:r>
            <w:r>
              <w:rPr>
                <w:rFonts w:hint="eastAsia" w:ascii="Times New Roman" w:hAnsi="Times New Roman" w:eastAsia="宋体" w:cs="Times New Roman"/>
                <w:spacing w:val="0"/>
                <w:w w:val="100"/>
                <w:sz w:val="24"/>
                <w:szCs w:val="24"/>
                <w:highlight w:val="none"/>
                <w:lang w:val="en-US" w:eastAsia="zh-CN"/>
              </w:rPr>
              <w:t>量为5555.56t/a，</w:t>
            </w:r>
            <w:r>
              <w:rPr>
                <w:rFonts w:hint="eastAsia" w:ascii="Times New Roman" w:hAnsi="Times New Roman" w:eastAsia="宋体" w:cs="宋体"/>
                <w:sz w:val="24"/>
                <w:highlight w:val="none"/>
                <w:lang w:val="en-US" w:eastAsia="zh-CN"/>
              </w:rPr>
              <w:t>故炭化气中木焦油产生量为250t/a，木醋液产生量为2250t/a，木煤气产生量为1000t/a，三种物质产生总量为3500t/a。</w:t>
            </w:r>
          </w:p>
          <w:p w14:paraId="56889AB7">
            <w:pPr>
              <w:pStyle w:val="135"/>
              <w:spacing w:before="2" w:line="364" w:lineRule="auto"/>
              <w:ind w:left="109" w:right="-29" w:firstLine="480"/>
              <w:jc w:val="left"/>
              <w:rPr>
                <w:rFonts w:hint="eastAsia" w:ascii="Times New Roman" w:hAnsi="Times New Roman" w:eastAsia="宋体" w:cs="宋体"/>
                <w:sz w:val="24"/>
                <w:highlight w:val="none"/>
                <w:lang w:val="en-US" w:eastAsia="zh-CN"/>
              </w:rPr>
            </w:pPr>
            <w:r>
              <w:rPr>
                <w:rFonts w:hint="eastAsia" w:ascii="Times New Roman" w:hAnsi="Times New Roman" w:eastAsia="宋体" w:cs="宋体"/>
                <w:sz w:val="24"/>
                <w:highlight w:val="none"/>
                <w:lang w:val="en-US" w:eastAsia="zh-CN"/>
              </w:rPr>
              <w:t>根据《基于Aspen Plus模拟精馏技术分离木醋液中有机物的研究》（王淑波、敖红伟、古丽格娜·买买提），木醋液组成中以水的含量最高，占总重量的80%~93%，其他组分为酚类、醛类、酮类、有机酸等有机物，水分不可燃，本次计算水分占比取80%，即木醋液有中机物的量约为450t/a。即炭化废气中燃气体的产生总量约为1700t/a。</w:t>
            </w:r>
          </w:p>
          <w:p w14:paraId="4D97E0AE">
            <w:pPr>
              <w:pStyle w:val="135"/>
              <w:spacing w:before="2" w:line="364" w:lineRule="auto"/>
              <w:ind w:left="109" w:right="-29" w:firstLine="480"/>
              <w:jc w:val="left"/>
              <w:rPr>
                <w:rFonts w:hint="default" w:ascii="Times New Roman" w:hAnsi="Times New Roman" w:eastAsia="宋体" w:cs="宋体"/>
                <w:sz w:val="24"/>
                <w:highlight w:val="none"/>
                <w:lang w:val="en-US" w:eastAsia="zh-CN"/>
              </w:rPr>
            </w:pPr>
            <w:r>
              <w:rPr>
                <w:rFonts w:hint="eastAsia" w:ascii="Times New Roman" w:hAnsi="Times New Roman" w:eastAsia="宋体" w:cs="宋体"/>
                <w:sz w:val="24"/>
                <w:highlight w:val="none"/>
                <w:lang w:val="en-US" w:eastAsia="zh-CN"/>
              </w:rPr>
              <w:t>炭化过程温度较高，木焦油、木醋液均以气态形式存在，三种物质燃烧过程污染物参考《排放源统计调查产排污核算方法和系数手册》中“4430 工业锅炉（热力生产和供应行业）产污系数表-燃气工业锅炉”中“液化石油气”产污系数，其产生情况如下表所示。</w:t>
            </w:r>
          </w:p>
          <w:p w14:paraId="61A741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宋体"/>
                <w:b/>
                <w:bCs/>
                <w:i w:val="0"/>
                <w:iCs w:val="0"/>
                <w:color w:val="auto"/>
                <w:kern w:val="0"/>
                <w:sz w:val="24"/>
                <w:szCs w:val="24"/>
                <w:highlight w:val="none"/>
                <w:u w:val="none"/>
                <w:lang w:val="en-US" w:eastAsia="zh-CN"/>
              </w:rPr>
            </w:pPr>
            <w:r>
              <w:rPr>
                <w:rFonts w:hint="eastAsia" w:ascii="Times New Roman" w:eastAsia="宋体"/>
                <w:b/>
                <w:bCs/>
                <w:i w:val="0"/>
                <w:iCs w:val="0"/>
                <w:sz w:val="24"/>
                <w:szCs w:val="24"/>
                <w:highlight w:val="none"/>
                <w:u w:val="none"/>
                <w:lang w:val="en-US" w:eastAsia="zh-CN"/>
              </w:rPr>
              <w:t>表</w:t>
            </w:r>
            <w:r>
              <w:rPr>
                <w:rFonts w:hint="eastAsia"/>
                <w:b/>
                <w:bCs/>
                <w:i w:val="0"/>
                <w:iCs w:val="0"/>
                <w:sz w:val="24"/>
                <w:szCs w:val="24"/>
                <w:highlight w:val="none"/>
                <w:u w:val="none"/>
                <w:lang w:val="en-US" w:eastAsia="zh-CN"/>
              </w:rPr>
              <w:t>4-4</w:t>
            </w:r>
            <w:r>
              <w:rPr>
                <w:rFonts w:ascii="Times New Roman" w:eastAsia="Times New Roman"/>
                <w:b/>
                <w:bCs/>
                <w:i w:val="0"/>
                <w:iCs w:val="0"/>
                <w:spacing w:val="55"/>
                <w:sz w:val="24"/>
                <w:szCs w:val="24"/>
                <w:highlight w:val="none"/>
                <w:u w:val="none"/>
              </w:rPr>
              <w:t xml:space="preserve"> </w:t>
            </w:r>
            <w:r>
              <w:rPr>
                <w:b/>
                <w:bCs/>
                <w:i w:val="0"/>
                <w:iCs w:val="0"/>
                <w:sz w:val="24"/>
                <w:szCs w:val="24"/>
                <w:highlight w:val="none"/>
                <w:u w:val="none"/>
              </w:rPr>
              <w:t>炭化炉可燃废气产排污系数及核算结果一览表</w:t>
            </w:r>
          </w:p>
          <w:tbl>
            <w:tblPr>
              <w:tblStyle w:val="186"/>
              <w:tblW w:w="8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95"/>
              <w:gridCol w:w="831"/>
              <w:gridCol w:w="1446"/>
              <w:gridCol w:w="1362"/>
              <w:gridCol w:w="1214"/>
              <w:gridCol w:w="1718"/>
            </w:tblGrid>
            <w:tr w14:paraId="7226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tcBorders>
                    <w:tl2br w:val="nil"/>
                    <w:tr2bl w:val="nil"/>
                  </w:tcBorders>
                  <w:noWrap w:val="0"/>
                  <w:vAlign w:val="center"/>
                </w:tcPr>
                <w:p w14:paraId="7C615C06">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rPr>
                    <w:t>产品名称</w:t>
                  </w:r>
                </w:p>
              </w:tc>
              <w:tc>
                <w:tcPr>
                  <w:tcW w:w="434" w:type="pct"/>
                  <w:tcBorders>
                    <w:tl2br w:val="nil"/>
                    <w:tr2bl w:val="nil"/>
                  </w:tcBorders>
                  <w:noWrap w:val="0"/>
                  <w:vAlign w:val="center"/>
                </w:tcPr>
                <w:p w14:paraId="3086740D">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rPr>
                    <w:t>原料名称</w:t>
                  </w:r>
                </w:p>
              </w:tc>
              <w:tc>
                <w:tcPr>
                  <w:tcW w:w="519" w:type="pct"/>
                  <w:tcBorders>
                    <w:tl2br w:val="nil"/>
                    <w:tr2bl w:val="nil"/>
                  </w:tcBorders>
                  <w:noWrap w:val="0"/>
                  <w:vAlign w:val="center"/>
                </w:tcPr>
                <w:p w14:paraId="281F35AB">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rPr>
                    <w:t>工艺名称</w:t>
                  </w:r>
                </w:p>
              </w:tc>
              <w:tc>
                <w:tcPr>
                  <w:tcW w:w="903" w:type="pct"/>
                  <w:tcBorders>
                    <w:tl2br w:val="nil"/>
                    <w:tr2bl w:val="nil"/>
                  </w:tcBorders>
                  <w:noWrap w:val="0"/>
                  <w:vAlign w:val="center"/>
                </w:tcPr>
                <w:p w14:paraId="5A2B700C">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rPr>
                    <w:t>污染物</w:t>
                  </w:r>
                </w:p>
              </w:tc>
              <w:tc>
                <w:tcPr>
                  <w:tcW w:w="850" w:type="pct"/>
                  <w:tcBorders>
                    <w:tl2br w:val="nil"/>
                    <w:tr2bl w:val="nil"/>
                  </w:tcBorders>
                  <w:noWrap w:val="0"/>
                  <w:vAlign w:val="center"/>
                </w:tcPr>
                <w:p w14:paraId="2FDBA2DE">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rPr>
                    <w:t>单位</w:t>
                  </w:r>
                </w:p>
              </w:tc>
              <w:tc>
                <w:tcPr>
                  <w:tcW w:w="758" w:type="pct"/>
                  <w:tcBorders>
                    <w:tl2br w:val="nil"/>
                    <w:tr2bl w:val="nil"/>
                  </w:tcBorders>
                  <w:noWrap w:val="0"/>
                  <w:vAlign w:val="center"/>
                </w:tcPr>
                <w:p w14:paraId="24C85E32">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rPr>
                    <w:t>产污系数</w:t>
                  </w:r>
                </w:p>
              </w:tc>
              <w:tc>
                <w:tcPr>
                  <w:tcW w:w="1072" w:type="pct"/>
                  <w:tcBorders>
                    <w:tl2br w:val="nil"/>
                    <w:tr2bl w:val="nil"/>
                  </w:tcBorders>
                  <w:noWrap w:val="0"/>
                  <w:vAlign w:val="center"/>
                </w:tcPr>
                <w:p w14:paraId="2835BD98">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ascii="Times New Roman" w:hAnsi="Times New Roman" w:eastAsia="宋体" w:cs="Times New Roman"/>
                      <w:bCs/>
                      <w:color w:val="auto"/>
                      <w:kern w:val="2"/>
                      <w:sz w:val="21"/>
                      <w:szCs w:val="21"/>
                      <w:highlight w:val="none"/>
                      <w:lang w:val="en-US" w:eastAsia="zh-CN"/>
                    </w:rPr>
                    <w:t>污染物产生量</w:t>
                  </w:r>
                </w:p>
              </w:tc>
            </w:tr>
            <w:tr w14:paraId="3D46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Merge w:val="restart"/>
                  <w:tcBorders>
                    <w:tl2br w:val="nil"/>
                    <w:tr2bl w:val="nil"/>
                  </w:tcBorders>
                  <w:noWrap w:val="0"/>
                  <w:vAlign w:val="center"/>
                </w:tcPr>
                <w:p w14:paraId="19096BD9">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rPr>
                    <w:t>蒸汽</w:t>
                  </w:r>
                </w:p>
                <w:p w14:paraId="030A2C86">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rPr>
                    <w:t>/热水/</w:t>
                  </w:r>
                </w:p>
                <w:p w14:paraId="549E3009">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rPr>
                    <w:t>其他</w:t>
                  </w:r>
                </w:p>
              </w:tc>
              <w:tc>
                <w:tcPr>
                  <w:tcW w:w="434" w:type="pct"/>
                  <w:vMerge w:val="restart"/>
                  <w:tcBorders>
                    <w:tl2br w:val="nil"/>
                    <w:tr2bl w:val="nil"/>
                  </w:tcBorders>
                  <w:noWrap w:val="0"/>
                  <w:vAlign w:val="center"/>
                </w:tcPr>
                <w:p w14:paraId="29F7D0F5">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ascii="Times New Roman" w:hAnsi="Times New Roman" w:eastAsia="宋体" w:cs="Times New Roman"/>
                      <w:bCs/>
                      <w:color w:val="auto"/>
                      <w:kern w:val="2"/>
                      <w:sz w:val="21"/>
                      <w:szCs w:val="21"/>
                      <w:highlight w:val="none"/>
                      <w:lang w:val="en-US" w:eastAsia="zh-CN"/>
                    </w:rPr>
                    <w:t>液化石油气</w:t>
                  </w:r>
                </w:p>
              </w:tc>
              <w:tc>
                <w:tcPr>
                  <w:tcW w:w="519" w:type="pct"/>
                  <w:vMerge w:val="restart"/>
                  <w:tcBorders>
                    <w:tl2br w:val="nil"/>
                    <w:tr2bl w:val="nil"/>
                  </w:tcBorders>
                  <w:noWrap w:val="0"/>
                  <w:vAlign w:val="center"/>
                </w:tcPr>
                <w:p w14:paraId="43B6233E">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r>
                    <w:rPr>
                      <w:rFonts w:hint="default" w:ascii="Times New Roman" w:hAnsi="Times New Roman" w:eastAsia="宋体" w:cs="Times New Roman"/>
                      <w:bCs/>
                      <w:color w:val="auto"/>
                      <w:kern w:val="2"/>
                      <w:sz w:val="21"/>
                      <w:szCs w:val="21"/>
                      <w:highlight w:val="none"/>
                      <w:lang w:eastAsia="zh-CN"/>
                    </w:rPr>
                    <w:t>室燃炉</w:t>
                  </w:r>
                </w:p>
              </w:tc>
              <w:tc>
                <w:tcPr>
                  <w:tcW w:w="903" w:type="pct"/>
                  <w:tcBorders>
                    <w:tl2br w:val="nil"/>
                    <w:tr2bl w:val="nil"/>
                  </w:tcBorders>
                  <w:noWrap w:val="0"/>
                  <w:vAlign w:val="center"/>
                </w:tcPr>
                <w:p w14:paraId="234299DF">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r>
                    <w:rPr>
                      <w:rFonts w:hint="default" w:ascii="Times New Roman" w:hAnsi="Times New Roman" w:eastAsia="宋体" w:cs="Times New Roman"/>
                      <w:bCs/>
                      <w:color w:val="auto"/>
                      <w:kern w:val="2"/>
                      <w:sz w:val="21"/>
                      <w:szCs w:val="21"/>
                      <w:highlight w:val="none"/>
                    </w:rPr>
                    <w:t>工业废气量</w:t>
                  </w:r>
                </w:p>
              </w:tc>
              <w:tc>
                <w:tcPr>
                  <w:tcW w:w="850" w:type="pct"/>
                  <w:tcBorders>
                    <w:tl2br w:val="nil"/>
                    <w:tr2bl w:val="nil"/>
                  </w:tcBorders>
                  <w:noWrap w:val="0"/>
                  <w:vAlign w:val="center"/>
                </w:tcPr>
                <w:p w14:paraId="63A5697C">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rPr>
                    <w:t>标立方米/t-产品</w:t>
                  </w:r>
                </w:p>
              </w:tc>
              <w:tc>
                <w:tcPr>
                  <w:tcW w:w="1214" w:type="dxa"/>
                  <w:tcBorders>
                    <w:tl2br w:val="nil"/>
                    <w:tr2bl w:val="nil"/>
                  </w:tcBorders>
                  <w:noWrap w:val="0"/>
                  <w:vAlign w:val="top"/>
                </w:tcPr>
                <w:p w14:paraId="56B0E0FE">
                  <w:pPr>
                    <w:pStyle w:val="135"/>
                    <w:adjustRightInd w:val="0"/>
                    <w:snapToGrid w:val="0"/>
                    <w:spacing w:before="150"/>
                    <w:ind w:left="188" w:leftChars="0" w:right="0" w:rightChars="0" w:firstLine="0" w:firstLineChars="0"/>
                    <w:rPr>
                      <w:rFonts w:hint="default" w:ascii="Times New Roman" w:hAnsi="Times New Roman" w:eastAsia="宋体" w:cs="Times New Roman"/>
                      <w:bCs/>
                      <w:color w:val="auto"/>
                      <w:kern w:val="2"/>
                      <w:sz w:val="21"/>
                      <w:szCs w:val="21"/>
                      <w:highlight w:val="none"/>
                      <w:u w:val="none"/>
                      <w:lang w:val="en-US" w:eastAsia="zh-CN"/>
                    </w:rPr>
                  </w:pPr>
                  <w:r>
                    <w:rPr>
                      <w:rFonts w:ascii="Times New Roman"/>
                      <w:sz w:val="21"/>
                      <w:highlight w:val="none"/>
                      <w:u w:val="none"/>
                    </w:rPr>
                    <w:t>13237</w:t>
                  </w:r>
                </w:p>
              </w:tc>
              <w:tc>
                <w:tcPr>
                  <w:tcW w:w="1072" w:type="pct"/>
                  <w:tcBorders>
                    <w:tl2br w:val="nil"/>
                    <w:tr2bl w:val="nil"/>
                  </w:tcBorders>
                  <w:noWrap w:val="0"/>
                  <w:vAlign w:val="center"/>
                </w:tcPr>
                <w:p w14:paraId="1DC0A2F4">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ascii="Times New Roman" w:hAnsi="Times New Roman" w:eastAsia="宋体" w:cs="Times New Roman"/>
                      <w:bCs/>
                      <w:color w:val="auto"/>
                      <w:kern w:val="2"/>
                      <w:sz w:val="21"/>
                      <w:szCs w:val="21"/>
                      <w:highlight w:val="none"/>
                      <w:lang w:val="en-US" w:eastAsia="zh-CN"/>
                    </w:rPr>
                    <w:t>2250290</w:t>
                  </w:r>
                  <w:r>
                    <w:rPr>
                      <w:rFonts w:hint="eastAsia" w:cs="Times New Roman"/>
                      <w:bCs/>
                      <w:color w:val="auto"/>
                      <w:kern w:val="2"/>
                      <w:sz w:val="21"/>
                      <w:szCs w:val="21"/>
                      <w:highlight w:val="none"/>
                      <w:lang w:val="en-US" w:eastAsia="zh-CN"/>
                    </w:rPr>
                    <w:t>0</w:t>
                  </w:r>
                  <w:r>
                    <w:rPr>
                      <w:rFonts w:hint="default" w:ascii="Times New Roman" w:hAnsi="Times New Roman" w:eastAsia="宋体" w:cs="Times New Roman"/>
                      <w:bCs/>
                      <w:color w:val="auto"/>
                      <w:kern w:val="2"/>
                      <w:sz w:val="21"/>
                      <w:szCs w:val="21"/>
                      <w:highlight w:val="none"/>
                    </w:rPr>
                    <w:t>m</w:t>
                  </w:r>
                  <w:r>
                    <w:rPr>
                      <w:rFonts w:hint="default" w:ascii="Times New Roman" w:hAnsi="Times New Roman" w:eastAsia="宋体" w:cs="Times New Roman"/>
                      <w:bCs/>
                      <w:color w:val="auto"/>
                      <w:kern w:val="2"/>
                      <w:sz w:val="21"/>
                      <w:szCs w:val="21"/>
                      <w:highlight w:val="none"/>
                      <w:vertAlign w:val="superscript"/>
                    </w:rPr>
                    <w:t>3</w:t>
                  </w:r>
                  <w:r>
                    <w:rPr>
                      <w:rFonts w:hint="default" w:ascii="Times New Roman" w:hAnsi="Times New Roman" w:eastAsia="宋体" w:cs="Times New Roman"/>
                      <w:bCs/>
                      <w:color w:val="auto"/>
                      <w:kern w:val="2"/>
                      <w:sz w:val="21"/>
                      <w:szCs w:val="21"/>
                      <w:highlight w:val="none"/>
                    </w:rPr>
                    <w:t>/a</w:t>
                  </w:r>
                </w:p>
              </w:tc>
            </w:tr>
            <w:tr w14:paraId="125C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Merge w:val="continue"/>
                  <w:tcBorders>
                    <w:tl2br w:val="nil"/>
                    <w:tr2bl w:val="nil"/>
                  </w:tcBorders>
                  <w:noWrap w:val="0"/>
                  <w:vAlign w:val="center"/>
                </w:tcPr>
                <w:p w14:paraId="16317AC4">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434" w:type="pct"/>
                  <w:vMerge w:val="continue"/>
                  <w:tcBorders>
                    <w:tl2br w:val="nil"/>
                    <w:tr2bl w:val="nil"/>
                  </w:tcBorders>
                  <w:noWrap w:val="0"/>
                  <w:vAlign w:val="center"/>
                </w:tcPr>
                <w:p w14:paraId="63DFD579">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519" w:type="pct"/>
                  <w:vMerge w:val="continue"/>
                  <w:tcBorders>
                    <w:tl2br w:val="nil"/>
                    <w:tr2bl w:val="nil"/>
                  </w:tcBorders>
                  <w:noWrap w:val="0"/>
                  <w:vAlign w:val="center"/>
                </w:tcPr>
                <w:p w14:paraId="3BD9BFBA">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903" w:type="pct"/>
                  <w:tcBorders>
                    <w:tl2br w:val="nil"/>
                    <w:tr2bl w:val="nil"/>
                  </w:tcBorders>
                  <w:noWrap w:val="0"/>
                  <w:vAlign w:val="center"/>
                </w:tcPr>
                <w:p w14:paraId="0511E294">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r>
                    <w:rPr>
                      <w:rFonts w:hint="default" w:ascii="Times New Roman" w:hAnsi="Times New Roman" w:eastAsia="宋体" w:cs="Times New Roman"/>
                      <w:bCs/>
                      <w:color w:val="auto"/>
                      <w:kern w:val="2"/>
                      <w:sz w:val="21"/>
                      <w:szCs w:val="21"/>
                      <w:highlight w:val="none"/>
                    </w:rPr>
                    <w:t>二氧化硫</w:t>
                  </w:r>
                </w:p>
              </w:tc>
              <w:tc>
                <w:tcPr>
                  <w:tcW w:w="850" w:type="pct"/>
                  <w:tcBorders>
                    <w:tl2br w:val="nil"/>
                    <w:tr2bl w:val="nil"/>
                  </w:tcBorders>
                  <w:noWrap w:val="0"/>
                  <w:vAlign w:val="center"/>
                </w:tcPr>
                <w:p w14:paraId="4B264350">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rPr>
                    <w:t>kg/ t--产品</w:t>
                  </w:r>
                </w:p>
              </w:tc>
              <w:tc>
                <w:tcPr>
                  <w:tcW w:w="1214" w:type="dxa"/>
                  <w:tcBorders>
                    <w:tl2br w:val="nil"/>
                    <w:tr2bl w:val="nil"/>
                  </w:tcBorders>
                  <w:noWrap w:val="0"/>
                  <w:vAlign w:val="top"/>
                </w:tcPr>
                <w:p w14:paraId="63F42D31">
                  <w:pPr>
                    <w:pStyle w:val="135"/>
                    <w:adjustRightInd w:val="0"/>
                    <w:snapToGrid w:val="0"/>
                    <w:spacing w:before="30" w:line="241" w:lineRule="exact"/>
                    <w:ind w:left="132" w:right="106"/>
                    <w:jc w:val="center"/>
                    <w:rPr>
                      <w:rFonts w:hint="eastAsia" w:ascii="Times New Roman" w:eastAsiaTheme="minorEastAsia"/>
                      <w:sz w:val="21"/>
                      <w:highlight w:val="none"/>
                      <w:u w:val="none"/>
                      <w:lang w:eastAsia="zh-CN"/>
                    </w:rPr>
                  </w:pPr>
                  <w:r>
                    <w:rPr>
                      <w:rFonts w:ascii="Times New Roman"/>
                      <w:sz w:val="21"/>
                      <w:highlight w:val="none"/>
                      <w:u w:val="none"/>
                    </w:rPr>
                    <w:t>0.000</w:t>
                  </w:r>
                  <w:r>
                    <w:rPr>
                      <w:rFonts w:hint="eastAsia" w:ascii="Times New Roman"/>
                      <w:sz w:val="21"/>
                      <w:highlight w:val="none"/>
                      <w:u w:val="none"/>
                      <w:lang w:val="en-US" w:eastAsia="zh-CN"/>
                    </w:rPr>
                    <w:t>9</w:t>
                  </w:r>
                </w:p>
                <w:p w14:paraId="4F954DBA">
                  <w:pPr>
                    <w:pStyle w:val="135"/>
                    <w:adjustRightInd w:val="0"/>
                    <w:snapToGrid w:val="0"/>
                    <w:spacing w:line="241" w:lineRule="exact"/>
                    <w:ind w:left="132" w:leftChars="0" w:right="106" w:rightChars="0" w:firstLine="0" w:firstLineChars="0"/>
                    <w:jc w:val="center"/>
                    <w:rPr>
                      <w:rFonts w:hint="default" w:ascii="Times New Roman" w:hAnsi="Times New Roman" w:eastAsia="宋体" w:cs="Times New Roman"/>
                      <w:bCs/>
                      <w:color w:val="auto"/>
                      <w:kern w:val="2"/>
                      <w:sz w:val="21"/>
                      <w:szCs w:val="21"/>
                      <w:highlight w:val="none"/>
                      <w:u w:val="none"/>
                      <w:lang w:val="en-US" w:eastAsia="zh-CN"/>
                    </w:rPr>
                  </w:pPr>
                  <w:r>
                    <w:rPr>
                      <w:rFonts w:ascii="Times New Roman"/>
                      <w:sz w:val="21"/>
                      <w:highlight w:val="none"/>
                      <w:u w:val="none"/>
                    </w:rPr>
                    <w:t>2S</w:t>
                  </w:r>
                </w:p>
              </w:tc>
              <w:tc>
                <w:tcPr>
                  <w:tcW w:w="1072" w:type="pct"/>
                  <w:tcBorders>
                    <w:tl2br w:val="nil"/>
                    <w:tr2bl w:val="nil"/>
                  </w:tcBorders>
                  <w:noWrap w:val="0"/>
                  <w:vAlign w:val="center"/>
                </w:tcPr>
                <w:p w14:paraId="11DF94B0">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ascii="Times New Roman" w:hAnsi="Times New Roman" w:eastAsia="宋体" w:cs="Times New Roman"/>
                      <w:bCs/>
                      <w:color w:val="auto"/>
                      <w:kern w:val="2"/>
                      <w:sz w:val="21"/>
                      <w:szCs w:val="21"/>
                      <w:highlight w:val="none"/>
                      <w:lang w:val="en-US" w:eastAsia="zh-CN"/>
                    </w:rPr>
                    <w:t>0.5</w:t>
                  </w:r>
                  <w:r>
                    <w:rPr>
                      <w:rFonts w:hint="eastAsia" w:cs="Times New Roman"/>
                      <w:bCs/>
                      <w:color w:val="auto"/>
                      <w:kern w:val="2"/>
                      <w:sz w:val="21"/>
                      <w:szCs w:val="21"/>
                      <w:highlight w:val="none"/>
                      <w:lang w:val="en-US" w:eastAsia="zh-CN"/>
                    </w:rPr>
                    <w:t>4</w:t>
                  </w:r>
                  <w:r>
                    <w:rPr>
                      <w:rFonts w:hint="default" w:ascii="Times New Roman" w:hAnsi="Times New Roman" w:eastAsia="宋体" w:cs="Times New Roman"/>
                      <w:bCs/>
                      <w:color w:val="auto"/>
                      <w:kern w:val="2"/>
                      <w:sz w:val="21"/>
                      <w:szCs w:val="21"/>
                      <w:highlight w:val="none"/>
                    </w:rPr>
                    <w:t>t/a</w:t>
                  </w:r>
                </w:p>
              </w:tc>
            </w:tr>
            <w:tr w14:paraId="2307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 w:type="pct"/>
                  <w:vMerge w:val="continue"/>
                  <w:tcBorders>
                    <w:tl2br w:val="nil"/>
                    <w:tr2bl w:val="nil"/>
                  </w:tcBorders>
                  <w:noWrap w:val="0"/>
                  <w:vAlign w:val="center"/>
                </w:tcPr>
                <w:p w14:paraId="6EB1DAE1">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434" w:type="pct"/>
                  <w:vMerge w:val="continue"/>
                  <w:tcBorders>
                    <w:tl2br w:val="nil"/>
                    <w:tr2bl w:val="nil"/>
                  </w:tcBorders>
                  <w:noWrap w:val="0"/>
                  <w:vAlign w:val="center"/>
                </w:tcPr>
                <w:p w14:paraId="4B6EC446">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519" w:type="pct"/>
                  <w:vMerge w:val="continue"/>
                  <w:tcBorders>
                    <w:tl2br w:val="nil"/>
                    <w:tr2bl w:val="nil"/>
                  </w:tcBorders>
                  <w:noWrap w:val="0"/>
                  <w:vAlign w:val="center"/>
                </w:tcPr>
                <w:p w14:paraId="1504CCAE">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903" w:type="pct"/>
                  <w:tcBorders>
                    <w:tl2br w:val="nil"/>
                    <w:tr2bl w:val="nil"/>
                  </w:tcBorders>
                  <w:noWrap w:val="0"/>
                  <w:vAlign w:val="center"/>
                </w:tcPr>
                <w:p w14:paraId="0DD0DCD6">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r>
                    <w:rPr>
                      <w:rFonts w:hint="default" w:ascii="Times New Roman" w:hAnsi="Times New Roman" w:eastAsia="宋体" w:cs="Times New Roman"/>
                      <w:bCs/>
                      <w:color w:val="auto"/>
                      <w:kern w:val="2"/>
                      <w:sz w:val="21"/>
                      <w:szCs w:val="21"/>
                      <w:highlight w:val="none"/>
                    </w:rPr>
                    <w:t>氮氧化物</w:t>
                  </w:r>
                </w:p>
              </w:tc>
              <w:tc>
                <w:tcPr>
                  <w:tcW w:w="850" w:type="pct"/>
                  <w:tcBorders>
                    <w:tl2br w:val="nil"/>
                    <w:tr2bl w:val="nil"/>
                  </w:tcBorders>
                  <w:noWrap w:val="0"/>
                  <w:vAlign w:val="center"/>
                </w:tcPr>
                <w:p w14:paraId="56580779">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rPr>
                    <w:t>kg/t-产品</w:t>
                  </w:r>
                </w:p>
              </w:tc>
              <w:tc>
                <w:tcPr>
                  <w:tcW w:w="1214" w:type="dxa"/>
                  <w:tcBorders>
                    <w:tl2br w:val="nil"/>
                    <w:tr2bl w:val="nil"/>
                  </w:tcBorders>
                  <w:noWrap w:val="0"/>
                  <w:vAlign w:val="center"/>
                </w:tcPr>
                <w:p w14:paraId="77F9FD0A">
                  <w:pPr>
                    <w:pStyle w:val="135"/>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u w:val="none"/>
                      <w:lang w:val="en-US" w:eastAsia="zh-CN"/>
                    </w:rPr>
                  </w:pPr>
                  <w:r>
                    <w:rPr>
                      <w:rFonts w:ascii="Times New Roman"/>
                      <w:sz w:val="21"/>
                      <w:highlight w:val="none"/>
                      <w:u w:val="none"/>
                    </w:rPr>
                    <w:t>2.75</w:t>
                  </w:r>
                </w:p>
              </w:tc>
              <w:tc>
                <w:tcPr>
                  <w:tcW w:w="1072" w:type="pct"/>
                  <w:tcBorders>
                    <w:tl2br w:val="nil"/>
                    <w:tr2bl w:val="nil"/>
                  </w:tcBorders>
                  <w:noWrap w:val="0"/>
                  <w:vAlign w:val="center"/>
                </w:tcPr>
                <w:p w14:paraId="17C3CB7C">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cs="Times New Roman"/>
                      <w:bCs/>
                      <w:color w:val="auto"/>
                      <w:kern w:val="2"/>
                      <w:sz w:val="21"/>
                      <w:szCs w:val="21"/>
                      <w:highlight w:val="none"/>
                      <w:lang w:val="en-US" w:eastAsia="zh-CN"/>
                    </w:rPr>
                    <w:t>4.68</w:t>
                  </w:r>
                  <w:r>
                    <w:rPr>
                      <w:rFonts w:hint="default" w:ascii="Times New Roman" w:hAnsi="Times New Roman" w:eastAsia="宋体" w:cs="Times New Roman"/>
                      <w:bCs/>
                      <w:color w:val="auto"/>
                      <w:kern w:val="2"/>
                      <w:sz w:val="21"/>
                      <w:szCs w:val="21"/>
                      <w:highlight w:val="none"/>
                    </w:rPr>
                    <w:t>t/a</w:t>
                  </w:r>
                </w:p>
              </w:tc>
            </w:tr>
          </w:tbl>
          <w:p w14:paraId="54FD6D16">
            <w:pPr>
              <w:pStyle w:val="135"/>
              <w:spacing w:before="2" w:line="240" w:lineRule="auto"/>
              <w:ind w:right="-29"/>
              <w:jc w:val="left"/>
              <w:rPr>
                <w:rFonts w:hint="eastAsia" w:ascii="Times New Roman" w:hAnsi="Times New Roman" w:eastAsia="宋体" w:cs="宋体"/>
                <w:b/>
                <w:bCs/>
                <w:sz w:val="18"/>
                <w:szCs w:val="18"/>
                <w:highlight w:val="none"/>
                <w:u w:val="none"/>
                <w:lang w:val="en-US" w:eastAsia="zh-CN"/>
              </w:rPr>
            </w:pPr>
            <w:r>
              <w:rPr>
                <w:rFonts w:hint="eastAsia" w:ascii="Times New Roman" w:hAnsi="Times New Roman" w:eastAsia="宋体" w:cs="宋体"/>
                <w:b/>
                <w:bCs/>
                <w:sz w:val="18"/>
                <w:szCs w:val="18"/>
                <w:highlight w:val="none"/>
                <w:u w:val="none"/>
                <w:lang w:val="en-US" w:eastAsia="zh-CN"/>
              </w:rPr>
              <w:t>注：</w:t>
            </w:r>
            <w:r>
              <w:rPr>
                <w:b/>
                <w:bCs/>
                <w:sz w:val="18"/>
                <w:szCs w:val="18"/>
                <w:highlight w:val="none"/>
                <w:u w:val="none"/>
              </w:rPr>
              <w:t>产污系数表中气体燃料的二氧化硫的产污系数是以含硫量（</w:t>
            </w:r>
            <w:r>
              <w:rPr>
                <w:rFonts w:ascii="Times New Roman" w:eastAsia="Times New Roman"/>
                <w:b/>
                <w:bCs/>
                <w:sz w:val="18"/>
                <w:szCs w:val="18"/>
                <w:highlight w:val="none"/>
                <w:u w:val="none"/>
              </w:rPr>
              <w:t>S</w:t>
            </w:r>
            <w:r>
              <w:rPr>
                <w:b/>
                <w:bCs/>
                <w:sz w:val="18"/>
                <w:szCs w:val="18"/>
                <w:highlight w:val="none"/>
                <w:u w:val="none"/>
              </w:rPr>
              <w:t>）的形式表示的，其中含硫量（S）是指气体燃料中的硫含量，单位为毫克/立方米。例如燃料中含硫量（S）为200毫克/立方米，则S=200。本项目取S=343计</w:t>
            </w:r>
            <w:r>
              <w:rPr>
                <w:rFonts w:hint="eastAsia"/>
                <w:b/>
                <w:bCs/>
                <w:sz w:val="18"/>
                <w:szCs w:val="18"/>
                <w:highlight w:val="none"/>
                <w:u w:val="none"/>
                <w:lang w:eastAsia="zh-CN"/>
              </w:rPr>
              <w:t>。</w:t>
            </w:r>
          </w:p>
          <w:p w14:paraId="5E07D3F3">
            <w:pPr>
              <w:pStyle w:val="135"/>
              <w:spacing w:before="2" w:line="364" w:lineRule="auto"/>
              <w:ind w:left="109" w:right="-29" w:firstLine="480"/>
              <w:jc w:val="left"/>
              <w:rPr>
                <w:rFonts w:hint="eastAsia" w:ascii="Times New Roman" w:hAnsi="Times New Roman" w:eastAsia="宋体" w:cs="宋体"/>
                <w:color w:val="000000"/>
                <w:sz w:val="24"/>
                <w:highlight w:val="none"/>
                <w:lang w:val="en-US" w:eastAsia="zh-CN"/>
              </w:rPr>
            </w:pPr>
            <w:r>
              <w:rPr>
                <w:rFonts w:hint="eastAsia" w:ascii="Times New Roman" w:hAnsi="Times New Roman" w:eastAsia="宋体" w:cs="宋体"/>
                <w:color w:val="000000"/>
                <w:sz w:val="24"/>
                <w:highlight w:val="none"/>
                <w:lang w:val="en-US" w:eastAsia="zh-CN"/>
              </w:rPr>
              <w:t>炭化过程中产生的废气主要成分为木煤气、气态木焦油、气态木醋液、水蒸气、烟尘（颗粒物），以及部分燃烧转化燃烧转化的氮氧化物、二氧化硫等。木煤气主要成分为 CO、CO</w:t>
            </w:r>
            <w:r>
              <w:rPr>
                <w:rFonts w:hint="eastAsia" w:ascii="Times New Roman" w:hAnsi="Times New Roman" w:eastAsia="宋体" w:cs="宋体"/>
                <w:color w:val="000000"/>
                <w:sz w:val="24"/>
                <w:highlight w:val="none"/>
                <w:vertAlign w:val="subscript"/>
                <w:lang w:val="en-US" w:eastAsia="zh-CN"/>
              </w:rPr>
              <w:t>2</w:t>
            </w:r>
            <w:r>
              <w:rPr>
                <w:rFonts w:hint="eastAsia" w:ascii="Times New Roman" w:hAnsi="Times New Roman" w:eastAsia="宋体" w:cs="宋体"/>
                <w:color w:val="000000"/>
                <w:sz w:val="24"/>
                <w:highlight w:val="none"/>
                <w:lang w:val="en-US" w:eastAsia="zh-CN"/>
              </w:rPr>
              <w:t>、甲烷、乙烷及氢气等，经焚烧后能够完全转化为二氧化碳和水，气态木焦油、气态木醋液主要含碳、氢、O元素的有机化合物，焚烧后也能够完全转化为二氧化碳和水。</w:t>
            </w:r>
          </w:p>
          <w:p w14:paraId="6F0DA98A">
            <w:pPr>
              <w:pStyle w:val="135"/>
              <w:spacing w:before="2" w:line="364" w:lineRule="auto"/>
              <w:ind w:left="109" w:right="-29" w:firstLine="480"/>
              <w:jc w:val="left"/>
              <w:rPr>
                <w:rFonts w:hint="eastAsia" w:ascii="Times New Roman" w:hAnsi="Times New Roman" w:eastAsia="宋体" w:cs="宋体"/>
                <w:b/>
                <w:bCs/>
                <w:color w:val="000000"/>
                <w:sz w:val="24"/>
                <w:highlight w:val="none"/>
                <w:lang w:val="en-US" w:eastAsia="zh-CN"/>
              </w:rPr>
            </w:pPr>
            <w:r>
              <w:rPr>
                <w:rFonts w:hint="eastAsia" w:ascii="Times New Roman" w:hAnsi="Times New Roman" w:eastAsia="宋体" w:cs="宋体"/>
                <w:b/>
                <w:bCs/>
                <w:color w:val="000000"/>
                <w:sz w:val="24"/>
                <w:highlight w:val="none"/>
                <w:lang w:val="en-US" w:eastAsia="zh-CN"/>
              </w:rPr>
              <w:t>不可燃烧气体：</w:t>
            </w:r>
          </w:p>
          <w:p w14:paraId="39E2283B">
            <w:pPr>
              <w:pStyle w:val="135"/>
              <w:spacing w:before="2" w:line="364" w:lineRule="auto"/>
              <w:ind w:left="109" w:right="-29" w:firstLine="480"/>
              <w:jc w:val="left"/>
              <w:rPr>
                <w:rFonts w:hint="eastAsia" w:ascii="Times New Roman" w:hAnsi="Times New Roman" w:eastAsia="宋体" w:cs="宋体"/>
                <w:sz w:val="24"/>
                <w:highlight w:val="none"/>
                <w:lang w:val="en-US" w:eastAsia="zh-CN"/>
              </w:rPr>
            </w:pPr>
            <w:r>
              <w:rPr>
                <w:rFonts w:hint="eastAsia" w:ascii="Times New Roman" w:hAnsi="Times New Roman" w:eastAsia="宋体" w:cs="宋体"/>
                <w:sz w:val="24"/>
                <w:highlight w:val="none"/>
                <w:lang w:val="en-US" w:eastAsia="zh-CN"/>
              </w:rPr>
              <w:t>项目炭化过程是一个复杂、持续、逐渐转化的过程，炭化过程中产生少量不可燃气体，主要为颗粒物、SO</w:t>
            </w:r>
            <w:r>
              <w:rPr>
                <w:rFonts w:hint="eastAsia" w:ascii="Times New Roman" w:hAnsi="Times New Roman" w:eastAsia="宋体" w:cs="宋体"/>
                <w:sz w:val="24"/>
                <w:highlight w:val="none"/>
                <w:vertAlign w:val="subscript"/>
                <w:lang w:val="en-US" w:eastAsia="zh-CN"/>
              </w:rPr>
              <w:t>2</w:t>
            </w:r>
            <w:r>
              <w:rPr>
                <w:rFonts w:hint="eastAsia" w:ascii="Times New Roman" w:hAnsi="Times New Roman" w:eastAsia="宋体" w:cs="宋体"/>
                <w:sz w:val="24"/>
                <w:highlight w:val="none"/>
                <w:lang w:val="en-US" w:eastAsia="zh-CN"/>
              </w:rPr>
              <w:t>、NOx。</w:t>
            </w:r>
          </w:p>
          <w:p w14:paraId="61EC0CBB">
            <w:pPr>
              <w:pStyle w:val="135"/>
              <w:spacing w:before="2" w:line="364" w:lineRule="auto"/>
              <w:ind w:left="109" w:right="-29" w:firstLine="480"/>
              <w:jc w:val="left"/>
              <w:rPr>
                <w:rFonts w:hint="eastAsia" w:ascii="Times New Roman" w:hAnsi="Times New Roman" w:eastAsia="宋体" w:cs="宋体"/>
                <w:sz w:val="24"/>
                <w:highlight w:val="none"/>
                <w:lang w:val="en-US" w:eastAsia="zh-CN"/>
              </w:rPr>
            </w:pPr>
            <w:r>
              <w:rPr>
                <w:rFonts w:hint="eastAsia" w:ascii="Times New Roman" w:hAnsi="Times New Roman" w:eastAsia="宋体" w:cs="宋体"/>
                <w:sz w:val="24"/>
                <w:highlight w:val="none"/>
                <w:lang w:val="en-US" w:eastAsia="zh-CN"/>
              </w:rPr>
              <w:t>参考《排放源统计调查产排污核算方法和系数手册》中“2663林产化学品制造行业系数表中活性炭产品系数表”中的以木屑为原料，产品为活性炭的“炭化+物理活化”工段产污系数，</w:t>
            </w:r>
            <w:r>
              <w:rPr>
                <w:rFonts w:hint="eastAsia" w:ascii="Times New Roman" w:hAnsi="Times New Roman" w:eastAsia="宋体" w:cs="Times New Roman"/>
                <w:spacing w:val="0"/>
                <w:w w:val="100"/>
                <w:sz w:val="24"/>
                <w:szCs w:val="24"/>
                <w:highlight w:val="none"/>
                <w:lang w:val="en-US" w:eastAsia="zh-CN"/>
              </w:rPr>
              <w:t>本项目年产环保炭2000t，</w:t>
            </w:r>
            <w:r>
              <w:rPr>
                <w:rFonts w:hint="eastAsia" w:ascii="Times New Roman" w:hAnsi="Times New Roman" w:eastAsia="宋体" w:cs="宋体"/>
                <w:sz w:val="24"/>
                <w:highlight w:val="none"/>
                <w:lang w:val="en-US" w:eastAsia="zh-CN"/>
              </w:rPr>
              <w:t>项目机制炭废气产排情况如下。</w:t>
            </w:r>
          </w:p>
          <w:p w14:paraId="2A6B3E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imes New Roman" w:cs="宋体"/>
                <w:b/>
                <w:bCs/>
                <w:i w:val="0"/>
                <w:iCs w:val="0"/>
                <w:sz w:val="24"/>
                <w:szCs w:val="24"/>
                <w:highlight w:val="none"/>
                <w:u w:val="none"/>
                <w:lang w:val="en-US" w:eastAsia="zh-CN"/>
              </w:rPr>
            </w:pPr>
            <w:r>
              <w:rPr>
                <w:rFonts w:ascii="Times New Roman" w:hAnsi="Times New Roman" w:eastAsia="Times New Roman" w:cs="宋体"/>
                <w:b/>
                <w:bCs/>
                <w:i w:val="0"/>
                <w:iCs w:val="0"/>
                <w:sz w:val="24"/>
                <w:szCs w:val="24"/>
                <w:highlight w:val="none"/>
                <w:u w:val="none"/>
              </w:rPr>
              <w:t>表</w:t>
            </w:r>
            <w:r>
              <w:rPr>
                <w:rFonts w:hint="eastAsia" w:cs="宋体"/>
                <w:b/>
                <w:bCs/>
                <w:i w:val="0"/>
                <w:iCs w:val="0"/>
                <w:sz w:val="24"/>
                <w:szCs w:val="24"/>
                <w:highlight w:val="none"/>
                <w:u w:val="none"/>
                <w:lang w:val="en-US" w:eastAsia="zh-CN"/>
              </w:rPr>
              <w:t xml:space="preserve">4-5 </w:t>
            </w:r>
            <w:r>
              <w:rPr>
                <w:rFonts w:ascii="Times New Roman" w:hAnsi="Times New Roman" w:eastAsia="Times New Roman" w:cs="宋体"/>
                <w:b/>
                <w:bCs/>
                <w:i w:val="0"/>
                <w:iCs w:val="0"/>
                <w:sz w:val="24"/>
                <w:szCs w:val="24"/>
                <w:highlight w:val="none"/>
                <w:u w:val="none"/>
              </w:rPr>
              <w:t xml:space="preserve"> 炭化炉不可燃废气产排污系数及核算结果一览表</w:t>
            </w:r>
          </w:p>
          <w:tbl>
            <w:tblPr>
              <w:tblStyle w:val="186"/>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147"/>
              <w:gridCol w:w="1097"/>
              <w:gridCol w:w="1275"/>
              <w:gridCol w:w="1668"/>
              <w:gridCol w:w="1135"/>
              <w:gridCol w:w="1391"/>
            </w:tblGrid>
            <w:tr w14:paraId="5ECF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25" w:type="pct"/>
                  <w:tcBorders>
                    <w:tl2br w:val="nil"/>
                    <w:tr2bl w:val="nil"/>
                  </w:tcBorders>
                  <w:noWrap w:val="0"/>
                  <w:vAlign w:val="center"/>
                </w:tcPr>
                <w:p w14:paraId="518E1EA2">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
                      <w:bCs w:val="0"/>
                      <w:color w:val="auto"/>
                      <w:kern w:val="2"/>
                      <w:sz w:val="21"/>
                      <w:szCs w:val="21"/>
                      <w:highlight w:val="none"/>
                      <w:lang w:val="en-US" w:eastAsia="zh-CN"/>
                    </w:rPr>
                  </w:pPr>
                  <w:r>
                    <w:rPr>
                      <w:rFonts w:hint="eastAsia" w:ascii="Times New Roman" w:hAnsi="Times New Roman" w:eastAsia="宋体" w:cs="Times New Roman"/>
                      <w:b/>
                      <w:bCs w:val="0"/>
                      <w:color w:val="auto"/>
                      <w:kern w:val="2"/>
                      <w:sz w:val="21"/>
                      <w:szCs w:val="21"/>
                      <w:highlight w:val="none"/>
                      <w:lang w:val="en-US" w:eastAsia="zh-CN"/>
                    </w:rPr>
                    <w:t>原料名称</w:t>
                  </w:r>
                </w:p>
              </w:tc>
              <w:tc>
                <w:tcPr>
                  <w:tcW w:w="650" w:type="pct"/>
                  <w:tcBorders>
                    <w:tl2br w:val="nil"/>
                    <w:tr2bl w:val="nil"/>
                  </w:tcBorders>
                  <w:noWrap w:val="0"/>
                  <w:vAlign w:val="center"/>
                </w:tcPr>
                <w:p w14:paraId="30259CD1">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
                      <w:bCs w:val="0"/>
                      <w:color w:val="auto"/>
                      <w:kern w:val="2"/>
                      <w:sz w:val="21"/>
                      <w:szCs w:val="21"/>
                      <w:highlight w:val="none"/>
                      <w:lang w:val="en-US" w:eastAsia="zh-CN"/>
                    </w:rPr>
                  </w:pPr>
                  <w:r>
                    <w:rPr>
                      <w:rFonts w:hint="default" w:ascii="Times New Roman" w:hAnsi="Times New Roman" w:eastAsia="宋体" w:cs="Times New Roman"/>
                      <w:b/>
                      <w:bCs w:val="0"/>
                      <w:color w:val="auto"/>
                      <w:kern w:val="2"/>
                      <w:sz w:val="21"/>
                      <w:szCs w:val="21"/>
                      <w:highlight w:val="none"/>
                      <w:lang w:val="en-US" w:eastAsia="zh-CN"/>
                    </w:rPr>
                    <w:t>产品名称</w:t>
                  </w:r>
                </w:p>
              </w:tc>
              <w:tc>
                <w:tcPr>
                  <w:tcW w:w="622" w:type="pct"/>
                  <w:tcBorders>
                    <w:tl2br w:val="nil"/>
                    <w:tr2bl w:val="nil"/>
                  </w:tcBorders>
                  <w:noWrap w:val="0"/>
                  <w:vAlign w:val="center"/>
                </w:tcPr>
                <w:p w14:paraId="60532A44">
                  <w:pPr>
                    <w:keepNext w:val="0"/>
                    <w:keepLines w:val="0"/>
                    <w:pageBreakBefore w:val="0"/>
                    <w:kinsoku/>
                    <w:wordWrap/>
                    <w:overflowPunct/>
                    <w:topLinePunct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b/>
                      <w:bCs w:val="0"/>
                      <w:color w:val="auto"/>
                      <w:kern w:val="2"/>
                      <w:sz w:val="21"/>
                      <w:szCs w:val="21"/>
                      <w:highlight w:val="none"/>
                      <w:lang w:val="en-US" w:eastAsia="zh-CN"/>
                    </w:rPr>
                  </w:pPr>
                  <w:r>
                    <w:rPr>
                      <w:rFonts w:hint="default" w:ascii="Times New Roman" w:hAnsi="Times New Roman" w:eastAsia="宋体" w:cs="Times New Roman"/>
                      <w:b/>
                      <w:bCs w:val="0"/>
                      <w:color w:val="auto"/>
                      <w:kern w:val="2"/>
                      <w:sz w:val="21"/>
                      <w:szCs w:val="21"/>
                      <w:highlight w:val="none"/>
                      <w:lang w:val="en-US" w:eastAsia="zh-CN"/>
                    </w:rPr>
                    <w:t>工艺名称</w:t>
                  </w:r>
                </w:p>
              </w:tc>
              <w:tc>
                <w:tcPr>
                  <w:tcW w:w="723" w:type="pct"/>
                  <w:tcBorders>
                    <w:tl2br w:val="nil"/>
                    <w:tr2bl w:val="nil"/>
                  </w:tcBorders>
                  <w:noWrap w:val="0"/>
                  <w:vAlign w:val="center"/>
                </w:tcPr>
                <w:p w14:paraId="5DD34A12">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
                      <w:bCs w:val="0"/>
                      <w:color w:val="auto"/>
                      <w:kern w:val="2"/>
                      <w:sz w:val="21"/>
                      <w:szCs w:val="21"/>
                      <w:highlight w:val="none"/>
                      <w:lang w:val="en-US" w:eastAsia="zh-CN"/>
                    </w:rPr>
                  </w:pPr>
                  <w:r>
                    <w:rPr>
                      <w:rFonts w:hint="default" w:ascii="Times New Roman" w:hAnsi="Times New Roman" w:eastAsia="宋体" w:cs="Times New Roman"/>
                      <w:b/>
                      <w:bCs w:val="0"/>
                      <w:color w:val="auto"/>
                      <w:kern w:val="2"/>
                      <w:sz w:val="21"/>
                      <w:szCs w:val="21"/>
                      <w:highlight w:val="none"/>
                      <w:lang w:val="en-US" w:eastAsia="zh-CN"/>
                    </w:rPr>
                    <w:t>污染物</w:t>
                  </w:r>
                </w:p>
              </w:tc>
              <w:tc>
                <w:tcPr>
                  <w:tcW w:w="946" w:type="pct"/>
                  <w:tcBorders>
                    <w:tl2br w:val="nil"/>
                    <w:tr2bl w:val="nil"/>
                  </w:tcBorders>
                  <w:noWrap w:val="0"/>
                  <w:vAlign w:val="center"/>
                </w:tcPr>
                <w:p w14:paraId="0BC498AB">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
                      <w:bCs w:val="0"/>
                      <w:color w:val="auto"/>
                      <w:kern w:val="2"/>
                      <w:sz w:val="21"/>
                      <w:szCs w:val="21"/>
                      <w:highlight w:val="none"/>
                      <w:lang w:val="en-US" w:eastAsia="zh-CN"/>
                    </w:rPr>
                  </w:pPr>
                  <w:r>
                    <w:rPr>
                      <w:rFonts w:hint="default" w:ascii="Times New Roman" w:hAnsi="Times New Roman" w:eastAsia="宋体" w:cs="Times New Roman"/>
                      <w:b/>
                      <w:bCs w:val="0"/>
                      <w:color w:val="auto"/>
                      <w:kern w:val="2"/>
                      <w:sz w:val="21"/>
                      <w:szCs w:val="21"/>
                      <w:highlight w:val="none"/>
                      <w:lang w:val="en-US" w:eastAsia="zh-CN"/>
                    </w:rPr>
                    <w:t>单位</w:t>
                  </w:r>
                </w:p>
              </w:tc>
              <w:tc>
                <w:tcPr>
                  <w:tcW w:w="643" w:type="pct"/>
                  <w:tcBorders>
                    <w:tl2br w:val="nil"/>
                    <w:tr2bl w:val="nil"/>
                  </w:tcBorders>
                  <w:noWrap w:val="0"/>
                  <w:vAlign w:val="center"/>
                </w:tcPr>
                <w:p w14:paraId="4C6E6137">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
                      <w:bCs w:val="0"/>
                      <w:color w:val="auto"/>
                      <w:kern w:val="2"/>
                      <w:sz w:val="21"/>
                      <w:szCs w:val="21"/>
                      <w:highlight w:val="none"/>
                      <w:lang w:val="en-US" w:eastAsia="zh-CN"/>
                    </w:rPr>
                  </w:pPr>
                  <w:r>
                    <w:rPr>
                      <w:rFonts w:hint="default" w:ascii="Times New Roman" w:hAnsi="Times New Roman" w:eastAsia="宋体" w:cs="Times New Roman"/>
                      <w:b/>
                      <w:bCs w:val="0"/>
                      <w:color w:val="auto"/>
                      <w:kern w:val="2"/>
                      <w:sz w:val="21"/>
                      <w:szCs w:val="21"/>
                      <w:highlight w:val="none"/>
                      <w:lang w:val="en-US" w:eastAsia="zh-CN"/>
                    </w:rPr>
                    <w:t>产污系数</w:t>
                  </w:r>
                </w:p>
              </w:tc>
              <w:tc>
                <w:tcPr>
                  <w:tcW w:w="788" w:type="pct"/>
                  <w:tcBorders>
                    <w:tl2br w:val="nil"/>
                    <w:tr2bl w:val="nil"/>
                  </w:tcBorders>
                  <w:noWrap w:val="0"/>
                  <w:vAlign w:val="center"/>
                </w:tcPr>
                <w:p w14:paraId="3950D756">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
                      <w:bCs w:val="0"/>
                      <w:color w:val="auto"/>
                      <w:kern w:val="2"/>
                      <w:sz w:val="21"/>
                      <w:szCs w:val="21"/>
                      <w:highlight w:val="none"/>
                      <w:lang w:val="en-US" w:eastAsia="zh-CN"/>
                    </w:rPr>
                  </w:pPr>
                  <w:r>
                    <w:rPr>
                      <w:rFonts w:hint="default" w:ascii="Times New Roman" w:hAnsi="Times New Roman" w:eastAsia="宋体" w:cs="Times New Roman"/>
                      <w:b/>
                      <w:bCs w:val="0"/>
                      <w:color w:val="auto"/>
                      <w:kern w:val="2"/>
                      <w:sz w:val="21"/>
                      <w:szCs w:val="21"/>
                      <w:highlight w:val="none"/>
                      <w:lang w:val="en-US" w:eastAsia="zh-CN"/>
                    </w:rPr>
                    <w:t>计算结果</w:t>
                  </w:r>
                </w:p>
              </w:tc>
            </w:tr>
            <w:tr w14:paraId="0796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5" w:type="pct"/>
                  <w:vMerge w:val="restart"/>
                  <w:tcBorders>
                    <w:tl2br w:val="nil"/>
                    <w:tr2bl w:val="nil"/>
                  </w:tcBorders>
                  <w:noWrap w:val="0"/>
                  <w:vAlign w:val="center"/>
                </w:tcPr>
                <w:p w14:paraId="217FE683">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ascii="Times New Roman" w:hAnsi="Times New Roman" w:eastAsia="宋体" w:cs="Times New Roman"/>
                      <w:bCs/>
                      <w:color w:val="auto"/>
                      <w:kern w:val="2"/>
                      <w:sz w:val="21"/>
                      <w:szCs w:val="21"/>
                      <w:highlight w:val="none"/>
                      <w:lang w:val="en-US" w:eastAsia="zh-CN"/>
                    </w:rPr>
                    <w:t>木屑</w:t>
                  </w:r>
                </w:p>
              </w:tc>
              <w:tc>
                <w:tcPr>
                  <w:tcW w:w="650" w:type="pct"/>
                  <w:vMerge w:val="restart"/>
                  <w:tcBorders>
                    <w:tl2br w:val="nil"/>
                    <w:tr2bl w:val="nil"/>
                  </w:tcBorders>
                  <w:noWrap w:val="0"/>
                  <w:vAlign w:val="center"/>
                </w:tcPr>
                <w:p w14:paraId="1E874C84">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lang w:val="en-US" w:eastAsia="zh-CN"/>
                    </w:rPr>
                    <w:t>活性炭</w:t>
                  </w:r>
                </w:p>
              </w:tc>
              <w:tc>
                <w:tcPr>
                  <w:tcW w:w="622" w:type="pct"/>
                  <w:vMerge w:val="restart"/>
                  <w:tcBorders>
                    <w:tl2br w:val="nil"/>
                    <w:tr2bl w:val="nil"/>
                  </w:tcBorders>
                  <w:noWrap w:val="0"/>
                  <w:vAlign w:val="center"/>
                </w:tcPr>
                <w:p w14:paraId="734DB45E">
                  <w:pPr>
                    <w:keepNext w:val="0"/>
                    <w:keepLines w:val="0"/>
                    <w:pageBreakBefore w:val="0"/>
                    <w:kinsoku/>
                    <w:wordWrap/>
                    <w:overflowPunct/>
                    <w:topLinePunct w:val="0"/>
                    <w:bidi w:val="0"/>
                    <w:adjustRightInd w:val="0"/>
                    <w:snapToGrid w:val="0"/>
                    <w:spacing w:line="240" w:lineRule="auto"/>
                    <w:ind w:left="0" w:leftChars="0" w:right="0" w:rightChars="0"/>
                    <w:jc w:val="center"/>
                    <w:textAlignment w:val="baseline"/>
                    <w:rPr>
                      <w:rFonts w:hint="default" w:ascii="Times New Roman" w:hAnsi="Times New Roman" w:eastAsia="宋体" w:cs="Times New Roman"/>
                      <w:bCs/>
                      <w:color w:val="auto"/>
                      <w:kern w:val="2"/>
                      <w:sz w:val="21"/>
                      <w:szCs w:val="21"/>
                      <w:highlight w:val="none"/>
                      <w:lang w:eastAsia="zh-CN"/>
                    </w:rPr>
                  </w:pPr>
                  <w:r>
                    <w:rPr>
                      <w:rFonts w:hint="default" w:ascii="Times New Roman" w:hAnsi="Times New Roman" w:eastAsia="宋体" w:cs="Times New Roman"/>
                      <w:bCs/>
                      <w:color w:val="auto"/>
                      <w:kern w:val="2"/>
                      <w:sz w:val="21"/>
                      <w:szCs w:val="21"/>
                      <w:highlight w:val="none"/>
                      <w:lang w:eastAsia="zh-CN"/>
                    </w:rPr>
                    <w:t>炭化+物理</w:t>
                  </w:r>
                  <w:r>
                    <w:rPr>
                      <w:rFonts w:hint="eastAsia" w:ascii="Times New Roman" w:hAnsi="Times New Roman" w:eastAsia="宋体" w:cs="Times New Roman"/>
                      <w:bCs/>
                      <w:color w:val="auto"/>
                      <w:kern w:val="2"/>
                      <w:sz w:val="21"/>
                      <w:szCs w:val="21"/>
                      <w:highlight w:val="none"/>
                      <w:lang w:val="en-US" w:eastAsia="zh-CN"/>
                    </w:rPr>
                    <w:t>活</w:t>
                  </w:r>
                  <w:r>
                    <w:rPr>
                      <w:rFonts w:hint="default" w:ascii="Times New Roman" w:hAnsi="Times New Roman" w:eastAsia="宋体" w:cs="Times New Roman"/>
                      <w:bCs/>
                      <w:color w:val="auto"/>
                      <w:kern w:val="2"/>
                      <w:sz w:val="21"/>
                      <w:szCs w:val="21"/>
                      <w:highlight w:val="none"/>
                      <w:lang w:eastAsia="zh-CN"/>
                    </w:rPr>
                    <w:t>化</w:t>
                  </w:r>
                </w:p>
              </w:tc>
              <w:tc>
                <w:tcPr>
                  <w:tcW w:w="723" w:type="pct"/>
                  <w:tcBorders>
                    <w:tl2br w:val="nil"/>
                    <w:tr2bl w:val="nil"/>
                  </w:tcBorders>
                  <w:noWrap w:val="0"/>
                  <w:vAlign w:val="center"/>
                </w:tcPr>
                <w:p w14:paraId="46F9E812">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r>
                    <w:rPr>
                      <w:rFonts w:hint="default" w:ascii="Times New Roman" w:hAnsi="Times New Roman" w:eastAsia="宋体" w:cs="Times New Roman"/>
                      <w:bCs/>
                      <w:color w:val="auto"/>
                      <w:kern w:val="2"/>
                      <w:sz w:val="21"/>
                      <w:szCs w:val="21"/>
                      <w:highlight w:val="none"/>
                    </w:rPr>
                    <w:t>工业废气量</w:t>
                  </w:r>
                </w:p>
              </w:tc>
              <w:tc>
                <w:tcPr>
                  <w:tcW w:w="946" w:type="pct"/>
                  <w:tcBorders>
                    <w:tl2br w:val="nil"/>
                    <w:tr2bl w:val="nil"/>
                  </w:tcBorders>
                  <w:noWrap w:val="0"/>
                  <w:vAlign w:val="center"/>
                </w:tcPr>
                <w:p w14:paraId="03396C30">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rPr>
                    <w:t>标立方米/t-产品</w:t>
                  </w:r>
                </w:p>
              </w:tc>
              <w:tc>
                <w:tcPr>
                  <w:tcW w:w="643" w:type="pct"/>
                  <w:tcBorders>
                    <w:tl2br w:val="nil"/>
                    <w:tr2bl w:val="nil"/>
                  </w:tcBorders>
                  <w:noWrap w:val="0"/>
                  <w:vAlign w:val="center"/>
                </w:tcPr>
                <w:p w14:paraId="3D568D91">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eastAsia"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rPr>
                    <w:t>4</w:t>
                  </w:r>
                  <w:r>
                    <w:rPr>
                      <w:rFonts w:hint="eastAsia" w:ascii="Times New Roman" w:hAnsi="Times New Roman" w:eastAsia="宋体" w:cs="Times New Roman"/>
                      <w:bCs/>
                      <w:color w:val="auto"/>
                      <w:kern w:val="2"/>
                      <w:sz w:val="21"/>
                      <w:szCs w:val="21"/>
                      <w:highlight w:val="none"/>
                      <w:lang w:val="en-US" w:eastAsia="zh-CN"/>
                    </w:rPr>
                    <w:t>66</w:t>
                  </w:r>
                  <w:r>
                    <w:rPr>
                      <w:rFonts w:hint="default" w:ascii="Times New Roman" w:hAnsi="Times New Roman" w:eastAsia="宋体" w:cs="Times New Roman"/>
                      <w:bCs/>
                      <w:color w:val="auto"/>
                      <w:kern w:val="2"/>
                      <w:sz w:val="21"/>
                      <w:szCs w:val="21"/>
                      <w:highlight w:val="none"/>
                    </w:rPr>
                    <w:t>0</w:t>
                  </w:r>
                  <w:r>
                    <w:rPr>
                      <w:rFonts w:hint="eastAsia" w:ascii="Times New Roman" w:hAnsi="Times New Roman" w:eastAsia="宋体" w:cs="Times New Roman"/>
                      <w:bCs/>
                      <w:color w:val="auto"/>
                      <w:kern w:val="2"/>
                      <w:sz w:val="21"/>
                      <w:szCs w:val="21"/>
                      <w:highlight w:val="none"/>
                      <w:lang w:val="en-US" w:eastAsia="zh-CN"/>
                    </w:rPr>
                    <w:t>0</w:t>
                  </w:r>
                </w:p>
              </w:tc>
              <w:tc>
                <w:tcPr>
                  <w:tcW w:w="788" w:type="pct"/>
                  <w:tcBorders>
                    <w:tl2br w:val="nil"/>
                    <w:tr2bl w:val="nil"/>
                  </w:tcBorders>
                  <w:noWrap w:val="0"/>
                  <w:vAlign w:val="center"/>
                </w:tcPr>
                <w:p w14:paraId="2958E59D">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ascii="Times New Roman" w:hAnsi="Times New Roman" w:eastAsia="宋体" w:cs="Times New Roman"/>
                      <w:bCs/>
                      <w:color w:val="auto"/>
                      <w:kern w:val="2"/>
                      <w:sz w:val="21"/>
                      <w:szCs w:val="21"/>
                      <w:highlight w:val="none"/>
                      <w:lang w:val="en-US" w:eastAsia="zh-CN"/>
                    </w:rPr>
                    <w:t>932</w:t>
                  </w:r>
                  <w:r>
                    <w:rPr>
                      <w:rFonts w:hint="eastAsia" w:cs="Times New Roman"/>
                      <w:bCs/>
                      <w:color w:val="auto"/>
                      <w:kern w:val="2"/>
                      <w:sz w:val="21"/>
                      <w:szCs w:val="21"/>
                      <w:highlight w:val="none"/>
                      <w:lang w:val="en-US" w:eastAsia="zh-CN"/>
                    </w:rPr>
                    <w:t>0</w:t>
                  </w:r>
                  <w:r>
                    <w:rPr>
                      <w:rFonts w:hint="default" w:ascii="Times New Roman" w:hAnsi="Times New Roman" w:eastAsia="宋体" w:cs="Times New Roman"/>
                      <w:bCs/>
                      <w:color w:val="auto"/>
                      <w:kern w:val="2"/>
                      <w:sz w:val="21"/>
                      <w:szCs w:val="21"/>
                      <w:highlight w:val="none"/>
                    </w:rPr>
                    <w:t>万m</w:t>
                  </w:r>
                  <w:r>
                    <w:rPr>
                      <w:rFonts w:hint="default" w:ascii="Times New Roman" w:hAnsi="Times New Roman" w:eastAsia="宋体" w:cs="Times New Roman"/>
                      <w:bCs/>
                      <w:color w:val="auto"/>
                      <w:kern w:val="2"/>
                      <w:sz w:val="21"/>
                      <w:szCs w:val="21"/>
                      <w:highlight w:val="none"/>
                      <w:vertAlign w:val="superscript"/>
                    </w:rPr>
                    <w:t>3</w:t>
                  </w:r>
                  <w:r>
                    <w:rPr>
                      <w:rFonts w:hint="default" w:ascii="Times New Roman" w:hAnsi="Times New Roman" w:eastAsia="宋体" w:cs="Times New Roman"/>
                      <w:bCs/>
                      <w:color w:val="auto"/>
                      <w:kern w:val="2"/>
                      <w:sz w:val="21"/>
                      <w:szCs w:val="21"/>
                      <w:highlight w:val="none"/>
                    </w:rPr>
                    <w:t>/a</w:t>
                  </w:r>
                </w:p>
              </w:tc>
            </w:tr>
            <w:tr w14:paraId="4C24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5" w:type="pct"/>
                  <w:vMerge w:val="continue"/>
                  <w:tcBorders>
                    <w:tl2br w:val="nil"/>
                    <w:tr2bl w:val="nil"/>
                  </w:tcBorders>
                  <w:noWrap w:val="0"/>
                  <w:vAlign w:val="center"/>
                </w:tcPr>
                <w:p w14:paraId="3B70B73F">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650" w:type="pct"/>
                  <w:vMerge w:val="continue"/>
                  <w:tcBorders>
                    <w:tl2br w:val="nil"/>
                    <w:tr2bl w:val="nil"/>
                  </w:tcBorders>
                  <w:noWrap w:val="0"/>
                  <w:vAlign w:val="center"/>
                </w:tcPr>
                <w:p w14:paraId="1FDCE79A">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622" w:type="pct"/>
                  <w:vMerge w:val="continue"/>
                  <w:tcBorders>
                    <w:tl2br w:val="nil"/>
                    <w:tr2bl w:val="nil"/>
                  </w:tcBorders>
                  <w:noWrap w:val="0"/>
                  <w:vAlign w:val="center"/>
                </w:tcPr>
                <w:p w14:paraId="4B0035F9">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723" w:type="pct"/>
                  <w:tcBorders>
                    <w:tl2br w:val="nil"/>
                    <w:tr2bl w:val="nil"/>
                  </w:tcBorders>
                  <w:noWrap w:val="0"/>
                  <w:vAlign w:val="center"/>
                </w:tcPr>
                <w:p w14:paraId="08F9061B">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r>
                    <w:rPr>
                      <w:rFonts w:hint="default" w:ascii="Times New Roman" w:hAnsi="Times New Roman" w:eastAsia="宋体" w:cs="Times New Roman"/>
                      <w:bCs/>
                      <w:color w:val="auto"/>
                      <w:kern w:val="2"/>
                      <w:sz w:val="21"/>
                      <w:szCs w:val="21"/>
                      <w:highlight w:val="none"/>
                    </w:rPr>
                    <w:t>二氧化硫</w:t>
                  </w:r>
                </w:p>
              </w:tc>
              <w:tc>
                <w:tcPr>
                  <w:tcW w:w="946" w:type="pct"/>
                  <w:tcBorders>
                    <w:tl2br w:val="nil"/>
                    <w:tr2bl w:val="nil"/>
                  </w:tcBorders>
                  <w:noWrap w:val="0"/>
                  <w:vAlign w:val="center"/>
                </w:tcPr>
                <w:p w14:paraId="4FAB590E">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rPr>
                    <w:t>kg/ t--产品</w:t>
                  </w:r>
                </w:p>
              </w:tc>
              <w:tc>
                <w:tcPr>
                  <w:tcW w:w="643" w:type="pct"/>
                  <w:tcBorders>
                    <w:tl2br w:val="nil"/>
                    <w:tr2bl w:val="nil"/>
                  </w:tcBorders>
                  <w:noWrap w:val="0"/>
                  <w:vAlign w:val="center"/>
                </w:tcPr>
                <w:p w14:paraId="6E79A2B2">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ascii="Times New Roman" w:hAnsi="Times New Roman" w:eastAsia="宋体" w:cs="Times New Roman"/>
                      <w:bCs/>
                      <w:color w:val="auto"/>
                      <w:kern w:val="2"/>
                      <w:sz w:val="21"/>
                      <w:szCs w:val="21"/>
                      <w:highlight w:val="none"/>
                      <w:lang w:val="en-US" w:eastAsia="zh-CN"/>
                    </w:rPr>
                    <w:t>8.80</w:t>
                  </w:r>
                </w:p>
              </w:tc>
              <w:tc>
                <w:tcPr>
                  <w:tcW w:w="788" w:type="pct"/>
                  <w:tcBorders>
                    <w:tl2br w:val="nil"/>
                    <w:tr2bl w:val="nil"/>
                  </w:tcBorders>
                  <w:noWrap w:val="0"/>
                  <w:vAlign w:val="center"/>
                </w:tcPr>
                <w:p w14:paraId="77A91F73">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cs="Times New Roman"/>
                      <w:bCs/>
                      <w:color w:val="auto"/>
                      <w:kern w:val="2"/>
                      <w:sz w:val="21"/>
                      <w:szCs w:val="21"/>
                      <w:highlight w:val="none"/>
                      <w:lang w:val="en-US" w:eastAsia="zh-CN"/>
                    </w:rPr>
                    <w:t>17.6</w:t>
                  </w:r>
                  <w:r>
                    <w:rPr>
                      <w:rFonts w:hint="default" w:ascii="Times New Roman" w:hAnsi="Times New Roman" w:eastAsia="宋体" w:cs="Times New Roman"/>
                      <w:bCs/>
                      <w:color w:val="auto"/>
                      <w:kern w:val="2"/>
                      <w:sz w:val="21"/>
                      <w:szCs w:val="21"/>
                      <w:highlight w:val="none"/>
                    </w:rPr>
                    <w:t>t/a</w:t>
                  </w:r>
                </w:p>
              </w:tc>
            </w:tr>
            <w:tr w14:paraId="3BAE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25" w:type="pct"/>
                  <w:vMerge w:val="continue"/>
                  <w:tcBorders>
                    <w:tl2br w:val="nil"/>
                    <w:tr2bl w:val="nil"/>
                  </w:tcBorders>
                  <w:noWrap w:val="0"/>
                  <w:vAlign w:val="center"/>
                </w:tcPr>
                <w:p w14:paraId="58A44B0C">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p>
              </w:tc>
              <w:tc>
                <w:tcPr>
                  <w:tcW w:w="650" w:type="pct"/>
                  <w:vMerge w:val="continue"/>
                  <w:tcBorders>
                    <w:tl2br w:val="nil"/>
                    <w:tr2bl w:val="nil"/>
                  </w:tcBorders>
                  <w:noWrap w:val="0"/>
                  <w:vAlign w:val="center"/>
                </w:tcPr>
                <w:p w14:paraId="25810E14">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p>
              </w:tc>
              <w:tc>
                <w:tcPr>
                  <w:tcW w:w="622" w:type="pct"/>
                  <w:vMerge w:val="continue"/>
                  <w:tcBorders>
                    <w:tl2br w:val="nil"/>
                    <w:tr2bl w:val="nil"/>
                  </w:tcBorders>
                  <w:noWrap w:val="0"/>
                  <w:vAlign w:val="center"/>
                </w:tcPr>
                <w:p w14:paraId="1F5E807F">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p>
              </w:tc>
              <w:tc>
                <w:tcPr>
                  <w:tcW w:w="723" w:type="pct"/>
                  <w:tcBorders>
                    <w:tl2br w:val="nil"/>
                    <w:tr2bl w:val="nil"/>
                  </w:tcBorders>
                  <w:noWrap w:val="0"/>
                  <w:vAlign w:val="center"/>
                </w:tcPr>
                <w:p w14:paraId="18C09271">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rPr>
                    <w:t>颗粒物</w:t>
                  </w:r>
                </w:p>
              </w:tc>
              <w:tc>
                <w:tcPr>
                  <w:tcW w:w="946" w:type="pct"/>
                  <w:tcBorders>
                    <w:tl2br w:val="nil"/>
                    <w:tr2bl w:val="nil"/>
                  </w:tcBorders>
                  <w:noWrap w:val="0"/>
                  <w:vAlign w:val="center"/>
                </w:tcPr>
                <w:p w14:paraId="7D31D9C4">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rPr>
                    <w:t>kg/ t-产品</w:t>
                  </w:r>
                </w:p>
              </w:tc>
              <w:tc>
                <w:tcPr>
                  <w:tcW w:w="643" w:type="pct"/>
                  <w:tcBorders>
                    <w:tl2br w:val="nil"/>
                    <w:tr2bl w:val="nil"/>
                  </w:tcBorders>
                  <w:noWrap w:val="0"/>
                  <w:vAlign w:val="center"/>
                </w:tcPr>
                <w:p w14:paraId="7169A89F">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rPr>
                    <w:t>2.</w:t>
                  </w:r>
                  <w:r>
                    <w:rPr>
                      <w:rFonts w:hint="eastAsia" w:ascii="Times New Roman" w:hAnsi="Times New Roman" w:eastAsia="宋体" w:cs="Times New Roman"/>
                      <w:bCs/>
                      <w:color w:val="auto"/>
                      <w:kern w:val="2"/>
                      <w:sz w:val="21"/>
                      <w:szCs w:val="21"/>
                      <w:highlight w:val="none"/>
                      <w:lang w:val="en-US" w:eastAsia="zh-CN"/>
                    </w:rPr>
                    <w:t>9</w:t>
                  </w:r>
                  <w:r>
                    <w:rPr>
                      <w:rFonts w:hint="default" w:ascii="Times New Roman" w:hAnsi="Times New Roman" w:eastAsia="宋体" w:cs="Times New Roman"/>
                      <w:bCs/>
                      <w:color w:val="auto"/>
                      <w:kern w:val="2"/>
                      <w:sz w:val="21"/>
                      <w:szCs w:val="21"/>
                      <w:highlight w:val="none"/>
                    </w:rPr>
                    <w:t>5</w:t>
                  </w:r>
                </w:p>
              </w:tc>
              <w:tc>
                <w:tcPr>
                  <w:tcW w:w="788" w:type="pct"/>
                  <w:tcBorders>
                    <w:tl2br w:val="nil"/>
                    <w:tr2bl w:val="nil"/>
                  </w:tcBorders>
                  <w:noWrap w:val="0"/>
                  <w:vAlign w:val="center"/>
                </w:tcPr>
                <w:p w14:paraId="1CE038B0">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cs="Times New Roman"/>
                      <w:bCs/>
                      <w:color w:val="auto"/>
                      <w:kern w:val="2"/>
                      <w:sz w:val="21"/>
                      <w:szCs w:val="21"/>
                      <w:highlight w:val="none"/>
                      <w:lang w:val="en-US" w:eastAsia="zh-CN"/>
                    </w:rPr>
                    <w:t>5.9</w:t>
                  </w:r>
                  <w:r>
                    <w:rPr>
                      <w:rFonts w:hint="default" w:ascii="Times New Roman" w:hAnsi="Times New Roman" w:eastAsia="宋体" w:cs="Times New Roman"/>
                      <w:bCs/>
                      <w:color w:val="auto"/>
                      <w:kern w:val="2"/>
                      <w:sz w:val="21"/>
                      <w:szCs w:val="21"/>
                      <w:highlight w:val="none"/>
                    </w:rPr>
                    <w:t>t/a</w:t>
                  </w:r>
                </w:p>
              </w:tc>
            </w:tr>
            <w:tr w14:paraId="4DC1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25" w:type="pct"/>
                  <w:vMerge w:val="continue"/>
                  <w:tcBorders>
                    <w:tl2br w:val="nil"/>
                    <w:tr2bl w:val="nil"/>
                  </w:tcBorders>
                  <w:noWrap w:val="0"/>
                  <w:vAlign w:val="center"/>
                </w:tcPr>
                <w:p w14:paraId="15BD34BC">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650" w:type="pct"/>
                  <w:vMerge w:val="continue"/>
                  <w:tcBorders>
                    <w:tl2br w:val="nil"/>
                    <w:tr2bl w:val="nil"/>
                  </w:tcBorders>
                  <w:noWrap w:val="0"/>
                  <w:vAlign w:val="center"/>
                </w:tcPr>
                <w:p w14:paraId="65AD487D">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622" w:type="pct"/>
                  <w:vMerge w:val="continue"/>
                  <w:tcBorders>
                    <w:tl2br w:val="nil"/>
                    <w:tr2bl w:val="nil"/>
                  </w:tcBorders>
                  <w:noWrap w:val="0"/>
                  <w:vAlign w:val="center"/>
                </w:tcPr>
                <w:p w14:paraId="77B5700F">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p>
              </w:tc>
              <w:tc>
                <w:tcPr>
                  <w:tcW w:w="723" w:type="pct"/>
                  <w:tcBorders>
                    <w:tl2br w:val="nil"/>
                    <w:tr2bl w:val="nil"/>
                  </w:tcBorders>
                  <w:noWrap w:val="0"/>
                  <w:vAlign w:val="center"/>
                </w:tcPr>
                <w:p w14:paraId="0C82C8BF">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eastAsia="zh-CN"/>
                    </w:rPr>
                  </w:pPr>
                  <w:r>
                    <w:rPr>
                      <w:rFonts w:hint="default" w:ascii="Times New Roman" w:hAnsi="Times New Roman" w:eastAsia="宋体" w:cs="Times New Roman"/>
                      <w:bCs/>
                      <w:color w:val="auto"/>
                      <w:kern w:val="2"/>
                      <w:sz w:val="21"/>
                      <w:szCs w:val="21"/>
                      <w:highlight w:val="none"/>
                    </w:rPr>
                    <w:t>氮氧化物</w:t>
                  </w:r>
                </w:p>
              </w:tc>
              <w:tc>
                <w:tcPr>
                  <w:tcW w:w="946" w:type="pct"/>
                  <w:tcBorders>
                    <w:tl2br w:val="nil"/>
                    <w:tr2bl w:val="nil"/>
                  </w:tcBorders>
                  <w:noWrap w:val="0"/>
                  <w:vAlign w:val="center"/>
                </w:tcPr>
                <w:p w14:paraId="6E6817B7">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default" w:ascii="Times New Roman" w:hAnsi="Times New Roman" w:eastAsia="宋体" w:cs="Times New Roman"/>
                      <w:bCs/>
                      <w:color w:val="auto"/>
                      <w:kern w:val="2"/>
                      <w:sz w:val="21"/>
                      <w:szCs w:val="21"/>
                      <w:highlight w:val="none"/>
                    </w:rPr>
                    <w:t>kg/t-产品</w:t>
                  </w:r>
                </w:p>
              </w:tc>
              <w:tc>
                <w:tcPr>
                  <w:tcW w:w="643" w:type="pct"/>
                  <w:tcBorders>
                    <w:tl2br w:val="nil"/>
                    <w:tr2bl w:val="nil"/>
                  </w:tcBorders>
                  <w:noWrap w:val="0"/>
                  <w:vAlign w:val="center"/>
                </w:tcPr>
                <w:p w14:paraId="4BC1D1CF">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ascii="Times New Roman" w:hAnsi="Times New Roman" w:eastAsia="宋体" w:cs="Times New Roman"/>
                      <w:bCs/>
                      <w:color w:val="auto"/>
                      <w:kern w:val="2"/>
                      <w:sz w:val="21"/>
                      <w:szCs w:val="21"/>
                      <w:highlight w:val="none"/>
                      <w:lang w:val="en-US" w:eastAsia="zh-CN"/>
                    </w:rPr>
                    <w:t>2.90</w:t>
                  </w:r>
                </w:p>
              </w:tc>
              <w:tc>
                <w:tcPr>
                  <w:tcW w:w="788" w:type="pct"/>
                  <w:tcBorders>
                    <w:tl2br w:val="nil"/>
                    <w:tr2bl w:val="nil"/>
                  </w:tcBorders>
                  <w:noWrap w:val="0"/>
                  <w:vAlign w:val="center"/>
                </w:tcPr>
                <w:p w14:paraId="43436B1C">
                  <w:pPr>
                    <w:keepNext w:val="0"/>
                    <w:keepLines w:val="0"/>
                    <w:pageBreakBefore w:val="0"/>
                    <w:kinsoku/>
                    <w:wordWrap/>
                    <w:overflowPunct/>
                    <w:topLinePunct w:val="0"/>
                    <w:bidi w:val="0"/>
                    <w:adjustRightInd w:val="0"/>
                    <w:snapToGrid w:val="0"/>
                    <w:spacing w:line="240" w:lineRule="auto"/>
                    <w:ind w:left="0" w:right="0"/>
                    <w:jc w:val="center"/>
                    <w:textAlignment w:val="baseline"/>
                    <w:rPr>
                      <w:rFonts w:hint="default" w:ascii="Times New Roman" w:hAnsi="Times New Roman" w:eastAsia="宋体" w:cs="Times New Roman"/>
                      <w:bCs/>
                      <w:color w:val="auto"/>
                      <w:kern w:val="2"/>
                      <w:sz w:val="21"/>
                      <w:szCs w:val="21"/>
                      <w:highlight w:val="none"/>
                      <w:lang w:val="en-US" w:eastAsia="zh-CN"/>
                    </w:rPr>
                  </w:pPr>
                  <w:r>
                    <w:rPr>
                      <w:rFonts w:hint="eastAsia" w:cs="Times New Roman"/>
                      <w:bCs/>
                      <w:color w:val="auto"/>
                      <w:kern w:val="2"/>
                      <w:sz w:val="21"/>
                      <w:szCs w:val="21"/>
                      <w:highlight w:val="none"/>
                      <w:lang w:val="en-US" w:eastAsia="zh-CN"/>
                    </w:rPr>
                    <w:t>5.8</w:t>
                  </w:r>
                  <w:r>
                    <w:rPr>
                      <w:rFonts w:hint="default" w:ascii="Times New Roman" w:hAnsi="Times New Roman" w:eastAsia="宋体" w:cs="Times New Roman"/>
                      <w:bCs/>
                      <w:color w:val="auto"/>
                      <w:kern w:val="2"/>
                      <w:sz w:val="21"/>
                      <w:szCs w:val="21"/>
                      <w:highlight w:val="none"/>
                    </w:rPr>
                    <w:t>t/a</w:t>
                  </w:r>
                </w:p>
              </w:tc>
            </w:tr>
          </w:tbl>
          <w:p w14:paraId="0F1FC6D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both"/>
              <w:textAlignment w:val="auto"/>
              <w:rPr>
                <w:b/>
                <w:color w:val="000000" w:themeColor="text1"/>
                <w:spacing w:val="0"/>
                <w:sz w:val="24"/>
                <w:szCs w:val="24"/>
                <w:highlight w:val="none"/>
                <w14:textFill>
                  <w14:solidFill>
                    <w14:schemeClr w14:val="tx1"/>
                  </w14:solidFill>
                </w14:textFill>
              </w:rPr>
            </w:pPr>
            <w:r>
              <w:rPr>
                <w:rFonts w:ascii="Times New Roman" w:hAnsi="Times New Roman" w:eastAsia="宋体" w:cs="宋体"/>
                <w:sz w:val="24"/>
              </w:rPr>
              <w:t>炭化废气</w:t>
            </w:r>
            <w:r>
              <w:rPr>
                <w:rFonts w:hint="eastAsia" w:ascii="Times New Roman" w:hAnsi="Times New Roman" w:cs="宋体"/>
                <w:sz w:val="24"/>
                <w:lang w:val="en-US" w:eastAsia="zh-CN"/>
              </w:rPr>
              <w:t>经</w:t>
            </w:r>
            <w:r>
              <w:rPr>
                <w:rFonts w:ascii="Times New Roman" w:hAnsi="Times New Roman" w:eastAsia="宋体" w:cs="宋体"/>
                <w:sz w:val="24"/>
              </w:rPr>
              <w:t>收集后通过密闭保温管道引至</w:t>
            </w:r>
            <w:r>
              <w:rPr>
                <w:rFonts w:hint="eastAsia" w:ascii="Times New Roman" w:hAnsi="Times New Roman" w:cs="宋体"/>
                <w:sz w:val="24"/>
                <w:lang w:val="en-US" w:eastAsia="zh-CN"/>
              </w:rPr>
              <w:t>烘干系统的燃烧炉</w:t>
            </w:r>
            <w:r>
              <w:rPr>
                <w:rFonts w:ascii="Times New Roman" w:hAnsi="Times New Roman" w:eastAsia="宋体" w:cs="宋体"/>
                <w:sz w:val="24"/>
              </w:rPr>
              <w:t>进行燃烧，燃烧的尾气</w:t>
            </w:r>
            <w:r>
              <w:rPr>
                <w:rFonts w:hint="eastAsia" w:ascii="Times New Roman" w:hAnsi="Times New Roman" w:eastAsia="宋体" w:cs="Times New Roman"/>
                <w:spacing w:val="-2"/>
                <w:sz w:val="24"/>
                <w:highlight w:val="none"/>
                <w:shd w:val="clear"/>
                <w:lang w:val="en-US" w:eastAsia="zh-CN"/>
              </w:rPr>
              <w:t>经旋风除尘器+</w:t>
            </w:r>
            <w:r>
              <w:rPr>
                <w:rFonts w:hint="eastAsia" w:cs="Times New Roman"/>
                <w:spacing w:val="-2"/>
                <w:sz w:val="24"/>
                <w:highlight w:val="none"/>
                <w:shd w:val="clear"/>
                <w:lang w:val="en-US" w:eastAsia="zh-CN"/>
              </w:rPr>
              <w:t>喷淋除尘脱硫塔</w:t>
            </w:r>
            <w:r>
              <w:rPr>
                <w:rFonts w:hint="eastAsia" w:ascii="Times New Roman" w:hAnsi="Times New Roman" w:eastAsia="宋体" w:cs="Times New Roman"/>
                <w:spacing w:val="-2"/>
                <w:sz w:val="24"/>
                <w:highlight w:val="none"/>
                <w:shd w:val="clear"/>
                <w:lang w:val="en-US" w:eastAsia="zh-CN"/>
              </w:rPr>
              <w:t>进一步处理达标后15m高烟气筒（</w:t>
            </w:r>
            <w:r>
              <w:rPr>
                <w:rFonts w:hint="eastAsia" w:cs="Times New Roman"/>
                <w:spacing w:val="-2"/>
                <w:sz w:val="24"/>
                <w:highlight w:val="none"/>
                <w:shd w:val="clear"/>
                <w:lang w:val="en-US" w:eastAsia="zh-CN"/>
              </w:rPr>
              <w:t>DA002</w:t>
            </w:r>
            <w:r>
              <w:rPr>
                <w:rFonts w:hint="eastAsia" w:ascii="Times New Roman" w:hAnsi="Times New Roman" w:eastAsia="宋体" w:cs="Times New Roman"/>
                <w:spacing w:val="-2"/>
                <w:sz w:val="24"/>
                <w:highlight w:val="none"/>
                <w:shd w:val="clear"/>
                <w:lang w:val="en-US" w:eastAsia="zh-CN"/>
              </w:rPr>
              <w:t>）排放</w:t>
            </w:r>
            <w:r>
              <w:rPr>
                <w:rFonts w:hint="eastAsia"/>
                <w:spacing w:val="-2"/>
                <w:sz w:val="24"/>
                <w:highlight w:val="none"/>
              </w:rPr>
              <w:t>。</w:t>
            </w:r>
          </w:p>
          <w:p w14:paraId="70D6C53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center"/>
              <w:textAlignment w:val="auto"/>
              <w:rPr>
                <w:b/>
                <w:color w:val="000000" w:themeColor="text1"/>
                <w:spacing w:val="0"/>
                <w:sz w:val="24"/>
                <w:szCs w:val="24"/>
                <w:highlight w:val="none"/>
                <w14:textFill>
                  <w14:solidFill>
                    <w14:schemeClr w14:val="tx1"/>
                  </w14:solidFill>
                </w14:textFill>
              </w:rPr>
            </w:pPr>
            <w:r>
              <w:rPr>
                <w:b/>
                <w:color w:val="000000" w:themeColor="text1"/>
                <w:spacing w:val="0"/>
                <w:sz w:val="24"/>
                <w:szCs w:val="24"/>
                <w:highlight w:val="none"/>
                <w14:textFill>
                  <w14:solidFill>
                    <w14:schemeClr w14:val="tx1"/>
                  </w14:solidFill>
                </w14:textFill>
              </w:rPr>
              <w:t>表</w:t>
            </w:r>
            <w:r>
              <w:rPr>
                <w:rFonts w:hint="eastAsia"/>
                <w:b/>
                <w:color w:val="000000" w:themeColor="text1"/>
                <w:spacing w:val="0"/>
                <w:sz w:val="24"/>
                <w:szCs w:val="24"/>
                <w:highlight w:val="none"/>
                <w14:textFill>
                  <w14:solidFill>
                    <w14:schemeClr w14:val="tx1"/>
                  </w14:solidFill>
                </w14:textFill>
              </w:rPr>
              <w:t>4-</w:t>
            </w:r>
            <w:r>
              <w:rPr>
                <w:rFonts w:hint="eastAsia"/>
                <w:b/>
                <w:color w:val="000000" w:themeColor="text1"/>
                <w:spacing w:val="0"/>
                <w:sz w:val="24"/>
                <w:szCs w:val="24"/>
                <w:highlight w:val="none"/>
                <w:lang w:val="en-US" w:eastAsia="zh-CN"/>
                <w14:textFill>
                  <w14:solidFill>
                    <w14:schemeClr w14:val="tx1"/>
                  </w14:solidFill>
                </w14:textFill>
              </w:rPr>
              <w:t xml:space="preserve">6 </w:t>
            </w:r>
            <w:r>
              <w:rPr>
                <w:rFonts w:hint="eastAsia"/>
                <w:b/>
                <w:color w:val="000000" w:themeColor="text1"/>
                <w:spacing w:val="0"/>
                <w:sz w:val="24"/>
                <w:szCs w:val="24"/>
                <w:highlight w:val="none"/>
                <w14:textFill>
                  <w14:solidFill>
                    <w14:schemeClr w14:val="tx1"/>
                  </w14:solidFill>
                </w14:textFill>
              </w:rPr>
              <w:t xml:space="preserve"> 项目废气污染源产生及排放情况一览表</w:t>
            </w:r>
          </w:p>
          <w:tbl>
            <w:tblPr>
              <w:tblStyle w:val="3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900"/>
              <w:gridCol w:w="747"/>
              <w:gridCol w:w="828"/>
              <w:gridCol w:w="437"/>
              <w:gridCol w:w="447"/>
              <w:gridCol w:w="955"/>
              <w:gridCol w:w="828"/>
              <w:gridCol w:w="828"/>
              <w:gridCol w:w="828"/>
              <w:gridCol w:w="663"/>
              <w:gridCol w:w="863"/>
            </w:tblGrid>
            <w:tr w14:paraId="2EDE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9" w:type="pct"/>
                  <w:vAlign w:val="center"/>
                </w:tcPr>
                <w:p w14:paraId="1A710EC6">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污染物</w:t>
                  </w:r>
                </w:p>
              </w:tc>
              <w:tc>
                <w:tcPr>
                  <w:tcW w:w="509" w:type="pct"/>
                  <w:vAlign w:val="center"/>
                </w:tcPr>
                <w:p w14:paraId="59326892">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产污工序</w:t>
                  </w:r>
                </w:p>
              </w:tc>
              <w:tc>
                <w:tcPr>
                  <w:tcW w:w="422" w:type="pct"/>
                  <w:vAlign w:val="center"/>
                </w:tcPr>
                <w:p w14:paraId="44088BD5">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产生量t/a</w:t>
                  </w:r>
                </w:p>
              </w:tc>
              <w:tc>
                <w:tcPr>
                  <w:tcW w:w="468" w:type="pct"/>
                  <w:vAlign w:val="center"/>
                </w:tcPr>
                <w:p w14:paraId="5282FBC1">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产生速率kg/h</w:t>
                  </w:r>
                </w:p>
              </w:tc>
              <w:tc>
                <w:tcPr>
                  <w:tcW w:w="247" w:type="pct"/>
                  <w:vAlign w:val="center"/>
                </w:tcPr>
                <w:p w14:paraId="75BEDC2E">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处理措施</w:t>
                  </w:r>
                </w:p>
              </w:tc>
              <w:tc>
                <w:tcPr>
                  <w:tcW w:w="252" w:type="pct"/>
                  <w:vAlign w:val="center"/>
                </w:tcPr>
                <w:p w14:paraId="475EBE93">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是否技术可行</w:t>
                  </w:r>
                </w:p>
              </w:tc>
              <w:tc>
                <w:tcPr>
                  <w:tcW w:w="540" w:type="pct"/>
                  <w:vAlign w:val="center"/>
                </w:tcPr>
                <w:p w14:paraId="58E9CFD4">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效率</w:t>
                  </w:r>
                </w:p>
              </w:tc>
              <w:tc>
                <w:tcPr>
                  <w:tcW w:w="468" w:type="pct"/>
                  <w:vAlign w:val="center"/>
                </w:tcPr>
                <w:p w14:paraId="362C0C3C">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排放量t/a</w:t>
                  </w:r>
                </w:p>
              </w:tc>
              <w:tc>
                <w:tcPr>
                  <w:tcW w:w="468" w:type="pct"/>
                  <w:vAlign w:val="center"/>
                </w:tcPr>
                <w:p w14:paraId="2B912C94">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排放速率kg/h</w:t>
                  </w:r>
                </w:p>
              </w:tc>
              <w:tc>
                <w:tcPr>
                  <w:tcW w:w="468" w:type="pct"/>
                  <w:vAlign w:val="center"/>
                </w:tcPr>
                <w:p w14:paraId="5C91FBBC">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排放浓度mg/</w:t>
                  </w:r>
                  <w:r>
                    <w:rPr>
                      <w:rFonts w:hint="default" w:ascii="Times New Roman" w:hAnsi="Times New Roman" w:eastAsia="宋体" w:cs="Times New Roman"/>
                      <w:b/>
                      <w:bCs/>
                      <w:color w:val="000000" w:themeColor="text1"/>
                      <w:spacing w:val="0"/>
                      <w:sz w:val="21"/>
                      <w:szCs w:val="21"/>
                      <w:highlight w:val="none"/>
                      <w:u w:val="none"/>
                      <w:lang w:val="en-US" w:eastAsia="zh-CN"/>
                      <w14:textFill>
                        <w14:solidFill>
                          <w14:schemeClr w14:val="tx1"/>
                        </w14:solidFill>
                      </w14:textFill>
                    </w:rPr>
                    <w:t>m</w:t>
                  </w:r>
                  <w:r>
                    <w:rPr>
                      <w:rFonts w:hint="default" w:ascii="Times New Roman" w:hAnsi="Times New Roman" w:eastAsia="宋体" w:cs="Times New Roman"/>
                      <w:b/>
                      <w:bCs/>
                      <w:color w:val="000000" w:themeColor="text1"/>
                      <w:spacing w:val="0"/>
                      <w:sz w:val="21"/>
                      <w:szCs w:val="21"/>
                      <w:highlight w:val="none"/>
                      <w:u w:val="none"/>
                      <w:vertAlign w:val="superscript"/>
                      <w14:textFill>
                        <w14:solidFill>
                          <w14:schemeClr w14:val="tx1"/>
                        </w14:solidFill>
                      </w14:textFill>
                    </w:rPr>
                    <w:t>3</w:t>
                  </w:r>
                </w:p>
              </w:tc>
              <w:tc>
                <w:tcPr>
                  <w:tcW w:w="375" w:type="pct"/>
                  <w:vAlign w:val="center"/>
                </w:tcPr>
                <w:p w14:paraId="0EC00462">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排放时间</w:t>
                  </w:r>
                </w:p>
              </w:tc>
              <w:tc>
                <w:tcPr>
                  <w:tcW w:w="488" w:type="pct"/>
                  <w:vAlign w:val="center"/>
                </w:tcPr>
                <w:p w14:paraId="5954DA27">
                  <w:pPr>
                    <w:pStyle w:val="44"/>
                    <w:spacing w:line="240" w:lineRule="auto"/>
                    <w:jc w:val="cente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u w:val="none"/>
                      <w14:textFill>
                        <w14:solidFill>
                          <w14:schemeClr w14:val="tx1"/>
                        </w14:solidFill>
                      </w14:textFill>
                    </w:rPr>
                    <w:t>排放方式</w:t>
                  </w:r>
                </w:p>
              </w:tc>
            </w:tr>
            <w:tr w14:paraId="6D9A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289" w:type="pct"/>
                  <w:shd w:val="clear" w:color="auto" w:fill="auto"/>
                  <w:vAlign w:val="center"/>
                </w:tcPr>
                <w:p w14:paraId="6A372435">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颗粒物</w:t>
                  </w:r>
                </w:p>
              </w:tc>
              <w:tc>
                <w:tcPr>
                  <w:tcW w:w="509" w:type="pct"/>
                  <w:shd w:val="clear" w:color="auto" w:fill="auto"/>
                  <w:vAlign w:val="center"/>
                </w:tcPr>
                <w:p w14:paraId="0EF06169">
                  <w:pPr>
                    <w:pStyle w:val="44"/>
                    <w:spacing w:line="240" w:lineRule="auto"/>
                    <w:jc w:val="center"/>
                    <w:rPr>
                      <w:rFonts w:hint="eastAsia"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粉碎</w:t>
                  </w:r>
                </w:p>
              </w:tc>
              <w:tc>
                <w:tcPr>
                  <w:tcW w:w="422" w:type="pct"/>
                  <w:shd w:val="clear" w:color="auto" w:fill="auto"/>
                  <w:vAlign w:val="center"/>
                </w:tcPr>
                <w:p w14:paraId="1B8092E2">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10.12</w:t>
                  </w:r>
                </w:p>
              </w:tc>
              <w:tc>
                <w:tcPr>
                  <w:tcW w:w="468" w:type="pct"/>
                  <w:shd w:val="clear" w:color="auto" w:fill="auto"/>
                  <w:vAlign w:val="center"/>
                </w:tcPr>
                <w:p w14:paraId="7E2CCC03">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color w:val="000000" w:themeColor="text1"/>
                      <w:spacing w:val="0"/>
                      <w:sz w:val="21"/>
                      <w:szCs w:val="21"/>
                      <w:highlight w:val="none"/>
                      <w:u w:val="none"/>
                      <w:lang w:val="en-US" w:eastAsia="zh-CN"/>
                      <w14:textFill>
                        <w14:solidFill>
                          <w14:schemeClr w14:val="tx1"/>
                        </w14:solidFill>
                      </w14:textFill>
                    </w:rPr>
                    <w:t>4.22</w:t>
                  </w:r>
                </w:p>
              </w:tc>
              <w:tc>
                <w:tcPr>
                  <w:tcW w:w="247" w:type="pct"/>
                  <w:vAlign w:val="center"/>
                </w:tcPr>
                <w:p w14:paraId="5DC6BEFE">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袋式除尘</w:t>
                  </w:r>
                </w:p>
              </w:tc>
              <w:tc>
                <w:tcPr>
                  <w:tcW w:w="252" w:type="pct"/>
                  <w:vAlign w:val="center"/>
                </w:tcPr>
                <w:p w14:paraId="15425F30">
                  <w:pPr>
                    <w:pStyle w:val="44"/>
                    <w:spacing w:line="240" w:lineRule="auto"/>
                    <w:jc w:val="cente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是</w:t>
                  </w:r>
                </w:p>
              </w:tc>
              <w:tc>
                <w:tcPr>
                  <w:tcW w:w="540" w:type="pct"/>
                  <w:vAlign w:val="center"/>
                </w:tcPr>
                <w:p w14:paraId="24E1EE13">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处理效率</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9</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w:t>
                  </w:r>
                </w:p>
              </w:tc>
              <w:tc>
                <w:tcPr>
                  <w:tcW w:w="468" w:type="pct"/>
                  <w:shd w:val="clear" w:color="auto" w:fill="auto"/>
                  <w:vAlign w:val="center"/>
                </w:tcPr>
                <w:p w14:paraId="064E8C3E">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i w:val="0"/>
                      <w:iCs w:val="0"/>
                      <w:color w:val="000000"/>
                      <w:kern w:val="0"/>
                      <w:sz w:val="21"/>
                      <w:szCs w:val="21"/>
                      <w:highlight w:val="none"/>
                      <w:u w:val="none"/>
                      <w:lang w:val="en-US" w:eastAsia="zh-CN" w:bidi="ar"/>
                    </w:rPr>
                    <w:t>0.51</w:t>
                  </w:r>
                </w:p>
              </w:tc>
              <w:tc>
                <w:tcPr>
                  <w:tcW w:w="468" w:type="pct"/>
                  <w:shd w:val="clear" w:color="auto" w:fill="auto"/>
                  <w:vAlign w:val="center"/>
                </w:tcPr>
                <w:p w14:paraId="42AADF9D">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0.21</w:t>
                  </w:r>
                </w:p>
              </w:tc>
              <w:tc>
                <w:tcPr>
                  <w:tcW w:w="468" w:type="pct"/>
                  <w:shd w:val="clear" w:color="auto" w:fill="auto"/>
                  <w:vAlign w:val="center"/>
                </w:tcPr>
                <w:p w14:paraId="59F5C751">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color w:val="000000" w:themeColor="text1"/>
                      <w:spacing w:val="0"/>
                      <w:sz w:val="21"/>
                      <w:szCs w:val="21"/>
                      <w:highlight w:val="none"/>
                      <w:u w:val="none"/>
                      <w:lang w:val="en-US" w:eastAsia="zh-CN"/>
                      <w14:textFill>
                        <w14:solidFill>
                          <w14:schemeClr w14:val="tx1"/>
                        </w14:solidFill>
                      </w14:textFill>
                    </w:rPr>
                    <w:t>42.5</w:t>
                  </w:r>
                </w:p>
              </w:tc>
              <w:tc>
                <w:tcPr>
                  <w:tcW w:w="375" w:type="pct"/>
                  <w:shd w:val="clear" w:color="auto" w:fill="auto"/>
                  <w:vAlign w:val="center"/>
                </w:tcPr>
                <w:p w14:paraId="63FA32D0">
                  <w:pPr>
                    <w:pStyle w:val="44"/>
                    <w:spacing w:line="240" w:lineRule="auto"/>
                    <w:jc w:val="center"/>
                    <w:rPr>
                      <w:rFonts w:hint="eastAsia"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24</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0</w:t>
                  </w: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h</w:t>
                  </w:r>
                </w:p>
              </w:tc>
              <w:tc>
                <w:tcPr>
                  <w:tcW w:w="488" w:type="pct"/>
                  <w:vAlign w:val="center"/>
                </w:tcPr>
                <w:p w14:paraId="782D3366">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eastAsia="zh-CN"/>
                      <w14:textFill>
                        <w14:solidFill>
                          <w14:schemeClr w14:val="tx1"/>
                        </w14:solidFill>
                      </w14:textFill>
                    </w:rPr>
                    <w:t>DA00</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排气筒</w:t>
                  </w:r>
                  <w:r>
                    <w:rPr>
                      <w:rFonts w:hint="default" w:ascii="Times New Roman" w:hAnsi="Times New Roman" w:eastAsia="宋体" w:cs="Times New Roman"/>
                      <w:color w:val="000000" w:themeColor="text1"/>
                      <w:spacing w:val="0"/>
                      <w:sz w:val="21"/>
                      <w:szCs w:val="21"/>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15m</w:t>
                  </w:r>
                  <w:r>
                    <w:rPr>
                      <w:rFonts w:hint="default" w:ascii="Times New Roman" w:hAnsi="Times New Roman" w:eastAsia="宋体" w:cs="Times New Roman"/>
                      <w:color w:val="000000" w:themeColor="text1"/>
                      <w:spacing w:val="0"/>
                      <w:sz w:val="21"/>
                      <w:szCs w:val="21"/>
                      <w:highlight w:val="none"/>
                      <w:u w:val="none"/>
                      <w:lang w:eastAsia="zh-CN"/>
                      <w14:textFill>
                        <w14:solidFill>
                          <w14:schemeClr w14:val="tx1"/>
                        </w14:solidFill>
                      </w14:textFill>
                    </w:rPr>
                    <w:t>）</w:t>
                  </w:r>
                </w:p>
              </w:tc>
            </w:tr>
            <w:tr w14:paraId="3003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289" w:type="pct"/>
                  <w:shd w:val="clear" w:color="auto" w:fill="auto"/>
                  <w:vAlign w:val="center"/>
                </w:tcPr>
                <w:p w14:paraId="2DE4FBDB">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颗粒物</w:t>
                  </w:r>
                </w:p>
              </w:tc>
              <w:tc>
                <w:tcPr>
                  <w:tcW w:w="509" w:type="pct"/>
                  <w:shd w:val="clear" w:color="auto" w:fill="auto"/>
                  <w:vAlign w:val="center"/>
                </w:tcPr>
                <w:p w14:paraId="51BF8BCF">
                  <w:pPr>
                    <w:pStyle w:val="44"/>
                    <w:spacing w:line="240" w:lineRule="auto"/>
                    <w:jc w:val="center"/>
                    <w:rPr>
                      <w:rFonts w:hint="eastAsia"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制棒</w:t>
                  </w:r>
                </w:p>
              </w:tc>
              <w:tc>
                <w:tcPr>
                  <w:tcW w:w="422" w:type="pct"/>
                  <w:shd w:val="clear" w:color="auto" w:fill="auto"/>
                  <w:vAlign w:val="center"/>
                </w:tcPr>
                <w:p w14:paraId="3CFAC72B">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3.72</w:t>
                  </w:r>
                </w:p>
              </w:tc>
              <w:tc>
                <w:tcPr>
                  <w:tcW w:w="468" w:type="pct"/>
                  <w:shd w:val="clear" w:color="auto" w:fill="auto"/>
                  <w:vAlign w:val="center"/>
                </w:tcPr>
                <w:p w14:paraId="4B568549">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color w:val="000000" w:themeColor="text1"/>
                      <w:spacing w:val="0"/>
                      <w:sz w:val="21"/>
                      <w:szCs w:val="21"/>
                      <w:highlight w:val="none"/>
                      <w:u w:val="none"/>
                      <w:lang w:val="en-US" w:eastAsia="zh-CN"/>
                      <w14:textFill>
                        <w14:solidFill>
                          <w14:schemeClr w14:val="tx1"/>
                        </w14:solidFill>
                      </w14:textFill>
                    </w:rPr>
                    <w:t>1.55</w:t>
                  </w:r>
                </w:p>
              </w:tc>
              <w:tc>
                <w:tcPr>
                  <w:tcW w:w="247" w:type="pct"/>
                  <w:vMerge w:val="restart"/>
                  <w:shd w:val="clear" w:color="auto" w:fill="auto"/>
                  <w:vAlign w:val="center"/>
                </w:tcPr>
                <w:p w14:paraId="18B5D613">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旋风+</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喷淋除尘脱硫塔</w:t>
                  </w:r>
                </w:p>
              </w:tc>
              <w:tc>
                <w:tcPr>
                  <w:tcW w:w="252" w:type="pct"/>
                  <w:vMerge w:val="restart"/>
                  <w:shd w:val="clear" w:color="auto" w:fill="auto"/>
                  <w:vAlign w:val="center"/>
                </w:tcPr>
                <w:p w14:paraId="0AEDC8C0">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是</w:t>
                  </w:r>
                </w:p>
              </w:tc>
              <w:tc>
                <w:tcPr>
                  <w:tcW w:w="540" w:type="pct"/>
                  <w:vMerge w:val="restart"/>
                  <w:shd w:val="clear" w:color="auto" w:fill="auto"/>
                  <w:vAlign w:val="center"/>
                </w:tcPr>
                <w:p w14:paraId="64B008A4">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颗粒物</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处理效率</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9</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w:t>
                  </w:r>
                  <w:r>
                    <w:rPr>
                      <w:rFonts w:hint="eastAsia" w:ascii="Times New Roman" w:hAnsi="Times New Roman" w:cs="Times New Roman"/>
                      <w:color w:val="000000" w:themeColor="text1"/>
                      <w:spacing w:val="0"/>
                      <w:sz w:val="21"/>
                      <w:szCs w:val="21"/>
                      <w:highlight w:val="none"/>
                      <w:u w:val="none"/>
                      <w:lang w:eastAsia="zh-CN"/>
                      <w14:textFill>
                        <w14:solidFill>
                          <w14:schemeClr w14:val="tx1"/>
                        </w14:solidFill>
                      </w14:textFill>
                    </w:rPr>
                    <w:t>，脱硫效率</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50%</w:t>
                  </w:r>
                </w:p>
              </w:tc>
              <w:tc>
                <w:tcPr>
                  <w:tcW w:w="468" w:type="pct"/>
                  <w:shd w:val="clear" w:color="auto" w:fill="auto"/>
                  <w:vAlign w:val="center"/>
                </w:tcPr>
                <w:p w14:paraId="3C4E14FB">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i w:val="0"/>
                      <w:iCs w:val="0"/>
                      <w:color w:val="000000"/>
                      <w:kern w:val="0"/>
                      <w:sz w:val="21"/>
                      <w:szCs w:val="21"/>
                      <w:highlight w:val="none"/>
                      <w:u w:val="none"/>
                      <w:lang w:val="en-US" w:eastAsia="zh-CN" w:bidi="ar"/>
                    </w:rPr>
                    <w:t>0.19</w:t>
                  </w:r>
                </w:p>
              </w:tc>
              <w:tc>
                <w:tcPr>
                  <w:tcW w:w="468" w:type="pct"/>
                  <w:shd w:val="clear" w:color="auto" w:fill="auto"/>
                  <w:vAlign w:val="center"/>
                </w:tcPr>
                <w:p w14:paraId="1EC68F7F">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0.079</w:t>
                  </w:r>
                </w:p>
              </w:tc>
              <w:tc>
                <w:tcPr>
                  <w:tcW w:w="468" w:type="pct"/>
                  <w:shd w:val="clear" w:color="auto" w:fill="auto"/>
                  <w:vAlign w:val="center"/>
                </w:tcPr>
                <w:p w14:paraId="41BB4970">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w:t>
                  </w:r>
                </w:p>
              </w:tc>
              <w:tc>
                <w:tcPr>
                  <w:tcW w:w="375" w:type="pct"/>
                  <w:shd w:val="clear" w:color="auto" w:fill="auto"/>
                  <w:vAlign w:val="center"/>
                </w:tcPr>
                <w:p w14:paraId="491C17B5">
                  <w:pPr>
                    <w:pStyle w:val="44"/>
                    <w:spacing w:line="240" w:lineRule="auto"/>
                    <w:jc w:val="center"/>
                    <w:rPr>
                      <w:rFonts w:hint="eastAsia"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24</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0</w:t>
                  </w: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h</w:t>
                  </w:r>
                </w:p>
              </w:tc>
              <w:tc>
                <w:tcPr>
                  <w:tcW w:w="488" w:type="pct"/>
                  <w:vMerge w:val="restart"/>
                  <w:vAlign w:val="center"/>
                </w:tcPr>
                <w:p w14:paraId="576BBE7F">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eastAsia="zh-CN"/>
                      <w14:textFill>
                        <w14:solidFill>
                          <w14:schemeClr w14:val="tx1"/>
                        </w14:solidFill>
                      </w14:textFill>
                    </w:rPr>
                    <w:t>DA002</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排气筒</w:t>
                  </w:r>
                  <w:r>
                    <w:rPr>
                      <w:rFonts w:hint="default" w:ascii="Times New Roman" w:hAnsi="Times New Roman" w:eastAsia="宋体" w:cs="Times New Roman"/>
                      <w:color w:val="000000" w:themeColor="text1"/>
                      <w:spacing w:val="0"/>
                      <w:sz w:val="21"/>
                      <w:szCs w:val="21"/>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15m</w:t>
                  </w:r>
                  <w:r>
                    <w:rPr>
                      <w:rFonts w:hint="default" w:ascii="Times New Roman" w:hAnsi="Times New Roman" w:eastAsia="宋体" w:cs="Times New Roman"/>
                      <w:color w:val="000000" w:themeColor="text1"/>
                      <w:spacing w:val="0"/>
                      <w:sz w:val="21"/>
                      <w:szCs w:val="21"/>
                      <w:highlight w:val="none"/>
                      <w:u w:val="none"/>
                      <w:lang w:eastAsia="zh-CN"/>
                      <w14:textFill>
                        <w14:solidFill>
                          <w14:schemeClr w14:val="tx1"/>
                        </w14:solidFill>
                      </w14:textFill>
                    </w:rPr>
                    <w:t>）</w:t>
                  </w:r>
                </w:p>
              </w:tc>
            </w:tr>
            <w:tr w14:paraId="1E15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289" w:type="pct"/>
                  <w:vAlign w:val="center"/>
                </w:tcPr>
                <w:p w14:paraId="1350C919">
                  <w:pPr>
                    <w:pStyle w:val="44"/>
                    <w:spacing w:line="240" w:lineRule="auto"/>
                    <w:jc w:val="cente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颗粒物</w:t>
                  </w:r>
                </w:p>
              </w:tc>
              <w:tc>
                <w:tcPr>
                  <w:tcW w:w="509" w:type="pct"/>
                  <w:vMerge w:val="restart"/>
                  <w:vAlign w:val="center"/>
                </w:tcPr>
                <w:p w14:paraId="6D405115">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烘干燃烧炉燃料燃烧</w:t>
                  </w:r>
                </w:p>
              </w:tc>
              <w:tc>
                <w:tcPr>
                  <w:tcW w:w="422" w:type="pct"/>
                  <w:vAlign w:val="center"/>
                </w:tcPr>
                <w:p w14:paraId="64E79FDE">
                  <w:pPr>
                    <w:keepNext w:val="0"/>
                    <w:keepLines w:val="0"/>
                    <w:widowControl/>
                    <w:suppressLineNumbers w:val="0"/>
                    <w:jc w:val="center"/>
                    <w:textAlignment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cs="Times New Roman"/>
                      <w:color w:val="000000" w:themeColor="text1"/>
                      <w:spacing w:val="0"/>
                      <w:sz w:val="21"/>
                      <w:szCs w:val="21"/>
                      <w:highlight w:val="none"/>
                      <w:u w:val="none"/>
                      <w:lang w:val="en-US" w:eastAsia="zh-CN"/>
                      <w14:textFill>
                        <w14:solidFill>
                          <w14:schemeClr w14:val="tx1"/>
                        </w14:solidFill>
                      </w14:textFill>
                    </w:rPr>
                    <w:t>0.15</w:t>
                  </w:r>
                </w:p>
              </w:tc>
              <w:tc>
                <w:tcPr>
                  <w:tcW w:w="468" w:type="pct"/>
                  <w:vAlign w:val="center"/>
                </w:tcPr>
                <w:p w14:paraId="7550E40D">
                  <w:pPr>
                    <w:keepNext w:val="0"/>
                    <w:keepLines w:val="0"/>
                    <w:widowControl/>
                    <w:suppressLineNumbers w:val="0"/>
                    <w:jc w:val="center"/>
                    <w:textAlignment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cs="Times New Roman"/>
                      <w:color w:val="000000" w:themeColor="text1"/>
                      <w:spacing w:val="0"/>
                      <w:sz w:val="21"/>
                      <w:szCs w:val="21"/>
                      <w:highlight w:val="none"/>
                      <w:u w:val="none"/>
                      <w:lang w:val="en-US" w:eastAsia="zh-CN"/>
                      <w14:textFill>
                        <w14:solidFill>
                          <w14:schemeClr w14:val="tx1"/>
                        </w14:solidFill>
                      </w14:textFill>
                    </w:rPr>
                    <w:t>0.06</w:t>
                  </w:r>
                </w:p>
              </w:tc>
              <w:tc>
                <w:tcPr>
                  <w:tcW w:w="247" w:type="pct"/>
                  <w:vMerge w:val="continue"/>
                  <w:vAlign w:val="center"/>
                </w:tcPr>
                <w:p w14:paraId="004FCDCC">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252" w:type="pct"/>
                  <w:vMerge w:val="continue"/>
                  <w:vAlign w:val="center"/>
                </w:tcPr>
                <w:p w14:paraId="7A61A33D">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540" w:type="pct"/>
                  <w:vMerge w:val="continue"/>
                  <w:vAlign w:val="center"/>
                </w:tcPr>
                <w:p w14:paraId="20685733">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68" w:type="pct"/>
                  <w:vAlign w:val="center"/>
                </w:tcPr>
                <w:p w14:paraId="5DAE81CA">
                  <w:pPr>
                    <w:keepNext w:val="0"/>
                    <w:keepLines w:val="0"/>
                    <w:widowControl/>
                    <w:suppressLineNumbers w:val="0"/>
                    <w:jc w:val="center"/>
                    <w:textAlignment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u w:val="none"/>
                      <w:lang w:val="en-US" w:eastAsia="zh-CN"/>
                      <w14:textFill>
                        <w14:solidFill>
                          <w14:schemeClr w14:val="tx1"/>
                        </w14:solidFill>
                      </w14:textFill>
                    </w:rPr>
                    <w:t>0.008</w:t>
                  </w:r>
                </w:p>
              </w:tc>
              <w:tc>
                <w:tcPr>
                  <w:tcW w:w="468" w:type="pct"/>
                  <w:shd w:val="clear" w:color="auto" w:fill="auto"/>
                  <w:vAlign w:val="center"/>
                </w:tcPr>
                <w:p w14:paraId="2A70E10C">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0.003</w:t>
                  </w:r>
                </w:p>
              </w:tc>
              <w:tc>
                <w:tcPr>
                  <w:tcW w:w="468" w:type="pct"/>
                  <w:shd w:val="clear" w:color="auto" w:fill="auto"/>
                  <w:vAlign w:val="center"/>
                </w:tcPr>
                <w:p w14:paraId="24DEBDBB">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w:t>
                  </w:r>
                </w:p>
              </w:tc>
              <w:tc>
                <w:tcPr>
                  <w:tcW w:w="375" w:type="pct"/>
                  <w:vMerge w:val="restart"/>
                  <w:vAlign w:val="center"/>
                </w:tcPr>
                <w:p w14:paraId="768F14A0">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24</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0</w:t>
                  </w: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h</w:t>
                  </w:r>
                </w:p>
              </w:tc>
              <w:tc>
                <w:tcPr>
                  <w:tcW w:w="488" w:type="pct"/>
                  <w:vMerge w:val="continue"/>
                  <w:vAlign w:val="center"/>
                </w:tcPr>
                <w:p w14:paraId="04B6F598">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5DE5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289" w:type="pct"/>
                  <w:vAlign w:val="center"/>
                </w:tcPr>
                <w:p w14:paraId="5D5AACFF">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SO</w:t>
                  </w:r>
                  <w:r>
                    <w:rPr>
                      <w:rFonts w:hint="default" w:ascii="Times New Roman" w:hAnsi="Times New Roman" w:eastAsia="宋体" w:cs="Times New Roman"/>
                      <w:color w:val="000000" w:themeColor="text1"/>
                      <w:spacing w:val="0"/>
                      <w:sz w:val="21"/>
                      <w:szCs w:val="21"/>
                      <w:highlight w:val="none"/>
                      <w:u w:val="none"/>
                      <w:vertAlign w:val="subscript"/>
                      <w14:textFill>
                        <w14:solidFill>
                          <w14:schemeClr w14:val="tx1"/>
                        </w14:solidFill>
                      </w14:textFill>
                    </w:rPr>
                    <w:t>2</w:t>
                  </w:r>
                </w:p>
              </w:tc>
              <w:tc>
                <w:tcPr>
                  <w:tcW w:w="509" w:type="pct"/>
                  <w:vMerge w:val="continue"/>
                  <w:vAlign w:val="center"/>
                </w:tcPr>
                <w:p w14:paraId="5A95E307">
                  <w:pPr>
                    <w:pStyle w:val="44"/>
                    <w:spacing w:line="240" w:lineRule="auto"/>
                    <w:jc w:val="cente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p>
              </w:tc>
              <w:tc>
                <w:tcPr>
                  <w:tcW w:w="422" w:type="pct"/>
                  <w:shd w:val="clear" w:color="auto" w:fill="auto"/>
                  <w:vAlign w:val="center"/>
                </w:tcPr>
                <w:p w14:paraId="74882B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0.8</w:t>
                  </w:r>
                </w:p>
              </w:tc>
              <w:tc>
                <w:tcPr>
                  <w:tcW w:w="468" w:type="pct"/>
                  <w:shd w:val="clear" w:color="auto" w:fill="auto"/>
                  <w:vAlign w:val="center"/>
                </w:tcPr>
                <w:p w14:paraId="0F4DC972">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0.333</w:t>
                  </w:r>
                </w:p>
              </w:tc>
              <w:tc>
                <w:tcPr>
                  <w:tcW w:w="247" w:type="pct"/>
                  <w:vMerge w:val="continue"/>
                  <w:vAlign w:val="center"/>
                </w:tcPr>
                <w:p w14:paraId="73306058">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252" w:type="pct"/>
                  <w:vMerge w:val="continue"/>
                  <w:vAlign w:val="center"/>
                </w:tcPr>
                <w:p w14:paraId="637D41C7">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540" w:type="pct"/>
                  <w:vMerge w:val="continue"/>
                  <w:vAlign w:val="center"/>
                </w:tcPr>
                <w:p w14:paraId="36246787">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68" w:type="pct"/>
                  <w:vAlign w:val="center"/>
                </w:tcPr>
                <w:p w14:paraId="73AE5B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0.4</w:t>
                  </w:r>
                </w:p>
              </w:tc>
              <w:tc>
                <w:tcPr>
                  <w:tcW w:w="468" w:type="pct"/>
                  <w:shd w:val="clear" w:color="auto" w:fill="auto"/>
                  <w:vAlign w:val="center"/>
                </w:tcPr>
                <w:p w14:paraId="53DBA416">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0.167</w:t>
                  </w:r>
                </w:p>
              </w:tc>
              <w:tc>
                <w:tcPr>
                  <w:tcW w:w="468" w:type="pct"/>
                  <w:shd w:val="clear" w:color="auto" w:fill="auto"/>
                  <w:vAlign w:val="center"/>
                </w:tcPr>
                <w:p w14:paraId="519EB670">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w:t>
                  </w:r>
                </w:p>
              </w:tc>
              <w:tc>
                <w:tcPr>
                  <w:tcW w:w="375" w:type="pct"/>
                  <w:vMerge w:val="continue"/>
                  <w:vAlign w:val="center"/>
                </w:tcPr>
                <w:p w14:paraId="145D4302">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88" w:type="pct"/>
                  <w:vMerge w:val="continue"/>
                  <w:vAlign w:val="center"/>
                </w:tcPr>
                <w:p w14:paraId="3E97A17A">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2604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89" w:type="pct"/>
                  <w:vAlign w:val="center"/>
                </w:tcPr>
                <w:p w14:paraId="6F4CC868">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NOx</w:t>
                  </w:r>
                </w:p>
              </w:tc>
              <w:tc>
                <w:tcPr>
                  <w:tcW w:w="509" w:type="pct"/>
                  <w:vMerge w:val="continue"/>
                  <w:vAlign w:val="center"/>
                </w:tcPr>
                <w:p w14:paraId="783414F9">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22" w:type="pct"/>
                  <w:vAlign w:val="center"/>
                </w:tcPr>
                <w:p w14:paraId="783498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4.99</w:t>
                  </w:r>
                </w:p>
              </w:tc>
              <w:tc>
                <w:tcPr>
                  <w:tcW w:w="468" w:type="pct"/>
                  <w:vAlign w:val="center"/>
                </w:tcPr>
                <w:p w14:paraId="7C3C2EBA">
                  <w:pPr>
                    <w:keepNext w:val="0"/>
                    <w:keepLines w:val="0"/>
                    <w:widowControl/>
                    <w:suppressLineNumbers w:val="0"/>
                    <w:jc w:val="center"/>
                    <w:textAlignment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2.079</w:t>
                  </w:r>
                </w:p>
              </w:tc>
              <w:tc>
                <w:tcPr>
                  <w:tcW w:w="247" w:type="pct"/>
                  <w:vMerge w:val="continue"/>
                  <w:vAlign w:val="center"/>
                </w:tcPr>
                <w:p w14:paraId="6FFE4CCF">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252" w:type="pct"/>
                  <w:vMerge w:val="continue"/>
                  <w:vAlign w:val="center"/>
                </w:tcPr>
                <w:p w14:paraId="4630252E">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540" w:type="pct"/>
                  <w:vMerge w:val="continue"/>
                  <w:vAlign w:val="center"/>
                </w:tcPr>
                <w:p w14:paraId="2FE7AB2D">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68" w:type="pct"/>
                  <w:vAlign w:val="center"/>
                </w:tcPr>
                <w:p w14:paraId="49BAD22B">
                  <w:pPr>
                    <w:keepNext w:val="0"/>
                    <w:keepLines w:val="0"/>
                    <w:widowControl/>
                    <w:suppressLineNumbers w:val="0"/>
                    <w:jc w:val="center"/>
                    <w:textAlignment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pacing w:val="0"/>
                      <w:sz w:val="21"/>
                      <w:szCs w:val="21"/>
                      <w:highlight w:val="none"/>
                      <w:u w:val="none"/>
                      <w:lang w:val="en-US" w:eastAsia="zh-CN"/>
                      <w14:textFill>
                        <w14:solidFill>
                          <w14:schemeClr w14:val="tx1"/>
                        </w14:solidFill>
                      </w14:textFill>
                    </w:rPr>
                    <w:t>4.99</w:t>
                  </w:r>
                </w:p>
              </w:tc>
              <w:tc>
                <w:tcPr>
                  <w:tcW w:w="468" w:type="pct"/>
                  <w:shd w:val="clear" w:color="auto" w:fill="auto"/>
                  <w:vAlign w:val="center"/>
                </w:tcPr>
                <w:p w14:paraId="1863CEB7">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2.079</w:t>
                  </w:r>
                </w:p>
              </w:tc>
              <w:tc>
                <w:tcPr>
                  <w:tcW w:w="468" w:type="pct"/>
                  <w:shd w:val="clear" w:color="auto" w:fill="auto"/>
                  <w:vAlign w:val="center"/>
                </w:tcPr>
                <w:p w14:paraId="55DE9CF1">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w:t>
                  </w:r>
                </w:p>
              </w:tc>
              <w:tc>
                <w:tcPr>
                  <w:tcW w:w="375" w:type="pct"/>
                  <w:vMerge w:val="continue"/>
                  <w:vAlign w:val="center"/>
                </w:tcPr>
                <w:p w14:paraId="025B6C7F">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88" w:type="pct"/>
                  <w:vMerge w:val="continue"/>
                  <w:vAlign w:val="center"/>
                </w:tcPr>
                <w:p w14:paraId="4331A5B5">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52A4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289" w:type="pct"/>
                  <w:vAlign w:val="center"/>
                </w:tcPr>
                <w:p w14:paraId="598EA9CA">
                  <w:pPr>
                    <w:pStyle w:val="44"/>
                    <w:spacing w:line="240" w:lineRule="auto"/>
                    <w:jc w:val="cente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颗粒物</w:t>
                  </w:r>
                </w:p>
              </w:tc>
              <w:tc>
                <w:tcPr>
                  <w:tcW w:w="509" w:type="pct"/>
                  <w:vAlign w:val="center"/>
                </w:tcPr>
                <w:p w14:paraId="58619427">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烘干机</w:t>
                  </w:r>
                </w:p>
              </w:tc>
              <w:tc>
                <w:tcPr>
                  <w:tcW w:w="422" w:type="pct"/>
                  <w:vAlign w:val="center"/>
                </w:tcPr>
                <w:p w14:paraId="39CDBF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40.52</w:t>
                  </w:r>
                </w:p>
              </w:tc>
              <w:tc>
                <w:tcPr>
                  <w:tcW w:w="468" w:type="pct"/>
                  <w:vAlign w:val="center"/>
                </w:tcPr>
                <w:p w14:paraId="1C999A94">
                  <w:pPr>
                    <w:keepNext w:val="0"/>
                    <w:keepLines w:val="0"/>
                    <w:widowControl/>
                    <w:suppressLineNumbers w:val="0"/>
                    <w:jc w:val="center"/>
                    <w:textAlignment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cs="Times New Roman"/>
                      <w:color w:val="000000" w:themeColor="text1"/>
                      <w:spacing w:val="0"/>
                      <w:sz w:val="21"/>
                      <w:szCs w:val="21"/>
                      <w:highlight w:val="none"/>
                      <w:u w:val="none"/>
                      <w:lang w:val="en-US" w:eastAsia="zh-CN"/>
                      <w14:textFill>
                        <w14:solidFill>
                          <w14:schemeClr w14:val="tx1"/>
                        </w14:solidFill>
                      </w14:textFill>
                    </w:rPr>
                    <w:t>16.88</w:t>
                  </w:r>
                </w:p>
              </w:tc>
              <w:tc>
                <w:tcPr>
                  <w:tcW w:w="247" w:type="pct"/>
                  <w:vMerge w:val="continue"/>
                  <w:vAlign w:val="center"/>
                </w:tcPr>
                <w:p w14:paraId="3C86E95A">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252" w:type="pct"/>
                  <w:vMerge w:val="continue"/>
                  <w:vAlign w:val="center"/>
                </w:tcPr>
                <w:p w14:paraId="32ECDB09">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540" w:type="pct"/>
                  <w:vMerge w:val="continue"/>
                  <w:vAlign w:val="center"/>
                </w:tcPr>
                <w:p w14:paraId="68ABB086">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68" w:type="pct"/>
                  <w:vAlign w:val="center"/>
                </w:tcPr>
                <w:p w14:paraId="5D9273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2.03</w:t>
                  </w:r>
                </w:p>
              </w:tc>
              <w:tc>
                <w:tcPr>
                  <w:tcW w:w="468" w:type="pct"/>
                  <w:shd w:val="clear" w:color="auto" w:fill="auto"/>
                  <w:vAlign w:val="center"/>
                </w:tcPr>
                <w:p w14:paraId="78AF4970">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0.846</w:t>
                  </w:r>
                </w:p>
              </w:tc>
              <w:tc>
                <w:tcPr>
                  <w:tcW w:w="468" w:type="pct"/>
                  <w:shd w:val="clear" w:color="auto" w:fill="auto"/>
                  <w:vAlign w:val="center"/>
                </w:tcPr>
                <w:p w14:paraId="76DD5DB4">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w:t>
                  </w:r>
                </w:p>
              </w:tc>
              <w:tc>
                <w:tcPr>
                  <w:tcW w:w="375" w:type="pct"/>
                  <w:vAlign w:val="center"/>
                </w:tcPr>
                <w:p w14:paraId="43F2A2E3">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24</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0</w:t>
                  </w: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h</w:t>
                  </w:r>
                </w:p>
              </w:tc>
              <w:tc>
                <w:tcPr>
                  <w:tcW w:w="488" w:type="pct"/>
                  <w:vMerge w:val="continue"/>
                  <w:vAlign w:val="center"/>
                </w:tcPr>
                <w:p w14:paraId="28E87415">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6455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289" w:type="pct"/>
                  <w:vAlign w:val="center"/>
                </w:tcPr>
                <w:p w14:paraId="5E14A081">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颗粒物</w:t>
                  </w:r>
                </w:p>
              </w:tc>
              <w:tc>
                <w:tcPr>
                  <w:tcW w:w="509" w:type="pct"/>
                  <w:vMerge w:val="restart"/>
                  <w:vAlign w:val="center"/>
                </w:tcPr>
                <w:p w14:paraId="662B19D1">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炭化</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烟气燃烧废气</w:t>
                  </w:r>
                </w:p>
              </w:tc>
              <w:tc>
                <w:tcPr>
                  <w:tcW w:w="422" w:type="pct"/>
                  <w:vAlign w:val="center"/>
                </w:tcPr>
                <w:p w14:paraId="07F31264">
                  <w:pPr>
                    <w:keepNext w:val="0"/>
                    <w:keepLines w:val="0"/>
                    <w:widowControl/>
                    <w:suppressLineNumbers w:val="0"/>
                    <w:jc w:val="center"/>
                    <w:textAlignment w:val="center"/>
                    <w:rPr>
                      <w:rFonts w:hint="default" w:ascii="Times New Roman" w:hAnsi="Times New Roman" w:eastAsia="宋体" w:cs="Times New Roman"/>
                      <w:spacing w:val="-1"/>
                      <w:sz w:val="21"/>
                      <w:szCs w:val="21"/>
                      <w:highlight w:val="none"/>
                      <w:u w:val="none"/>
                      <w:lang w:val="en-US" w:eastAsia="zh-CN"/>
                    </w:rPr>
                  </w:pPr>
                  <w:r>
                    <w:rPr>
                      <w:rFonts w:hint="default" w:ascii="Times New Roman" w:hAnsi="Times New Roman" w:cs="Times New Roman"/>
                      <w:i w:val="0"/>
                      <w:iCs w:val="0"/>
                      <w:color w:val="000000"/>
                      <w:kern w:val="0"/>
                      <w:sz w:val="21"/>
                      <w:szCs w:val="21"/>
                      <w:highlight w:val="none"/>
                      <w:u w:val="none"/>
                      <w:lang w:val="en-US" w:eastAsia="zh-CN" w:bidi="ar"/>
                    </w:rPr>
                    <w:t>5.9</w:t>
                  </w:r>
                </w:p>
              </w:tc>
              <w:tc>
                <w:tcPr>
                  <w:tcW w:w="468" w:type="pct"/>
                  <w:vAlign w:val="center"/>
                </w:tcPr>
                <w:p w14:paraId="29C0AA9A">
                  <w:pPr>
                    <w:keepNext w:val="0"/>
                    <w:keepLines w:val="0"/>
                    <w:widowControl/>
                    <w:suppressLineNumbers w:val="0"/>
                    <w:jc w:val="center"/>
                    <w:textAlignment w:val="center"/>
                    <w:rPr>
                      <w:rFonts w:hint="default" w:ascii="Times New Roman" w:hAnsi="Times New Roman" w:eastAsia="宋体" w:cs="Times New Roman"/>
                      <w:spacing w:val="3"/>
                      <w:sz w:val="21"/>
                      <w:szCs w:val="21"/>
                      <w:highlight w:val="none"/>
                      <w:u w:val="none"/>
                      <w:lang w:val="en-US" w:eastAsia="zh-CN"/>
                    </w:rPr>
                  </w:pPr>
                  <w:r>
                    <w:rPr>
                      <w:rFonts w:hint="eastAsia" w:cs="Times New Roman"/>
                      <w:spacing w:val="3"/>
                      <w:sz w:val="21"/>
                      <w:szCs w:val="21"/>
                      <w:highlight w:val="none"/>
                      <w:u w:val="none"/>
                      <w:lang w:val="en-US" w:eastAsia="zh-CN"/>
                    </w:rPr>
                    <w:t>0.819</w:t>
                  </w:r>
                </w:p>
              </w:tc>
              <w:tc>
                <w:tcPr>
                  <w:tcW w:w="247" w:type="pct"/>
                  <w:vMerge w:val="continue"/>
                  <w:vAlign w:val="center"/>
                </w:tcPr>
                <w:p w14:paraId="2D6B4156">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252" w:type="pct"/>
                  <w:vMerge w:val="continue"/>
                  <w:vAlign w:val="center"/>
                </w:tcPr>
                <w:p w14:paraId="1D2503D8">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540" w:type="pct"/>
                  <w:vMerge w:val="continue"/>
                  <w:vAlign w:val="center"/>
                </w:tcPr>
                <w:p w14:paraId="3C4A1AE9">
                  <w:pPr>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p>
              </w:tc>
              <w:tc>
                <w:tcPr>
                  <w:tcW w:w="468" w:type="pct"/>
                  <w:vAlign w:val="center"/>
                </w:tcPr>
                <w:p w14:paraId="79C9AE6E">
                  <w:pPr>
                    <w:keepNext w:val="0"/>
                    <w:keepLines w:val="0"/>
                    <w:widowControl/>
                    <w:suppressLineNumbers w:val="0"/>
                    <w:jc w:val="center"/>
                    <w:textAlignment w:val="center"/>
                    <w:rPr>
                      <w:rFonts w:hint="default" w:ascii="Times New Roman" w:hAnsi="Times New Roman" w:eastAsia="宋体" w:cs="Times New Roman"/>
                      <w:spacing w:val="-1"/>
                      <w:sz w:val="21"/>
                      <w:szCs w:val="21"/>
                      <w:highlight w:val="none"/>
                      <w:u w:val="none"/>
                      <w:lang w:val="en-US" w:eastAsia="zh-CN"/>
                    </w:rPr>
                  </w:pPr>
                  <w:r>
                    <w:rPr>
                      <w:rFonts w:hint="default" w:ascii="Times New Roman" w:hAnsi="Times New Roman" w:cs="Times New Roman"/>
                      <w:i w:val="0"/>
                      <w:iCs w:val="0"/>
                      <w:color w:val="000000"/>
                      <w:kern w:val="0"/>
                      <w:sz w:val="21"/>
                      <w:szCs w:val="21"/>
                      <w:highlight w:val="none"/>
                      <w:u w:val="none"/>
                      <w:lang w:val="en-US" w:eastAsia="zh-CN" w:bidi="ar"/>
                    </w:rPr>
                    <w:t>0.30</w:t>
                  </w:r>
                </w:p>
              </w:tc>
              <w:tc>
                <w:tcPr>
                  <w:tcW w:w="468" w:type="pct"/>
                  <w:shd w:val="clear" w:color="auto" w:fill="auto"/>
                  <w:vAlign w:val="center"/>
                </w:tcPr>
                <w:p w14:paraId="0191FEA3">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0.042</w:t>
                  </w:r>
                </w:p>
              </w:tc>
              <w:tc>
                <w:tcPr>
                  <w:tcW w:w="468" w:type="pct"/>
                  <w:shd w:val="clear" w:color="auto" w:fill="auto"/>
                  <w:vAlign w:val="center"/>
                </w:tcPr>
                <w:p w14:paraId="4372BC63">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w:t>
                  </w:r>
                </w:p>
              </w:tc>
              <w:tc>
                <w:tcPr>
                  <w:tcW w:w="375" w:type="pct"/>
                  <w:vMerge w:val="restart"/>
                  <w:vAlign w:val="center"/>
                </w:tcPr>
                <w:p w14:paraId="40D2D6B5">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72</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0</w:t>
                  </w: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h</w:t>
                  </w:r>
                </w:p>
              </w:tc>
              <w:tc>
                <w:tcPr>
                  <w:tcW w:w="488" w:type="pct"/>
                  <w:vMerge w:val="continue"/>
                  <w:vAlign w:val="center"/>
                </w:tcPr>
                <w:p w14:paraId="3A5D4EF7">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6878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289" w:type="pct"/>
                  <w:vAlign w:val="center"/>
                </w:tcPr>
                <w:p w14:paraId="5257CE2A">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SO</w:t>
                  </w:r>
                  <w:r>
                    <w:rPr>
                      <w:rFonts w:hint="default" w:ascii="Times New Roman" w:hAnsi="Times New Roman" w:eastAsia="宋体" w:cs="Times New Roman"/>
                      <w:color w:val="000000" w:themeColor="text1"/>
                      <w:spacing w:val="0"/>
                      <w:sz w:val="21"/>
                      <w:szCs w:val="21"/>
                      <w:highlight w:val="none"/>
                      <w:u w:val="none"/>
                      <w:vertAlign w:val="subscript"/>
                      <w14:textFill>
                        <w14:solidFill>
                          <w14:schemeClr w14:val="tx1"/>
                        </w14:solidFill>
                      </w14:textFill>
                    </w:rPr>
                    <w:t>2</w:t>
                  </w:r>
                </w:p>
              </w:tc>
              <w:tc>
                <w:tcPr>
                  <w:tcW w:w="509" w:type="pct"/>
                  <w:vMerge w:val="continue"/>
                  <w:vAlign w:val="center"/>
                </w:tcPr>
                <w:p w14:paraId="5EAF7383">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22" w:type="pct"/>
                  <w:vAlign w:val="center"/>
                </w:tcPr>
                <w:p w14:paraId="7256F3E8">
                  <w:pPr>
                    <w:keepNext w:val="0"/>
                    <w:keepLines w:val="0"/>
                    <w:widowControl/>
                    <w:suppressLineNumbers w:val="0"/>
                    <w:jc w:val="center"/>
                    <w:textAlignment w:val="center"/>
                    <w:rPr>
                      <w:rFonts w:hint="default" w:ascii="Times New Roman" w:hAnsi="Times New Roman" w:eastAsia="宋体" w:cs="Times New Roman"/>
                      <w:spacing w:val="-1"/>
                      <w:sz w:val="21"/>
                      <w:szCs w:val="21"/>
                      <w:highlight w:val="none"/>
                      <w:u w:val="none"/>
                      <w:lang w:val="en-US" w:eastAsia="zh-CN"/>
                    </w:rPr>
                  </w:pPr>
                  <w:r>
                    <w:rPr>
                      <w:rFonts w:hint="default" w:ascii="Times New Roman" w:hAnsi="Times New Roman" w:cs="Times New Roman"/>
                      <w:i w:val="0"/>
                      <w:iCs w:val="0"/>
                      <w:color w:val="000000"/>
                      <w:kern w:val="0"/>
                      <w:sz w:val="21"/>
                      <w:szCs w:val="21"/>
                      <w:highlight w:val="none"/>
                      <w:u w:val="none"/>
                      <w:lang w:val="en-US" w:eastAsia="zh-CN" w:bidi="ar"/>
                    </w:rPr>
                    <w:t>17.6</w:t>
                  </w:r>
                </w:p>
              </w:tc>
              <w:tc>
                <w:tcPr>
                  <w:tcW w:w="468" w:type="pct"/>
                  <w:vAlign w:val="center"/>
                </w:tcPr>
                <w:p w14:paraId="1966161A">
                  <w:pPr>
                    <w:keepNext w:val="0"/>
                    <w:keepLines w:val="0"/>
                    <w:widowControl/>
                    <w:suppressLineNumbers w:val="0"/>
                    <w:jc w:val="center"/>
                    <w:textAlignment w:val="center"/>
                    <w:rPr>
                      <w:rFonts w:hint="default" w:ascii="Times New Roman" w:hAnsi="Times New Roman" w:eastAsia="宋体" w:cs="Times New Roman"/>
                      <w:spacing w:val="3"/>
                      <w:sz w:val="21"/>
                      <w:szCs w:val="21"/>
                      <w:highlight w:val="none"/>
                      <w:u w:val="none"/>
                      <w:lang w:val="en-US" w:eastAsia="zh-CN"/>
                    </w:rPr>
                  </w:pPr>
                  <w:r>
                    <w:rPr>
                      <w:rFonts w:hint="eastAsia" w:cs="Times New Roman"/>
                      <w:spacing w:val="3"/>
                      <w:sz w:val="21"/>
                      <w:szCs w:val="21"/>
                      <w:highlight w:val="none"/>
                      <w:u w:val="none"/>
                      <w:lang w:val="en-US" w:eastAsia="zh-CN"/>
                    </w:rPr>
                    <w:t>2.444</w:t>
                  </w:r>
                </w:p>
              </w:tc>
              <w:tc>
                <w:tcPr>
                  <w:tcW w:w="247" w:type="pct"/>
                  <w:vMerge w:val="continue"/>
                  <w:vAlign w:val="center"/>
                </w:tcPr>
                <w:p w14:paraId="5253D616">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252" w:type="pct"/>
                  <w:vMerge w:val="continue"/>
                  <w:vAlign w:val="center"/>
                </w:tcPr>
                <w:p w14:paraId="3A64A5C2">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540" w:type="pct"/>
                  <w:vMerge w:val="continue"/>
                  <w:vAlign w:val="center"/>
                </w:tcPr>
                <w:p w14:paraId="76468BB3">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68" w:type="pct"/>
                  <w:vAlign w:val="center"/>
                </w:tcPr>
                <w:p w14:paraId="2B4133FC">
                  <w:pPr>
                    <w:keepNext w:val="0"/>
                    <w:keepLines w:val="0"/>
                    <w:widowControl/>
                    <w:suppressLineNumbers w:val="0"/>
                    <w:jc w:val="center"/>
                    <w:textAlignment w:val="center"/>
                    <w:rPr>
                      <w:rFonts w:hint="default" w:ascii="Times New Roman" w:hAnsi="Times New Roman" w:eastAsia="宋体" w:cs="Times New Roman"/>
                      <w:spacing w:val="-1"/>
                      <w:sz w:val="21"/>
                      <w:szCs w:val="21"/>
                      <w:highlight w:val="none"/>
                      <w:u w:val="none"/>
                      <w:lang w:val="en-US" w:eastAsia="zh-CN"/>
                    </w:rPr>
                  </w:pPr>
                  <w:r>
                    <w:rPr>
                      <w:rFonts w:hint="default" w:ascii="Times New Roman" w:hAnsi="Times New Roman" w:cs="Times New Roman"/>
                      <w:i w:val="0"/>
                      <w:iCs w:val="0"/>
                      <w:color w:val="000000"/>
                      <w:kern w:val="0"/>
                      <w:sz w:val="21"/>
                      <w:szCs w:val="21"/>
                      <w:highlight w:val="none"/>
                      <w:u w:val="none"/>
                      <w:lang w:val="en-US" w:eastAsia="zh-CN" w:bidi="ar"/>
                    </w:rPr>
                    <w:t>8.8</w:t>
                  </w:r>
                </w:p>
              </w:tc>
              <w:tc>
                <w:tcPr>
                  <w:tcW w:w="468" w:type="pct"/>
                  <w:shd w:val="clear" w:color="auto" w:fill="auto"/>
                  <w:vAlign w:val="center"/>
                </w:tcPr>
                <w:p w14:paraId="5E5A1C2F">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1.222</w:t>
                  </w:r>
                </w:p>
              </w:tc>
              <w:tc>
                <w:tcPr>
                  <w:tcW w:w="468" w:type="pct"/>
                  <w:shd w:val="clear" w:color="auto" w:fill="auto"/>
                  <w:vAlign w:val="center"/>
                </w:tcPr>
                <w:p w14:paraId="25A2DF20">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w:t>
                  </w:r>
                </w:p>
              </w:tc>
              <w:tc>
                <w:tcPr>
                  <w:tcW w:w="375" w:type="pct"/>
                  <w:vMerge w:val="continue"/>
                  <w:vAlign w:val="center"/>
                </w:tcPr>
                <w:p w14:paraId="33602C01">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88" w:type="pct"/>
                  <w:vMerge w:val="continue"/>
                  <w:vAlign w:val="center"/>
                </w:tcPr>
                <w:p w14:paraId="7913E914">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05A7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289" w:type="pct"/>
                  <w:vAlign w:val="center"/>
                </w:tcPr>
                <w:p w14:paraId="384C0C35">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NOx</w:t>
                  </w:r>
                </w:p>
              </w:tc>
              <w:tc>
                <w:tcPr>
                  <w:tcW w:w="509" w:type="pct"/>
                  <w:vMerge w:val="continue"/>
                  <w:vAlign w:val="center"/>
                </w:tcPr>
                <w:p w14:paraId="5319E357">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22" w:type="pct"/>
                  <w:vAlign w:val="center"/>
                </w:tcPr>
                <w:p w14:paraId="38A8B881">
                  <w:pPr>
                    <w:keepNext w:val="0"/>
                    <w:keepLines w:val="0"/>
                    <w:widowControl/>
                    <w:suppressLineNumbers w:val="0"/>
                    <w:jc w:val="center"/>
                    <w:textAlignment w:val="center"/>
                    <w:rPr>
                      <w:rFonts w:hint="default" w:ascii="Times New Roman" w:hAnsi="Times New Roman" w:eastAsia="宋体" w:cs="Times New Roman"/>
                      <w:spacing w:val="-1"/>
                      <w:sz w:val="21"/>
                      <w:szCs w:val="21"/>
                      <w:highlight w:val="none"/>
                      <w:u w:val="none"/>
                      <w:lang w:val="en-US" w:eastAsia="zh-CN"/>
                    </w:rPr>
                  </w:pPr>
                  <w:r>
                    <w:rPr>
                      <w:rFonts w:hint="default" w:ascii="Times New Roman" w:hAnsi="Times New Roman" w:cs="Times New Roman"/>
                      <w:i w:val="0"/>
                      <w:iCs w:val="0"/>
                      <w:color w:val="000000"/>
                      <w:kern w:val="0"/>
                      <w:sz w:val="21"/>
                      <w:szCs w:val="21"/>
                      <w:highlight w:val="none"/>
                      <w:u w:val="none"/>
                      <w:lang w:val="en-US" w:eastAsia="zh-CN" w:bidi="ar"/>
                    </w:rPr>
                    <w:t>5.8</w:t>
                  </w:r>
                </w:p>
              </w:tc>
              <w:tc>
                <w:tcPr>
                  <w:tcW w:w="468" w:type="pct"/>
                  <w:vAlign w:val="center"/>
                </w:tcPr>
                <w:p w14:paraId="46CF96C9">
                  <w:pPr>
                    <w:keepNext w:val="0"/>
                    <w:keepLines w:val="0"/>
                    <w:widowControl/>
                    <w:suppressLineNumbers w:val="0"/>
                    <w:jc w:val="center"/>
                    <w:textAlignment w:val="center"/>
                    <w:rPr>
                      <w:rFonts w:hint="default" w:ascii="Times New Roman" w:hAnsi="Times New Roman" w:eastAsia="宋体" w:cs="Times New Roman"/>
                      <w:spacing w:val="3"/>
                      <w:sz w:val="21"/>
                      <w:szCs w:val="21"/>
                      <w:highlight w:val="none"/>
                      <w:u w:val="none"/>
                      <w:lang w:val="en-US" w:eastAsia="zh-CN"/>
                    </w:rPr>
                  </w:pPr>
                  <w:r>
                    <w:rPr>
                      <w:rFonts w:hint="eastAsia" w:cs="Times New Roman"/>
                      <w:spacing w:val="3"/>
                      <w:sz w:val="21"/>
                      <w:szCs w:val="21"/>
                      <w:highlight w:val="none"/>
                      <w:u w:val="none"/>
                      <w:lang w:val="en-US" w:eastAsia="zh-CN"/>
                    </w:rPr>
                    <w:t>0.806</w:t>
                  </w:r>
                </w:p>
              </w:tc>
              <w:tc>
                <w:tcPr>
                  <w:tcW w:w="247" w:type="pct"/>
                  <w:vMerge w:val="continue"/>
                  <w:vAlign w:val="center"/>
                </w:tcPr>
                <w:p w14:paraId="01E66996">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252" w:type="pct"/>
                  <w:vMerge w:val="continue"/>
                  <w:vAlign w:val="center"/>
                </w:tcPr>
                <w:p w14:paraId="6BE7B3B1">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540" w:type="pct"/>
                  <w:vMerge w:val="continue"/>
                  <w:vAlign w:val="center"/>
                </w:tcPr>
                <w:p w14:paraId="2F6A6204">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68" w:type="pct"/>
                  <w:vAlign w:val="center"/>
                </w:tcPr>
                <w:p w14:paraId="2C1CFD70">
                  <w:pPr>
                    <w:keepNext w:val="0"/>
                    <w:keepLines w:val="0"/>
                    <w:widowControl/>
                    <w:suppressLineNumbers w:val="0"/>
                    <w:jc w:val="center"/>
                    <w:textAlignment w:val="center"/>
                    <w:rPr>
                      <w:rFonts w:hint="default" w:ascii="Times New Roman" w:hAnsi="Times New Roman" w:eastAsia="宋体" w:cs="Times New Roman"/>
                      <w:spacing w:val="-1"/>
                      <w:sz w:val="21"/>
                      <w:szCs w:val="21"/>
                      <w:highlight w:val="none"/>
                      <w:u w:val="none"/>
                      <w:lang w:val="en-US" w:eastAsia="zh-CN"/>
                    </w:rPr>
                  </w:pPr>
                  <w:r>
                    <w:rPr>
                      <w:rFonts w:hint="default" w:ascii="Times New Roman" w:hAnsi="Times New Roman" w:cs="Times New Roman"/>
                      <w:i w:val="0"/>
                      <w:iCs w:val="0"/>
                      <w:color w:val="000000"/>
                      <w:kern w:val="0"/>
                      <w:sz w:val="21"/>
                      <w:szCs w:val="21"/>
                      <w:highlight w:val="none"/>
                      <w:u w:val="none"/>
                      <w:lang w:val="en-US" w:eastAsia="zh-CN" w:bidi="ar"/>
                    </w:rPr>
                    <w:t>5.8</w:t>
                  </w:r>
                </w:p>
              </w:tc>
              <w:tc>
                <w:tcPr>
                  <w:tcW w:w="468" w:type="pct"/>
                  <w:shd w:val="clear" w:color="auto" w:fill="auto"/>
                  <w:vAlign w:val="center"/>
                </w:tcPr>
                <w:p w14:paraId="5D2E7F57">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i w:val="0"/>
                      <w:iCs w:val="0"/>
                      <w:color w:val="000000"/>
                      <w:kern w:val="0"/>
                      <w:sz w:val="21"/>
                      <w:szCs w:val="21"/>
                      <w:highlight w:val="none"/>
                      <w:u w:val="none"/>
                      <w:lang w:val="en-US" w:eastAsia="zh-CN" w:bidi="ar"/>
                    </w:rPr>
                    <w:t>0.806</w:t>
                  </w:r>
                </w:p>
              </w:tc>
              <w:tc>
                <w:tcPr>
                  <w:tcW w:w="468" w:type="pct"/>
                  <w:shd w:val="clear" w:color="auto" w:fill="auto"/>
                  <w:vAlign w:val="center"/>
                </w:tcPr>
                <w:p w14:paraId="4D40F8B5">
                  <w:pPr>
                    <w:keepNext w:val="0"/>
                    <w:keepLines w:val="0"/>
                    <w:widowControl/>
                    <w:suppressLineNumbers w:val="0"/>
                    <w:jc w:val="center"/>
                    <w:textAlignment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w:t>
                  </w:r>
                </w:p>
              </w:tc>
              <w:tc>
                <w:tcPr>
                  <w:tcW w:w="375" w:type="pct"/>
                  <w:vMerge w:val="continue"/>
                  <w:vAlign w:val="center"/>
                </w:tcPr>
                <w:p w14:paraId="67D15147">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88" w:type="pct"/>
                  <w:vMerge w:val="continue"/>
                  <w:vAlign w:val="center"/>
                </w:tcPr>
                <w:p w14:paraId="7AD7F9DE">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2014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289" w:type="pct"/>
                  <w:shd w:val="clear" w:color="auto" w:fill="auto"/>
                  <w:vAlign w:val="center"/>
                </w:tcPr>
                <w:p w14:paraId="1B995554">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颗粒物</w:t>
                  </w:r>
                </w:p>
              </w:tc>
              <w:tc>
                <w:tcPr>
                  <w:tcW w:w="509" w:type="pct"/>
                  <w:vMerge w:val="restart"/>
                  <w:vAlign w:val="center"/>
                </w:tcPr>
                <w:p w14:paraId="4932BB44">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合计（</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35000</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m</w:t>
                  </w:r>
                  <w:r>
                    <w:rPr>
                      <w:rFonts w:hint="default" w:ascii="Times New Roman" w:hAnsi="Times New Roman" w:eastAsia="宋体" w:cs="Times New Roman"/>
                      <w:color w:val="000000" w:themeColor="text1"/>
                      <w:spacing w:val="0"/>
                      <w:sz w:val="21"/>
                      <w:szCs w:val="21"/>
                      <w:highlight w:val="none"/>
                      <w:u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1"/>
                      <w:szCs w:val="21"/>
                      <w:highlight w:val="none"/>
                      <w:u w:val="none"/>
                      <w:vertAlign w:val="baseline"/>
                      <w:lang w:val="en-US" w:eastAsia="zh-CN"/>
                      <w14:textFill>
                        <w14:solidFill>
                          <w14:schemeClr w14:val="tx1"/>
                        </w14:solidFill>
                      </w14:textFill>
                    </w:rPr>
                    <w:t>/</w:t>
                  </w:r>
                  <w:r>
                    <w:rPr>
                      <w:rFonts w:hint="eastAsia" w:ascii="Times New Roman" w:hAnsi="Times New Roman" w:cs="Times New Roman"/>
                      <w:color w:val="000000" w:themeColor="text1"/>
                      <w:spacing w:val="0"/>
                      <w:sz w:val="21"/>
                      <w:szCs w:val="21"/>
                      <w:highlight w:val="none"/>
                      <w:u w:val="none"/>
                      <w:vertAlign w:val="baseline"/>
                      <w:lang w:val="en-US" w:eastAsia="zh-CN"/>
                      <w14:textFill>
                        <w14:solidFill>
                          <w14:schemeClr w14:val="tx1"/>
                        </w14:solidFill>
                      </w14:textFill>
                    </w:rPr>
                    <w:t>h，</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DA002</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w:t>
                  </w:r>
                </w:p>
              </w:tc>
              <w:tc>
                <w:tcPr>
                  <w:tcW w:w="422" w:type="pct"/>
                  <w:vAlign w:val="center"/>
                </w:tcPr>
                <w:p w14:paraId="65EE1E3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50.29</w:t>
                  </w:r>
                </w:p>
              </w:tc>
              <w:tc>
                <w:tcPr>
                  <w:tcW w:w="468" w:type="pct"/>
                  <w:vAlign w:val="center"/>
                </w:tcPr>
                <w:p w14:paraId="25E7860C">
                  <w:pPr>
                    <w:keepNext w:val="0"/>
                    <w:keepLines w:val="0"/>
                    <w:widowControl/>
                    <w:suppressLineNumbers w:val="0"/>
                    <w:jc w:val="center"/>
                    <w:textAlignment w:val="center"/>
                    <w:rPr>
                      <w:rFonts w:hint="default" w:ascii="Times New Roman" w:hAnsi="Times New Roman" w:eastAsia="宋体" w:cs="Times New Roman"/>
                      <w:spacing w:val="3"/>
                      <w:sz w:val="21"/>
                      <w:szCs w:val="21"/>
                      <w:highlight w:val="none"/>
                      <w:u w:val="none"/>
                      <w:lang w:val="en-US" w:eastAsia="zh-CN"/>
                    </w:rPr>
                  </w:pPr>
                  <w:r>
                    <w:rPr>
                      <w:rFonts w:hint="eastAsia" w:cs="Times New Roman"/>
                      <w:spacing w:val="3"/>
                      <w:sz w:val="21"/>
                      <w:szCs w:val="21"/>
                      <w:highlight w:val="none"/>
                      <w:u w:val="none"/>
                      <w:lang w:val="en-US" w:eastAsia="zh-CN"/>
                    </w:rPr>
                    <w:t>19.309</w:t>
                  </w:r>
                </w:p>
              </w:tc>
              <w:tc>
                <w:tcPr>
                  <w:tcW w:w="500" w:type="pct"/>
                  <w:gridSpan w:val="2"/>
                  <w:vMerge w:val="restart"/>
                  <w:vAlign w:val="center"/>
                </w:tcPr>
                <w:p w14:paraId="7F8F28C1">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旋风+</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喷淋除尘脱硫塔</w:t>
                  </w:r>
                </w:p>
              </w:tc>
              <w:tc>
                <w:tcPr>
                  <w:tcW w:w="540" w:type="pct"/>
                  <w:vMerge w:val="restart"/>
                  <w:vAlign w:val="center"/>
                </w:tcPr>
                <w:p w14:paraId="020D5FFF">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颗粒物</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处理效率</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9</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w:t>
                  </w:r>
                  <w:r>
                    <w:rPr>
                      <w:rFonts w:hint="eastAsia" w:ascii="Times New Roman" w:hAnsi="Times New Roman" w:cs="Times New Roman"/>
                      <w:color w:val="000000" w:themeColor="text1"/>
                      <w:spacing w:val="0"/>
                      <w:sz w:val="21"/>
                      <w:szCs w:val="21"/>
                      <w:highlight w:val="none"/>
                      <w:u w:val="none"/>
                      <w:lang w:eastAsia="zh-CN"/>
                      <w14:textFill>
                        <w14:solidFill>
                          <w14:schemeClr w14:val="tx1"/>
                        </w14:solidFill>
                      </w14:textFill>
                    </w:rPr>
                    <w:t>，脱硫效率</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50%</w:t>
                  </w:r>
                </w:p>
              </w:tc>
              <w:tc>
                <w:tcPr>
                  <w:tcW w:w="468" w:type="pct"/>
                  <w:vAlign w:val="center"/>
                </w:tcPr>
                <w:p w14:paraId="6C6C6E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2.528</w:t>
                  </w:r>
                </w:p>
              </w:tc>
              <w:tc>
                <w:tcPr>
                  <w:tcW w:w="468" w:type="pct"/>
                  <w:vAlign w:val="center"/>
                </w:tcPr>
                <w:p w14:paraId="69C35D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0.97</w:t>
                  </w:r>
                </w:p>
              </w:tc>
              <w:tc>
                <w:tcPr>
                  <w:tcW w:w="468" w:type="pct"/>
                  <w:vAlign w:val="center"/>
                </w:tcPr>
                <w:p w14:paraId="1D36B1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27.71</w:t>
                  </w:r>
                </w:p>
              </w:tc>
              <w:tc>
                <w:tcPr>
                  <w:tcW w:w="375" w:type="pct"/>
                  <w:vMerge w:val="restart"/>
                  <w:vAlign w:val="center"/>
                </w:tcPr>
                <w:p w14:paraId="7993FCBA">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72</w:t>
                  </w: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00h</w:t>
                  </w:r>
                </w:p>
              </w:tc>
              <w:tc>
                <w:tcPr>
                  <w:tcW w:w="488" w:type="pct"/>
                  <w:vMerge w:val="restart"/>
                  <w:vAlign w:val="center"/>
                </w:tcPr>
                <w:p w14:paraId="5BF156F8">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eastAsia="zh-CN"/>
                      <w14:textFill>
                        <w14:solidFill>
                          <w14:schemeClr w14:val="tx1"/>
                        </w14:solidFill>
                      </w14:textFill>
                    </w:rPr>
                    <w:t>DA002</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排气筒</w:t>
                  </w:r>
                  <w:r>
                    <w:rPr>
                      <w:rFonts w:hint="default" w:ascii="Times New Roman" w:hAnsi="Times New Roman" w:eastAsia="宋体" w:cs="Times New Roman"/>
                      <w:color w:val="000000" w:themeColor="text1"/>
                      <w:spacing w:val="0"/>
                      <w:sz w:val="21"/>
                      <w:szCs w:val="21"/>
                      <w:highlight w:val="none"/>
                      <w:u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15m</w:t>
                  </w:r>
                  <w:r>
                    <w:rPr>
                      <w:rFonts w:hint="default" w:ascii="Times New Roman" w:hAnsi="Times New Roman" w:eastAsia="宋体" w:cs="Times New Roman"/>
                      <w:color w:val="000000" w:themeColor="text1"/>
                      <w:spacing w:val="0"/>
                      <w:sz w:val="21"/>
                      <w:szCs w:val="21"/>
                      <w:highlight w:val="none"/>
                      <w:u w:val="none"/>
                      <w:lang w:eastAsia="zh-CN"/>
                      <w14:textFill>
                        <w14:solidFill>
                          <w14:schemeClr w14:val="tx1"/>
                        </w14:solidFill>
                      </w14:textFill>
                    </w:rPr>
                    <w:t>）</w:t>
                  </w:r>
                </w:p>
              </w:tc>
            </w:tr>
            <w:tr w14:paraId="4ECB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289" w:type="pct"/>
                  <w:shd w:val="clear" w:color="auto" w:fill="auto"/>
                  <w:vAlign w:val="center"/>
                </w:tcPr>
                <w:p w14:paraId="6D714436">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SO</w:t>
                  </w:r>
                  <w:r>
                    <w:rPr>
                      <w:rFonts w:hint="default" w:ascii="Times New Roman" w:hAnsi="Times New Roman" w:eastAsia="宋体" w:cs="Times New Roman"/>
                      <w:color w:val="000000" w:themeColor="text1"/>
                      <w:spacing w:val="0"/>
                      <w:sz w:val="21"/>
                      <w:szCs w:val="21"/>
                      <w:highlight w:val="none"/>
                      <w:u w:val="none"/>
                      <w:vertAlign w:val="subscript"/>
                      <w14:textFill>
                        <w14:solidFill>
                          <w14:schemeClr w14:val="tx1"/>
                        </w14:solidFill>
                      </w14:textFill>
                    </w:rPr>
                    <w:t>2</w:t>
                  </w:r>
                </w:p>
              </w:tc>
              <w:tc>
                <w:tcPr>
                  <w:tcW w:w="509" w:type="pct"/>
                  <w:vMerge w:val="continue"/>
                  <w:vAlign w:val="center"/>
                </w:tcPr>
                <w:p w14:paraId="019C5CFC">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22" w:type="pct"/>
                  <w:vAlign w:val="center"/>
                </w:tcPr>
                <w:p w14:paraId="548CB4E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18.4</w:t>
                  </w:r>
                </w:p>
              </w:tc>
              <w:tc>
                <w:tcPr>
                  <w:tcW w:w="468" w:type="pct"/>
                  <w:vAlign w:val="center"/>
                </w:tcPr>
                <w:p w14:paraId="5D8AB00B">
                  <w:pPr>
                    <w:keepNext w:val="0"/>
                    <w:keepLines w:val="0"/>
                    <w:widowControl/>
                    <w:suppressLineNumbers w:val="0"/>
                    <w:jc w:val="center"/>
                    <w:textAlignment w:val="center"/>
                    <w:rPr>
                      <w:rFonts w:hint="default" w:ascii="Times New Roman" w:hAnsi="Times New Roman" w:eastAsia="宋体" w:cs="Times New Roman"/>
                      <w:spacing w:val="3"/>
                      <w:sz w:val="21"/>
                      <w:szCs w:val="21"/>
                      <w:highlight w:val="none"/>
                      <w:u w:val="none"/>
                      <w:lang w:val="en-US" w:eastAsia="zh-CN"/>
                    </w:rPr>
                  </w:pPr>
                  <w:r>
                    <w:rPr>
                      <w:rFonts w:hint="eastAsia" w:cs="Times New Roman"/>
                      <w:spacing w:val="3"/>
                      <w:sz w:val="21"/>
                      <w:szCs w:val="21"/>
                      <w:highlight w:val="none"/>
                      <w:u w:val="none"/>
                      <w:lang w:val="en-US" w:eastAsia="zh-CN"/>
                    </w:rPr>
                    <w:t>2.777</w:t>
                  </w:r>
                </w:p>
              </w:tc>
              <w:tc>
                <w:tcPr>
                  <w:tcW w:w="500" w:type="pct"/>
                  <w:gridSpan w:val="2"/>
                  <w:vMerge w:val="continue"/>
                  <w:vAlign w:val="center"/>
                </w:tcPr>
                <w:p w14:paraId="1F23911A">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540" w:type="pct"/>
                  <w:vMerge w:val="continue"/>
                  <w:vAlign w:val="center"/>
                </w:tcPr>
                <w:p w14:paraId="6E17CF57">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68" w:type="pct"/>
                  <w:vAlign w:val="center"/>
                </w:tcPr>
                <w:p w14:paraId="3E62DC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9.2</w:t>
                  </w:r>
                </w:p>
              </w:tc>
              <w:tc>
                <w:tcPr>
                  <w:tcW w:w="468" w:type="pct"/>
                  <w:vAlign w:val="center"/>
                </w:tcPr>
                <w:p w14:paraId="63DB6F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1.389</w:t>
                  </w:r>
                </w:p>
              </w:tc>
              <w:tc>
                <w:tcPr>
                  <w:tcW w:w="468" w:type="pct"/>
                  <w:vAlign w:val="center"/>
                </w:tcPr>
                <w:p w14:paraId="5CCA796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39.68</w:t>
                  </w:r>
                </w:p>
              </w:tc>
              <w:tc>
                <w:tcPr>
                  <w:tcW w:w="375" w:type="pct"/>
                  <w:vMerge w:val="continue"/>
                  <w:vAlign w:val="center"/>
                </w:tcPr>
                <w:p w14:paraId="46BB8023">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88" w:type="pct"/>
                  <w:vMerge w:val="continue"/>
                  <w:vAlign w:val="center"/>
                </w:tcPr>
                <w:p w14:paraId="46C28857">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6503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289" w:type="pct"/>
                  <w:shd w:val="clear" w:color="auto" w:fill="auto"/>
                  <w:vAlign w:val="center"/>
                </w:tcPr>
                <w:p w14:paraId="69070FD8">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NOx</w:t>
                  </w:r>
                </w:p>
              </w:tc>
              <w:tc>
                <w:tcPr>
                  <w:tcW w:w="509" w:type="pct"/>
                  <w:vMerge w:val="continue"/>
                  <w:vAlign w:val="center"/>
                </w:tcPr>
                <w:p w14:paraId="29C08F16">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22" w:type="pct"/>
                  <w:vAlign w:val="center"/>
                </w:tcPr>
                <w:p w14:paraId="097C61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10.79</w:t>
                  </w:r>
                </w:p>
              </w:tc>
              <w:tc>
                <w:tcPr>
                  <w:tcW w:w="468" w:type="pct"/>
                  <w:vAlign w:val="center"/>
                </w:tcPr>
                <w:p w14:paraId="51FC10E9">
                  <w:pPr>
                    <w:keepNext w:val="0"/>
                    <w:keepLines w:val="0"/>
                    <w:widowControl/>
                    <w:suppressLineNumbers w:val="0"/>
                    <w:jc w:val="center"/>
                    <w:textAlignment w:val="center"/>
                    <w:rPr>
                      <w:rFonts w:hint="default" w:ascii="Times New Roman" w:hAnsi="Times New Roman" w:eastAsia="宋体" w:cs="Times New Roman"/>
                      <w:spacing w:val="3"/>
                      <w:sz w:val="21"/>
                      <w:szCs w:val="21"/>
                      <w:highlight w:val="none"/>
                      <w:u w:val="none"/>
                      <w:lang w:val="en-US" w:eastAsia="zh-CN"/>
                    </w:rPr>
                  </w:pPr>
                  <w:r>
                    <w:rPr>
                      <w:rFonts w:hint="eastAsia" w:cs="Times New Roman"/>
                      <w:spacing w:val="3"/>
                      <w:sz w:val="21"/>
                      <w:szCs w:val="21"/>
                      <w:highlight w:val="none"/>
                      <w:u w:val="none"/>
                      <w:lang w:val="en-US" w:eastAsia="zh-CN"/>
                    </w:rPr>
                    <w:t>2.885</w:t>
                  </w:r>
                </w:p>
              </w:tc>
              <w:tc>
                <w:tcPr>
                  <w:tcW w:w="500" w:type="pct"/>
                  <w:gridSpan w:val="2"/>
                  <w:vMerge w:val="continue"/>
                  <w:vAlign w:val="center"/>
                </w:tcPr>
                <w:p w14:paraId="137F9B6B">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540" w:type="pct"/>
                  <w:vMerge w:val="continue"/>
                  <w:vAlign w:val="center"/>
                </w:tcPr>
                <w:p w14:paraId="4A3E50FB">
                  <w:pPr>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68" w:type="pct"/>
                  <w:vAlign w:val="center"/>
                </w:tcPr>
                <w:p w14:paraId="2724797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10.79</w:t>
                  </w:r>
                </w:p>
              </w:tc>
              <w:tc>
                <w:tcPr>
                  <w:tcW w:w="468" w:type="pct"/>
                  <w:vAlign w:val="center"/>
                </w:tcPr>
                <w:p w14:paraId="568EAD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2.885</w:t>
                  </w:r>
                </w:p>
              </w:tc>
              <w:tc>
                <w:tcPr>
                  <w:tcW w:w="468" w:type="pct"/>
                  <w:vAlign w:val="center"/>
                </w:tcPr>
                <w:p w14:paraId="2938D4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cs="Times New Roman"/>
                      <w:i w:val="0"/>
                      <w:iCs w:val="0"/>
                      <w:color w:val="000000"/>
                      <w:kern w:val="0"/>
                      <w:sz w:val="21"/>
                      <w:szCs w:val="21"/>
                      <w:highlight w:val="none"/>
                      <w:u w:val="none"/>
                      <w:lang w:val="en-US" w:eastAsia="zh-CN" w:bidi="ar"/>
                    </w:rPr>
                    <w:t>82.43</w:t>
                  </w:r>
                </w:p>
              </w:tc>
              <w:tc>
                <w:tcPr>
                  <w:tcW w:w="375" w:type="pct"/>
                  <w:vMerge w:val="continue"/>
                  <w:vAlign w:val="center"/>
                </w:tcPr>
                <w:p w14:paraId="2B1AE719">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488" w:type="pct"/>
                  <w:vMerge w:val="continue"/>
                  <w:vAlign w:val="center"/>
                </w:tcPr>
                <w:p w14:paraId="7AD09833">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224B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9" w:type="pct"/>
                  <w:vMerge w:val="restart"/>
                  <w:vAlign w:val="center"/>
                </w:tcPr>
                <w:p w14:paraId="765D35EC">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颗粒物</w:t>
                  </w:r>
                </w:p>
              </w:tc>
              <w:tc>
                <w:tcPr>
                  <w:tcW w:w="509" w:type="pct"/>
                  <w:vAlign w:val="center"/>
                </w:tcPr>
                <w:p w14:paraId="2DB6CD9B">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装卸、储存、输送</w:t>
                  </w:r>
                </w:p>
              </w:tc>
              <w:tc>
                <w:tcPr>
                  <w:tcW w:w="422" w:type="pct"/>
                  <w:vAlign w:val="center"/>
                </w:tcPr>
                <w:p w14:paraId="4F611CFC">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5.62</w:t>
                  </w:r>
                </w:p>
              </w:tc>
              <w:tc>
                <w:tcPr>
                  <w:tcW w:w="468" w:type="pct"/>
                  <w:vAlign w:val="center"/>
                </w:tcPr>
                <w:p w14:paraId="2D220E0F">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2.34</w:t>
                  </w:r>
                </w:p>
              </w:tc>
              <w:tc>
                <w:tcPr>
                  <w:tcW w:w="247" w:type="pct"/>
                  <w:vAlign w:val="center"/>
                </w:tcPr>
                <w:p w14:paraId="27289F39">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半封闭，局部降尘</w:t>
                  </w:r>
                </w:p>
              </w:tc>
              <w:tc>
                <w:tcPr>
                  <w:tcW w:w="252" w:type="pct"/>
                  <w:vAlign w:val="center"/>
                </w:tcPr>
                <w:p w14:paraId="2E618080">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w:t>
                  </w:r>
                </w:p>
              </w:tc>
              <w:tc>
                <w:tcPr>
                  <w:tcW w:w="540" w:type="pct"/>
                  <w:vAlign w:val="center"/>
                </w:tcPr>
                <w:p w14:paraId="32B0A95A">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w:t>
                  </w:r>
                </w:p>
              </w:tc>
              <w:tc>
                <w:tcPr>
                  <w:tcW w:w="468" w:type="pct"/>
                  <w:vAlign w:val="center"/>
                </w:tcPr>
                <w:p w14:paraId="254FA438">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2.25</w:t>
                  </w:r>
                </w:p>
              </w:tc>
              <w:tc>
                <w:tcPr>
                  <w:tcW w:w="468" w:type="pct"/>
                  <w:vAlign w:val="center"/>
                </w:tcPr>
                <w:p w14:paraId="51EA8304">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0.94</w:t>
                  </w:r>
                </w:p>
              </w:tc>
              <w:tc>
                <w:tcPr>
                  <w:tcW w:w="468" w:type="pct"/>
                  <w:vAlign w:val="center"/>
                </w:tcPr>
                <w:p w14:paraId="7B40C4C1">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w:t>
                  </w:r>
                </w:p>
              </w:tc>
              <w:tc>
                <w:tcPr>
                  <w:tcW w:w="375" w:type="pct"/>
                  <w:vAlign w:val="center"/>
                </w:tcPr>
                <w:p w14:paraId="39B576E6">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24</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00</w:t>
                  </w: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h</w:t>
                  </w:r>
                </w:p>
              </w:tc>
              <w:tc>
                <w:tcPr>
                  <w:tcW w:w="488" w:type="pct"/>
                  <w:vMerge w:val="restart"/>
                  <w:vAlign w:val="center"/>
                </w:tcPr>
                <w:p w14:paraId="78B7D4B9">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无组织</w:t>
                  </w:r>
                </w:p>
              </w:tc>
            </w:tr>
            <w:tr w14:paraId="2CD5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9" w:type="pct"/>
                  <w:vMerge w:val="continue"/>
                  <w:vAlign w:val="center"/>
                </w:tcPr>
                <w:p w14:paraId="48E1384E">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509" w:type="pct"/>
                  <w:shd w:val="clear" w:color="auto" w:fill="auto"/>
                  <w:vAlign w:val="center"/>
                </w:tcPr>
                <w:p w14:paraId="7793FB09">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olor w:val="000000" w:themeColor="text1"/>
                      <w:spacing w:val="0"/>
                      <w:kern w:val="2"/>
                      <w:sz w:val="21"/>
                      <w:szCs w:val="21"/>
                      <w:highlight w:val="none"/>
                      <w:u w:val="none"/>
                      <w:lang w:val="en-US" w:eastAsia="zh-CN" w:bidi="ar-SA"/>
                      <w14:textFill>
                        <w14:solidFill>
                          <w14:schemeClr w14:val="tx1"/>
                        </w14:solidFill>
                      </w14:textFill>
                    </w:rPr>
                    <w:t>粉碎</w:t>
                  </w:r>
                </w:p>
              </w:tc>
              <w:tc>
                <w:tcPr>
                  <w:tcW w:w="422" w:type="pct"/>
                  <w:shd w:val="clear" w:color="auto" w:fill="auto"/>
                  <w:vAlign w:val="center"/>
                </w:tcPr>
                <w:p w14:paraId="183CEEDD">
                  <w:pPr>
                    <w:spacing w:line="260" w:lineRule="exact"/>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color w:val="000000" w:themeColor="text1"/>
                      <w:spacing w:val="0"/>
                      <w:kern w:val="2"/>
                      <w:sz w:val="21"/>
                      <w:szCs w:val="21"/>
                      <w:highlight w:val="none"/>
                      <w:u w:val="none"/>
                      <w:lang w:val="en-US" w:eastAsia="zh-CN" w:bidi="ar-SA"/>
                      <w14:textFill>
                        <w14:solidFill>
                          <w14:schemeClr w14:val="tx1"/>
                        </w14:solidFill>
                      </w14:textFill>
                    </w:rPr>
                    <w:t>1.12</w:t>
                  </w:r>
                </w:p>
              </w:tc>
              <w:tc>
                <w:tcPr>
                  <w:tcW w:w="468" w:type="pct"/>
                  <w:shd w:val="clear" w:color="auto" w:fill="auto"/>
                  <w:vAlign w:val="center"/>
                </w:tcPr>
                <w:p w14:paraId="34254E70">
                  <w:pPr>
                    <w:spacing w:line="260" w:lineRule="exact"/>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cs="Times New Roman"/>
                      <w:color w:val="000000" w:themeColor="text1"/>
                      <w:spacing w:val="0"/>
                      <w:kern w:val="2"/>
                      <w:sz w:val="21"/>
                      <w:szCs w:val="21"/>
                      <w:highlight w:val="none"/>
                      <w:u w:val="none"/>
                      <w:lang w:val="en-US" w:eastAsia="zh-CN" w:bidi="ar-SA"/>
                      <w14:textFill>
                        <w14:solidFill>
                          <w14:schemeClr w14:val="tx1"/>
                        </w14:solidFill>
                      </w14:textFill>
                    </w:rPr>
                    <w:t>0.47</w:t>
                  </w:r>
                </w:p>
              </w:tc>
              <w:tc>
                <w:tcPr>
                  <w:tcW w:w="247" w:type="pct"/>
                  <w:vMerge w:val="restart"/>
                  <w:vAlign w:val="center"/>
                </w:tcPr>
                <w:p w14:paraId="41B54512">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厂房阻隔</w:t>
                  </w:r>
                </w:p>
              </w:tc>
              <w:tc>
                <w:tcPr>
                  <w:tcW w:w="252" w:type="pct"/>
                  <w:vMerge w:val="restart"/>
                  <w:vAlign w:val="center"/>
                </w:tcPr>
                <w:p w14:paraId="36D51783">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w:t>
                  </w:r>
                </w:p>
              </w:tc>
              <w:tc>
                <w:tcPr>
                  <w:tcW w:w="540" w:type="pct"/>
                  <w:vMerge w:val="restart"/>
                  <w:vAlign w:val="center"/>
                </w:tcPr>
                <w:p w14:paraId="1365ECBE">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未收集的10%无组织排放</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w:t>
                  </w: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w:t>
                  </w: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w:t>
                  </w:r>
                </w:p>
              </w:tc>
              <w:tc>
                <w:tcPr>
                  <w:tcW w:w="468" w:type="pct"/>
                  <w:vAlign w:val="center"/>
                </w:tcPr>
                <w:p w14:paraId="09B06142">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0.45</w:t>
                  </w:r>
                </w:p>
              </w:tc>
              <w:tc>
                <w:tcPr>
                  <w:tcW w:w="468" w:type="pct"/>
                  <w:vAlign w:val="center"/>
                </w:tcPr>
                <w:p w14:paraId="5EC8E81C">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0.19</w:t>
                  </w:r>
                </w:p>
              </w:tc>
              <w:tc>
                <w:tcPr>
                  <w:tcW w:w="468" w:type="pct"/>
                  <w:vAlign w:val="center"/>
                </w:tcPr>
                <w:p w14:paraId="307CE638">
                  <w:pPr>
                    <w:pStyle w:val="44"/>
                    <w:spacing w:line="240" w:lineRule="auto"/>
                    <w:jc w:val="cente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w:t>
                  </w:r>
                </w:p>
              </w:tc>
              <w:tc>
                <w:tcPr>
                  <w:tcW w:w="375" w:type="pct"/>
                  <w:vAlign w:val="center"/>
                </w:tcPr>
                <w:p w14:paraId="0BA842D2">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2400h</w:t>
                  </w:r>
                </w:p>
              </w:tc>
              <w:tc>
                <w:tcPr>
                  <w:tcW w:w="488" w:type="pct"/>
                  <w:vMerge w:val="continue"/>
                  <w:vAlign w:val="center"/>
                </w:tcPr>
                <w:p w14:paraId="6B58584B">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18B9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9" w:type="pct"/>
                  <w:vMerge w:val="continue"/>
                  <w:vAlign w:val="center"/>
                </w:tcPr>
                <w:p w14:paraId="0693255B">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c>
                <w:tcPr>
                  <w:tcW w:w="509" w:type="pct"/>
                  <w:shd w:val="clear" w:color="auto" w:fill="auto"/>
                  <w:vAlign w:val="center"/>
                </w:tcPr>
                <w:p w14:paraId="227C3BDA">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制棒</w:t>
                  </w:r>
                </w:p>
              </w:tc>
              <w:tc>
                <w:tcPr>
                  <w:tcW w:w="422" w:type="pct"/>
                  <w:shd w:val="clear" w:color="auto" w:fill="auto"/>
                  <w:vAlign w:val="center"/>
                </w:tcPr>
                <w:p w14:paraId="3C4EF47B">
                  <w:pPr>
                    <w:spacing w:line="260" w:lineRule="exact"/>
                    <w:jc w:val="center"/>
                    <w:rPr>
                      <w:rFonts w:hint="eastAsia"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0.41</w:t>
                  </w:r>
                </w:p>
              </w:tc>
              <w:tc>
                <w:tcPr>
                  <w:tcW w:w="468" w:type="pct"/>
                  <w:shd w:val="clear" w:color="auto" w:fill="auto"/>
                  <w:vAlign w:val="center"/>
                </w:tcPr>
                <w:p w14:paraId="26A9C474">
                  <w:pPr>
                    <w:spacing w:line="260" w:lineRule="exact"/>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w:t>
                  </w: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17</w:t>
                  </w:r>
                </w:p>
              </w:tc>
              <w:tc>
                <w:tcPr>
                  <w:tcW w:w="247" w:type="pct"/>
                  <w:vMerge w:val="continue"/>
                  <w:vAlign w:val="center"/>
                </w:tcPr>
                <w:p w14:paraId="74E32ACF">
                  <w:pPr>
                    <w:pStyle w:val="44"/>
                    <w:spacing w:line="240" w:lineRule="auto"/>
                    <w:jc w:val="cente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p>
              </w:tc>
              <w:tc>
                <w:tcPr>
                  <w:tcW w:w="252" w:type="pct"/>
                  <w:vMerge w:val="continue"/>
                  <w:vAlign w:val="center"/>
                </w:tcPr>
                <w:p w14:paraId="16581249">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p>
              </w:tc>
              <w:tc>
                <w:tcPr>
                  <w:tcW w:w="540" w:type="pct"/>
                  <w:vMerge w:val="continue"/>
                  <w:vAlign w:val="center"/>
                </w:tcPr>
                <w:p w14:paraId="5877CB98">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p>
              </w:tc>
              <w:tc>
                <w:tcPr>
                  <w:tcW w:w="468" w:type="pct"/>
                  <w:shd w:val="clear" w:color="auto" w:fill="auto"/>
                  <w:vAlign w:val="center"/>
                </w:tcPr>
                <w:p w14:paraId="345952DE">
                  <w:pPr>
                    <w:pStyle w:val="44"/>
                    <w:spacing w:line="240" w:lineRule="auto"/>
                    <w:jc w:val="center"/>
                    <w:rPr>
                      <w:rFonts w:hint="eastAsia"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0.16</w:t>
                  </w:r>
                </w:p>
              </w:tc>
              <w:tc>
                <w:tcPr>
                  <w:tcW w:w="468" w:type="pct"/>
                  <w:shd w:val="clear" w:color="auto" w:fill="auto"/>
                  <w:vAlign w:val="center"/>
                </w:tcPr>
                <w:p w14:paraId="4140CFC5">
                  <w:pPr>
                    <w:pStyle w:val="44"/>
                    <w:spacing w:line="240" w:lineRule="auto"/>
                    <w:jc w:val="center"/>
                    <w:rPr>
                      <w:rFonts w:hint="eastAsia"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0.07</w:t>
                  </w:r>
                </w:p>
              </w:tc>
              <w:tc>
                <w:tcPr>
                  <w:tcW w:w="468" w:type="pct"/>
                  <w:shd w:val="clear" w:color="auto" w:fill="auto"/>
                  <w:vAlign w:val="center"/>
                </w:tcPr>
                <w:p w14:paraId="5253AAAF">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w:t>
                  </w:r>
                </w:p>
              </w:tc>
              <w:tc>
                <w:tcPr>
                  <w:tcW w:w="375" w:type="pct"/>
                  <w:shd w:val="clear" w:color="auto" w:fill="auto"/>
                  <w:vAlign w:val="center"/>
                </w:tcPr>
                <w:p w14:paraId="3ED979DA">
                  <w:pPr>
                    <w:pStyle w:val="44"/>
                    <w:spacing w:line="240" w:lineRule="auto"/>
                    <w:jc w:val="center"/>
                    <w:rPr>
                      <w:rFonts w:hint="eastAsia"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2400h</w:t>
                  </w:r>
                </w:p>
              </w:tc>
              <w:tc>
                <w:tcPr>
                  <w:tcW w:w="488" w:type="pct"/>
                  <w:vMerge w:val="continue"/>
                  <w:vAlign w:val="center"/>
                </w:tcPr>
                <w:p w14:paraId="63F766CC">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5EDB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89" w:type="pct"/>
                  <w:vMerge w:val="continue"/>
                  <w:vAlign w:val="center"/>
                </w:tcPr>
                <w:p w14:paraId="28E529EA">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p>
              </w:tc>
              <w:tc>
                <w:tcPr>
                  <w:tcW w:w="509" w:type="pct"/>
                  <w:shd w:val="clear" w:color="auto" w:fill="auto"/>
                  <w:vAlign w:val="center"/>
                </w:tcPr>
                <w:p w14:paraId="4C5CECC8">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烘干机</w:t>
                  </w:r>
                </w:p>
              </w:tc>
              <w:tc>
                <w:tcPr>
                  <w:tcW w:w="422" w:type="pct"/>
                  <w:shd w:val="clear" w:color="auto" w:fill="auto"/>
                  <w:vAlign w:val="center"/>
                </w:tcPr>
                <w:p w14:paraId="6450C7A4">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4.5</w:t>
                  </w:r>
                </w:p>
              </w:tc>
              <w:tc>
                <w:tcPr>
                  <w:tcW w:w="468" w:type="pct"/>
                  <w:shd w:val="clear" w:color="auto" w:fill="auto"/>
                  <w:vAlign w:val="center"/>
                </w:tcPr>
                <w:p w14:paraId="2D0781F1">
                  <w:pPr>
                    <w:pStyle w:val="44"/>
                    <w:spacing w:line="240" w:lineRule="auto"/>
                    <w:jc w:val="center"/>
                    <w:rPr>
                      <w:rFonts w:hint="default" w:ascii="Times New Roman" w:hAnsi="Times New Roman" w:eastAsia="宋体" w:cs="Times New Roman"/>
                      <w:color w:val="000000" w:themeColor="text1"/>
                      <w:spacing w:val="0"/>
                      <w:kern w:val="2"/>
                      <w:sz w:val="21"/>
                      <w:szCs w:val="21"/>
                      <w:highlight w:val="none"/>
                      <w:u w:val="none"/>
                      <w:lang w:val="en-US" w:eastAsia="zh-CN" w:bidi="ar-SA"/>
                      <w14:textFill>
                        <w14:solidFill>
                          <w14:schemeClr w14:val="tx1"/>
                        </w14:solidFill>
                      </w14:textFill>
                    </w:rPr>
                  </w:pPr>
                  <w:r>
                    <w:rPr>
                      <w:rFonts w:hint="eastAsia" w:ascii="Times New Roman" w:hAnsi="Times New Roman" w:cs="Times New Roman"/>
                      <w:color w:val="000000" w:themeColor="text1"/>
                      <w:spacing w:val="0"/>
                      <w:kern w:val="2"/>
                      <w:sz w:val="21"/>
                      <w:szCs w:val="21"/>
                      <w:highlight w:val="none"/>
                      <w:u w:val="none"/>
                      <w:lang w:val="en-US" w:eastAsia="zh-CN" w:bidi="ar-SA"/>
                      <w14:textFill>
                        <w14:solidFill>
                          <w14:schemeClr w14:val="tx1"/>
                        </w14:solidFill>
                      </w14:textFill>
                    </w:rPr>
                    <w:t>1.88</w:t>
                  </w:r>
                </w:p>
              </w:tc>
              <w:tc>
                <w:tcPr>
                  <w:tcW w:w="247" w:type="pct"/>
                  <w:vMerge w:val="continue"/>
                  <w:vAlign w:val="center"/>
                </w:tcPr>
                <w:p w14:paraId="22ED7075">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p>
              </w:tc>
              <w:tc>
                <w:tcPr>
                  <w:tcW w:w="252" w:type="pct"/>
                  <w:vMerge w:val="continue"/>
                  <w:vAlign w:val="center"/>
                </w:tcPr>
                <w:p w14:paraId="22C43709">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p>
              </w:tc>
              <w:tc>
                <w:tcPr>
                  <w:tcW w:w="540" w:type="pct"/>
                  <w:vMerge w:val="continue"/>
                  <w:vAlign w:val="center"/>
                </w:tcPr>
                <w:p w14:paraId="4CFA4E55">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p>
              </w:tc>
              <w:tc>
                <w:tcPr>
                  <w:tcW w:w="468" w:type="pct"/>
                  <w:vAlign w:val="center"/>
                </w:tcPr>
                <w:p w14:paraId="3933591B">
                  <w:pPr>
                    <w:spacing w:line="260" w:lineRule="exact"/>
                    <w:jc w:val="center"/>
                    <w:rPr>
                      <w:rFonts w:hint="default" w:ascii="Times New Roman" w:hAnsi="Times New Roman" w:eastAsia="宋体" w:cs="Times New Roman"/>
                      <w:color w:val="000000" w:themeColor="text1"/>
                      <w:spacing w:val="0"/>
                      <w:sz w:val="21"/>
                      <w:szCs w:val="21"/>
                      <w:highlight w:val="none"/>
                      <w:u w:val="none"/>
                      <w:lang w:val="en-US"/>
                      <w14:textFill>
                        <w14:solidFill>
                          <w14:schemeClr w14:val="tx1"/>
                        </w14:solidFill>
                      </w14:textFill>
                    </w:rPr>
                  </w:pPr>
                  <w:r>
                    <w:rPr>
                      <w:rFonts w:hint="eastAsia" w:cs="Times New Roman"/>
                      <w:color w:val="000000" w:themeColor="text1"/>
                      <w:spacing w:val="0"/>
                      <w:sz w:val="21"/>
                      <w:szCs w:val="21"/>
                      <w:highlight w:val="none"/>
                      <w:u w:val="none"/>
                      <w:lang w:val="en-US" w:eastAsia="zh-CN"/>
                      <w14:textFill>
                        <w14:solidFill>
                          <w14:schemeClr w14:val="tx1"/>
                        </w14:solidFill>
                      </w14:textFill>
                    </w:rPr>
                    <w:t>1.8</w:t>
                  </w:r>
                </w:p>
              </w:tc>
              <w:tc>
                <w:tcPr>
                  <w:tcW w:w="468" w:type="pct"/>
                  <w:vAlign w:val="center"/>
                </w:tcPr>
                <w:p w14:paraId="6F4FFFBC">
                  <w:pPr>
                    <w:spacing w:line="260" w:lineRule="exact"/>
                    <w:jc w:val="center"/>
                    <w:rPr>
                      <w:rFonts w:hint="default" w:ascii="Times New Roman" w:hAnsi="Times New Roman" w:eastAsia="宋体" w:cs="Times New Roman"/>
                      <w:color w:val="000000" w:themeColor="text1"/>
                      <w:spacing w:val="0"/>
                      <w:sz w:val="21"/>
                      <w:szCs w:val="21"/>
                      <w:highlight w:val="none"/>
                      <w:u w:val="none"/>
                      <w:lang w:val="en-US"/>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0.</w:t>
                  </w: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75</w:t>
                  </w:r>
                </w:p>
              </w:tc>
              <w:tc>
                <w:tcPr>
                  <w:tcW w:w="468" w:type="pct"/>
                  <w:vAlign w:val="center"/>
                </w:tcPr>
                <w:p w14:paraId="09A439CD">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w:t>
                  </w:r>
                </w:p>
              </w:tc>
              <w:tc>
                <w:tcPr>
                  <w:tcW w:w="375" w:type="pct"/>
                  <w:vAlign w:val="center"/>
                </w:tcPr>
                <w:p w14:paraId="5529B7D0">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24</w:t>
                  </w:r>
                  <w: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t>00</w:t>
                  </w:r>
                  <w:r>
                    <w:rPr>
                      <w:rFonts w:hint="eastAsia"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h</w:t>
                  </w:r>
                </w:p>
              </w:tc>
              <w:tc>
                <w:tcPr>
                  <w:tcW w:w="488" w:type="pct"/>
                  <w:vMerge w:val="continue"/>
                  <w:vAlign w:val="center"/>
                </w:tcPr>
                <w:p w14:paraId="5FBB4910">
                  <w:pPr>
                    <w:pStyle w:val="44"/>
                    <w:spacing w:line="240" w:lineRule="auto"/>
                    <w:jc w:val="center"/>
                    <w:rPr>
                      <w:rFonts w:hint="default" w:ascii="Times New Roman" w:hAnsi="Times New Roman" w:eastAsia="宋体" w:cs="Times New Roman"/>
                      <w:color w:val="000000" w:themeColor="text1"/>
                      <w:spacing w:val="0"/>
                      <w:sz w:val="21"/>
                      <w:szCs w:val="21"/>
                      <w:highlight w:val="none"/>
                      <w:u w:val="none"/>
                      <w14:textFill>
                        <w14:solidFill>
                          <w14:schemeClr w14:val="tx1"/>
                        </w14:solidFill>
                      </w14:textFill>
                    </w:rPr>
                  </w:pPr>
                </w:p>
              </w:tc>
            </w:tr>
            <w:tr w14:paraId="1503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12"/>
                  <w:vAlign w:val="center"/>
                </w:tcPr>
                <w:p w14:paraId="6CADC8C9">
                  <w:pPr>
                    <w:pStyle w:val="44"/>
                    <w:spacing w:line="240" w:lineRule="auto"/>
                    <w:jc w:val="both"/>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注：DA002产生/排放速率、产生/排放浓度按制棒、烘干、碳化同时运行时段计算。</w:t>
                  </w:r>
                </w:p>
              </w:tc>
            </w:tr>
          </w:tbl>
          <w:p w14:paraId="39259C49">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sz w:val="24"/>
                <w:szCs w:val="24"/>
                <w:highlight w:val="none"/>
              </w:rPr>
            </w:pPr>
            <w:r>
              <w:rPr>
                <w:rFonts w:hint="eastAsia" w:ascii="Times New Roman" w:hAnsi="Times New Roman"/>
                <w:b/>
                <w:bCs/>
                <w:sz w:val="24"/>
                <w:szCs w:val="24"/>
                <w:highlight w:val="none"/>
                <w:lang w:val="en-US" w:eastAsia="zh-CN"/>
              </w:rPr>
              <w:t>（</w:t>
            </w:r>
            <w:r>
              <w:rPr>
                <w:rFonts w:hint="eastAsia"/>
                <w:b/>
                <w:bCs/>
                <w:sz w:val="24"/>
                <w:szCs w:val="24"/>
                <w:highlight w:val="none"/>
                <w:lang w:val="en-US" w:eastAsia="zh-CN"/>
              </w:rPr>
              <w:t>6</w:t>
            </w:r>
            <w:r>
              <w:rPr>
                <w:rFonts w:hint="eastAsia" w:ascii="Times New Roman" w:hAnsi="Times New Roman"/>
                <w:b/>
                <w:bCs/>
                <w:sz w:val="24"/>
                <w:szCs w:val="24"/>
                <w:highlight w:val="none"/>
                <w:lang w:val="en-US" w:eastAsia="zh-CN"/>
              </w:rPr>
              <w:t>）</w:t>
            </w:r>
            <w:r>
              <w:rPr>
                <w:b/>
                <w:bCs/>
                <w:sz w:val="24"/>
                <w:highlight w:val="none"/>
              </w:rPr>
              <w:t>废</w:t>
            </w:r>
            <w:r>
              <w:rPr>
                <w:rFonts w:hint="eastAsia"/>
                <w:b/>
                <w:bCs/>
                <w:sz w:val="24"/>
                <w:highlight w:val="none"/>
              </w:rPr>
              <w:t>气</w:t>
            </w:r>
            <w:r>
              <w:rPr>
                <w:b/>
                <w:bCs/>
                <w:sz w:val="24"/>
                <w:highlight w:val="none"/>
              </w:rPr>
              <w:t>污染治理设施可行性</w:t>
            </w:r>
          </w:p>
          <w:p w14:paraId="19C40422">
            <w:pPr>
              <w:pStyle w:val="175"/>
              <w:spacing w:line="360" w:lineRule="auto"/>
              <w:ind w:firstLine="480" w:firstLineChars="200"/>
              <w:rPr>
                <w:color w:val="000000"/>
                <w:kern w:val="0"/>
                <w:sz w:val="24"/>
                <w:szCs w:val="24"/>
                <w:highlight w:val="none"/>
              </w:rPr>
            </w:pPr>
            <w:r>
              <w:rPr>
                <w:rFonts w:hint="eastAsia" w:ascii="宋体" w:hAnsi="宋体"/>
                <w:color w:val="000000"/>
                <w:kern w:val="0"/>
                <w:sz w:val="24"/>
                <w:szCs w:val="24"/>
                <w:highlight w:val="none"/>
              </w:rPr>
              <w:t>目前，国内炭化烟气处理工艺主要有冷凝法、直接焚烧法两种方法。</w:t>
            </w:r>
          </w:p>
          <w:p w14:paraId="39392F44">
            <w:pPr>
              <w:pStyle w:val="175"/>
              <w:spacing w:line="360" w:lineRule="auto"/>
              <w:ind w:firstLine="482" w:firstLineChars="200"/>
              <w:rPr>
                <w:color w:val="000000"/>
                <w:kern w:val="0"/>
                <w:sz w:val="24"/>
                <w:szCs w:val="24"/>
                <w:highlight w:val="none"/>
              </w:rPr>
            </w:pPr>
            <w:r>
              <w:rPr>
                <w:rFonts w:hint="eastAsia"/>
                <w:b/>
                <w:color w:val="000000"/>
                <w:kern w:val="0"/>
                <w:sz w:val="24"/>
                <w:szCs w:val="24"/>
                <w:highlight w:val="none"/>
              </w:rPr>
              <w:t>a.</w:t>
            </w:r>
            <w:r>
              <w:rPr>
                <w:rFonts w:hint="eastAsia" w:ascii="宋体" w:hAnsi="宋体"/>
                <w:b/>
                <w:color w:val="000000"/>
                <w:kern w:val="0"/>
                <w:sz w:val="24"/>
                <w:szCs w:val="24"/>
                <w:highlight w:val="none"/>
              </w:rPr>
              <w:t>冷凝法：</w:t>
            </w:r>
            <w:r>
              <w:rPr>
                <w:rFonts w:hint="eastAsia" w:ascii="宋体" w:hAnsi="宋体"/>
                <w:color w:val="000000"/>
                <w:kern w:val="0"/>
                <w:sz w:val="24"/>
                <w:szCs w:val="24"/>
                <w:highlight w:val="none"/>
              </w:rPr>
              <w:t>冷凝法是利用水冷将蒸汽状态下的污染物通过冷凝方法分离出来的过程，通过将木（竹）炭烟气导入冷凝系统设备，部分沸点较高的竹焦油初步冷凝成为液体，经收集管流入收集装置，而炭化烟气中的可燃气体则向上排出。</w:t>
            </w:r>
          </w:p>
          <w:p w14:paraId="350A6A6D">
            <w:pPr>
              <w:pStyle w:val="175"/>
              <w:spacing w:line="360" w:lineRule="auto"/>
              <w:ind w:firstLine="482" w:firstLineChars="200"/>
              <w:rPr>
                <w:color w:val="000000"/>
                <w:kern w:val="0"/>
                <w:sz w:val="24"/>
                <w:szCs w:val="24"/>
                <w:highlight w:val="none"/>
              </w:rPr>
            </w:pPr>
            <w:r>
              <w:rPr>
                <w:rFonts w:hint="eastAsia"/>
                <w:b/>
                <w:color w:val="000000"/>
                <w:kern w:val="0"/>
                <w:sz w:val="24"/>
                <w:szCs w:val="24"/>
                <w:highlight w:val="none"/>
              </w:rPr>
              <w:t>b.</w:t>
            </w:r>
            <w:r>
              <w:rPr>
                <w:rFonts w:hint="eastAsia" w:ascii="宋体" w:hAnsi="宋体"/>
                <w:b/>
                <w:color w:val="000000"/>
                <w:kern w:val="0"/>
                <w:sz w:val="24"/>
                <w:szCs w:val="24"/>
                <w:highlight w:val="none"/>
              </w:rPr>
              <w:t>焚烧法：</w:t>
            </w:r>
            <w:r>
              <w:rPr>
                <w:rFonts w:hint="eastAsia" w:ascii="宋体" w:hAnsi="宋体"/>
                <w:color w:val="000000"/>
                <w:kern w:val="0"/>
                <w:sz w:val="24"/>
                <w:szCs w:val="24"/>
                <w:highlight w:val="none"/>
              </w:rPr>
              <w:t>焚烧法就是把炭化窑烟气中的可燃烧气竹焦油和可燃气体通过焚烧装置高温分解进行无害化焚烧处理，竹焦油是一种含烃类、酸类、酚类较高的有机化合物，沸点</w:t>
            </w:r>
            <w:r>
              <w:rPr>
                <w:rFonts w:hint="eastAsia"/>
                <w:color w:val="000000"/>
                <w:kern w:val="0"/>
                <w:sz w:val="24"/>
                <w:szCs w:val="24"/>
                <w:highlight w:val="none"/>
              </w:rPr>
              <w:t>200~220</w:t>
            </w:r>
            <w:r>
              <w:rPr>
                <w:rFonts w:hint="eastAsia" w:ascii="宋体" w:hAnsi="宋体"/>
                <w:color w:val="000000"/>
                <w:kern w:val="0"/>
                <w:sz w:val="24"/>
                <w:szCs w:val="24"/>
                <w:highlight w:val="none"/>
              </w:rPr>
              <w:t>℃，炭化热解过程温度为</w:t>
            </w:r>
            <w:r>
              <w:rPr>
                <w:rFonts w:hint="eastAsia"/>
                <w:color w:val="000000"/>
                <w:kern w:val="0"/>
                <w:sz w:val="24"/>
                <w:szCs w:val="24"/>
                <w:highlight w:val="none"/>
              </w:rPr>
              <w:t>160~450</w:t>
            </w:r>
            <w:r>
              <w:rPr>
                <w:rFonts w:hint="eastAsia" w:ascii="宋体" w:hAnsi="宋体"/>
                <w:color w:val="000000"/>
                <w:kern w:val="0"/>
                <w:sz w:val="24"/>
                <w:szCs w:val="24"/>
                <w:highlight w:val="none"/>
              </w:rPr>
              <w:t>℃，竹焦油在炭化过程中以气态存在。可燃气体主要成分是甲烷、一氧化碳、乙烯等，在氧气充足的情况下高温燃烧后生成</w:t>
            </w:r>
            <w:r>
              <w:rPr>
                <w:rFonts w:hint="eastAsia"/>
                <w:color w:val="000000"/>
                <w:kern w:val="0"/>
                <w:sz w:val="24"/>
                <w:szCs w:val="24"/>
                <w:highlight w:val="none"/>
              </w:rPr>
              <w:t>CO</w:t>
            </w:r>
            <w:r>
              <w:rPr>
                <w:rFonts w:hint="eastAsia"/>
                <w:color w:val="000000"/>
                <w:kern w:val="0"/>
                <w:sz w:val="24"/>
                <w:szCs w:val="24"/>
                <w:highlight w:val="none"/>
                <w:vertAlign w:val="subscript"/>
              </w:rPr>
              <w:t>2</w:t>
            </w:r>
            <w:r>
              <w:rPr>
                <w:rFonts w:hint="eastAsia" w:ascii="宋体" w:hAnsi="宋体"/>
                <w:color w:val="000000"/>
                <w:kern w:val="0"/>
                <w:sz w:val="24"/>
                <w:szCs w:val="24"/>
                <w:highlight w:val="none"/>
              </w:rPr>
              <w:t>和</w:t>
            </w:r>
            <w:r>
              <w:rPr>
                <w:rFonts w:hint="eastAsia"/>
                <w:color w:val="000000"/>
                <w:kern w:val="0"/>
                <w:sz w:val="24"/>
                <w:szCs w:val="24"/>
                <w:highlight w:val="none"/>
              </w:rPr>
              <w:t>H</w:t>
            </w:r>
            <w:r>
              <w:rPr>
                <w:rFonts w:hint="eastAsia"/>
                <w:color w:val="000000"/>
                <w:kern w:val="0"/>
                <w:sz w:val="24"/>
                <w:szCs w:val="24"/>
                <w:highlight w:val="none"/>
                <w:vertAlign w:val="subscript"/>
              </w:rPr>
              <w:t>2</w:t>
            </w:r>
            <w:r>
              <w:rPr>
                <w:rFonts w:hint="eastAsia"/>
                <w:color w:val="000000"/>
                <w:kern w:val="0"/>
                <w:sz w:val="24"/>
                <w:szCs w:val="24"/>
                <w:highlight w:val="none"/>
              </w:rPr>
              <w:t>O</w:t>
            </w:r>
            <w:r>
              <w:rPr>
                <w:rFonts w:hint="eastAsia" w:ascii="宋体" w:hAnsi="宋体"/>
                <w:color w:val="000000"/>
                <w:kern w:val="0"/>
                <w:sz w:val="24"/>
                <w:szCs w:val="24"/>
                <w:highlight w:val="none"/>
              </w:rPr>
              <w:t>。</w:t>
            </w:r>
          </w:p>
          <w:p w14:paraId="3BCF3C32">
            <w:pPr>
              <w:pStyle w:val="175"/>
              <w:spacing w:line="360" w:lineRule="auto"/>
              <w:ind w:firstLine="480" w:firstLineChars="200"/>
              <w:rPr>
                <w:rFonts w:hint="default" w:ascii="Times New Roman" w:hAnsi="Times New Roman" w:cs="Times New Roman"/>
                <w:color w:val="000000"/>
                <w:kern w:val="0"/>
                <w:sz w:val="24"/>
                <w:szCs w:val="24"/>
                <w:highlight w:val="none"/>
              </w:rPr>
            </w:pPr>
            <w:r>
              <w:rPr>
                <w:rFonts w:hint="default" w:ascii="Times New Roman" w:hAnsi="Times New Roman" w:cs="Times New Roman"/>
                <w:color w:val="000000"/>
                <w:kern w:val="0"/>
                <w:sz w:val="24"/>
                <w:szCs w:val="24"/>
                <w:highlight w:val="none"/>
              </w:rPr>
              <w:t>与传统的炭化窑烟冷凝处理方式相比，本项目采用焚烧法将炭化窑烟中的气态竹醋液、气态竹焦油与甲烷、乙烯等可燃气体直接引入</w:t>
            </w:r>
            <w:r>
              <w:rPr>
                <w:rFonts w:hint="default" w:ascii="Times New Roman" w:hAnsi="Times New Roman" w:cs="Times New Roman"/>
                <w:color w:val="000000"/>
                <w:kern w:val="0"/>
                <w:sz w:val="24"/>
                <w:szCs w:val="24"/>
                <w:highlight w:val="none"/>
                <w:lang w:val="en-US" w:eastAsia="zh-CN"/>
              </w:rPr>
              <w:t>燃烧</w:t>
            </w:r>
            <w:r>
              <w:rPr>
                <w:rFonts w:hint="default" w:ascii="Times New Roman" w:hAnsi="Times New Roman" w:cs="Times New Roman"/>
                <w:color w:val="000000"/>
                <w:kern w:val="0"/>
                <w:sz w:val="24"/>
                <w:szCs w:val="24"/>
                <w:highlight w:val="none"/>
              </w:rPr>
              <w:t>装置燃烧，可避免竹焦油、竹醋液等固体废物的产生。建设单位</w:t>
            </w:r>
            <w:r>
              <w:rPr>
                <w:rFonts w:hint="default" w:ascii="Times New Roman" w:hAnsi="Times New Roman" w:cs="Times New Roman"/>
                <w:color w:val="000000"/>
                <w:kern w:val="0"/>
                <w:sz w:val="24"/>
                <w:szCs w:val="24"/>
                <w:highlight w:val="none"/>
                <w:lang w:val="en-US" w:eastAsia="zh-CN"/>
              </w:rPr>
              <w:t>应</w:t>
            </w:r>
            <w:r>
              <w:rPr>
                <w:rFonts w:hint="default" w:ascii="Times New Roman" w:hAnsi="Times New Roman" w:cs="Times New Roman"/>
                <w:color w:val="000000"/>
                <w:kern w:val="0"/>
                <w:sz w:val="24"/>
                <w:szCs w:val="24"/>
                <w:highlight w:val="none"/>
              </w:rPr>
              <w:t>切实做好炭化窑烟的收集与燃烧管理工作，加强管理，确保窑烟燃烧所依托的</w:t>
            </w:r>
            <w:r>
              <w:rPr>
                <w:rFonts w:hint="default" w:ascii="Times New Roman" w:hAnsi="Times New Roman" w:cs="Times New Roman"/>
                <w:color w:val="000000"/>
                <w:kern w:val="0"/>
                <w:sz w:val="24"/>
                <w:szCs w:val="24"/>
                <w:highlight w:val="none"/>
                <w:lang w:val="en-US" w:eastAsia="zh-CN"/>
              </w:rPr>
              <w:t>燃</w:t>
            </w:r>
            <w:r>
              <w:rPr>
                <w:rFonts w:hint="default" w:ascii="Times New Roman" w:hAnsi="Times New Roman" w:cs="Times New Roman"/>
                <w:color w:val="000000"/>
                <w:kern w:val="0"/>
                <w:sz w:val="24"/>
                <w:szCs w:val="24"/>
                <w:highlight w:val="none"/>
              </w:rPr>
              <w:t>烧炉正常运行及废气长期稳定达标排放。</w:t>
            </w:r>
          </w:p>
          <w:p w14:paraId="001DF0DB">
            <w:pPr>
              <w:pStyle w:val="175"/>
              <w:spacing w:line="360" w:lineRule="auto"/>
              <w:ind w:firstLine="482" w:firstLineChars="200"/>
              <w:rPr>
                <w:rFonts w:hint="default" w:ascii="Times New Roman" w:hAnsi="Times New Roman" w:cs="Times New Roman"/>
                <w:b/>
                <w:bCs/>
                <w:color w:val="000000"/>
                <w:kern w:val="0"/>
                <w:sz w:val="24"/>
                <w:szCs w:val="24"/>
                <w:highlight w:val="none"/>
              </w:rPr>
            </w:pPr>
            <w:r>
              <w:rPr>
                <w:rFonts w:hint="default" w:ascii="Times New Roman" w:hAnsi="Times New Roman" w:cs="Times New Roman"/>
                <w:b/>
                <w:bCs/>
                <w:color w:val="000000"/>
                <w:kern w:val="0"/>
                <w:sz w:val="24"/>
                <w:szCs w:val="24"/>
                <w:highlight w:val="none"/>
              </w:rPr>
              <w:t>废气处理设备工作原理：</w:t>
            </w:r>
          </w:p>
          <w:p w14:paraId="0077E532">
            <w:pPr>
              <w:pStyle w:val="175"/>
              <w:spacing w:line="360" w:lineRule="auto"/>
              <w:ind w:firstLine="480" w:firstLineChars="200"/>
              <w:rPr>
                <w:rFonts w:hint="default" w:ascii="Times New Roman" w:hAnsi="Times New Roman" w:cs="Times New Roman"/>
                <w:color w:val="000000"/>
                <w:kern w:val="0"/>
                <w:sz w:val="24"/>
                <w:szCs w:val="24"/>
                <w:highlight w:val="none"/>
              </w:rPr>
            </w:pPr>
            <w:r>
              <w:rPr>
                <w:rFonts w:hint="eastAsia" w:ascii="Times New Roman" w:hAnsi="Times New Roman" w:eastAsia="宋体" w:cs="Times New Roman"/>
                <w:color w:val="auto"/>
                <w:sz w:val="24"/>
                <w:highlight w:val="none"/>
                <w:lang w:val="en-US" w:eastAsia="zh-CN"/>
              </w:rPr>
              <w:t>本项目粉碎工序产生的粉尘经“袋式除尘器”处理后由1</w:t>
            </w:r>
            <w:r>
              <w:rPr>
                <w:rFonts w:hint="default"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lang w:val="en-US" w:eastAsia="zh-CN"/>
              </w:rPr>
              <w:t>m高排气筒DA001排放，除尘效率达95%以上。</w:t>
            </w:r>
            <w:r>
              <w:rPr>
                <w:rFonts w:hint="default" w:ascii="Times New Roman" w:hAnsi="Times New Roman" w:cs="Times New Roman"/>
                <w:color w:val="000000"/>
                <w:kern w:val="0"/>
                <w:sz w:val="24"/>
                <w:szCs w:val="24"/>
                <w:highlight w:val="none"/>
              </w:rPr>
              <w:t>烘干</w:t>
            </w:r>
            <w:r>
              <w:rPr>
                <w:rFonts w:hint="default" w:ascii="Times New Roman" w:hAnsi="Times New Roman" w:cs="Times New Roman"/>
                <w:color w:val="000000"/>
                <w:kern w:val="0"/>
                <w:sz w:val="24"/>
                <w:szCs w:val="24"/>
                <w:highlight w:val="none"/>
                <w:lang w:val="en-US" w:eastAsia="zh-CN"/>
              </w:rPr>
              <w:t>系统</w:t>
            </w:r>
            <w:r>
              <w:rPr>
                <w:rFonts w:hint="default" w:ascii="Times New Roman" w:hAnsi="Times New Roman" w:cs="Times New Roman"/>
                <w:color w:val="000000"/>
                <w:kern w:val="0"/>
                <w:sz w:val="24"/>
                <w:szCs w:val="24"/>
                <w:highlight w:val="none"/>
              </w:rPr>
              <w:t>废气（包含燃烧后的制棒废气、炭化废气，烘干工序产生的</w:t>
            </w:r>
            <w:r>
              <w:rPr>
                <w:rFonts w:hint="default" w:ascii="Times New Roman" w:hAnsi="Times New Roman" w:cs="Times New Roman"/>
                <w:color w:val="000000"/>
                <w:kern w:val="0"/>
                <w:sz w:val="24"/>
                <w:szCs w:val="24"/>
                <w:highlight w:val="none"/>
                <w:lang w:val="en-US" w:eastAsia="zh-CN"/>
              </w:rPr>
              <w:t>粉尘及燃烧炉</w:t>
            </w:r>
            <w:r>
              <w:rPr>
                <w:rFonts w:hint="default" w:ascii="Times New Roman" w:hAnsi="Times New Roman" w:cs="Times New Roman"/>
                <w:color w:val="000000"/>
                <w:kern w:val="0"/>
                <w:sz w:val="24"/>
                <w:szCs w:val="24"/>
                <w:highlight w:val="none"/>
              </w:rPr>
              <w:t>燃料燃烧废气）通过管道收集引</w:t>
            </w:r>
            <w:r>
              <w:rPr>
                <w:rFonts w:hint="default" w:ascii="Times New Roman" w:hAnsi="Times New Roman" w:cs="Times New Roman"/>
                <w:color w:val="000000"/>
                <w:kern w:val="0"/>
                <w:sz w:val="24"/>
                <w:szCs w:val="24"/>
                <w:highlight w:val="none"/>
                <w:lang w:val="en-US" w:eastAsia="zh-CN"/>
              </w:rPr>
              <w:t>入</w:t>
            </w:r>
            <w:r>
              <w:rPr>
                <w:rFonts w:hint="default" w:ascii="Times New Roman" w:hAnsi="Times New Roman" w:cs="Times New Roman"/>
                <w:color w:val="000000"/>
                <w:kern w:val="0"/>
                <w:sz w:val="24"/>
                <w:szCs w:val="24"/>
                <w:highlight w:val="none"/>
              </w:rPr>
              <w:t>旋风</w:t>
            </w:r>
            <w:r>
              <w:rPr>
                <w:rFonts w:hint="default" w:ascii="Times New Roman" w:hAnsi="Times New Roman" w:cs="Times New Roman"/>
                <w:color w:val="000000"/>
                <w:kern w:val="0"/>
                <w:sz w:val="24"/>
                <w:szCs w:val="24"/>
                <w:highlight w:val="none"/>
                <w:lang w:val="en-US" w:eastAsia="zh-CN"/>
              </w:rPr>
              <w:t>除尘</w:t>
            </w:r>
            <w:r>
              <w:rPr>
                <w:rFonts w:hint="default" w:ascii="Times New Roman" w:hAnsi="Times New Roman" w:cs="Times New Roman"/>
                <w:color w:val="000000"/>
                <w:kern w:val="0"/>
                <w:sz w:val="24"/>
                <w:szCs w:val="24"/>
                <w:highlight w:val="none"/>
              </w:rPr>
              <w:t>器处理后，</w:t>
            </w:r>
            <w:r>
              <w:rPr>
                <w:rFonts w:hint="default" w:ascii="Times New Roman" w:hAnsi="Times New Roman" w:cs="Times New Roman"/>
                <w:color w:val="000000"/>
                <w:kern w:val="0"/>
                <w:sz w:val="24"/>
                <w:szCs w:val="24"/>
                <w:highlight w:val="none"/>
                <w:lang w:val="en-US" w:eastAsia="zh-CN"/>
              </w:rPr>
              <w:t>再并入</w:t>
            </w:r>
            <w:r>
              <w:rPr>
                <w:rFonts w:hint="eastAsia" w:cs="Times New Roman"/>
                <w:color w:val="000000"/>
                <w:kern w:val="0"/>
                <w:sz w:val="24"/>
                <w:szCs w:val="24"/>
                <w:highlight w:val="none"/>
                <w:lang w:val="en-US" w:eastAsia="zh-CN"/>
              </w:rPr>
              <w:t>喷淋除尘脱硫塔</w:t>
            </w:r>
            <w:r>
              <w:rPr>
                <w:rFonts w:hint="default" w:ascii="Times New Roman" w:hAnsi="Times New Roman" w:cs="Times New Roman"/>
                <w:color w:val="000000"/>
                <w:kern w:val="0"/>
                <w:sz w:val="24"/>
                <w:szCs w:val="24"/>
                <w:highlight w:val="none"/>
              </w:rPr>
              <w:t>处理达标后，通过1</w:t>
            </w:r>
            <w:r>
              <w:rPr>
                <w:rFonts w:hint="default" w:ascii="Times New Roman" w:hAnsi="Times New Roman" w:cs="Times New Roman"/>
                <w:color w:val="000000"/>
                <w:kern w:val="0"/>
                <w:sz w:val="24"/>
                <w:szCs w:val="24"/>
                <w:highlight w:val="none"/>
                <w:lang w:val="en-US" w:eastAsia="zh-CN"/>
              </w:rPr>
              <w:t>5</w:t>
            </w:r>
            <w:r>
              <w:rPr>
                <w:rFonts w:hint="default" w:ascii="Times New Roman" w:hAnsi="Times New Roman" w:cs="Times New Roman"/>
                <w:color w:val="000000"/>
                <w:kern w:val="0"/>
                <w:sz w:val="24"/>
                <w:szCs w:val="24"/>
                <w:highlight w:val="none"/>
              </w:rPr>
              <w:t>m高排气筒</w:t>
            </w:r>
            <w:r>
              <w:rPr>
                <w:rFonts w:hint="eastAsia" w:cs="Times New Roman"/>
                <w:color w:val="000000"/>
                <w:kern w:val="0"/>
                <w:sz w:val="24"/>
                <w:szCs w:val="24"/>
                <w:highlight w:val="none"/>
                <w:lang w:val="en-US" w:eastAsia="zh-CN"/>
              </w:rPr>
              <w:t>DA002</w:t>
            </w:r>
            <w:r>
              <w:rPr>
                <w:rFonts w:hint="default" w:ascii="Times New Roman" w:hAnsi="Times New Roman" w:cs="Times New Roman"/>
                <w:color w:val="000000"/>
                <w:kern w:val="0"/>
                <w:sz w:val="24"/>
                <w:szCs w:val="24"/>
                <w:highlight w:val="none"/>
              </w:rPr>
              <w:t>外排，预计综合除尘效率达9</w:t>
            </w:r>
            <w:r>
              <w:rPr>
                <w:rFonts w:hint="eastAsia" w:cs="Times New Roman"/>
                <w:color w:val="000000"/>
                <w:kern w:val="0"/>
                <w:sz w:val="24"/>
                <w:szCs w:val="24"/>
                <w:highlight w:val="none"/>
                <w:lang w:val="en-US" w:eastAsia="zh-CN"/>
              </w:rPr>
              <w:t>5</w:t>
            </w:r>
            <w:r>
              <w:rPr>
                <w:rFonts w:hint="default" w:ascii="Times New Roman" w:hAnsi="Times New Roman" w:cs="Times New Roman"/>
                <w:color w:val="000000"/>
                <w:kern w:val="0"/>
                <w:sz w:val="24"/>
                <w:szCs w:val="24"/>
                <w:highlight w:val="none"/>
              </w:rPr>
              <w:t>%。</w:t>
            </w:r>
          </w:p>
          <w:p w14:paraId="02ECFADF">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left"/>
              <w:textAlignment w:val="auto"/>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袋式</w:t>
            </w:r>
            <w:r>
              <w:rPr>
                <w:rFonts w:hint="eastAsia" w:ascii="宋体" w:hAnsi="宋体" w:eastAsia="宋体"/>
                <w:b/>
                <w:bCs/>
                <w:sz w:val="24"/>
                <w:szCs w:val="24"/>
                <w:highlight w:val="none"/>
              </w:rPr>
              <w:t>除尘</w:t>
            </w:r>
            <w:r>
              <w:rPr>
                <w:rFonts w:hint="eastAsia" w:ascii="宋体" w:hAnsi="宋体" w:eastAsia="宋体"/>
                <w:b/>
                <w:bCs/>
                <w:sz w:val="24"/>
                <w:szCs w:val="24"/>
                <w:highlight w:val="none"/>
                <w:lang w:val="en-US" w:eastAsia="zh-CN"/>
              </w:rPr>
              <w:t>器工作原理</w:t>
            </w:r>
            <w:r>
              <w:rPr>
                <w:rFonts w:hint="eastAsia" w:ascii="宋体" w:hAnsi="宋体" w:eastAsia="宋体"/>
                <w:b/>
                <w:bCs/>
                <w:sz w:val="24"/>
                <w:szCs w:val="24"/>
                <w:highlight w:val="none"/>
              </w:rPr>
              <w:t>：</w:t>
            </w:r>
            <w:r>
              <w:rPr>
                <w:rFonts w:hint="eastAsia" w:ascii="宋体" w:hAnsi="宋体" w:eastAsia="宋体"/>
                <w:sz w:val="24"/>
                <w:szCs w:val="24"/>
                <w:highlight w:val="none"/>
                <w:lang w:val="en-US" w:eastAsia="zh-CN"/>
              </w:rPr>
              <w:t>袋式</w:t>
            </w:r>
            <w:r>
              <w:rPr>
                <w:rFonts w:hint="eastAsia" w:ascii="宋体" w:hAnsi="宋体" w:eastAsia="宋体"/>
                <w:sz w:val="24"/>
                <w:szCs w:val="24"/>
                <w:highlight w:val="none"/>
              </w:rPr>
              <w:t>除尘器是利用棉、毛、人造纤维等编织物作为滤袋起过滤作用，对颗粒物进行捕集而达到除尘效果的。其主要工作原理是：含尘气流从下部进入圆筒形滤袋，在通过滤料的孔隙时，粉尘被捕集于滤料上，透过滤料的清洁气体由排出口排出。沉积在滤料上的粉尘，可在机械振动的作用下从滤料表面脱落，落入灰斗中。常用滤料由棉、毛、人造纤维等加工而成，新型滤料有玻璃纤维和微滤膜等，滤料本身网孔较小，一般为</w:t>
            </w:r>
            <w:r>
              <w:rPr>
                <w:rFonts w:hint="eastAsia" w:ascii="TimesNewRomanPSMT" w:hAnsi="TimesNewRomanPSMT" w:eastAsia="TimesNewRomanPSMT"/>
                <w:sz w:val="24"/>
                <w:szCs w:val="24"/>
                <w:highlight w:val="none"/>
              </w:rPr>
              <w:t>20-50</w:t>
            </w:r>
            <w:r>
              <w:rPr>
                <w:rFonts w:hint="eastAsia" w:ascii="宋体" w:hAnsi="宋体" w:eastAsia="宋体"/>
                <w:sz w:val="24"/>
                <w:szCs w:val="24"/>
                <w:highlight w:val="none"/>
              </w:rPr>
              <w:t>μ</w:t>
            </w:r>
            <w:r>
              <w:rPr>
                <w:rFonts w:hint="eastAsia" w:ascii="TimesNewRomanPSMT" w:hAnsi="TimesNewRomanPSMT" w:eastAsia="TimesNewRomanPSMT"/>
                <w:sz w:val="24"/>
                <w:szCs w:val="24"/>
                <w:highlight w:val="none"/>
              </w:rPr>
              <w:t>m</w:t>
            </w:r>
            <w:r>
              <w:rPr>
                <w:rFonts w:hint="eastAsia" w:ascii="宋体" w:hAnsi="宋体" w:eastAsia="宋体"/>
                <w:sz w:val="24"/>
                <w:szCs w:val="24"/>
                <w:highlight w:val="none"/>
              </w:rPr>
              <w:t>，表面起绒的滤料为</w:t>
            </w:r>
            <w:r>
              <w:rPr>
                <w:rFonts w:hint="eastAsia" w:ascii="TimesNewRomanPSMT" w:hAnsi="TimesNewRomanPSMT" w:eastAsia="TimesNewRomanPSMT"/>
                <w:sz w:val="24"/>
                <w:szCs w:val="24"/>
                <w:highlight w:val="none"/>
              </w:rPr>
              <w:t>5-10</w:t>
            </w:r>
            <w:r>
              <w:rPr>
                <w:rFonts w:hint="eastAsia" w:ascii="宋体" w:hAnsi="宋体" w:eastAsia="宋体"/>
                <w:sz w:val="24"/>
                <w:szCs w:val="24"/>
                <w:highlight w:val="none"/>
              </w:rPr>
              <w:t>μ</w:t>
            </w:r>
            <w:r>
              <w:rPr>
                <w:rFonts w:hint="eastAsia" w:ascii="TimesNewRomanPSMT" w:hAnsi="TimesNewRomanPSMT" w:eastAsia="TimesNewRomanPSMT"/>
                <w:sz w:val="24"/>
                <w:szCs w:val="24"/>
                <w:highlight w:val="none"/>
              </w:rPr>
              <w:t>m</w:t>
            </w:r>
            <w:r>
              <w:rPr>
                <w:rFonts w:hint="eastAsia" w:ascii="宋体" w:hAnsi="宋体" w:eastAsia="宋体"/>
                <w:sz w:val="24"/>
                <w:szCs w:val="24"/>
                <w:highlight w:val="none"/>
              </w:rPr>
              <w:t>，而新型滤料的孔径在</w:t>
            </w:r>
            <w:r>
              <w:rPr>
                <w:rFonts w:hint="eastAsia" w:ascii="TimesNewRomanPSMT" w:hAnsi="TimesNewRomanPSMT" w:eastAsia="TimesNewRomanPSMT"/>
                <w:sz w:val="24"/>
                <w:szCs w:val="24"/>
                <w:highlight w:val="none"/>
              </w:rPr>
              <w:t>5</w:t>
            </w:r>
            <w:r>
              <w:rPr>
                <w:rFonts w:hint="eastAsia" w:ascii="宋体" w:hAnsi="宋体" w:eastAsia="宋体"/>
                <w:sz w:val="24"/>
                <w:szCs w:val="24"/>
                <w:highlight w:val="none"/>
              </w:rPr>
              <w:t>μ</w:t>
            </w:r>
            <w:r>
              <w:rPr>
                <w:rFonts w:hint="eastAsia" w:ascii="TimesNewRomanPSMT" w:hAnsi="TimesNewRomanPSMT" w:eastAsia="TimesNewRomanPSMT"/>
                <w:sz w:val="24"/>
                <w:szCs w:val="24"/>
                <w:highlight w:val="none"/>
              </w:rPr>
              <w:t>m</w:t>
            </w:r>
            <w:r>
              <w:rPr>
                <w:rFonts w:hint="eastAsia" w:ascii="宋体" w:hAnsi="宋体" w:eastAsia="宋体"/>
                <w:sz w:val="24"/>
                <w:szCs w:val="24"/>
                <w:highlight w:val="none"/>
              </w:rPr>
              <w:t>以下。按不同粒径的粉尘在流体中运动的不同物理学特征，颗粒物通过惯性碰撞、截留、扩散、静电、筛滤等作用被捕集。此外，粉尘因截留、惯性碰撞、静电和扩散等作用，逐渐在滤袋表面形成粉尘层，常称为粉层初层。初层形成后，它成为袋式除尘器的主要过滤层，提高了除尘效率。滤布只不过起着形成粉尘初层和支撑它的骨架作用，但随着粉尘在滤袋上积聚，滤袋两侧的压力差增大，会把有些已附在滤料上的细小粉尘挤压过去，使除尘效率下降。另外，若除尘器阻力过高，还会使除尘系统的处理气体量显著下降，影响生产系统的排风效果。因此，除尘器阻力达到一定数值后，要及时清灰。</w:t>
            </w:r>
          </w:p>
          <w:p w14:paraId="097DF47E">
            <w:pPr>
              <w:spacing w:beforeLines="0" w:afterLines="0"/>
              <w:jc w:val="center"/>
              <w:rPr>
                <w:highlight w:val="none"/>
              </w:rPr>
            </w:pPr>
            <w:r>
              <w:rPr>
                <w:color w:val="auto"/>
                <w:highlight w:val="none"/>
              </w:rPr>
              <w:drawing>
                <wp:inline distT="0" distB="0" distL="114300" distR="114300">
                  <wp:extent cx="3315335" cy="3210560"/>
                  <wp:effectExtent l="0" t="0" r="1841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3315335" cy="3210560"/>
                          </a:xfrm>
                          <a:prstGeom prst="rect">
                            <a:avLst/>
                          </a:prstGeom>
                          <a:noFill/>
                          <a:ln>
                            <a:noFill/>
                          </a:ln>
                        </pic:spPr>
                      </pic:pic>
                    </a:graphicData>
                  </a:graphic>
                </wp:inline>
              </w:drawing>
            </w:r>
          </w:p>
          <w:p w14:paraId="428D461B">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图</w:t>
            </w:r>
            <w:r>
              <w:rPr>
                <w:rFonts w:hint="default" w:ascii="Times New Roman" w:hAnsi="Times New Roman" w:eastAsia="TimesNewRomanPS-BoldMT" w:cs="Times New Roman"/>
                <w:b/>
                <w:bCs/>
                <w:sz w:val="24"/>
                <w:szCs w:val="24"/>
                <w:highlight w:val="none"/>
              </w:rPr>
              <w:t>4-</w:t>
            </w:r>
            <w:r>
              <w:rPr>
                <w:rFonts w:hint="eastAsia" w:ascii="Times New Roman" w:hAnsi="Times New Roman" w:eastAsia="TimesNewRomanPS-BoldMT" w:cs="Times New Roman"/>
                <w:b/>
                <w:bCs/>
                <w:sz w:val="24"/>
                <w:szCs w:val="24"/>
                <w:highlight w:val="none"/>
                <w:lang w:val="en-US" w:eastAsia="zh-CN"/>
              </w:rPr>
              <w:t>1</w:t>
            </w:r>
            <w:r>
              <w:rPr>
                <w:rFonts w:hint="default" w:ascii="Times New Roman" w:hAnsi="Times New Roman" w:eastAsia="TimesNewRomanPS-BoldMT" w:cs="Times New Roman"/>
                <w:b/>
                <w:bCs/>
                <w:sz w:val="24"/>
                <w:szCs w:val="24"/>
                <w:highlight w:val="none"/>
              </w:rPr>
              <w:t xml:space="preserve"> </w:t>
            </w:r>
            <w:r>
              <w:rPr>
                <w:rFonts w:hint="default" w:ascii="Times New Roman" w:hAnsi="Times New Roman" w:eastAsia="TimesNewRomanPS-BoldMT" w:cs="Times New Roman"/>
                <w:b/>
                <w:bCs/>
                <w:sz w:val="24"/>
                <w:szCs w:val="24"/>
                <w:highlight w:val="none"/>
                <w:lang w:val="en-US" w:eastAsia="zh-CN"/>
              </w:rPr>
              <w:t xml:space="preserve">  </w:t>
            </w:r>
            <w:r>
              <w:rPr>
                <w:rFonts w:hint="eastAsia" w:ascii="Times New Roman" w:hAnsi="Times New Roman" w:eastAsia="TimesNewRomanPS-BoldMT" w:cs="Times New Roman"/>
                <w:b/>
                <w:bCs/>
                <w:sz w:val="24"/>
                <w:szCs w:val="24"/>
                <w:highlight w:val="none"/>
                <w:lang w:val="en-US" w:eastAsia="zh-CN"/>
              </w:rPr>
              <w:t>袋式</w:t>
            </w:r>
            <w:r>
              <w:rPr>
                <w:rFonts w:hint="default" w:ascii="Times New Roman" w:hAnsi="Times New Roman" w:eastAsia="宋体" w:cs="Times New Roman"/>
                <w:b/>
                <w:bCs/>
                <w:sz w:val="24"/>
                <w:szCs w:val="24"/>
                <w:highlight w:val="none"/>
              </w:rPr>
              <w:t>除尘器工作原理图</w:t>
            </w:r>
          </w:p>
          <w:p w14:paraId="1CDC04E3">
            <w:pPr>
              <w:pStyle w:val="175"/>
              <w:spacing w:line="360" w:lineRule="auto"/>
              <w:ind w:firstLine="482" w:firstLineChars="200"/>
              <w:rPr>
                <w:rFonts w:hint="default" w:ascii="Times New Roman" w:hAnsi="Times New Roman" w:cs="Times New Roman"/>
                <w:color w:val="000000"/>
                <w:kern w:val="0"/>
                <w:sz w:val="24"/>
                <w:szCs w:val="24"/>
                <w:highlight w:val="none"/>
              </w:rPr>
            </w:pPr>
            <w:r>
              <w:rPr>
                <w:rFonts w:hint="default" w:ascii="Times New Roman" w:hAnsi="Times New Roman" w:cs="Times New Roman"/>
                <w:b/>
                <w:bCs/>
                <w:color w:val="000000"/>
                <w:kern w:val="0"/>
                <w:sz w:val="24"/>
                <w:szCs w:val="24"/>
                <w:highlight w:val="none"/>
              </w:rPr>
              <w:t>旋风</w:t>
            </w:r>
            <w:r>
              <w:rPr>
                <w:rFonts w:hint="default" w:ascii="Times New Roman" w:hAnsi="Times New Roman" w:cs="Times New Roman"/>
                <w:b/>
                <w:bCs/>
                <w:color w:val="000000"/>
                <w:kern w:val="0"/>
                <w:sz w:val="24"/>
                <w:szCs w:val="24"/>
                <w:highlight w:val="none"/>
                <w:lang w:val="en-US" w:eastAsia="zh-CN"/>
              </w:rPr>
              <w:t>除尘</w:t>
            </w:r>
            <w:r>
              <w:rPr>
                <w:rFonts w:hint="default" w:ascii="Times New Roman" w:hAnsi="Times New Roman" w:cs="Times New Roman"/>
                <w:b/>
                <w:bCs/>
                <w:color w:val="000000"/>
                <w:kern w:val="0"/>
                <w:sz w:val="24"/>
                <w:szCs w:val="24"/>
                <w:highlight w:val="none"/>
              </w:rPr>
              <w:t>器工作原理：</w:t>
            </w:r>
            <w:r>
              <w:rPr>
                <w:rFonts w:hint="default" w:ascii="Times New Roman" w:hAnsi="Times New Roman" w:cs="Times New Roman"/>
                <w:color w:val="000000"/>
                <w:kern w:val="0"/>
                <w:sz w:val="24"/>
                <w:szCs w:val="24"/>
                <w:highlight w:val="none"/>
              </w:rPr>
              <w:t>旋风除尘器结构一般由圆筒部、圆锥部、内筒体、进风管、排风管、</w:t>
            </w:r>
            <w:r>
              <w:rPr>
                <w:rFonts w:hint="default" w:ascii="Times New Roman" w:hAnsi="Times New Roman" w:cs="Times New Roman"/>
                <w:color w:val="000000"/>
                <w:kern w:val="0"/>
                <w:sz w:val="24"/>
                <w:szCs w:val="24"/>
                <w:highlight w:val="none"/>
              </w:rPr>
              <w:fldChar w:fldCharType="begin"/>
            </w:r>
            <w:r>
              <w:rPr>
                <w:rFonts w:hint="default" w:ascii="Times New Roman" w:hAnsi="Times New Roman" w:cs="Times New Roman"/>
                <w:color w:val="000000"/>
                <w:kern w:val="0"/>
                <w:sz w:val="24"/>
                <w:szCs w:val="24"/>
                <w:highlight w:val="none"/>
              </w:rPr>
              <w:instrText xml:space="preserve"> HYPERLINK "https://zhida.zhihu.com/search?content_id=172451771&amp;content_type=Article&amp;match_order=1&amp;q=%E5%8D%B8%E7%81%B0%E9%98%80&amp;zd_token=eyJhbGciOiJIUzI1NiIsInR5cCI6IkpXVCJ9.eyJpc3MiOiJ6aGlkYV9zZXJ2ZXIiLCJleHAiOjE3NDY1ODAwMTksInEiOiLljbjngbDpmIAiLCJ6aGlkYV9zb3VyY2UiOiJlbnRpdHkiLCJjb250ZW50X2lkIjoxNzI0NTE3NzEsImNvbnRlbnRfdHlwZSI6IkFydGljbGUiLCJtYXRjaF9vcmRlciI6MSwiemRfdG9rZW4iOm51bGx9.LV7W08l0hAtFeEOdhKYVYKjtkPDQ_P0R7nheY8D-FHU&amp;zhida_source=entity" \t "https://zhuanlan.zhihu.com/p/_blank" </w:instrText>
            </w:r>
            <w:r>
              <w:rPr>
                <w:rFonts w:hint="default" w:ascii="Times New Roman" w:hAnsi="Times New Roman" w:cs="Times New Roman"/>
                <w:color w:val="000000"/>
                <w:kern w:val="0"/>
                <w:sz w:val="24"/>
                <w:szCs w:val="24"/>
                <w:highlight w:val="none"/>
              </w:rPr>
              <w:fldChar w:fldCharType="separate"/>
            </w:r>
            <w:r>
              <w:rPr>
                <w:rFonts w:hint="default" w:ascii="Times New Roman" w:hAnsi="Times New Roman" w:cs="Times New Roman"/>
                <w:color w:val="000000"/>
                <w:kern w:val="0"/>
                <w:sz w:val="24"/>
                <w:szCs w:val="24"/>
                <w:highlight w:val="none"/>
              </w:rPr>
              <w:t>卸灰阀</w:t>
            </w:r>
            <w:r>
              <w:rPr>
                <w:rFonts w:hint="default" w:ascii="Times New Roman" w:hAnsi="Times New Roman" w:cs="Times New Roman"/>
                <w:color w:val="000000"/>
                <w:kern w:val="0"/>
                <w:sz w:val="24"/>
                <w:szCs w:val="24"/>
                <w:highlight w:val="none"/>
              </w:rPr>
              <w:fldChar w:fldCharType="end"/>
            </w:r>
            <w:r>
              <w:rPr>
                <w:rFonts w:hint="default" w:ascii="Times New Roman" w:hAnsi="Times New Roman" w:cs="Times New Roman"/>
                <w:color w:val="000000"/>
                <w:kern w:val="0"/>
                <w:sz w:val="24"/>
                <w:szCs w:val="24"/>
                <w:highlight w:val="none"/>
              </w:rPr>
              <w:t>、集尘室等组成，如图4-</w:t>
            </w:r>
            <w:r>
              <w:rPr>
                <w:rFonts w:hint="eastAsia" w:cs="Times New Roman"/>
                <w:color w:val="000000"/>
                <w:kern w:val="0"/>
                <w:sz w:val="24"/>
                <w:szCs w:val="24"/>
                <w:highlight w:val="none"/>
                <w:lang w:val="en-US" w:eastAsia="zh-CN"/>
              </w:rPr>
              <w:t>2</w:t>
            </w:r>
            <w:r>
              <w:rPr>
                <w:rFonts w:hint="default" w:ascii="Times New Roman" w:hAnsi="Times New Roman" w:cs="Times New Roman"/>
                <w:color w:val="000000"/>
                <w:kern w:val="0"/>
                <w:sz w:val="24"/>
                <w:szCs w:val="24"/>
                <w:highlight w:val="none"/>
              </w:rPr>
              <w:t>旋风分离器工作流程图所示。含尘气体通过设备入口进入设备内旋风分离区沿轴向进入旋风分离管后，气流受导叶片的导流作用而产生强烈旋转，气流沿着筒体呈螺旋形向下进入旋风筒体，气体中的液体颗粒和固体颗粒在离心力的作用下被甩脱出来，并在重力作用下，沿筒壁下落流出旋风管排尘口，最终落入灰斗中；而干净的气流继续上升到排气口流出旋风分离器。</w:t>
            </w:r>
          </w:p>
          <w:p w14:paraId="7426E33A">
            <w:pPr>
              <w:pStyle w:val="10"/>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highlight w:val="none"/>
              </w:rPr>
            </w:pPr>
            <w:r>
              <w:rPr>
                <w:rFonts w:ascii="宋体" w:hAnsi="宋体" w:eastAsia="宋体" w:cs="宋体"/>
                <w:sz w:val="24"/>
                <w:szCs w:val="24"/>
                <w:highlight w:val="none"/>
              </w:rPr>
              <w:drawing>
                <wp:inline distT="0" distB="0" distL="114300" distR="114300">
                  <wp:extent cx="3619500" cy="4741545"/>
                  <wp:effectExtent l="0" t="0" r="0" b="1905"/>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11"/>
                          <a:srcRect b="5361"/>
                          <a:stretch>
                            <a:fillRect/>
                          </a:stretch>
                        </pic:blipFill>
                        <pic:spPr>
                          <a:xfrm>
                            <a:off x="0" y="0"/>
                            <a:ext cx="3619500" cy="4741545"/>
                          </a:xfrm>
                          <a:prstGeom prst="rect">
                            <a:avLst/>
                          </a:prstGeom>
                          <a:noFill/>
                          <a:ln w="9525">
                            <a:noFill/>
                          </a:ln>
                        </pic:spPr>
                      </pic:pic>
                    </a:graphicData>
                  </a:graphic>
                </wp:inline>
              </w:drawing>
            </w:r>
          </w:p>
          <w:p w14:paraId="7C81C921">
            <w:pPr>
              <w:pStyle w:val="19"/>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center"/>
              <w:textAlignment w:val="auto"/>
              <w:rPr>
                <w:rFonts w:ascii="Times New Roman" w:hAnsi="Times New Roman" w:cs="Times New Roman"/>
                <w:b/>
                <w:kern w:val="0"/>
                <w:sz w:val="24"/>
                <w:szCs w:val="24"/>
                <w:highlight w:val="none"/>
              </w:rPr>
            </w:pPr>
            <w:r>
              <w:rPr>
                <w:rFonts w:hint="eastAsia" w:hAnsi="宋体" w:cs="Times New Roman"/>
                <w:b/>
                <w:kern w:val="0"/>
                <w:sz w:val="24"/>
                <w:szCs w:val="24"/>
                <w:highlight w:val="none"/>
              </w:rPr>
              <w:t>图</w:t>
            </w:r>
            <w:r>
              <w:rPr>
                <w:rFonts w:ascii="Times New Roman" w:hAnsi="Times New Roman" w:cs="Times New Roman"/>
                <w:b/>
                <w:kern w:val="0"/>
                <w:sz w:val="24"/>
                <w:szCs w:val="24"/>
                <w:highlight w:val="none"/>
              </w:rPr>
              <w:t>4-</w:t>
            </w:r>
            <w:r>
              <w:rPr>
                <w:rFonts w:hint="eastAsia" w:ascii="Times New Roman" w:hAnsi="Times New Roman" w:cs="Times New Roman"/>
                <w:b/>
                <w:kern w:val="0"/>
                <w:sz w:val="24"/>
                <w:szCs w:val="24"/>
                <w:highlight w:val="none"/>
                <w:lang w:val="en-US" w:eastAsia="zh-CN"/>
              </w:rPr>
              <w:t>2</w:t>
            </w:r>
            <w:r>
              <w:rPr>
                <w:rFonts w:hint="eastAsia" w:ascii="Times New Roman" w:hAnsi="Times New Roman" w:cs="Times New Roman"/>
                <w:b/>
                <w:kern w:val="0"/>
                <w:sz w:val="24"/>
                <w:szCs w:val="24"/>
                <w:highlight w:val="none"/>
              </w:rPr>
              <w:t xml:space="preserve"> </w:t>
            </w:r>
            <w:r>
              <w:rPr>
                <w:rFonts w:hint="eastAsia" w:hAnsi="宋体" w:cs="Times New Roman"/>
                <w:b/>
                <w:kern w:val="0"/>
                <w:sz w:val="24"/>
                <w:szCs w:val="24"/>
                <w:highlight w:val="none"/>
              </w:rPr>
              <w:t>旋风分离器工作流程图</w:t>
            </w:r>
          </w:p>
          <w:p w14:paraId="5ED8EE24">
            <w:p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喷淋除尘脱硫塔主要由塔体、喷淋层、烟气进口、烟气出口、底部沉淀池、循还泵等组成。基工作愿理如图4-3所示。烟气经过烟气进口进入喷淋除尘脱硫塔，经过喷淋层碱液，电于喷淋层内碱液量充足，烟气中SO</w:t>
            </w:r>
            <w:r>
              <w:rPr>
                <w:rFonts w:hint="eastAsia"/>
                <w:sz w:val="24"/>
                <w:szCs w:val="24"/>
                <w:highlight w:val="none"/>
                <w:vertAlign w:val="subscript"/>
                <w:lang w:val="en-US" w:eastAsia="zh-CN"/>
              </w:rPr>
              <w:t>2</w:t>
            </w:r>
            <w:r>
              <w:rPr>
                <w:rFonts w:hint="eastAsia"/>
                <w:sz w:val="24"/>
                <w:szCs w:val="24"/>
                <w:highlight w:val="none"/>
                <w:lang w:val="en-US" w:eastAsia="zh-CN"/>
              </w:rPr>
              <w:t>与碱液中的氢氧化钠（Na(OH)</w:t>
            </w:r>
            <w:r>
              <w:rPr>
                <w:rFonts w:hint="eastAsia"/>
                <w:sz w:val="24"/>
                <w:szCs w:val="24"/>
                <w:highlight w:val="none"/>
                <w:vertAlign w:val="subscript"/>
                <w:lang w:val="en-US" w:eastAsia="zh-CN"/>
              </w:rPr>
              <w:t>2</w:t>
            </w:r>
            <w:r>
              <w:rPr>
                <w:rFonts w:hint="eastAsia"/>
                <w:sz w:val="24"/>
                <w:szCs w:val="24"/>
                <w:highlight w:val="none"/>
                <w:lang w:val="en-US" w:eastAsia="zh-CN"/>
              </w:rPr>
              <w:t>）充分反应，实现脱硫的目的。脱硫后的液体落入脱硫塔底部沉淀池，需定期适当补充一定量的碱液量后经循环泵再次送入喷淋层中再次利用，脱硫剂始终处于循环状态。烟气中的颗粒物及微小颗粒被碱液冲击、拦截，沉积在塔底沉淀池中，净化烟气同时去除了粉尘。</w:t>
            </w:r>
          </w:p>
          <w:p w14:paraId="5B46A98B">
            <w:pPr>
              <w:pStyle w:val="1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highlight w:val="none"/>
              </w:rPr>
              <w:drawing>
                <wp:inline distT="0" distB="0" distL="114300" distR="114300">
                  <wp:extent cx="4721860" cy="4334510"/>
                  <wp:effectExtent l="0" t="0" r="2540" b="889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2"/>
                          <a:stretch>
                            <a:fillRect/>
                          </a:stretch>
                        </pic:blipFill>
                        <pic:spPr>
                          <a:xfrm>
                            <a:off x="0" y="0"/>
                            <a:ext cx="4721860" cy="4334510"/>
                          </a:xfrm>
                          <a:prstGeom prst="rect">
                            <a:avLst/>
                          </a:prstGeom>
                          <a:noFill/>
                          <a:ln>
                            <a:noFill/>
                          </a:ln>
                        </pic:spPr>
                      </pic:pic>
                    </a:graphicData>
                  </a:graphic>
                </wp:inline>
              </w:drawing>
            </w:r>
          </w:p>
          <w:p w14:paraId="53348325">
            <w:pPr>
              <w:pStyle w:val="19"/>
              <w:spacing w:line="360" w:lineRule="auto"/>
              <w:ind w:firstLine="482" w:firstLineChars="200"/>
              <w:jc w:val="center"/>
              <w:rPr>
                <w:rFonts w:ascii="Times New Roman" w:hAnsi="Times New Roman" w:cs="Times New Roman"/>
                <w:b/>
                <w:kern w:val="0"/>
                <w:sz w:val="24"/>
                <w:szCs w:val="24"/>
                <w:highlight w:val="none"/>
              </w:rPr>
            </w:pPr>
            <w:r>
              <w:rPr>
                <w:rFonts w:hint="eastAsia" w:hAnsi="宋体" w:cs="Times New Roman"/>
                <w:b/>
                <w:kern w:val="0"/>
                <w:sz w:val="24"/>
                <w:szCs w:val="24"/>
                <w:highlight w:val="none"/>
              </w:rPr>
              <w:t>图</w:t>
            </w:r>
            <w:r>
              <w:rPr>
                <w:rFonts w:ascii="Times New Roman" w:hAnsi="Times New Roman" w:cs="Times New Roman"/>
                <w:b/>
                <w:kern w:val="0"/>
                <w:sz w:val="24"/>
                <w:szCs w:val="24"/>
                <w:highlight w:val="none"/>
              </w:rPr>
              <w:t>4-</w:t>
            </w:r>
            <w:r>
              <w:rPr>
                <w:rFonts w:hint="eastAsia" w:ascii="Times New Roman" w:hAnsi="Times New Roman" w:cs="Times New Roman"/>
                <w:b/>
                <w:kern w:val="0"/>
                <w:sz w:val="24"/>
                <w:szCs w:val="24"/>
                <w:highlight w:val="none"/>
                <w:lang w:val="en-US" w:eastAsia="zh-CN"/>
              </w:rPr>
              <w:t xml:space="preserve">3  </w:t>
            </w:r>
            <w:r>
              <w:rPr>
                <w:rFonts w:hint="eastAsia" w:ascii="Times New Roman" w:hAnsi="Times New Roman" w:cs="Times New Roman"/>
                <w:b/>
                <w:kern w:val="0"/>
                <w:sz w:val="24"/>
                <w:szCs w:val="24"/>
                <w:highlight w:val="none"/>
              </w:rPr>
              <w:t xml:space="preserve"> </w:t>
            </w:r>
            <w:r>
              <w:rPr>
                <w:rFonts w:hint="eastAsia" w:hAnsi="宋体" w:cs="Times New Roman"/>
                <w:b/>
                <w:kern w:val="0"/>
                <w:sz w:val="24"/>
                <w:szCs w:val="24"/>
                <w:highlight w:val="none"/>
                <w:lang w:val="en-US" w:eastAsia="zh-CN"/>
              </w:rPr>
              <w:t>喷淋除尘脱硫塔</w:t>
            </w:r>
            <w:r>
              <w:rPr>
                <w:rFonts w:hint="eastAsia" w:hAnsi="宋体" w:cs="Times New Roman"/>
                <w:b/>
                <w:kern w:val="0"/>
                <w:sz w:val="24"/>
                <w:szCs w:val="24"/>
                <w:highlight w:val="none"/>
              </w:rPr>
              <w:t>工作流程图</w:t>
            </w:r>
          </w:p>
          <w:p w14:paraId="3FDD3553">
            <w:pPr>
              <w:spacing w:line="360" w:lineRule="auto"/>
              <w:ind w:firstLine="480" w:firstLineChars="200"/>
              <w:rPr>
                <w:rFonts w:hint="eastAsia"/>
                <w:sz w:val="24"/>
                <w:szCs w:val="24"/>
                <w:highlight w:val="none"/>
                <w:lang w:val="en-US" w:eastAsia="zh-CN"/>
              </w:rPr>
            </w:pPr>
            <w:r>
              <w:rPr>
                <w:rFonts w:hint="default" w:ascii="Times New Roman" w:hAnsi="Times New Roman" w:eastAsia="宋体" w:cs="Times New Roman"/>
                <w:spacing w:val="0"/>
                <w:sz w:val="24"/>
                <w:szCs w:val="24"/>
                <w:highlight w:val="none"/>
              </w:rPr>
              <w:t>因烘干废气中含有大量水汽的高温气体，如采用布袋除尘器会影响其去除效率和使用寿命，本项目采用</w:t>
            </w:r>
            <w:r>
              <w:rPr>
                <w:rFonts w:hint="eastAsia" w:cs="Times New Roman"/>
                <w:spacing w:val="0"/>
                <w:sz w:val="24"/>
                <w:szCs w:val="24"/>
                <w:highlight w:val="none"/>
                <w:lang w:val="en-US" w:eastAsia="zh-CN"/>
              </w:rPr>
              <w:t>旋风+</w:t>
            </w:r>
            <w:r>
              <w:rPr>
                <w:rFonts w:hint="eastAsia" w:cs="Times New Roman"/>
                <w:spacing w:val="0"/>
                <w:sz w:val="24"/>
                <w:szCs w:val="24"/>
                <w:highlight w:val="none"/>
                <w:lang w:eastAsia="zh-CN"/>
              </w:rPr>
              <w:t>喷淋除尘脱硫塔</w:t>
            </w:r>
            <w:r>
              <w:rPr>
                <w:rFonts w:hint="default" w:ascii="Times New Roman" w:hAnsi="Times New Roman" w:eastAsia="宋体" w:cs="Times New Roman"/>
                <w:spacing w:val="0"/>
                <w:sz w:val="24"/>
                <w:szCs w:val="24"/>
                <w:highlight w:val="none"/>
              </w:rPr>
              <w:t>，且</w:t>
            </w:r>
            <w:r>
              <w:rPr>
                <w:rFonts w:hint="eastAsia" w:cs="Times New Roman"/>
                <w:spacing w:val="0"/>
                <w:sz w:val="24"/>
                <w:szCs w:val="24"/>
                <w:highlight w:val="none"/>
                <w:lang w:eastAsia="zh-CN"/>
              </w:rPr>
              <w:t>喷淋除尘脱硫塔</w:t>
            </w:r>
            <w:r>
              <w:rPr>
                <w:rFonts w:hint="default" w:ascii="Times New Roman" w:hAnsi="Times New Roman" w:eastAsia="宋体" w:cs="Times New Roman"/>
                <w:spacing w:val="0"/>
                <w:sz w:val="24"/>
                <w:szCs w:val="24"/>
                <w:highlight w:val="none"/>
              </w:rPr>
              <w:t>可降低烟气的温度，减少对外环境的影响。</w:t>
            </w:r>
          </w:p>
          <w:p w14:paraId="4AA9541D">
            <w:pPr>
              <w:spacing w:line="360" w:lineRule="auto"/>
              <w:ind w:firstLine="472" w:firstLineChars="200"/>
              <w:rPr>
                <w:sz w:val="24"/>
                <w:szCs w:val="24"/>
                <w:highlight w:val="none"/>
              </w:rPr>
            </w:pPr>
            <w:r>
              <w:rPr>
                <w:spacing w:val="-2"/>
                <w:sz w:val="24"/>
                <w:szCs w:val="24"/>
                <w:highlight w:val="none"/>
              </w:rPr>
              <w:t>综上，</w:t>
            </w:r>
            <w:r>
              <w:rPr>
                <w:rFonts w:hint="eastAsia"/>
                <w:spacing w:val="-2"/>
                <w:sz w:val="24"/>
                <w:szCs w:val="24"/>
                <w:highlight w:val="none"/>
                <w:lang w:val="en-US" w:eastAsia="zh-CN"/>
              </w:rPr>
              <w:t>袋式除尘器可处理粉碎工序产生的粉尘，</w:t>
            </w:r>
            <w:r>
              <w:rPr>
                <w:sz w:val="24"/>
                <w:szCs w:val="24"/>
                <w:highlight w:val="none"/>
              </w:rPr>
              <w:t>旋风</w:t>
            </w:r>
            <w:r>
              <w:rPr>
                <w:rFonts w:hint="eastAsia"/>
                <w:sz w:val="24"/>
                <w:szCs w:val="24"/>
                <w:highlight w:val="none"/>
                <w:lang w:val="en-US" w:eastAsia="zh-CN"/>
              </w:rPr>
              <w:t>除尘</w:t>
            </w:r>
            <w:r>
              <w:rPr>
                <w:sz w:val="24"/>
                <w:szCs w:val="24"/>
                <w:highlight w:val="none"/>
              </w:rPr>
              <w:t>器</w:t>
            </w:r>
            <w:r>
              <w:rPr>
                <w:rFonts w:hint="eastAsia" w:cs="Times New Roman"/>
                <w:spacing w:val="0"/>
                <w:sz w:val="24"/>
                <w:szCs w:val="24"/>
                <w:highlight w:val="none"/>
                <w:lang w:val="en-US" w:eastAsia="zh-CN"/>
              </w:rPr>
              <w:t>+</w:t>
            </w:r>
            <w:r>
              <w:rPr>
                <w:rFonts w:hint="eastAsia" w:cs="Times New Roman"/>
                <w:spacing w:val="0"/>
                <w:sz w:val="24"/>
                <w:szCs w:val="24"/>
                <w:highlight w:val="none"/>
                <w:lang w:eastAsia="zh-CN"/>
              </w:rPr>
              <w:t>喷淋除尘脱硫塔</w:t>
            </w:r>
            <w:r>
              <w:rPr>
                <w:spacing w:val="-2"/>
                <w:sz w:val="24"/>
                <w:szCs w:val="24"/>
                <w:highlight w:val="none"/>
              </w:rPr>
              <w:t>可处理本项目</w:t>
            </w:r>
            <w:r>
              <w:rPr>
                <w:rFonts w:hint="eastAsia"/>
                <w:spacing w:val="-2"/>
                <w:sz w:val="24"/>
                <w:szCs w:val="24"/>
                <w:highlight w:val="none"/>
                <w:lang w:val="en-US" w:eastAsia="zh-CN"/>
              </w:rPr>
              <w:t>制棒、烘干、碳化工序</w:t>
            </w:r>
            <w:r>
              <w:rPr>
                <w:spacing w:val="-2"/>
                <w:sz w:val="24"/>
                <w:szCs w:val="24"/>
                <w:highlight w:val="none"/>
              </w:rPr>
              <w:t>产生的粉尘</w:t>
            </w:r>
            <w:r>
              <w:rPr>
                <w:rFonts w:hint="eastAsia"/>
                <w:spacing w:val="-2"/>
                <w:sz w:val="24"/>
                <w:szCs w:val="24"/>
                <w:highlight w:val="none"/>
              </w:rPr>
              <w:t>，</w:t>
            </w:r>
            <w:r>
              <w:rPr>
                <w:rFonts w:hint="eastAsia"/>
                <w:spacing w:val="-2"/>
                <w:sz w:val="24"/>
                <w:szCs w:val="24"/>
                <w:highlight w:val="none"/>
                <w:lang w:val="en-US" w:eastAsia="zh-CN"/>
              </w:rPr>
              <w:t>喷淋除尘脱硫塔</w:t>
            </w:r>
            <w:r>
              <w:rPr>
                <w:rFonts w:hint="eastAsia"/>
                <w:sz w:val="24"/>
                <w:szCs w:val="24"/>
                <w:highlight w:val="none"/>
              </w:rPr>
              <w:t>可处理本项目的二氧化硫，</w:t>
            </w:r>
            <w:r>
              <w:rPr>
                <w:spacing w:val="-2"/>
                <w:sz w:val="24"/>
                <w:szCs w:val="24"/>
                <w:highlight w:val="none"/>
              </w:rPr>
              <w:t>系统运行参数合适，而且操作要求不高。</w:t>
            </w:r>
            <w:r>
              <w:rPr>
                <w:rFonts w:hint="eastAsia"/>
                <w:spacing w:val="-2"/>
                <w:sz w:val="24"/>
                <w:szCs w:val="24"/>
                <w:highlight w:val="none"/>
                <w:lang w:val="en-US" w:eastAsia="zh-CN"/>
              </w:rPr>
              <w:t>粉碎粉尘经袋式除尘器处理后，通过</w:t>
            </w:r>
            <w:r>
              <w:rPr>
                <w:sz w:val="24"/>
                <w:szCs w:val="24"/>
                <w:highlight w:val="none"/>
              </w:rPr>
              <w:t>1</w:t>
            </w:r>
            <w:r>
              <w:rPr>
                <w:rFonts w:hint="eastAsia"/>
                <w:sz w:val="24"/>
                <w:szCs w:val="24"/>
                <w:highlight w:val="none"/>
                <w:lang w:val="en-US" w:eastAsia="zh-CN"/>
              </w:rPr>
              <w:t>5</w:t>
            </w:r>
            <w:r>
              <w:rPr>
                <w:sz w:val="24"/>
                <w:szCs w:val="24"/>
                <w:highlight w:val="none"/>
              </w:rPr>
              <w:t>m高</w:t>
            </w:r>
            <w:r>
              <w:rPr>
                <w:rFonts w:hint="eastAsia"/>
                <w:spacing w:val="-2"/>
                <w:sz w:val="24"/>
                <w:szCs w:val="24"/>
                <w:highlight w:val="none"/>
                <w:lang w:val="en-US" w:eastAsia="zh-CN"/>
              </w:rPr>
              <w:t>排气筒（DA001）排放；</w:t>
            </w:r>
            <w:r>
              <w:rPr>
                <w:rFonts w:hint="eastAsia"/>
                <w:sz w:val="24"/>
                <w:szCs w:val="24"/>
                <w:highlight w:val="none"/>
                <w:lang w:val="en-US" w:eastAsia="zh-CN"/>
              </w:rPr>
              <w:t>制棒废气、碳化废气、烘干粉尘</w:t>
            </w:r>
            <w:r>
              <w:rPr>
                <w:sz w:val="24"/>
                <w:szCs w:val="24"/>
                <w:highlight w:val="none"/>
              </w:rPr>
              <w:t>最终</w:t>
            </w:r>
            <w:r>
              <w:rPr>
                <w:rFonts w:hint="eastAsia"/>
                <w:sz w:val="24"/>
                <w:szCs w:val="24"/>
                <w:highlight w:val="none"/>
                <w:lang w:val="en-US" w:eastAsia="zh-CN"/>
              </w:rPr>
              <w:t>与烘干系统燃烧炉废气</w:t>
            </w:r>
            <w:r>
              <w:rPr>
                <w:rFonts w:hint="eastAsia"/>
                <w:sz w:val="24"/>
                <w:szCs w:val="24"/>
                <w:highlight w:val="none"/>
              </w:rPr>
              <w:t>汇合</w:t>
            </w:r>
            <w:r>
              <w:rPr>
                <w:sz w:val="24"/>
                <w:szCs w:val="24"/>
                <w:highlight w:val="none"/>
              </w:rPr>
              <w:t>经过旋风分离器</w:t>
            </w:r>
            <w:r>
              <w:rPr>
                <w:rFonts w:hint="eastAsia" w:cs="Times New Roman"/>
                <w:spacing w:val="0"/>
                <w:sz w:val="24"/>
                <w:szCs w:val="24"/>
                <w:highlight w:val="none"/>
                <w:lang w:val="en-US" w:eastAsia="zh-CN"/>
              </w:rPr>
              <w:t>+</w:t>
            </w:r>
            <w:r>
              <w:rPr>
                <w:rFonts w:hint="eastAsia" w:ascii="宋体" w:hAnsi="宋体"/>
                <w:color w:val="000000"/>
                <w:kern w:val="0"/>
                <w:sz w:val="24"/>
                <w:highlight w:val="none"/>
                <w:lang w:val="en-US" w:eastAsia="zh-CN"/>
              </w:rPr>
              <w:t>喷淋除尘脱硫塔</w:t>
            </w:r>
            <w:r>
              <w:rPr>
                <w:sz w:val="24"/>
                <w:szCs w:val="24"/>
                <w:highlight w:val="none"/>
              </w:rPr>
              <w:t>处理达标后，通过1</w:t>
            </w:r>
            <w:r>
              <w:rPr>
                <w:rFonts w:hint="eastAsia"/>
                <w:sz w:val="24"/>
                <w:szCs w:val="24"/>
                <w:highlight w:val="none"/>
                <w:lang w:val="en-US" w:eastAsia="zh-CN"/>
              </w:rPr>
              <w:t>5</w:t>
            </w:r>
            <w:r>
              <w:rPr>
                <w:sz w:val="24"/>
                <w:szCs w:val="24"/>
                <w:highlight w:val="none"/>
              </w:rPr>
              <w:t>m高排气筒</w:t>
            </w:r>
            <w:r>
              <w:rPr>
                <w:rFonts w:hint="eastAsia"/>
                <w:sz w:val="24"/>
                <w:szCs w:val="24"/>
                <w:highlight w:val="none"/>
                <w:lang w:eastAsia="zh-CN"/>
              </w:rPr>
              <w:t>（</w:t>
            </w:r>
            <w:r>
              <w:rPr>
                <w:rFonts w:hint="eastAsia"/>
                <w:sz w:val="24"/>
                <w:szCs w:val="24"/>
                <w:highlight w:val="none"/>
                <w:lang w:val="en-US" w:eastAsia="zh-CN"/>
              </w:rPr>
              <w:t>DA002</w:t>
            </w:r>
            <w:r>
              <w:rPr>
                <w:rFonts w:hint="eastAsia"/>
                <w:sz w:val="24"/>
                <w:szCs w:val="24"/>
                <w:highlight w:val="none"/>
                <w:lang w:eastAsia="zh-CN"/>
              </w:rPr>
              <w:t>）</w:t>
            </w:r>
            <w:r>
              <w:rPr>
                <w:sz w:val="24"/>
                <w:szCs w:val="24"/>
                <w:highlight w:val="none"/>
              </w:rPr>
              <w:t>排放。</w:t>
            </w:r>
          </w:p>
          <w:p w14:paraId="2362340F">
            <w:pPr>
              <w:spacing w:line="360" w:lineRule="auto"/>
              <w:ind w:firstLine="480" w:firstLineChars="200"/>
              <w:rPr>
                <w:rFonts w:eastAsiaTheme="minorEastAsia"/>
                <w:sz w:val="24"/>
                <w:highlight w:val="none"/>
                <w:shd w:val="clear" w:color="auto" w:fill="FFFFFF"/>
              </w:rPr>
            </w:pPr>
            <w:r>
              <w:rPr>
                <w:rFonts w:hint="eastAsia"/>
                <w:sz w:val="24"/>
                <w:szCs w:val="24"/>
                <w:highlight w:val="none"/>
                <w:lang w:val="en-US" w:eastAsia="zh-CN"/>
              </w:rPr>
              <w:t>DA001排放的颗粒物可达到</w:t>
            </w:r>
            <w:r>
              <w:rPr>
                <w:rFonts w:hint="eastAsia" w:eastAsiaTheme="minorEastAsia"/>
                <w:sz w:val="24"/>
                <w:highlight w:val="none"/>
              </w:rPr>
              <w:t>广东省地方标准《大气污染物排放限值》（DB44/27-2001）中表2第二时段的二级标准</w:t>
            </w:r>
            <w:r>
              <w:rPr>
                <w:rFonts w:hint="eastAsia" w:eastAsiaTheme="minorEastAsia"/>
                <w:sz w:val="24"/>
                <w:highlight w:val="none"/>
                <w:lang w:eastAsia="zh-CN"/>
              </w:rPr>
              <w:t>；</w:t>
            </w:r>
            <w:r>
              <w:rPr>
                <w:rFonts w:hint="eastAsia" w:eastAsiaTheme="minorEastAsia"/>
                <w:sz w:val="24"/>
                <w:highlight w:val="none"/>
                <w:lang w:val="en-US" w:eastAsia="zh-CN"/>
              </w:rPr>
              <w:t>DA002排放的</w:t>
            </w:r>
            <w:r>
              <w:rPr>
                <w:rFonts w:eastAsiaTheme="minorEastAsia"/>
                <w:sz w:val="24"/>
                <w:highlight w:val="none"/>
              </w:rPr>
              <w:t>颗粒物</w:t>
            </w:r>
            <w:r>
              <w:rPr>
                <w:rFonts w:hint="eastAsia" w:eastAsiaTheme="minorEastAsia"/>
                <w:sz w:val="24"/>
                <w:highlight w:val="none"/>
              </w:rPr>
              <w:t>可达到广东省地方标准《大气污染物排放限值》（DB44/27-2001）中表2第二时段的二级标准</w:t>
            </w:r>
            <w:r>
              <w:rPr>
                <w:rFonts w:hint="eastAsia" w:eastAsiaTheme="minorEastAsia"/>
                <w:sz w:val="24"/>
                <w:highlight w:val="none"/>
                <w:lang w:val="en-US" w:eastAsia="zh-CN"/>
              </w:rPr>
              <w:t>和</w:t>
            </w:r>
            <w:r>
              <w:rPr>
                <w:rFonts w:hint="eastAsia" w:eastAsiaTheme="minorEastAsia"/>
                <w:sz w:val="24"/>
                <w:highlight w:val="none"/>
              </w:rPr>
              <w:t>“</w:t>
            </w:r>
            <w:r>
              <w:rPr>
                <w:rFonts w:eastAsiaTheme="minorEastAsia"/>
                <w:sz w:val="24"/>
                <w:highlight w:val="none"/>
              </w:rPr>
              <w:t>关于印发《工业炉窑大气污染综合治理方案》的通知环大气[2019]56号</w:t>
            </w:r>
            <w:r>
              <w:rPr>
                <w:rFonts w:hint="eastAsia" w:eastAsiaTheme="minorEastAsia"/>
                <w:sz w:val="24"/>
                <w:highlight w:val="none"/>
              </w:rPr>
              <w:t>”</w:t>
            </w:r>
            <w:r>
              <w:rPr>
                <w:rFonts w:eastAsiaTheme="minorEastAsia"/>
                <w:sz w:val="24"/>
                <w:highlight w:val="none"/>
              </w:rPr>
              <w:t>文中提及的</w:t>
            </w:r>
            <w:r>
              <w:rPr>
                <w:rFonts w:eastAsiaTheme="minorEastAsia"/>
                <w:sz w:val="24"/>
                <w:highlight w:val="none"/>
                <w:shd w:val="clear" w:color="auto" w:fill="FFFFFF"/>
              </w:rPr>
              <w:t>重点区域原则上按照颗粒物、二氧化硫、氮氧化物排放限值分别不高于30、200、300毫克/立方米的</w:t>
            </w:r>
            <w:r>
              <w:rPr>
                <w:rFonts w:hint="eastAsia" w:eastAsiaTheme="minorEastAsia"/>
                <w:sz w:val="24"/>
                <w:highlight w:val="none"/>
                <w:shd w:val="clear" w:color="auto" w:fill="FFFFFF"/>
                <w:lang w:val="en-US" w:eastAsia="zh-CN"/>
              </w:rPr>
              <w:t>严者</w:t>
            </w:r>
            <w:r>
              <w:rPr>
                <w:rFonts w:eastAsiaTheme="minorEastAsia"/>
                <w:sz w:val="24"/>
                <w:highlight w:val="none"/>
                <w:shd w:val="clear" w:color="auto" w:fill="FFFFFF"/>
              </w:rPr>
              <w:t>要求</w:t>
            </w:r>
            <w:r>
              <w:rPr>
                <w:rFonts w:hint="eastAsia" w:eastAsiaTheme="minorEastAsia"/>
                <w:sz w:val="24"/>
                <w:highlight w:val="none"/>
                <w:shd w:val="clear" w:color="auto" w:fill="FFFFFF"/>
                <w:lang w:eastAsia="zh-CN"/>
              </w:rPr>
              <w:t>，</w:t>
            </w:r>
            <w:r>
              <w:rPr>
                <w:rFonts w:hint="eastAsia" w:eastAsiaTheme="minorEastAsia"/>
                <w:sz w:val="24"/>
                <w:highlight w:val="none"/>
                <w:lang w:val="en-US" w:eastAsia="zh-CN"/>
              </w:rPr>
              <w:t>SO</w:t>
            </w:r>
            <w:r>
              <w:rPr>
                <w:rFonts w:hint="eastAsia" w:eastAsiaTheme="minorEastAsia"/>
                <w:sz w:val="24"/>
                <w:highlight w:val="none"/>
                <w:vertAlign w:val="subscript"/>
                <w:lang w:val="en-US" w:eastAsia="zh-CN"/>
              </w:rPr>
              <w:t>2</w:t>
            </w:r>
            <w:r>
              <w:rPr>
                <w:rFonts w:hint="eastAsia" w:eastAsiaTheme="minorEastAsia"/>
                <w:sz w:val="24"/>
                <w:highlight w:val="none"/>
                <w:lang w:val="en-US" w:eastAsia="zh-CN"/>
              </w:rPr>
              <w:t>和NOx可满足</w:t>
            </w:r>
            <w:r>
              <w:rPr>
                <w:rFonts w:hint="eastAsia" w:eastAsiaTheme="minorEastAsia"/>
                <w:sz w:val="24"/>
                <w:highlight w:val="none"/>
                <w:shd w:val="clear" w:color="auto" w:fill="FFFFFF"/>
                <w:lang w:eastAsia="zh-CN"/>
              </w:rPr>
              <w:t>“</w:t>
            </w:r>
            <w:r>
              <w:rPr>
                <w:rFonts w:eastAsiaTheme="minorEastAsia"/>
                <w:sz w:val="24"/>
                <w:highlight w:val="none"/>
                <w:shd w:val="clear" w:color="auto" w:fill="FFFFFF"/>
              </w:rPr>
              <w:t>关于印发《工业炉窑大气污染综合治理方案》的通知环大气[2019]56号</w:t>
            </w:r>
            <w:r>
              <w:rPr>
                <w:rFonts w:hint="eastAsia" w:eastAsiaTheme="minorEastAsia"/>
                <w:sz w:val="24"/>
                <w:highlight w:val="none"/>
                <w:shd w:val="clear" w:color="auto" w:fill="FFFFFF"/>
                <w:lang w:eastAsia="zh-CN"/>
              </w:rPr>
              <w:t>”</w:t>
            </w:r>
            <w:r>
              <w:rPr>
                <w:rFonts w:eastAsiaTheme="minorEastAsia"/>
                <w:sz w:val="24"/>
                <w:highlight w:val="none"/>
                <w:shd w:val="clear" w:color="auto" w:fill="FFFFFF"/>
              </w:rPr>
              <w:t>文中提及的重点区域原则上按照颗粒物、二氧化硫、氮氧化物排放限值分别不高于30、200、300毫克/立方米的</w:t>
            </w:r>
            <w:r>
              <w:rPr>
                <w:rFonts w:hint="eastAsia" w:eastAsiaTheme="minorEastAsia"/>
                <w:sz w:val="24"/>
                <w:highlight w:val="none"/>
                <w:shd w:val="clear" w:color="auto" w:fill="FFFFFF"/>
                <w:lang w:val="en-US" w:eastAsia="zh-CN"/>
              </w:rPr>
              <w:t>要求</w:t>
            </w:r>
            <w:r>
              <w:rPr>
                <w:rFonts w:eastAsiaTheme="minorEastAsia"/>
                <w:sz w:val="24"/>
                <w:highlight w:val="none"/>
                <w:shd w:val="clear" w:color="auto" w:fill="FFFFFF"/>
              </w:rPr>
              <w:t>。</w:t>
            </w:r>
            <w:r>
              <w:rPr>
                <w:rFonts w:hint="eastAsia" w:eastAsiaTheme="minorEastAsia"/>
                <w:sz w:val="24"/>
                <w:highlight w:val="none"/>
                <w:shd w:val="clear" w:color="auto" w:fill="FFFFFF"/>
                <w:lang w:val="en-US" w:eastAsia="zh-CN"/>
              </w:rPr>
              <w:t>综上分析</w:t>
            </w:r>
            <w:r>
              <w:rPr>
                <w:rFonts w:eastAsiaTheme="minorEastAsia"/>
                <w:sz w:val="24"/>
                <w:highlight w:val="none"/>
                <w:shd w:val="clear" w:color="auto" w:fill="FFFFFF"/>
              </w:rPr>
              <w:t>，本项目废气处理措施在技术上可行的。</w:t>
            </w:r>
          </w:p>
          <w:p w14:paraId="2934768A">
            <w:pPr>
              <w:pStyle w:val="118"/>
              <w:ind w:firstLine="482"/>
              <w:rPr>
                <w:b/>
                <w:bCs/>
                <w:color w:val="000000" w:themeColor="text1"/>
                <w:sz w:val="24"/>
                <w:szCs w:val="21"/>
                <w:highlight w:val="none"/>
                <w14:textFill>
                  <w14:solidFill>
                    <w14:schemeClr w14:val="tx1"/>
                  </w14:solidFill>
                </w14:textFill>
              </w:rPr>
            </w:pPr>
            <w:r>
              <w:rPr>
                <w:rFonts w:hint="eastAsia"/>
                <w:b/>
                <w:bCs/>
                <w:color w:val="000000" w:themeColor="text1"/>
                <w:sz w:val="24"/>
                <w:szCs w:val="21"/>
                <w:highlight w:val="none"/>
                <w14:textFill>
                  <w14:solidFill>
                    <w14:schemeClr w14:val="tx1"/>
                  </w14:solidFill>
                </w14:textFill>
              </w:rPr>
              <w:t>（</w:t>
            </w:r>
            <w:r>
              <w:rPr>
                <w:rFonts w:hint="eastAsia"/>
                <w:b/>
                <w:bCs/>
                <w:color w:val="000000" w:themeColor="text1"/>
                <w:sz w:val="24"/>
                <w:szCs w:val="21"/>
                <w:highlight w:val="none"/>
                <w:lang w:val="en-US" w:eastAsia="zh-CN"/>
                <w14:textFill>
                  <w14:solidFill>
                    <w14:schemeClr w14:val="tx1"/>
                  </w14:solidFill>
                </w14:textFill>
              </w:rPr>
              <w:t>7</w:t>
            </w:r>
            <w:r>
              <w:rPr>
                <w:rFonts w:hint="eastAsia"/>
                <w:b/>
                <w:bCs/>
                <w:color w:val="000000" w:themeColor="text1"/>
                <w:sz w:val="24"/>
                <w:szCs w:val="21"/>
                <w:highlight w:val="none"/>
                <w14:textFill>
                  <w14:solidFill>
                    <w14:schemeClr w14:val="tx1"/>
                  </w14:solidFill>
                </w14:textFill>
              </w:rPr>
              <w:t>）</w:t>
            </w:r>
            <w:r>
              <w:rPr>
                <w:b/>
                <w:bCs/>
                <w:color w:val="000000" w:themeColor="text1"/>
                <w:sz w:val="24"/>
                <w:szCs w:val="21"/>
                <w:highlight w:val="none"/>
                <w14:textFill>
                  <w14:solidFill>
                    <w14:schemeClr w14:val="tx1"/>
                  </w14:solidFill>
                </w14:textFill>
              </w:rPr>
              <w:t>废气环境影响分析</w:t>
            </w:r>
          </w:p>
          <w:p w14:paraId="1359559C">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根据以上工程分析及污染物核算内容可知，本项目废气污染物成分简单。</w:t>
            </w:r>
          </w:p>
          <w:p w14:paraId="47A12E5E">
            <w:pPr>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w:t>
            </w:r>
            <w:r>
              <w:rPr>
                <w:rFonts w:hint="eastAsia"/>
                <w:sz w:val="24"/>
                <w:szCs w:val="24"/>
                <w:highlight w:val="none"/>
                <w:lang w:val="en-US" w:eastAsia="zh-CN"/>
              </w:rPr>
              <w:t>DA001排放的颗粒物可达到</w:t>
            </w:r>
            <w:r>
              <w:rPr>
                <w:rFonts w:hint="eastAsia" w:eastAsiaTheme="minorEastAsia"/>
                <w:sz w:val="24"/>
                <w:highlight w:val="none"/>
              </w:rPr>
              <w:t>广东省地方标准《大气污染物排放限值》（DB44/27-2001）中表2第二时段的二级标准</w:t>
            </w:r>
            <w:r>
              <w:rPr>
                <w:rFonts w:hint="eastAsia" w:eastAsiaTheme="minorEastAsia"/>
                <w:sz w:val="24"/>
                <w:highlight w:val="none"/>
                <w:lang w:eastAsia="zh-CN"/>
              </w:rPr>
              <w:t>；</w:t>
            </w:r>
            <w:r>
              <w:rPr>
                <w:rFonts w:hint="eastAsia" w:eastAsiaTheme="minorEastAsia"/>
                <w:sz w:val="24"/>
                <w:highlight w:val="none"/>
                <w:lang w:val="en-US" w:eastAsia="zh-CN"/>
              </w:rPr>
              <w:t>DA002排放的</w:t>
            </w:r>
            <w:r>
              <w:rPr>
                <w:rFonts w:eastAsiaTheme="minorEastAsia"/>
                <w:sz w:val="24"/>
                <w:highlight w:val="none"/>
              </w:rPr>
              <w:t>颗粒物</w:t>
            </w:r>
            <w:r>
              <w:rPr>
                <w:rFonts w:hint="eastAsia" w:eastAsiaTheme="minorEastAsia"/>
                <w:sz w:val="24"/>
                <w:highlight w:val="none"/>
              </w:rPr>
              <w:t>可达到广东省地方标准《大气污染物排放限值》（DB44/27-2001）中表2第二时段的二级标准</w:t>
            </w:r>
            <w:r>
              <w:rPr>
                <w:rFonts w:hint="eastAsia" w:eastAsiaTheme="minorEastAsia"/>
                <w:sz w:val="24"/>
                <w:highlight w:val="none"/>
                <w:lang w:val="en-US" w:eastAsia="zh-CN"/>
              </w:rPr>
              <w:t>和</w:t>
            </w:r>
            <w:r>
              <w:rPr>
                <w:rFonts w:hint="eastAsia" w:eastAsiaTheme="minorEastAsia"/>
                <w:sz w:val="24"/>
                <w:highlight w:val="none"/>
              </w:rPr>
              <w:t>“</w:t>
            </w:r>
            <w:r>
              <w:rPr>
                <w:rFonts w:eastAsiaTheme="minorEastAsia"/>
                <w:sz w:val="24"/>
                <w:highlight w:val="none"/>
              </w:rPr>
              <w:t>关于印发《工业炉窑大气污染综合治理方案》的通知环大气[2019]56号</w:t>
            </w:r>
            <w:r>
              <w:rPr>
                <w:rFonts w:hint="eastAsia" w:eastAsiaTheme="minorEastAsia"/>
                <w:sz w:val="24"/>
                <w:highlight w:val="none"/>
              </w:rPr>
              <w:t>”</w:t>
            </w:r>
            <w:r>
              <w:rPr>
                <w:rFonts w:eastAsiaTheme="minorEastAsia"/>
                <w:sz w:val="24"/>
                <w:highlight w:val="none"/>
              </w:rPr>
              <w:t>文中提及的</w:t>
            </w:r>
            <w:r>
              <w:rPr>
                <w:rFonts w:eastAsiaTheme="minorEastAsia"/>
                <w:sz w:val="24"/>
                <w:highlight w:val="none"/>
                <w:shd w:val="clear" w:color="auto" w:fill="FFFFFF"/>
              </w:rPr>
              <w:t>重点区域原则上按照颗粒物、二氧化硫、氮氧化物排放限值分别不高于30、200、300毫克/立方米的</w:t>
            </w:r>
            <w:r>
              <w:rPr>
                <w:rFonts w:hint="eastAsia" w:eastAsiaTheme="minorEastAsia"/>
                <w:sz w:val="24"/>
                <w:highlight w:val="none"/>
                <w:shd w:val="clear" w:color="auto" w:fill="FFFFFF"/>
                <w:lang w:val="en-US" w:eastAsia="zh-CN"/>
              </w:rPr>
              <w:t>严者</w:t>
            </w:r>
            <w:r>
              <w:rPr>
                <w:rFonts w:eastAsiaTheme="minorEastAsia"/>
                <w:sz w:val="24"/>
                <w:highlight w:val="none"/>
                <w:shd w:val="clear" w:color="auto" w:fill="FFFFFF"/>
              </w:rPr>
              <w:t>要求</w:t>
            </w:r>
            <w:r>
              <w:rPr>
                <w:rFonts w:hint="eastAsia" w:eastAsiaTheme="minorEastAsia"/>
                <w:color w:val="000000" w:themeColor="text1"/>
                <w:sz w:val="24"/>
                <w:highlight w:val="none"/>
                <w:lang w:eastAsia="zh-CN"/>
                <w14:textFill>
                  <w14:solidFill>
                    <w14:schemeClr w14:val="tx1"/>
                  </w14:solidFill>
                </w14:textFill>
              </w:rPr>
              <w:t>，</w:t>
            </w:r>
            <w:r>
              <w:rPr>
                <w:rFonts w:hint="eastAsia" w:eastAsiaTheme="minorEastAsia"/>
                <w:sz w:val="24"/>
                <w:highlight w:val="none"/>
                <w:lang w:val="en-US" w:eastAsia="zh-CN"/>
              </w:rPr>
              <w:t>SO</w:t>
            </w:r>
            <w:r>
              <w:rPr>
                <w:rFonts w:hint="eastAsia" w:eastAsiaTheme="minorEastAsia"/>
                <w:sz w:val="24"/>
                <w:highlight w:val="none"/>
                <w:vertAlign w:val="subscript"/>
                <w:lang w:val="en-US" w:eastAsia="zh-CN"/>
              </w:rPr>
              <w:t>2</w:t>
            </w:r>
            <w:r>
              <w:rPr>
                <w:rFonts w:hint="eastAsia" w:eastAsiaTheme="minorEastAsia"/>
                <w:sz w:val="24"/>
                <w:highlight w:val="none"/>
                <w:lang w:val="en-US" w:eastAsia="zh-CN"/>
              </w:rPr>
              <w:t>和NOx可满足</w:t>
            </w:r>
            <w:r>
              <w:rPr>
                <w:rFonts w:hint="eastAsia" w:eastAsiaTheme="minorEastAsia"/>
                <w:sz w:val="24"/>
                <w:highlight w:val="none"/>
                <w:shd w:val="clear" w:color="auto" w:fill="FFFFFF"/>
                <w:lang w:eastAsia="zh-CN"/>
              </w:rPr>
              <w:t>“</w:t>
            </w:r>
            <w:r>
              <w:rPr>
                <w:rFonts w:eastAsiaTheme="minorEastAsia"/>
                <w:sz w:val="24"/>
                <w:highlight w:val="none"/>
                <w:shd w:val="clear" w:color="auto" w:fill="FFFFFF"/>
              </w:rPr>
              <w:t>关于印发《工业炉窑大气污染综合治理方案》的通知环大气[2019]56号</w:t>
            </w:r>
            <w:r>
              <w:rPr>
                <w:rFonts w:hint="eastAsia" w:eastAsiaTheme="minorEastAsia"/>
                <w:sz w:val="24"/>
                <w:highlight w:val="none"/>
                <w:shd w:val="clear" w:color="auto" w:fill="FFFFFF"/>
                <w:lang w:eastAsia="zh-CN"/>
              </w:rPr>
              <w:t>”</w:t>
            </w:r>
            <w:r>
              <w:rPr>
                <w:rFonts w:eastAsiaTheme="minorEastAsia"/>
                <w:sz w:val="24"/>
                <w:highlight w:val="none"/>
                <w:shd w:val="clear" w:color="auto" w:fill="FFFFFF"/>
              </w:rPr>
              <w:t>文中提及的重点区域原则上按照颗粒物、二氧化硫、氮氧化物排放限值分别不高于30、200、300毫克/立方米的</w:t>
            </w:r>
            <w:r>
              <w:rPr>
                <w:rFonts w:hint="eastAsia" w:eastAsiaTheme="minorEastAsia"/>
                <w:sz w:val="24"/>
                <w:highlight w:val="none"/>
                <w:shd w:val="clear" w:color="auto" w:fill="FFFFFF"/>
                <w:lang w:val="en-US" w:eastAsia="zh-CN"/>
              </w:rPr>
              <w:t>要求；</w:t>
            </w:r>
            <w:r>
              <w:rPr>
                <w:rFonts w:hint="eastAsia"/>
                <w:color w:val="000000" w:themeColor="text1"/>
                <w:sz w:val="24"/>
                <w:highlight w:val="none"/>
                <w14:textFill>
                  <w14:solidFill>
                    <w14:schemeClr w14:val="tx1"/>
                  </w14:solidFill>
                </w14:textFill>
              </w:rPr>
              <w:t>厂区无组织粉尘废气排放可达到广东省地方标准《大气污染物排放限值》（DB44/27-2001）中表2第二时段的二级标准无组织排放监控浓度限值</w:t>
            </w:r>
            <w:r>
              <w:rPr>
                <w:color w:val="000000" w:themeColor="text1"/>
                <w:sz w:val="24"/>
                <w:highlight w:val="none"/>
                <w14:textFill>
                  <w14:solidFill>
                    <w14:schemeClr w14:val="tx1"/>
                  </w14:solidFill>
                </w14:textFill>
              </w:rPr>
              <w:t>要求</w:t>
            </w:r>
            <w:r>
              <w:rPr>
                <w:rFonts w:hint="eastAsia"/>
                <w:color w:val="000000" w:themeColor="text1"/>
                <w:sz w:val="24"/>
                <w:highlight w:val="none"/>
                <w14:textFill>
                  <w14:solidFill>
                    <w14:schemeClr w14:val="tx1"/>
                  </w14:solidFill>
                </w14:textFill>
              </w:rPr>
              <w:t>。</w:t>
            </w:r>
          </w:p>
          <w:p w14:paraId="5B1B2601">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本项目所在的</w:t>
            </w:r>
            <w:r>
              <w:rPr>
                <w:rFonts w:hint="eastAsia"/>
                <w:color w:val="000000" w:themeColor="text1"/>
                <w:sz w:val="24"/>
                <w:highlight w:val="none"/>
                <w:lang w:val="en-US" w:eastAsia="zh-CN"/>
                <w14:textFill>
                  <w14:solidFill>
                    <w14:schemeClr w14:val="tx1"/>
                  </w14:solidFill>
                </w14:textFill>
              </w:rPr>
              <w:t>乐昌</w:t>
            </w:r>
            <w:r>
              <w:rPr>
                <w:color w:val="000000" w:themeColor="text1"/>
                <w:sz w:val="24"/>
                <w:highlight w:val="none"/>
                <w14:textFill>
                  <w14:solidFill>
                    <w14:schemeClr w14:val="tx1"/>
                  </w14:solidFill>
                </w14:textFill>
              </w:rPr>
              <w:t>市属环境空气达标区，</w:t>
            </w:r>
            <w:r>
              <w:rPr>
                <w:color w:val="000000" w:themeColor="text1"/>
                <w:kern w:val="0"/>
                <w:sz w:val="24"/>
                <w:highlight w:val="none"/>
                <w14:textFill>
                  <w14:solidFill>
                    <w14:schemeClr w14:val="tx1"/>
                  </w14:solidFill>
                </w14:textFill>
              </w:rPr>
              <w:t>厂界外</w:t>
            </w:r>
            <w:r>
              <w:rPr>
                <w:sz w:val="24"/>
                <w:highlight w:val="none"/>
              </w:rPr>
              <w:t>最近的大气环境保护目标距离本项目</w:t>
            </w:r>
            <w:r>
              <w:rPr>
                <w:rFonts w:hint="eastAsia"/>
                <w:sz w:val="24"/>
                <w:highlight w:val="none"/>
                <w:lang w:val="en-US" w:eastAsia="zh-CN"/>
              </w:rPr>
              <w:t>厂界6</w:t>
            </w:r>
            <w:r>
              <w:rPr>
                <w:sz w:val="24"/>
                <w:highlight w:val="none"/>
              </w:rPr>
              <w:t>0</w:t>
            </w:r>
            <w:r>
              <w:rPr>
                <w:rFonts w:hint="eastAsia"/>
                <w:sz w:val="24"/>
                <w:highlight w:val="none"/>
              </w:rPr>
              <w:t>m（本项目所在地块</w:t>
            </w:r>
            <w:r>
              <w:rPr>
                <w:rFonts w:hint="eastAsia"/>
                <w:sz w:val="24"/>
                <w:highlight w:val="none"/>
                <w:lang w:val="en-US" w:eastAsia="zh-CN"/>
              </w:rPr>
              <w:t>南</w:t>
            </w:r>
            <w:r>
              <w:rPr>
                <w:rFonts w:hint="eastAsia"/>
                <w:sz w:val="24"/>
                <w:highlight w:val="none"/>
              </w:rPr>
              <w:t>面</w:t>
            </w:r>
            <w:r>
              <w:rPr>
                <w:rFonts w:hint="eastAsia"/>
                <w:sz w:val="24"/>
                <w:highlight w:val="none"/>
                <w:lang w:val="en-US" w:eastAsia="zh-CN"/>
              </w:rPr>
              <w:t>贮木场村</w:t>
            </w:r>
            <w:r>
              <w:rPr>
                <w:rFonts w:hint="eastAsia"/>
                <w:sz w:val="24"/>
                <w:highlight w:val="none"/>
              </w:rPr>
              <w:t>）</w:t>
            </w:r>
            <w:r>
              <w:rPr>
                <w:sz w:val="24"/>
                <w:highlight w:val="none"/>
              </w:rPr>
              <w:t>；本项目采用的废气治理措施成熟有效，切实可行，可保证废气达标排放；主要污染物</w:t>
            </w:r>
            <w:r>
              <w:rPr>
                <w:rFonts w:hint="eastAsia"/>
                <w:sz w:val="24"/>
                <w:highlight w:val="none"/>
              </w:rPr>
              <w:t>颗粒物、</w:t>
            </w:r>
            <w:r>
              <w:rPr>
                <w:rFonts w:hint="eastAsia"/>
                <w:sz w:val="24"/>
                <w:highlight w:val="none"/>
                <w:lang w:val="en-US" w:eastAsia="zh-CN"/>
              </w:rPr>
              <w:t>二氧化硫、当氧化物</w:t>
            </w:r>
            <w:r>
              <w:rPr>
                <w:sz w:val="24"/>
                <w:highlight w:val="none"/>
              </w:rPr>
              <w:t>最终排放</w:t>
            </w:r>
            <w:r>
              <w:rPr>
                <w:rFonts w:hint="eastAsia"/>
                <w:sz w:val="24"/>
                <w:highlight w:val="none"/>
              </w:rPr>
              <w:t>浓度及</w:t>
            </w:r>
            <w:r>
              <w:rPr>
                <w:sz w:val="24"/>
                <w:highlight w:val="none"/>
              </w:rPr>
              <w:t>速率较小</w:t>
            </w:r>
            <w:r>
              <w:rPr>
                <w:rFonts w:hint="eastAsia"/>
                <w:sz w:val="24"/>
                <w:highlight w:val="none"/>
              </w:rPr>
              <w:t>，本</w:t>
            </w:r>
            <w:r>
              <w:rPr>
                <w:sz w:val="24"/>
                <w:highlight w:val="none"/>
              </w:rPr>
              <w:t>项目废气排放对周边大气环境影响在可接受范围内。</w:t>
            </w:r>
          </w:p>
          <w:p w14:paraId="59CACB3C">
            <w:pPr>
              <w:adjustRightInd w:val="0"/>
              <w:snapToGrid w:val="0"/>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综上所述，本项目废气产排污节点、污染物及污染治理设施信息如表</w:t>
            </w:r>
            <w:r>
              <w:rPr>
                <w:spacing w:val="-2"/>
                <w:sz w:val="24"/>
                <w:highlight w:val="none"/>
              </w:rPr>
              <w:t>4-</w:t>
            </w:r>
            <w:r>
              <w:rPr>
                <w:rFonts w:hint="eastAsia"/>
                <w:spacing w:val="-2"/>
                <w:sz w:val="24"/>
                <w:highlight w:val="none"/>
                <w:lang w:val="en-US" w:eastAsia="zh-CN"/>
              </w:rPr>
              <w:t>7</w:t>
            </w:r>
            <w:r>
              <w:rPr>
                <w:color w:val="000000" w:themeColor="text1"/>
                <w:sz w:val="24"/>
                <w:szCs w:val="21"/>
                <w:highlight w:val="none"/>
                <w14:textFill>
                  <w14:solidFill>
                    <w14:schemeClr w14:val="tx1"/>
                  </w14:solidFill>
                </w14:textFill>
              </w:rPr>
              <w:t>所示。大气排放口情况如表</w:t>
            </w:r>
            <w:r>
              <w:rPr>
                <w:spacing w:val="-2"/>
                <w:sz w:val="24"/>
                <w:highlight w:val="none"/>
              </w:rPr>
              <w:t>4-</w:t>
            </w:r>
            <w:r>
              <w:rPr>
                <w:rFonts w:hint="eastAsia"/>
                <w:spacing w:val="-2"/>
                <w:sz w:val="24"/>
                <w:highlight w:val="none"/>
                <w:lang w:val="en-US" w:eastAsia="zh-CN"/>
              </w:rPr>
              <w:t>8</w:t>
            </w:r>
            <w:r>
              <w:rPr>
                <w:color w:val="000000" w:themeColor="text1"/>
                <w:sz w:val="24"/>
                <w:szCs w:val="21"/>
                <w:highlight w:val="none"/>
                <w14:textFill>
                  <w14:solidFill>
                    <w14:schemeClr w14:val="tx1"/>
                  </w14:solidFill>
                </w14:textFill>
              </w:rPr>
              <w:t>所示。大气污染物产排情况如表</w:t>
            </w:r>
            <w:r>
              <w:rPr>
                <w:spacing w:val="-2"/>
                <w:sz w:val="24"/>
                <w:highlight w:val="none"/>
              </w:rPr>
              <w:t>4-</w:t>
            </w:r>
            <w:r>
              <w:rPr>
                <w:rFonts w:hint="eastAsia"/>
                <w:spacing w:val="-2"/>
                <w:sz w:val="24"/>
                <w:highlight w:val="none"/>
                <w:lang w:val="en-US" w:eastAsia="zh-CN"/>
              </w:rPr>
              <w:t>9</w:t>
            </w:r>
            <w:r>
              <w:rPr>
                <w:color w:val="000000" w:themeColor="text1"/>
                <w:sz w:val="24"/>
                <w:szCs w:val="21"/>
                <w:highlight w:val="none"/>
                <w14:textFill>
                  <w14:solidFill>
                    <w14:schemeClr w14:val="tx1"/>
                  </w14:solidFill>
                </w14:textFill>
              </w:rPr>
              <w:t>所示。</w:t>
            </w:r>
          </w:p>
        </w:tc>
      </w:tr>
    </w:tbl>
    <w:p w14:paraId="5F63FB1F">
      <w:pPr>
        <w:adjustRightInd w:val="0"/>
        <w:snapToGrid w:val="0"/>
        <w:spacing w:line="360" w:lineRule="auto"/>
        <w:rPr>
          <w:b/>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3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2"/>
      </w:tblGrid>
      <w:tr w14:paraId="4A66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8" w:hRule="atLeast"/>
        </w:trPr>
        <w:tc>
          <w:tcPr>
            <w:tcW w:w="12752" w:type="dxa"/>
          </w:tcPr>
          <w:p w14:paraId="3E8B0C26">
            <w:pPr>
              <w:adjustRightInd w:val="0"/>
              <w:snapToGrid w:val="0"/>
              <w:spacing w:line="360" w:lineRule="auto"/>
              <w:ind w:firstLine="482" w:firstLineChars="200"/>
              <w:jc w:val="center"/>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表</w:t>
            </w:r>
            <w:r>
              <w:rPr>
                <w:b/>
                <w:bCs/>
                <w:spacing w:val="-2"/>
                <w:sz w:val="24"/>
                <w:highlight w:val="none"/>
              </w:rPr>
              <w:t>4-</w:t>
            </w:r>
            <w:r>
              <w:rPr>
                <w:rFonts w:hint="eastAsia"/>
                <w:b/>
                <w:bCs/>
                <w:spacing w:val="-2"/>
                <w:sz w:val="24"/>
                <w:highlight w:val="none"/>
                <w:lang w:val="en-US" w:eastAsia="zh-CN"/>
              </w:rPr>
              <w:t>7</w:t>
            </w:r>
            <w:r>
              <w:rPr>
                <w:b/>
                <w:color w:val="000000" w:themeColor="text1"/>
                <w:sz w:val="24"/>
                <w:szCs w:val="21"/>
                <w:highlight w:val="none"/>
                <w14:textFill>
                  <w14:solidFill>
                    <w14:schemeClr w14:val="tx1"/>
                  </w14:solidFill>
                </w14:textFill>
              </w:rPr>
              <w:t xml:space="preserve"> 本项目废气产排污节点、污染物及污染治理设施信息表</w:t>
            </w:r>
          </w:p>
          <w:tbl>
            <w:tblPr>
              <w:tblStyle w:val="73"/>
              <w:tblW w:w="12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102"/>
              <w:gridCol w:w="867"/>
              <w:gridCol w:w="718"/>
              <w:gridCol w:w="900"/>
              <w:gridCol w:w="1340"/>
              <w:gridCol w:w="2582"/>
              <w:gridCol w:w="1159"/>
              <w:gridCol w:w="752"/>
              <w:gridCol w:w="904"/>
              <w:gridCol w:w="828"/>
              <w:gridCol w:w="863"/>
            </w:tblGrid>
            <w:tr w14:paraId="5165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76" w:type="dxa"/>
                  <w:vMerge w:val="restart"/>
                  <w:vAlign w:val="center"/>
                </w:tcPr>
                <w:p w14:paraId="4DB9C21E">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序号</w:t>
                  </w:r>
                </w:p>
              </w:tc>
              <w:tc>
                <w:tcPr>
                  <w:tcW w:w="1102" w:type="dxa"/>
                  <w:vMerge w:val="restart"/>
                  <w:vAlign w:val="center"/>
                </w:tcPr>
                <w:p w14:paraId="0B451DC8">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对应产污环节名称</w:t>
                  </w:r>
                </w:p>
              </w:tc>
              <w:tc>
                <w:tcPr>
                  <w:tcW w:w="867" w:type="dxa"/>
                  <w:vMerge w:val="restart"/>
                  <w:vAlign w:val="center"/>
                </w:tcPr>
                <w:p w14:paraId="123A6022">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污染物</w:t>
                  </w:r>
                </w:p>
              </w:tc>
              <w:tc>
                <w:tcPr>
                  <w:tcW w:w="718" w:type="dxa"/>
                  <w:vMerge w:val="restart"/>
                  <w:vAlign w:val="center"/>
                </w:tcPr>
                <w:p w14:paraId="176C4A6C">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排放形式</w:t>
                  </w:r>
                </w:p>
              </w:tc>
              <w:tc>
                <w:tcPr>
                  <w:tcW w:w="8465" w:type="dxa"/>
                  <w:gridSpan w:val="7"/>
                  <w:vAlign w:val="center"/>
                </w:tcPr>
                <w:p w14:paraId="466CDB89">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污染治理设施</w:t>
                  </w:r>
                </w:p>
              </w:tc>
              <w:tc>
                <w:tcPr>
                  <w:tcW w:w="863" w:type="dxa"/>
                  <w:vMerge w:val="restart"/>
                  <w:vAlign w:val="center"/>
                </w:tcPr>
                <w:p w14:paraId="3BEC8A2E">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排放口名称</w:t>
                  </w:r>
                </w:p>
              </w:tc>
            </w:tr>
            <w:tr w14:paraId="096F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76" w:type="dxa"/>
                  <w:vMerge w:val="continue"/>
                  <w:vAlign w:val="center"/>
                </w:tcPr>
                <w:p w14:paraId="1FD77AB2">
                  <w:pPr>
                    <w:pStyle w:val="16"/>
                    <w:adjustRightInd w:val="0"/>
                    <w:spacing w:before="0" w:after="0" w:line="240" w:lineRule="auto"/>
                    <w:ind w:right="0"/>
                    <w:jc w:val="center"/>
                    <w:rPr>
                      <w:rFonts w:eastAsiaTheme="minorEastAsia"/>
                      <w:sz w:val="21"/>
                      <w:szCs w:val="21"/>
                      <w:highlight w:val="none"/>
                    </w:rPr>
                  </w:pPr>
                </w:p>
              </w:tc>
              <w:tc>
                <w:tcPr>
                  <w:tcW w:w="1102" w:type="dxa"/>
                  <w:vMerge w:val="continue"/>
                  <w:vAlign w:val="center"/>
                </w:tcPr>
                <w:p w14:paraId="5EC336E8">
                  <w:pPr>
                    <w:pStyle w:val="16"/>
                    <w:adjustRightInd w:val="0"/>
                    <w:spacing w:before="0" w:after="0" w:line="240" w:lineRule="auto"/>
                    <w:ind w:right="0"/>
                    <w:jc w:val="center"/>
                    <w:rPr>
                      <w:rFonts w:eastAsiaTheme="minorEastAsia"/>
                      <w:sz w:val="21"/>
                      <w:szCs w:val="21"/>
                      <w:highlight w:val="none"/>
                    </w:rPr>
                  </w:pPr>
                </w:p>
              </w:tc>
              <w:tc>
                <w:tcPr>
                  <w:tcW w:w="867" w:type="dxa"/>
                  <w:vMerge w:val="continue"/>
                  <w:vAlign w:val="center"/>
                </w:tcPr>
                <w:p w14:paraId="79907AF1">
                  <w:pPr>
                    <w:pStyle w:val="16"/>
                    <w:adjustRightInd w:val="0"/>
                    <w:spacing w:before="0" w:after="0" w:line="240" w:lineRule="auto"/>
                    <w:ind w:right="0"/>
                    <w:jc w:val="center"/>
                    <w:rPr>
                      <w:rFonts w:eastAsiaTheme="minorEastAsia"/>
                      <w:sz w:val="21"/>
                      <w:szCs w:val="21"/>
                      <w:highlight w:val="none"/>
                    </w:rPr>
                  </w:pPr>
                </w:p>
              </w:tc>
              <w:tc>
                <w:tcPr>
                  <w:tcW w:w="718" w:type="dxa"/>
                  <w:vMerge w:val="continue"/>
                  <w:vAlign w:val="center"/>
                </w:tcPr>
                <w:p w14:paraId="60E05D53">
                  <w:pPr>
                    <w:pStyle w:val="16"/>
                    <w:adjustRightInd w:val="0"/>
                    <w:spacing w:before="0" w:after="0" w:line="240" w:lineRule="auto"/>
                    <w:ind w:right="0"/>
                    <w:jc w:val="center"/>
                    <w:rPr>
                      <w:rFonts w:eastAsiaTheme="minorEastAsia"/>
                      <w:sz w:val="21"/>
                      <w:szCs w:val="21"/>
                      <w:highlight w:val="none"/>
                    </w:rPr>
                  </w:pPr>
                </w:p>
              </w:tc>
              <w:tc>
                <w:tcPr>
                  <w:tcW w:w="900" w:type="dxa"/>
                  <w:vAlign w:val="center"/>
                </w:tcPr>
                <w:p w14:paraId="30C51A22">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污染治理设施编号</w:t>
                  </w:r>
                </w:p>
              </w:tc>
              <w:tc>
                <w:tcPr>
                  <w:tcW w:w="1340" w:type="dxa"/>
                  <w:vAlign w:val="center"/>
                </w:tcPr>
                <w:p w14:paraId="1567748E">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污染治理设施名称</w:t>
                  </w:r>
                </w:p>
              </w:tc>
              <w:tc>
                <w:tcPr>
                  <w:tcW w:w="2582" w:type="dxa"/>
                  <w:vAlign w:val="center"/>
                </w:tcPr>
                <w:p w14:paraId="133CD668">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污染治理设施工艺</w:t>
                  </w:r>
                </w:p>
              </w:tc>
              <w:tc>
                <w:tcPr>
                  <w:tcW w:w="1159" w:type="dxa"/>
                  <w:vAlign w:val="center"/>
                </w:tcPr>
                <w:p w14:paraId="068FB0AB">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设计处理能力</w:t>
                  </w:r>
                </w:p>
              </w:tc>
              <w:tc>
                <w:tcPr>
                  <w:tcW w:w="752" w:type="dxa"/>
                  <w:vAlign w:val="center"/>
                </w:tcPr>
                <w:p w14:paraId="515B2B30">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收集效率%</w:t>
                  </w:r>
                </w:p>
              </w:tc>
              <w:tc>
                <w:tcPr>
                  <w:tcW w:w="904" w:type="dxa"/>
                  <w:vAlign w:val="center"/>
                </w:tcPr>
                <w:p w14:paraId="58A0EA6B">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治理工艺去除率%</w:t>
                  </w:r>
                </w:p>
              </w:tc>
              <w:tc>
                <w:tcPr>
                  <w:tcW w:w="828" w:type="dxa"/>
                  <w:vAlign w:val="center"/>
                </w:tcPr>
                <w:p w14:paraId="72B8CAEC">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是否为可行技术</w:t>
                  </w:r>
                </w:p>
              </w:tc>
              <w:tc>
                <w:tcPr>
                  <w:tcW w:w="863" w:type="dxa"/>
                  <w:vMerge w:val="continue"/>
                  <w:vAlign w:val="center"/>
                </w:tcPr>
                <w:p w14:paraId="4FD3CD0E">
                  <w:pPr>
                    <w:pStyle w:val="16"/>
                    <w:adjustRightInd w:val="0"/>
                    <w:spacing w:before="0" w:after="0" w:line="240" w:lineRule="auto"/>
                    <w:ind w:right="0"/>
                    <w:jc w:val="center"/>
                    <w:rPr>
                      <w:rFonts w:eastAsiaTheme="minorEastAsia"/>
                      <w:sz w:val="21"/>
                      <w:szCs w:val="21"/>
                      <w:highlight w:val="none"/>
                    </w:rPr>
                  </w:pPr>
                </w:p>
              </w:tc>
            </w:tr>
            <w:tr w14:paraId="3C9C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76" w:type="dxa"/>
                  <w:vAlign w:val="center"/>
                </w:tcPr>
                <w:p w14:paraId="2F9A2FB3">
                  <w:pPr>
                    <w:pStyle w:val="16"/>
                    <w:adjustRightInd w:val="0"/>
                    <w:spacing w:before="0" w:after="0" w:line="240" w:lineRule="auto"/>
                    <w:ind w:right="0"/>
                    <w:jc w:val="center"/>
                    <w:rPr>
                      <w:rFonts w:eastAsiaTheme="minorEastAsia"/>
                      <w:sz w:val="21"/>
                      <w:szCs w:val="21"/>
                      <w:highlight w:val="none"/>
                    </w:rPr>
                  </w:pPr>
                  <w:r>
                    <w:rPr>
                      <w:rFonts w:hint="eastAsia" w:eastAsiaTheme="minorEastAsia"/>
                      <w:sz w:val="21"/>
                      <w:szCs w:val="21"/>
                      <w:highlight w:val="none"/>
                      <w:lang w:val="en-US" w:eastAsia="zh-CN"/>
                    </w:rPr>
                    <w:t>1</w:t>
                  </w:r>
                </w:p>
              </w:tc>
              <w:tc>
                <w:tcPr>
                  <w:tcW w:w="1102" w:type="dxa"/>
                  <w:vAlign w:val="center"/>
                </w:tcPr>
                <w:p w14:paraId="088EFFC8">
                  <w:pPr>
                    <w:pStyle w:val="16"/>
                    <w:adjustRightInd w:val="0"/>
                    <w:spacing w:before="0" w:after="0" w:line="240" w:lineRule="auto"/>
                    <w:ind w:right="0"/>
                    <w:jc w:val="center"/>
                    <w:rPr>
                      <w:rFonts w:eastAsiaTheme="minorEastAsia"/>
                      <w:sz w:val="21"/>
                      <w:szCs w:val="21"/>
                      <w:highlight w:val="none"/>
                    </w:rPr>
                  </w:pPr>
                  <w:r>
                    <w:rPr>
                      <w:rFonts w:hint="eastAsia" w:eastAsiaTheme="minorEastAsia"/>
                      <w:kern w:val="0"/>
                      <w:sz w:val="21"/>
                      <w:szCs w:val="21"/>
                      <w:highlight w:val="none"/>
                      <w:lang w:val="en-US" w:eastAsia="zh-CN"/>
                    </w:rPr>
                    <w:t>粉碎粉尘</w:t>
                  </w:r>
                </w:p>
              </w:tc>
              <w:tc>
                <w:tcPr>
                  <w:tcW w:w="867" w:type="dxa"/>
                  <w:vAlign w:val="center"/>
                </w:tcPr>
                <w:p w14:paraId="09C7998D">
                  <w:pPr>
                    <w:pStyle w:val="16"/>
                    <w:adjustRightInd w:val="0"/>
                    <w:spacing w:before="0" w:after="0" w:line="240" w:lineRule="auto"/>
                    <w:ind w:right="0"/>
                    <w:jc w:val="center"/>
                    <w:rPr>
                      <w:rFonts w:hint="eastAsia" w:eastAsiaTheme="minorEastAsia"/>
                      <w:sz w:val="21"/>
                      <w:szCs w:val="21"/>
                      <w:highlight w:val="none"/>
                      <w:lang w:val="en-US" w:eastAsia="zh-CN"/>
                    </w:rPr>
                  </w:pPr>
                  <w:r>
                    <w:rPr>
                      <w:rFonts w:hint="eastAsia" w:eastAsiaTheme="minorEastAsia"/>
                      <w:sz w:val="21"/>
                      <w:szCs w:val="21"/>
                      <w:highlight w:val="none"/>
                      <w:lang w:val="en-US" w:eastAsia="zh-CN"/>
                    </w:rPr>
                    <w:t>颗粒物</w:t>
                  </w:r>
                </w:p>
              </w:tc>
              <w:tc>
                <w:tcPr>
                  <w:tcW w:w="718" w:type="dxa"/>
                  <w:vAlign w:val="center"/>
                </w:tcPr>
                <w:p w14:paraId="08B35C9C">
                  <w:pPr>
                    <w:pStyle w:val="16"/>
                    <w:adjustRightInd w:val="0"/>
                    <w:spacing w:before="0" w:after="0" w:line="240" w:lineRule="auto"/>
                    <w:ind w:right="0"/>
                    <w:jc w:val="center"/>
                    <w:rPr>
                      <w:rFonts w:hint="eastAsia" w:eastAsiaTheme="minorEastAsia"/>
                      <w:sz w:val="21"/>
                      <w:szCs w:val="21"/>
                      <w:highlight w:val="none"/>
                      <w:lang w:val="en-US" w:eastAsia="zh-CN"/>
                    </w:rPr>
                  </w:pPr>
                  <w:r>
                    <w:rPr>
                      <w:rFonts w:hint="eastAsia" w:eastAsiaTheme="minorEastAsia"/>
                      <w:sz w:val="21"/>
                      <w:szCs w:val="21"/>
                      <w:highlight w:val="none"/>
                      <w:lang w:val="en-US" w:eastAsia="zh-CN"/>
                    </w:rPr>
                    <w:t>有组织</w:t>
                  </w:r>
                </w:p>
              </w:tc>
              <w:tc>
                <w:tcPr>
                  <w:tcW w:w="900" w:type="dxa"/>
                  <w:vAlign w:val="center"/>
                </w:tcPr>
                <w:p w14:paraId="75408568">
                  <w:pPr>
                    <w:pStyle w:val="16"/>
                    <w:adjustRightInd w:val="0"/>
                    <w:spacing w:before="0" w:after="0" w:line="240" w:lineRule="auto"/>
                    <w:ind w:right="0"/>
                    <w:jc w:val="center"/>
                    <w:rPr>
                      <w:rFonts w:hint="default" w:eastAsiaTheme="minorEastAsia"/>
                      <w:sz w:val="21"/>
                      <w:szCs w:val="21"/>
                      <w:highlight w:val="none"/>
                      <w:lang w:val="en-US" w:eastAsia="zh-CN"/>
                    </w:rPr>
                  </w:pPr>
                  <w:r>
                    <w:rPr>
                      <w:rFonts w:hint="eastAsia" w:eastAsiaTheme="minorEastAsia"/>
                      <w:sz w:val="21"/>
                      <w:szCs w:val="21"/>
                      <w:highlight w:val="none"/>
                      <w:lang w:val="en-US" w:eastAsia="zh-CN"/>
                    </w:rPr>
                    <w:t>DA001</w:t>
                  </w:r>
                </w:p>
              </w:tc>
              <w:tc>
                <w:tcPr>
                  <w:tcW w:w="1340" w:type="dxa"/>
                  <w:vAlign w:val="center"/>
                </w:tcPr>
                <w:p w14:paraId="61FA062C">
                  <w:pPr>
                    <w:pStyle w:val="16"/>
                    <w:adjustRightInd w:val="0"/>
                    <w:spacing w:before="0" w:after="0" w:line="240" w:lineRule="auto"/>
                    <w:ind w:right="0"/>
                    <w:jc w:val="center"/>
                    <w:rPr>
                      <w:rFonts w:hint="default" w:eastAsiaTheme="minorEastAsia"/>
                      <w:sz w:val="21"/>
                      <w:szCs w:val="21"/>
                      <w:highlight w:val="none"/>
                      <w:lang w:val="en-US" w:eastAsia="zh-CN"/>
                    </w:rPr>
                  </w:pPr>
                  <w:r>
                    <w:rPr>
                      <w:rFonts w:hint="eastAsia" w:eastAsiaTheme="minorEastAsia"/>
                      <w:sz w:val="21"/>
                      <w:szCs w:val="21"/>
                      <w:highlight w:val="none"/>
                      <w:lang w:val="en-US" w:eastAsia="zh-CN"/>
                    </w:rPr>
                    <w:t>袋式除尘器</w:t>
                  </w:r>
                </w:p>
              </w:tc>
              <w:tc>
                <w:tcPr>
                  <w:tcW w:w="2582" w:type="dxa"/>
                  <w:vAlign w:val="center"/>
                </w:tcPr>
                <w:p w14:paraId="248E041A">
                  <w:pPr>
                    <w:pStyle w:val="16"/>
                    <w:adjustRightInd w:val="0"/>
                    <w:spacing w:before="0" w:after="0" w:line="240" w:lineRule="auto"/>
                    <w:ind w:right="0"/>
                    <w:jc w:val="center"/>
                    <w:rPr>
                      <w:rFonts w:hint="default" w:eastAsiaTheme="minorEastAsia"/>
                      <w:sz w:val="21"/>
                      <w:szCs w:val="21"/>
                      <w:highlight w:val="none"/>
                      <w:lang w:val="en-US"/>
                    </w:rPr>
                  </w:pPr>
                  <w:r>
                    <w:rPr>
                      <w:rFonts w:hint="eastAsia" w:ascii="Times New Roman" w:hAnsi="Times New Roman" w:eastAsia="宋体" w:cs="Times New Roman"/>
                      <w:bCs/>
                      <w:kern w:val="2"/>
                      <w:sz w:val="21"/>
                      <w:szCs w:val="21"/>
                      <w:highlight w:val="none"/>
                      <w:lang w:val="en-US" w:eastAsia="zh-CN" w:bidi="ar-SA"/>
                    </w:rPr>
                    <w:t>粉碎粉尘经集气罩收集后，经袋式除尘器处理后，通过15m高排气筒（DA001）外排</w:t>
                  </w:r>
                </w:p>
              </w:tc>
              <w:tc>
                <w:tcPr>
                  <w:tcW w:w="1159" w:type="dxa"/>
                  <w:vAlign w:val="center"/>
                </w:tcPr>
                <w:p w14:paraId="2ED4311F">
                  <w:pPr>
                    <w:pStyle w:val="16"/>
                    <w:adjustRightInd w:val="0"/>
                    <w:spacing w:before="0" w:after="0" w:line="240" w:lineRule="auto"/>
                    <w:ind w:right="0"/>
                    <w:jc w:val="center"/>
                    <w:rPr>
                      <w:rFonts w:hint="default" w:eastAsiaTheme="minorEastAsia"/>
                      <w:sz w:val="21"/>
                      <w:szCs w:val="21"/>
                      <w:highlight w:val="none"/>
                      <w:lang w:val="en-US" w:eastAsia="zh-CN"/>
                    </w:rPr>
                  </w:pPr>
                  <w:r>
                    <w:rPr>
                      <w:rFonts w:hint="eastAsia" w:cs="Times New Roman"/>
                      <w:color w:val="000000" w:themeColor="text1"/>
                      <w:spacing w:val="0"/>
                      <w:sz w:val="21"/>
                      <w:szCs w:val="21"/>
                      <w:highlight w:val="none"/>
                      <w:u w:val="none"/>
                      <w:lang w:val="en-US" w:eastAsia="zh-CN"/>
                      <w14:textFill>
                        <w14:solidFill>
                          <w14:schemeClr w14:val="tx1"/>
                        </w14:solidFill>
                      </w14:textFill>
                    </w:rPr>
                    <w:t>5000</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m</w:t>
                  </w:r>
                  <w:r>
                    <w:rPr>
                      <w:rFonts w:hint="default" w:ascii="Times New Roman" w:hAnsi="Times New Roman" w:eastAsia="宋体" w:cs="Times New Roman"/>
                      <w:color w:val="000000" w:themeColor="text1"/>
                      <w:spacing w:val="0"/>
                      <w:sz w:val="21"/>
                      <w:szCs w:val="21"/>
                      <w:highlight w:val="none"/>
                      <w:u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1"/>
                      <w:szCs w:val="21"/>
                      <w:highlight w:val="none"/>
                      <w:u w:val="none"/>
                      <w:vertAlign w:val="baseline"/>
                      <w:lang w:val="en-US" w:eastAsia="zh-CN"/>
                      <w14:textFill>
                        <w14:solidFill>
                          <w14:schemeClr w14:val="tx1"/>
                        </w14:solidFill>
                      </w14:textFill>
                    </w:rPr>
                    <w:t>/</w:t>
                  </w:r>
                  <w:r>
                    <w:rPr>
                      <w:rFonts w:hint="eastAsia" w:cs="Times New Roman"/>
                      <w:color w:val="000000" w:themeColor="text1"/>
                      <w:spacing w:val="0"/>
                      <w:sz w:val="21"/>
                      <w:szCs w:val="21"/>
                      <w:highlight w:val="none"/>
                      <w:u w:val="none"/>
                      <w:vertAlign w:val="baseline"/>
                      <w:lang w:val="en-US" w:eastAsia="zh-CN"/>
                      <w14:textFill>
                        <w14:solidFill>
                          <w14:schemeClr w14:val="tx1"/>
                        </w14:solidFill>
                      </w14:textFill>
                    </w:rPr>
                    <w:t>h</w:t>
                  </w:r>
                </w:p>
              </w:tc>
              <w:tc>
                <w:tcPr>
                  <w:tcW w:w="752" w:type="dxa"/>
                  <w:vAlign w:val="center"/>
                </w:tcPr>
                <w:p w14:paraId="6AA74842">
                  <w:pPr>
                    <w:pStyle w:val="16"/>
                    <w:adjustRightInd w:val="0"/>
                    <w:spacing w:before="0" w:after="0" w:line="240" w:lineRule="auto"/>
                    <w:ind w:right="0"/>
                    <w:jc w:val="center"/>
                    <w:rPr>
                      <w:rFonts w:hint="default" w:eastAsiaTheme="minorEastAsia"/>
                      <w:sz w:val="21"/>
                      <w:szCs w:val="21"/>
                      <w:highlight w:val="none"/>
                      <w:lang w:val="en-US" w:eastAsia="zh-CN"/>
                    </w:rPr>
                  </w:pPr>
                  <w:r>
                    <w:rPr>
                      <w:rFonts w:hint="eastAsia" w:eastAsiaTheme="minorEastAsia"/>
                      <w:sz w:val="21"/>
                      <w:szCs w:val="21"/>
                      <w:highlight w:val="none"/>
                      <w:lang w:val="en-US" w:eastAsia="zh-CN"/>
                    </w:rPr>
                    <w:t>90</w:t>
                  </w:r>
                </w:p>
              </w:tc>
              <w:tc>
                <w:tcPr>
                  <w:tcW w:w="904" w:type="dxa"/>
                  <w:vAlign w:val="center"/>
                </w:tcPr>
                <w:p w14:paraId="585CF784">
                  <w:pPr>
                    <w:pStyle w:val="16"/>
                    <w:adjustRightInd w:val="0"/>
                    <w:spacing w:before="0" w:after="0" w:line="240" w:lineRule="auto"/>
                    <w:ind w:right="0"/>
                    <w:jc w:val="center"/>
                    <w:rPr>
                      <w:rFonts w:hint="default" w:eastAsiaTheme="minorEastAsia"/>
                      <w:sz w:val="21"/>
                      <w:szCs w:val="21"/>
                      <w:highlight w:val="none"/>
                      <w:lang w:val="en-US" w:eastAsia="zh-CN"/>
                    </w:rPr>
                  </w:pPr>
                  <w:r>
                    <w:rPr>
                      <w:rFonts w:hint="eastAsia" w:eastAsiaTheme="minorEastAsia"/>
                      <w:sz w:val="21"/>
                      <w:szCs w:val="21"/>
                      <w:highlight w:val="none"/>
                      <w:lang w:val="en-US" w:eastAsia="zh-CN"/>
                    </w:rPr>
                    <w:t>95</w:t>
                  </w:r>
                </w:p>
              </w:tc>
              <w:tc>
                <w:tcPr>
                  <w:tcW w:w="828" w:type="dxa"/>
                  <w:vAlign w:val="center"/>
                </w:tcPr>
                <w:p w14:paraId="1C762896">
                  <w:pPr>
                    <w:pStyle w:val="16"/>
                    <w:adjustRightInd w:val="0"/>
                    <w:spacing w:before="0" w:after="0" w:line="240" w:lineRule="auto"/>
                    <w:ind w:right="0"/>
                    <w:jc w:val="center"/>
                    <w:rPr>
                      <w:rFonts w:hint="eastAsia" w:eastAsiaTheme="minorEastAsia"/>
                      <w:sz w:val="21"/>
                      <w:szCs w:val="21"/>
                      <w:highlight w:val="none"/>
                      <w:lang w:val="en-US" w:eastAsia="zh-CN"/>
                    </w:rPr>
                  </w:pPr>
                  <w:r>
                    <w:rPr>
                      <w:rFonts w:hint="eastAsia" w:eastAsiaTheme="minorEastAsia"/>
                      <w:sz w:val="21"/>
                      <w:szCs w:val="21"/>
                      <w:highlight w:val="none"/>
                      <w:lang w:val="en-US" w:eastAsia="zh-CN"/>
                    </w:rPr>
                    <w:t>是</w:t>
                  </w:r>
                </w:p>
              </w:tc>
              <w:tc>
                <w:tcPr>
                  <w:tcW w:w="863" w:type="dxa"/>
                  <w:vAlign w:val="center"/>
                </w:tcPr>
                <w:p w14:paraId="7778FD78">
                  <w:pPr>
                    <w:pStyle w:val="16"/>
                    <w:adjustRightInd w:val="0"/>
                    <w:spacing w:before="0" w:after="0" w:line="240" w:lineRule="auto"/>
                    <w:ind w:right="0"/>
                    <w:jc w:val="center"/>
                    <w:rPr>
                      <w:rFonts w:hint="default" w:eastAsiaTheme="minorEastAsia"/>
                      <w:sz w:val="21"/>
                      <w:szCs w:val="21"/>
                      <w:highlight w:val="none"/>
                      <w:lang w:val="en-US" w:eastAsia="zh-CN"/>
                    </w:rPr>
                  </w:pPr>
                  <w:r>
                    <w:rPr>
                      <w:rFonts w:hint="eastAsia" w:eastAsiaTheme="minorEastAsia"/>
                      <w:sz w:val="21"/>
                      <w:szCs w:val="21"/>
                      <w:highlight w:val="none"/>
                      <w:lang w:val="en-US" w:eastAsia="zh-CN"/>
                    </w:rPr>
                    <w:t>DA001</w:t>
                  </w:r>
                </w:p>
              </w:tc>
            </w:tr>
            <w:tr w14:paraId="3A04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76" w:type="dxa"/>
                  <w:vAlign w:val="center"/>
                </w:tcPr>
                <w:p w14:paraId="5E08A923">
                  <w:pPr>
                    <w:pStyle w:val="16"/>
                    <w:adjustRightInd w:val="0"/>
                    <w:spacing w:before="0" w:after="0" w:line="240" w:lineRule="auto"/>
                    <w:ind w:right="0"/>
                    <w:jc w:val="center"/>
                    <w:rPr>
                      <w:rFonts w:hint="eastAsia" w:eastAsiaTheme="minorEastAsia"/>
                      <w:sz w:val="21"/>
                      <w:szCs w:val="21"/>
                      <w:highlight w:val="none"/>
                      <w:lang w:val="en-US" w:eastAsia="zh-CN"/>
                    </w:rPr>
                  </w:pPr>
                  <w:r>
                    <w:rPr>
                      <w:rFonts w:hint="eastAsia" w:eastAsiaTheme="minorEastAsia"/>
                      <w:sz w:val="21"/>
                      <w:szCs w:val="21"/>
                      <w:highlight w:val="none"/>
                      <w:lang w:val="en-US" w:eastAsia="zh-CN"/>
                    </w:rPr>
                    <w:t>2</w:t>
                  </w:r>
                </w:p>
              </w:tc>
              <w:tc>
                <w:tcPr>
                  <w:tcW w:w="1102" w:type="dxa"/>
                  <w:vAlign w:val="center"/>
                </w:tcPr>
                <w:p w14:paraId="595E994B">
                  <w:pPr>
                    <w:widowControl/>
                    <w:adjustRightInd w:val="0"/>
                    <w:snapToGrid w:val="0"/>
                    <w:jc w:val="left"/>
                    <w:textAlignment w:val="center"/>
                    <w:rPr>
                      <w:rFonts w:hint="default" w:eastAsiaTheme="minorEastAsia"/>
                      <w:kern w:val="0"/>
                      <w:szCs w:val="21"/>
                      <w:highlight w:val="none"/>
                      <w:lang w:val="en-US" w:eastAsia="zh-CN"/>
                    </w:rPr>
                  </w:pPr>
                  <w:r>
                    <w:rPr>
                      <w:rFonts w:hint="eastAsia" w:eastAsiaTheme="minorEastAsia"/>
                      <w:kern w:val="0"/>
                      <w:szCs w:val="21"/>
                      <w:highlight w:val="none"/>
                      <w:lang w:val="en-US" w:eastAsia="zh-CN"/>
                    </w:rPr>
                    <w:t>制棒废气、烘干机粉尘</w:t>
                  </w:r>
                </w:p>
              </w:tc>
              <w:tc>
                <w:tcPr>
                  <w:tcW w:w="867" w:type="dxa"/>
                  <w:vAlign w:val="center"/>
                </w:tcPr>
                <w:p w14:paraId="28DD2282">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颗粒物</w:t>
                  </w:r>
                </w:p>
              </w:tc>
              <w:tc>
                <w:tcPr>
                  <w:tcW w:w="718" w:type="dxa"/>
                  <w:vMerge w:val="restart"/>
                  <w:vAlign w:val="center"/>
                </w:tcPr>
                <w:p w14:paraId="531A7C40">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有组织</w:t>
                  </w:r>
                </w:p>
              </w:tc>
              <w:tc>
                <w:tcPr>
                  <w:tcW w:w="900" w:type="dxa"/>
                  <w:vMerge w:val="restart"/>
                  <w:vAlign w:val="center"/>
                </w:tcPr>
                <w:p w14:paraId="0DAAE991">
                  <w:pPr>
                    <w:pStyle w:val="16"/>
                    <w:adjustRightInd w:val="0"/>
                    <w:spacing w:before="0" w:after="0" w:line="240" w:lineRule="auto"/>
                    <w:ind w:right="0"/>
                    <w:jc w:val="center"/>
                    <w:rPr>
                      <w:rFonts w:hint="eastAsia" w:eastAsiaTheme="minorEastAsia"/>
                      <w:sz w:val="21"/>
                      <w:szCs w:val="21"/>
                      <w:highlight w:val="none"/>
                      <w:lang w:eastAsia="zh-CN"/>
                    </w:rPr>
                  </w:pPr>
                  <w:r>
                    <w:rPr>
                      <w:rFonts w:hint="eastAsia" w:eastAsiaTheme="minorEastAsia"/>
                      <w:color w:val="000000" w:themeColor="text1"/>
                      <w:sz w:val="21"/>
                      <w:szCs w:val="21"/>
                      <w:highlight w:val="none"/>
                      <w:lang w:val="en-US" w:eastAsia="zh-CN"/>
                      <w14:textFill>
                        <w14:solidFill>
                          <w14:schemeClr w14:val="tx1"/>
                        </w14:solidFill>
                      </w14:textFill>
                    </w:rPr>
                    <w:t>DA002</w:t>
                  </w:r>
                </w:p>
              </w:tc>
              <w:tc>
                <w:tcPr>
                  <w:tcW w:w="1340" w:type="dxa"/>
                  <w:vMerge w:val="restart"/>
                  <w:vAlign w:val="center"/>
                </w:tcPr>
                <w:p w14:paraId="01FB33E9">
                  <w:pPr>
                    <w:pStyle w:val="16"/>
                    <w:adjustRightInd w:val="0"/>
                    <w:spacing w:before="0" w:after="0" w:line="240" w:lineRule="auto"/>
                    <w:ind w:right="0"/>
                    <w:jc w:val="center"/>
                    <w:rPr>
                      <w:rFonts w:hint="default" w:eastAsiaTheme="minorEastAsia"/>
                      <w:sz w:val="21"/>
                      <w:szCs w:val="21"/>
                      <w:highlight w:val="none"/>
                      <w:lang w:val="en-US" w:eastAsia="zh-CN"/>
                    </w:rPr>
                  </w:pPr>
                  <w:r>
                    <w:rPr>
                      <w:rFonts w:eastAsiaTheme="minorEastAsia"/>
                      <w:bCs/>
                      <w:sz w:val="21"/>
                      <w:szCs w:val="21"/>
                      <w:highlight w:val="none"/>
                    </w:rPr>
                    <w:t>旋风分离器</w:t>
                  </w:r>
                  <w:r>
                    <w:rPr>
                      <w:rFonts w:ascii="Times New Roman" w:hAnsi="Times New Roman" w:cs="Times New Roman" w:eastAsiaTheme="minorEastAsia"/>
                      <w:bCs/>
                      <w:sz w:val="21"/>
                      <w:szCs w:val="21"/>
                      <w:highlight w:val="none"/>
                    </w:rPr>
                    <w:t>、</w:t>
                  </w:r>
                  <w:r>
                    <w:rPr>
                      <w:rFonts w:hint="eastAsia" w:cs="Times New Roman" w:eastAsiaTheme="minorEastAsia"/>
                      <w:bCs/>
                      <w:sz w:val="21"/>
                      <w:szCs w:val="21"/>
                      <w:highlight w:val="none"/>
                      <w:lang w:val="en-US" w:eastAsia="zh-CN"/>
                    </w:rPr>
                    <w:t>喷淋除尘脱硫塔</w:t>
                  </w:r>
                </w:p>
              </w:tc>
              <w:tc>
                <w:tcPr>
                  <w:tcW w:w="2582" w:type="dxa"/>
                  <w:vMerge w:val="restart"/>
                  <w:vAlign w:val="center"/>
                </w:tcPr>
                <w:p w14:paraId="567A88FB">
                  <w:pPr>
                    <w:adjustRightInd w:val="0"/>
                    <w:snapToGrid w:val="0"/>
                    <w:jc w:val="left"/>
                    <w:rPr>
                      <w:rFonts w:hint="eastAsia" w:eastAsiaTheme="minorEastAsia"/>
                      <w:szCs w:val="21"/>
                      <w:highlight w:val="none"/>
                      <w:lang w:val="en-US" w:eastAsia="zh-CN"/>
                    </w:rPr>
                  </w:pPr>
                  <w:r>
                    <w:rPr>
                      <w:rFonts w:hint="default" w:ascii="Times New Roman" w:hAnsi="Times New Roman" w:cs="Times New Roman"/>
                      <w:bCs/>
                      <w:szCs w:val="21"/>
                      <w:highlight w:val="none"/>
                      <w:lang w:eastAsia="zh-CN"/>
                    </w:rPr>
                    <w:t>制棒废气、炭化废气通过管道收集返回烘干系统</w:t>
                  </w:r>
                  <w:r>
                    <w:rPr>
                      <w:rFonts w:hint="default" w:ascii="Times New Roman" w:hAnsi="Times New Roman" w:cs="Times New Roman"/>
                      <w:bCs/>
                      <w:szCs w:val="21"/>
                      <w:highlight w:val="none"/>
                      <w:lang w:val="en-US" w:eastAsia="zh-CN"/>
                    </w:rPr>
                    <w:t>燃</w:t>
                  </w:r>
                  <w:r>
                    <w:rPr>
                      <w:rFonts w:hint="default" w:ascii="Times New Roman" w:hAnsi="Times New Roman" w:cs="Times New Roman"/>
                      <w:bCs/>
                      <w:szCs w:val="21"/>
                      <w:highlight w:val="none"/>
                      <w:lang w:eastAsia="zh-CN"/>
                    </w:rPr>
                    <w:t>烧炉燃烧</w:t>
                  </w:r>
                  <w:r>
                    <w:rPr>
                      <w:rFonts w:hint="default" w:ascii="Times New Roman" w:hAnsi="Times New Roman" w:eastAsia="宋体" w:cs="Times New Roman"/>
                      <w:bCs/>
                      <w:szCs w:val="21"/>
                      <w:highlight w:val="none"/>
                      <w:lang w:eastAsia="zh-CN"/>
                    </w:rPr>
                    <w:t>后</w:t>
                  </w:r>
                  <w:r>
                    <w:rPr>
                      <w:rFonts w:hint="eastAsia" w:cs="Times New Roman"/>
                      <w:bCs/>
                      <w:szCs w:val="21"/>
                      <w:highlight w:val="none"/>
                      <w:lang w:eastAsia="zh-CN"/>
                    </w:rPr>
                    <w:t>，</w:t>
                  </w:r>
                  <w:r>
                    <w:rPr>
                      <w:rFonts w:hint="eastAsia" w:cs="Times New Roman"/>
                      <w:bCs/>
                      <w:szCs w:val="21"/>
                      <w:highlight w:val="none"/>
                      <w:lang w:val="en-US" w:eastAsia="zh-CN"/>
                    </w:rPr>
                    <w:t>汇同</w:t>
                  </w:r>
                  <w:r>
                    <w:rPr>
                      <w:rFonts w:hint="eastAsia" w:ascii="宋体" w:hAnsi="宋体" w:cs="Times New Roman"/>
                      <w:bCs/>
                      <w:szCs w:val="21"/>
                      <w:highlight w:val="none"/>
                      <w:lang w:val="en-US" w:eastAsia="zh-CN"/>
                    </w:rPr>
                    <w:t>烘干机</w:t>
                  </w:r>
                  <w:r>
                    <w:rPr>
                      <w:rFonts w:hint="default" w:ascii="Times New Roman" w:hAnsi="Times New Roman" w:cs="Times New Roman"/>
                      <w:bCs/>
                      <w:szCs w:val="21"/>
                      <w:highlight w:val="none"/>
                      <w:lang w:eastAsia="zh-CN"/>
                    </w:rPr>
                    <w:t>粉尘</w:t>
                  </w:r>
                  <w:r>
                    <w:rPr>
                      <w:rFonts w:hint="eastAsia" w:cs="Times New Roman"/>
                      <w:bCs/>
                      <w:szCs w:val="21"/>
                      <w:highlight w:val="none"/>
                      <w:lang w:eastAsia="zh-CN"/>
                    </w:rPr>
                    <w:t>、</w:t>
                  </w:r>
                  <w:r>
                    <w:rPr>
                      <w:rFonts w:hint="eastAsia" w:cs="Times New Roman"/>
                      <w:bCs/>
                      <w:szCs w:val="21"/>
                      <w:highlight w:val="none"/>
                      <w:lang w:val="en-US" w:eastAsia="zh-CN"/>
                    </w:rPr>
                    <w:t>烘干机配套燃烧炉燃料燃烧废气</w:t>
                  </w:r>
                  <w:r>
                    <w:rPr>
                      <w:rFonts w:hint="default" w:ascii="Times New Roman" w:hAnsi="Times New Roman" w:cs="Times New Roman"/>
                      <w:bCs/>
                      <w:szCs w:val="21"/>
                      <w:highlight w:val="none"/>
                      <w:lang w:val="en-US" w:eastAsia="zh-CN"/>
                    </w:rPr>
                    <w:t>经旋风</w:t>
                  </w:r>
                  <w:r>
                    <w:rPr>
                      <w:rFonts w:hint="eastAsia" w:cs="Times New Roman"/>
                      <w:bCs/>
                      <w:szCs w:val="21"/>
                      <w:highlight w:val="none"/>
                      <w:lang w:val="en-US" w:eastAsia="zh-CN"/>
                    </w:rPr>
                    <w:t>除尘器</w:t>
                  </w:r>
                  <w:r>
                    <w:rPr>
                      <w:rFonts w:hint="eastAsia" w:ascii="Times New Roman" w:hAnsi="Times New Roman" w:cs="Times New Roman"/>
                      <w:bCs/>
                      <w:szCs w:val="21"/>
                      <w:highlight w:val="none"/>
                      <w:lang w:val="en-US" w:eastAsia="zh-CN"/>
                    </w:rPr>
                    <w:t>处理</w:t>
                  </w:r>
                  <w:r>
                    <w:rPr>
                      <w:rFonts w:hint="eastAsia" w:cs="Times New Roman"/>
                      <w:bCs/>
                      <w:szCs w:val="21"/>
                      <w:highlight w:val="none"/>
                      <w:lang w:val="en-US" w:eastAsia="zh-CN"/>
                    </w:rPr>
                    <w:t>+喷淋除尘脱硫塔</w:t>
                  </w:r>
                  <w:r>
                    <w:rPr>
                      <w:rFonts w:hint="default" w:ascii="Times New Roman" w:hAnsi="Times New Roman" w:eastAsia="宋体" w:cs="Times New Roman"/>
                      <w:bCs/>
                      <w:szCs w:val="21"/>
                      <w:highlight w:val="none"/>
                      <w:lang w:eastAsia="zh-CN"/>
                    </w:rPr>
                    <w:t>处理达标</w:t>
                  </w:r>
                  <w:r>
                    <w:rPr>
                      <w:rFonts w:hint="default" w:ascii="Times New Roman" w:hAnsi="Times New Roman" w:cs="Times New Roman"/>
                      <w:bCs/>
                      <w:szCs w:val="21"/>
                      <w:highlight w:val="none"/>
                      <w:lang w:eastAsia="zh-CN"/>
                    </w:rPr>
                    <w:t>后通过</w:t>
                  </w:r>
                  <w:r>
                    <w:rPr>
                      <w:rFonts w:hint="default" w:ascii="Times New Roman" w:hAnsi="Times New Roman" w:cs="Times New Roman"/>
                      <w:bCs/>
                      <w:szCs w:val="21"/>
                      <w:highlight w:val="none"/>
                      <w:lang w:val="en-US" w:eastAsia="zh-CN"/>
                    </w:rPr>
                    <w:t>15</w:t>
                  </w:r>
                  <w:r>
                    <w:rPr>
                      <w:rFonts w:hint="default" w:ascii="Times New Roman" w:hAnsi="Times New Roman" w:cs="Times New Roman"/>
                      <w:bCs/>
                      <w:szCs w:val="21"/>
                      <w:highlight w:val="none"/>
                      <w:lang w:eastAsia="zh-CN"/>
                    </w:rPr>
                    <w:t>m高排气筒</w:t>
                  </w:r>
                  <w:r>
                    <w:rPr>
                      <w:rFonts w:hint="eastAsia" w:ascii="Times New Roman" w:hAnsi="Times New Roman" w:cs="Times New Roman"/>
                      <w:bCs/>
                      <w:szCs w:val="21"/>
                      <w:highlight w:val="none"/>
                      <w:lang w:eastAsia="zh-CN"/>
                    </w:rPr>
                    <w:t>（</w:t>
                  </w:r>
                  <w:r>
                    <w:rPr>
                      <w:rFonts w:hint="eastAsia" w:cs="Times New Roman"/>
                      <w:bCs/>
                      <w:szCs w:val="21"/>
                      <w:highlight w:val="none"/>
                      <w:lang w:val="en-US" w:eastAsia="zh-CN"/>
                    </w:rPr>
                    <w:t>DA002</w:t>
                  </w:r>
                  <w:r>
                    <w:rPr>
                      <w:rFonts w:hint="eastAsia" w:ascii="Times New Roman" w:hAnsi="Times New Roman" w:cs="Times New Roman"/>
                      <w:bCs/>
                      <w:szCs w:val="21"/>
                      <w:highlight w:val="none"/>
                      <w:lang w:eastAsia="zh-CN"/>
                    </w:rPr>
                    <w:t>）</w:t>
                  </w:r>
                  <w:r>
                    <w:rPr>
                      <w:rFonts w:hint="default" w:ascii="Times New Roman" w:hAnsi="Times New Roman" w:cs="Times New Roman"/>
                      <w:bCs/>
                      <w:szCs w:val="21"/>
                      <w:highlight w:val="none"/>
                      <w:lang w:eastAsia="zh-CN"/>
                    </w:rPr>
                    <w:t>外排</w:t>
                  </w:r>
                </w:p>
              </w:tc>
              <w:tc>
                <w:tcPr>
                  <w:tcW w:w="1159" w:type="dxa"/>
                  <w:vMerge w:val="restart"/>
                  <w:vAlign w:val="center"/>
                </w:tcPr>
                <w:p w14:paraId="01505958">
                  <w:pPr>
                    <w:pStyle w:val="16"/>
                    <w:adjustRightInd w:val="0"/>
                    <w:spacing w:before="0" w:after="0" w:line="240" w:lineRule="auto"/>
                    <w:ind w:right="0"/>
                    <w:jc w:val="center"/>
                    <w:rPr>
                      <w:rFonts w:eastAsiaTheme="minorEastAsia"/>
                      <w:sz w:val="21"/>
                      <w:szCs w:val="21"/>
                      <w:highlight w:val="none"/>
                    </w:rPr>
                  </w:pPr>
                  <w:r>
                    <w:rPr>
                      <w:rFonts w:hint="eastAsia" w:cs="Times New Roman"/>
                      <w:color w:val="000000" w:themeColor="text1"/>
                      <w:spacing w:val="0"/>
                      <w:sz w:val="21"/>
                      <w:szCs w:val="21"/>
                      <w:highlight w:val="none"/>
                      <w:u w:val="none"/>
                      <w:lang w:val="en-US" w:eastAsia="zh-CN"/>
                      <w14:textFill>
                        <w14:solidFill>
                          <w14:schemeClr w14:val="tx1"/>
                        </w14:solidFill>
                      </w14:textFill>
                    </w:rPr>
                    <w:t>35000</w:t>
                  </w:r>
                  <w:r>
                    <w:rPr>
                      <w:rFonts w:hint="default" w:ascii="Times New Roman" w:hAnsi="Times New Roman" w:eastAsia="宋体" w:cs="Times New Roman"/>
                      <w:color w:val="000000" w:themeColor="text1"/>
                      <w:spacing w:val="0"/>
                      <w:sz w:val="21"/>
                      <w:szCs w:val="21"/>
                      <w:highlight w:val="none"/>
                      <w:u w:val="none"/>
                      <w:lang w:val="en-US" w:eastAsia="zh-CN"/>
                      <w14:textFill>
                        <w14:solidFill>
                          <w14:schemeClr w14:val="tx1"/>
                        </w14:solidFill>
                      </w14:textFill>
                    </w:rPr>
                    <w:t>m</w:t>
                  </w:r>
                  <w:r>
                    <w:rPr>
                      <w:rFonts w:hint="default" w:ascii="Times New Roman" w:hAnsi="Times New Roman" w:eastAsia="宋体" w:cs="Times New Roman"/>
                      <w:color w:val="000000" w:themeColor="text1"/>
                      <w:spacing w:val="0"/>
                      <w:sz w:val="21"/>
                      <w:szCs w:val="21"/>
                      <w:highlight w:val="none"/>
                      <w:u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1"/>
                      <w:szCs w:val="21"/>
                      <w:highlight w:val="none"/>
                      <w:u w:val="none"/>
                      <w:vertAlign w:val="baseline"/>
                      <w:lang w:val="en-US" w:eastAsia="zh-CN"/>
                      <w14:textFill>
                        <w14:solidFill>
                          <w14:schemeClr w14:val="tx1"/>
                        </w14:solidFill>
                      </w14:textFill>
                    </w:rPr>
                    <w:t>/</w:t>
                  </w:r>
                  <w:r>
                    <w:rPr>
                      <w:rFonts w:hint="eastAsia" w:cs="Times New Roman"/>
                      <w:color w:val="000000" w:themeColor="text1"/>
                      <w:spacing w:val="0"/>
                      <w:sz w:val="21"/>
                      <w:szCs w:val="21"/>
                      <w:highlight w:val="none"/>
                      <w:u w:val="none"/>
                      <w:vertAlign w:val="baseline"/>
                      <w:lang w:val="en-US" w:eastAsia="zh-CN"/>
                      <w14:textFill>
                        <w14:solidFill>
                          <w14:schemeClr w14:val="tx1"/>
                        </w14:solidFill>
                      </w14:textFill>
                    </w:rPr>
                    <w:t>h</w:t>
                  </w:r>
                </w:p>
              </w:tc>
              <w:tc>
                <w:tcPr>
                  <w:tcW w:w="752" w:type="dxa"/>
                  <w:vAlign w:val="center"/>
                </w:tcPr>
                <w:p w14:paraId="4C88B0B2">
                  <w:pPr>
                    <w:pStyle w:val="16"/>
                    <w:adjustRightInd w:val="0"/>
                    <w:spacing w:before="0" w:after="0" w:line="240" w:lineRule="auto"/>
                    <w:ind w:right="0" w:rightChars="0"/>
                    <w:jc w:val="center"/>
                    <w:rPr>
                      <w:rFonts w:ascii="Times New Roman" w:hAnsi="Times New Roman" w:cs="Times New Roman" w:eastAsiaTheme="minorEastAsia"/>
                      <w:kern w:val="0"/>
                      <w:sz w:val="21"/>
                      <w:szCs w:val="21"/>
                      <w:highlight w:val="none"/>
                      <w:lang w:val="en-US" w:eastAsia="zh-CN" w:bidi="ar-SA"/>
                    </w:rPr>
                  </w:pPr>
                  <w:r>
                    <w:rPr>
                      <w:rFonts w:eastAsiaTheme="minorEastAsia"/>
                      <w:sz w:val="21"/>
                      <w:szCs w:val="21"/>
                      <w:highlight w:val="none"/>
                    </w:rPr>
                    <w:t>90</w:t>
                  </w:r>
                </w:p>
              </w:tc>
              <w:tc>
                <w:tcPr>
                  <w:tcW w:w="904" w:type="dxa"/>
                  <w:vAlign w:val="center"/>
                </w:tcPr>
                <w:p w14:paraId="16310FCB">
                  <w:pPr>
                    <w:pStyle w:val="16"/>
                    <w:adjustRightInd w:val="0"/>
                    <w:spacing w:before="0" w:after="0" w:line="240" w:lineRule="auto"/>
                    <w:ind w:right="0" w:rightChars="0"/>
                    <w:jc w:val="center"/>
                    <w:rPr>
                      <w:rFonts w:hint="default" w:ascii="Times New Roman" w:hAnsi="Times New Roman" w:cs="Times New Roman" w:eastAsiaTheme="minorEastAsia"/>
                      <w:kern w:val="0"/>
                      <w:sz w:val="21"/>
                      <w:szCs w:val="21"/>
                      <w:highlight w:val="none"/>
                      <w:lang w:val="en-US" w:eastAsia="zh-CN" w:bidi="ar-SA"/>
                    </w:rPr>
                  </w:pPr>
                  <w:r>
                    <w:rPr>
                      <w:rFonts w:hint="eastAsia" w:eastAsiaTheme="minorEastAsia"/>
                      <w:sz w:val="21"/>
                      <w:szCs w:val="21"/>
                      <w:highlight w:val="none"/>
                      <w:lang w:val="en-US" w:eastAsia="zh-CN"/>
                    </w:rPr>
                    <w:t>95</w:t>
                  </w:r>
                </w:p>
              </w:tc>
              <w:tc>
                <w:tcPr>
                  <w:tcW w:w="828" w:type="dxa"/>
                  <w:vAlign w:val="center"/>
                </w:tcPr>
                <w:p w14:paraId="30FB193F">
                  <w:pPr>
                    <w:pStyle w:val="16"/>
                    <w:adjustRightInd w:val="0"/>
                    <w:spacing w:before="0" w:after="0" w:line="240" w:lineRule="auto"/>
                    <w:ind w:right="0" w:rightChars="0"/>
                    <w:jc w:val="center"/>
                    <w:rPr>
                      <w:rFonts w:ascii="Times New Roman" w:hAnsi="Times New Roman" w:cs="Times New Roman" w:eastAsiaTheme="minorEastAsia"/>
                      <w:kern w:val="0"/>
                      <w:sz w:val="21"/>
                      <w:szCs w:val="21"/>
                      <w:highlight w:val="none"/>
                      <w:lang w:val="en-US" w:eastAsia="zh-CN" w:bidi="ar-SA"/>
                    </w:rPr>
                  </w:pPr>
                  <w:r>
                    <w:rPr>
                      <w:rFonts w:eastAsiaTheme="minorEastAsia"/>
                      <w:sz w:val="21"/>
                      <w:szCs w:val="21"/>
                      <w:highlight w:val="none"/>
                    </w:rPr>
                    <w:t>是</w:t>
                  </w:r>
                </w:p>
              </w:tc>
              <w:tc>
                <w:tcPr>
                  <w:tcW w:w="863" w:type="dxa"/>
                  <w:vMerge w:val="restart"/>
                  <w:vAlign w:val="center"/>
                </w:tcPr>
                <w:p w14:paraId="03517F1E">
                  <w:pPr>
                    <w:pStyle w:val="16"/>
                    <w:adjustRightInd w:val="0"/>
                    <w:spacing w:before="0" w:after="0" w:line="240" w:lineRule="auto"/>
                    <w:ind w:right="0"/>
                    <w:jc w:val="center"/>
                    <w:rPr>
                      <w:rFonts w:hint="eastAsia" w:eastAsiaTheme="minorEastAsia"/>
                      <w:sz w:val="21"/>
                      <w:szCs w:val="21"/>
                      <w:highlight w:val="none"/>
                      <w:lang w:eastAsia="zh-CN"/>
                    </w:rPr>
                  </w:pPr>
                  <w:r>
                    <w:rPr>
                      <w:rFonts w:hint="eastAsia" w:eastAsiaTheme="minorEastAsia"/>
                      <w:sz w:val="21"/>
                      <w:szCs w:val="21"/>
                      <w:highlight w:val="none"/>
                      <w:lang w:eastAsia="zh-CN"/>
                    </w:rPr>
                    <w:t>DA002</w:t>
                  </w:r>
                </w:p>
              </w:tc>
            </w:tr>
            <w:tr w14:paraId="44A9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76" w:type="dxa"/>
                  <w:vMerge w:val="restart"/>
                  <w:vAlign w:val="center"/>
                </w:tcPr>
                <w:p w14:paraId="41A08846">
                  <w:pPr>
                    <w:pStyle w:val="16"/>
                    <w:adjustRightInd w:val="0"/>
                    <w:spacing w:before="0" w:after="0" w:line="240" w:lineRule="auto"/>
                    <w:ind w:right="0"/>
                    <w:jc w:val="center"/>
                    <w:rPr>
                      <w:rFonts w:hint="eastAsia" w:eastAsiaTheme="minorEastAsia"/>
                      <w:sz w:val="21"/>
                      <w:szCs w:val="21"/>
                      <w:highlight w:val="none"/>
                      <w:lang w:val="en-US" w:eastAsia="zh-CN"/>
                    </w:rPr>
                  </w:pPr>
                  <w:r>
                    <w:rPr>
                      <w:rFonts w:hint="eastAsia" w:eastAsiaTheme="minorEastAsia"/>
                      <w:sz w:val="21"/>
                      <w:szCs w:val="21"/>
                      <w:highlight w:val="none"/>
                      <w:lang w:val="en-US" w:eastAsia="zh-CN"/>
                    </w:rPr>
                    <w:t>3</w:t>
                  </w:r>
                </w:p>
              </w:tc>
              <w:tc>
                <w:tcPr>
                  <w:tcW w:w="1102" w:type="dxa"/>
                  <w:vMerge w:val="restart"/>
                  <w:vAlign w:val="center"/>
                </w:tcPr>
                <w:p w14:paraId="1B686AA0">
                  <w:pPr>
                    <w:widowControl/>
                    <w:adjustRightInd w:val="0"/>
                    <w:snapToGrid w:val="0"/>
                    <w:jc w:val="left"/>
                    <w:textAlignment w:val="center"/>
                    <w:rPr>
                      <w:rFonts w:eastAsiaTheme="minorEastAsia"/>
                      <w:kern w:val="0"/>
                      <w:szCs w:val="21"/>
                      <w:highlight w:val="none"/>
                    </w:rPr>
                  </w:pPr>
                  <w:r>
                    <w:rPr>
                      <w:rFonts w:eastAsiaTheme="minorEastAsia"/>
                      <w:kern w:val="0"/>
                      <w:szCs w:val="21"/>
                      <w:highlight w:val="none"/>
                    </w:rPr>
                    <w:t>炭化废气</w:t>
                  </w:r>
                  <w:r>
                    <w:rPr>
                      <w:rFonts w:hint="eastAsia" w:eastAsiaTheme="minorEastAsia"/>
                      <w:kern w:val="0"/>
                      <w:szCs w:val="21"/>
                      <w:highlight w:val="none"/>
                      <w:lang w:eastAsia="zh-CN"/>
                    </w:rPr>
                    <w:t>、</w:t>
                  </w:r>
                  <w:r>
                    <w:rPr>
                      <w:rFonts w:hint="eastAsia" w:eastAsiaTheme="minorEastAsia"/>
                      <w:kern w:val="0"/>
                      <w:szCs w:val="21"/>
                      <w:highlight w:val="none"/>
                      <w:lang w:val="en-US" w:eastAsia="zh-CN"/>
                    </w:rPr>
                    <w:t>烘干机（燃烧炉）</w:t>
                  </w:r>
                  <w:r>
                    <w:rPr>
                      <w:rFonts w:eastAsiaTheme="minorEastAsia"/>
                      <w:kern w:val="0"/>
                      <w:szCs w:val="21"/>
                      <w:highlight w:val="none"/>
                    </w:rPr>
                    <w:t>燃料燃烧废气</w:t>
                  </w:r>
                </w:p>
              </w:tc>
              <w:tc>
                <w:tcPr>
                  <w:tcW w:w="867" w:type="dxa"/>
                  <w:vAlign w:val="center"/>
                </w:tcPr>
                <w:p w14:paraId="6A77F7DB">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颗粒物</w:t>
                  </w:r>
                </w:p>
              </w:tc>
              <w:tc>
                <w:tcPr>
                  <w:tcW w:w="718" w:type="dxa"/>
                  <w:vMerge w:val="continue"/>
                  <w:vAlign w:val="center"/>
                </w:tcPr>
                <w:p w14:paraId="0FB3516F">
                  <w:pPr>
                    <w:pStyle w:val="16"/>
                    <w:adjustRightInd w:val="0"/>
                    <w:spacing w:before="0" w:after="0" w:line="240" w:lineRule="auto"/>
                    <w:ind w:right="0"/>
                    <w:jc w:val="center"/>
                    <w:rPr>
                      <w:rFonts w:eastAsiaTheme="minorEastAsia"/>
                      <w:sz w:val="21"/>
                      <w:szCs w:val="21"/>
                      <w:highlight w:val="none"/>
                    </w:rPr>
                  </w:pPr>
                </w:p>
              </w:tc>
              <w:tc>
                <w:tcPr>
                  <w:tcW w:w="900" w:type="dxa"/>
                  <w:vMerge w:val="continue"/>
                  <w:vAlign w:val="center"/>
                </w:tcPr>
                <w:p w14:paraId="658889D3">
                  <w:pPr>
                    <w:pStyle w:val="16"/>
                    <w:adjustRightInd w:val="0"/>
                    <w:spacing w:before="0" w:after="0" w:line="240" w:lineRule="auto"/>
                    <w:ind w:right="0"/>
                    <w:jc w:val="center"/>
                    <w:rPr>
                      <w:rFonts w:hint="eastAsia" w:eastAsiaTheme="minorEastAsia"/>
                      <w:sz w:val="21"/>
                      <w:szCs w:val="21"/>
                      <w:highlight w:val="none"/>
                      <w:lang w:eastAsia="zh-CN"/>
                    </w:rPr>
                  </w:pPr>
                </w:p>
              </w:tc>
              <w:tc>
                <w:tcPr>
                  <w:tcW w:w="1340" w:type="dxa"/>
                  <w:vMerge w:val="continue"/>
                  <w:vAlign w:val="center"/>
                </w:tcPr>
                <w:p w14:paraId="358913FF">
                  <w:pPr>
                    <w:pStyle w:val="16"/>
                    <w:adjustRightInd w:val="0"/>
                    <w:spacing w:before="0" w:after="0" w:line="240" w:lineRule="auto"/>
                    <w:ind w:right="0"/>
                    <w:jc w:val="center"/>
                    <w:rPr>
                      <w:rFonts w:hint="default" w:eastAsiaTheme="minorEastAsia"/>
                      <w:sz w:val="21"/>
                      <w:szCs w:val="21"/>
                      <w:highlight w:val="none"/>
                      <w:lang w:val="en-US" w:eastAsia="zh-CN"/>
                    </w:rPr>
                  </w:pPr>
                </w:p>
              </w:tc>
              <w:tc>
                <w:tcPr>
                  <w:tcW w:w="2582" w:type="dxa"/>
                  <w:vMerge w:val="continue"/>
                  <w:vAlign w:val="center"/>
                </w:tcPr>
                <w:p w14:paraId="62D2CFBB">
                  <w:pPr>
                    <w:adjustRightInd w:val="0"/>
                    <w:snapToGrid w:val="0"/>
                    <w:jc w:val="left"/>
                    <w:rPr>
                      <w:rFonts w:hint="eastAsia" w:eastAsiaTheme="minorEastAsia"/>
                      <w:szCs w:val="21"/>
                      <w:highlight w:val="none"/>
                      <w:lang w:val="en-US" w:eastAsia="zh-CN"/>
                    </w:rPr>
                  </w:pPr>
                </w:p>
              </w:tc>
              <w:tc>
                <w:tcPr>
                  <w:tcW w:w="1159" w:type="dxa"/>
                  <w:vMerge w:val="continue"/>
                  <w:vAlign w:val="center"/>
                </w:tcPr>
                <w:p w14:paraId="1D7E81BC">
                  <w:pPr>
                    <w:pStyle w:val="16"/>
                    <w:adjustRightInd w:val="0"/>
                    <w:spacing w:before="0" w:after="0" w:line="240" w:lineRule="auto"/>
                    <w:ind w:right="0"/>
                    <w:jc w:val="center"/>
                    <w:rPr>
                      <w:rFonts w:eastAsiaTheme="minorEastAsia"/>
                      <w:sz w:val="21"/>
                      <w:szCs w:val="21"/>
                      <w:highlight w:val="none"/>
                    </w:rPr>
                  </w:pPr>
                </w:p>
              </w:tc>
              <w:tc>
                <w:tcPr>
                  <w:tcW w:w="752" w:type="dxa"/>
                  <w:vAlign w:val="center"/>
                </w:tcPr>
                <w:p w14:paraId="27FC1997">
                  <w:pPr>
                    <w:pStyle w:val="16"/>
                    <w:adjustRightInd w:val="0"/>
                    <w:spacing w:before="0" w:after="0" w:line="240" w:lineRule="auto"/>
                    <w:ind w:right="0"/>
                    <w:jc w:val="center"/>
                    <w:rPr>
                      <w:rFonts w:hint="default" w:eastAsiaTheme="minorEastAsia"/>
                      <w:sz w:val="21"/>
                      <w:szCs w:val="21"/>
                      <w:highlight w:val="none"/>
                      <w:lang w:val="en-US" w:eastAsia="zh-CN"/>
                    </w:rPr>
                  </w:pPr>
                  <w:r>
                    <w:rPr>
                      <w:rFonts w:hint="eastAsia" w:eastAsiaTheme="minorEastAsia"/>
                      <w:sz w:val="21"/>
                      <w:szCs w:val="21"/>
                      <w:highlight w:val="none"/>
                      <w:lang w:val="en-US" w:eastAsia="zh-CN"/>
                    </w:rPr>
                    <w:t>100</w:t>
                  </w:r>
                </w:p>
              </w:tc>
              <w:tc>
                <w:tcPr>
                  <w:tcW w:w="904" w:type="dxa"/>
                  <w:vAlign w:val="center"/>
                </w:tcPr>
                <w:p w14:paraId="57588959">
                  <w:pPr>
                    <w:pStyle w:val="16"/>
                    <w:adjustRightInd w:val="0"/>
                    <w:spacing w:before="0" w:after="0" w:line="240" w:lineRule="auto"/>
                    <w:ind w:right="0"/>
                    <w:jc w:val="center"/>
                    <w:rPr>
                      <w:rFonts w:hint="default" w:eastAsiaTheme="minorEastAsia"/>
                      <w:sz w:val="21"/>
                      <w:szCs w:val="21"/>
                      <w:highlight w:val="none"/>
                      <w:lang w:val="en-US" w:eastAsia="zh-CN"/>
                    </w:rPr>
                  </w:pPr>
                  <w:r>
                    <w:rPr>
                      <w:rFonts w:hint="eastAsia" w:eastAsiaTheme="minorEastAsia"/>
                      <w:sz w:val="21"/>
                      <w:szCs w:val="21"/>
                      <w:highlight w:val="none"/>
                      <w:lang w:val="en-US" w:eastAsia="zh-CN"/>
                    </w:rPr>
                    <w:t>95</w:t>
                  </w:r>
                </w:p>
              </w:tc>
              <w:tc>
                <w:tcPr>
                  <w:tcW w:w="828" w:type="dxa"/>
                  <w:vAlign w:val="center"/>
                </w:tcPr>
                <w:p w14:paraId="08EE33C3">
                  <w:pPr>
                    <w:pStyle w:val="16"/>
                    <w:adjustRightInd w:val="0"/>
                    <w:spacing w:before="0" w:after="0" w:line="240" w:lineRule="auto"/>
                    <w:ind w:right="0"/>
                    <w:jc w:val="center"/>
                    <w:rPr>
                      <w:rFonts w:hint="eastAsia" w:eastAsiaTheme="minorEastAsia"/>
                      <w:sz w:val="21"/>
                      <w:szCs w:val="21"/>
                      <w:highlight w:val="none"/>
                      <w:lang w:val="en-US" w:eastAsia="zh-CN"/>
                    </w:rPr>
                  </w:pPr>
                  <w:r>
                    <w:rPr>
                      <w:rFonts w:hint="eastAsia" w:eastAsiaTheme="minorEastAsia"/>
                      <w:sz w:val="21"/>
                      <w:szCs w:val="21"/>
                      <w:highlight w:val="none"/>
                      <w:lang w:val="en-US" w:eastAsia="zh-CN"/>
                    </w:rPr>
                    <w:t>是</w:t>
                  </w:r>
                </w:p>
              </w:tc>
              <w:tc>
                <w:tcPr>
                  <w:tcW w:w="863" w:type="dxa"/>
                  <w:vMerge w:val="continue"/>
                  <w:vAlign w:val="center"/>
                </w:tcPr>
                <w:p w14:paraId="35919AE6">
                  <w:pPr>
                    <w:pStyle w:val="16"/>
                    <w:adjustRightInd w:val="0"/>
                    <w:spacing w:before="0" w:after="0" w:line="240" w:lineRule="auto"/>
                    <w:ind w:right="0"/>
                    <w:jc w:val="center"/>
                    <w:rPr>
                      <w:rFonts w:eastAsiaTheme="minorEastAsia"/>
                      <w:sz w:val="21"/>
                      <w:szCs w:val="21"/>
                      <w:highlight w:val="none"/>
                    </w:rPr>
                  </w:pPr>
                </w:p>
              </w:tc>
            </w:tr>
            <w:tr w14:paraId="55EA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76" w:type="dxa"/>
                  <w:vMerge w:val="continue"/>
                  <w:vAlign w:val="center"/>
                </w:tcPr>
                <w:p w14:paraId="44D55907">
                  <w:pPr>
                    <w:pStyle w:val="16"/>
                    <w:adjustRightInd w:val="0"/>
                    <w:spacing w:before="0" w:after="0" w:line="240" w:lineRule="auto"/>
                    <w:ind w:right="0"/>
                    <w:jc w:val="center"/>
                    <w:rPr>
                      <w:rFonts w:eastAsiaTheme="minorEastAsia"/>
                      <w:sz w:val="21"/>
                      <w:szCs w:val="21"/>
                      <w:highlight w:val="none"/>
                    </w:rPr>
                  </w:pPr>
                </w:p>
              </w:tc>
              <w:tc>
                <w:tcPr>
                  <w:tcW w:w="1102" w:type="dxa"/>
                  <w:vMerge w:val="continue"/>
                  <w:vAlign w:val="center"/>
                </w:tcPr>
                <w:p w14:paraId="6A0076C3">
                  <w:pPr>
                    <w:adjustRightInd w:val="0"/>
                    <w:snapToGrid w:val="0"/>
                    <w:jc w:val="center"/>
                    <w:textAlignment w:val="center"/>
                    <w:rPr>
                      <w:rFonts w:eastAsiaTheme="minorEastAsia"/>
                      <w:kern w:val="0"/>
                      <w:szCs w:val="21"/>
                      <w:highlight w:val="none"/>
                    </w:rPr>
                  </w:pPr>
                </w:p>
              </w:tc>
              <w:tc>
                <w:tcPr>
                  <w:tcW w:w="867" w:type="dxa"/>
                  <w:shd w:val="clear" w:color="auto" w:fill="auto"/>
                  <w:vAlign w:val="center"/>
                </w:tcPr>
                <w:p w14:paraId="57ADA545">
                  <w:pPr>
                    <w:widowControl/>
                    <w:adjustRightInd w:val="0"/>
                    <w:snapToGrid w:val="0"/>
                    <w:jc w:val="center"/>
                    <w:rPr>
                      <w:rFonts w:eastAsiaTheme="minorEastAsia"/>
                      <w:color w:val="000000"/>
                      <w:kern w:val="0"/>
                      <w:szCs w:val="21"/>
                      <w:highlight w:val="none"/>
                    </w:rPr>
                  </w:pPr>
                  <w:r>
                    <w:rPr>
                      <w:rFonts w:eastAsiaTheme="minorEastAsia"/>
                      <w:color w:val="000000"/>
                      <w:kern w:val="0"/>
                      <w:szCs w:val="21"/>
                      <w:highlight w:val="none"/>
                    </w:rPr>
                    <w:t>SO</w:t>
                  </w:r>
                  <w:r>
                    <w:rPr>
                      <w:rFonts w:eastAsiaTheme="minorEastAsia"/>
                      <w:color w:val="000000"/>
                      <w:kern w:val="0"/>
                      <w:szCs w:val="21"/>
                      <w:highlight w:val="none"/>
                      <w:vertAlign w:val="subscript"/>
                    </w:rPr>
                    <w:t>2</w:t>
                  </w:r>
                </w:p>
              </w:tc>
              <w:tc>
                <w:tcPr>
                  <w:tcW w:w="718" w:type="dxa"/>
                  <w:vMerge w:val="continue"/>
                  <w:vAlign w:val="center"/>
                </w:tcPr>
                <w:p w14:paraId="5FB0BAF4">
                  <w:pPr>
                    <w:pStyle w:val="16"/>
                    <w:adjustRightInd w:val="0"/>
                    <w:spacing w:before="0" w:after="0" w:line="240" w:lineRule="auto"/>
                    <w:ind w:right="0"/>
                    <w:jc w:val="center"/>
                    <w:rPr>
                      <w:rFonts w:eastAsiaTheme="minorEastAsia"/>
                      <w:sz w:val="21"/>
                      <w:szCs w:val="21"/>
                      <w:highlight w:val="none"/>
                    </w:rPr>
                  </w:pPr>
                </w:p>
              </w:tc>
              <w:tc>
                <w:tcPr>
                  <w:tcW w:w="900" w:type="dxa"/>
                  <w:vMerge w:val="continue"/>
                  <w:vAlign w:val="center"/>
                </w:tcPr>
                <w:p w14:paraId="25872A3A">
                  <w:pPr>
                    <w:pStyle w:val="16"/>
                    <w:adjustRightInd w:val="0"/>
                    <w:spacing w:before="0" w:after="0" w:line="240" w:lineRule="auto"/>
                    <w:ind w:right="0"/>
                    <w:jc w:val="center"/>
                    <w:rPr>
                      <w:rFonts w:eastAsiaTheme="minorEastAsia"/>
                      <w:color w:val="000000" w:themeColor="text1"/>
                      <w:sz w:val="21"/>
                      <w:szCs w:val="21"/>
                      <w:highlight w:val="none"/>
                      <w14:textFill>
                        <w14:solidFill>
                          <w14:schemeClr w14:val="tx1"/>
                        </w14:solidFill>
                      </w14:textFill>
                    </w:rPr>
                  </w:pPr>
                </w:p>
              </w:tc>
              <w:tc>
                <w:tcPr>
                  <w:tcW w:w="1340" w:type="dxa"/>
                  <w:vMerge w:val="continue"/>
                  <w:vAlign w:val="center"/>
                </w:tcPr>
                <w:p w14:paraId="1176470B">
                  <w:pPr>
                    <w:pStyle w:val="16"/>
                    <w:adjustRightInd w:val="0"/>
                    <w:spacing w:before="0" w:after="0" w:line="240" w:lineRule="auto"/>
                    <w:ind w:right="0"/>
                    <w:jc w:val="center"/>
                    <w:rPr>
                      <w:rFonts w:eastAsiaTheme="minorEastAsia"/>
                      <w:sz w:val="21"/>
                      <w:szCs w:val="21"/>
                      <w:highlight w:val="none"/>
                    </w:rPr>
                  </w:pPr>
                </w:p>
              </w:tc>
              <w:tc>
                <w:tcPr>
                  <w:tcW w:w="2582" w:type="dxa"/>
                  <w:vMerge w:val="continue"/>
                  <w:vAlign w:val="center"/>
                </w:tcPr>
                <w:p w14:paraId="75D037A5">
                  <w:pPr>
                    <w:pStyle w:val="16"/>
                    <w:adjustRightInd w:val="0"/>
                    <w:spacing w:before="0" w:after="0" w:line="240" w:lineRule="auto"/>
                    <w:ind w:right="0"/>
                    <w:jc w:val="center"/>
                    <w:rPr>
                      <w:rFonts w:eastAsiaTheme="minorEastAsia"/>
                      <w:sz w:val="21"/>
                      <w:szCs w:val="21"/>
                      <w:highlight w:val="none"/>
                      <w:lang w:bidi="ar"/>
                    </w:rPr>
                  </w:pPr>
                </w:p>
              </w:tc>
              <w:tc>
                <w:tcPr>
                  <w:tcW w:w="1159" w:type="dxa"/>
                  <w:vMerge w:val="continue"/>
                  <w:vAlign w:val="center"/>
                </w:tcPr>
                <w:p w14:paraId="351416C9">
                  <w:pPr>
                    <w:pStyle w:val="16"/>
                    <w:adjustRightInd w:val="0"/>
                    <w:spacing w:before="0" w:after="0" w:line="240" w:lineRule="auto"/>
                    <w:ind w:right="0"/>
                    <w:jc w:val="center"/>
                    <w:rPr>
                      <w:rFonts w:eastAsiaTheme="minorEastAsia"/>
                      <w:sz w:val="21"/>
                      <w:szCs w:val="21"/>
                      <w:highlight w:val="none"/>
                    </w:rPr>
                  </w:pPr>
                </w:p>
              </w:tc>
              <w:tc>
                <w:tcPr>
                  <w:tcW w:w="752" w:type="dxa"/>
                  <w:vAlign w:val="center"/>
                </w:tcPr>
                <w:p w14:paraId="53B18846">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100</w:t>
                  </w:r>
                </w:p>
              </w:tc>
              <w:tc>
                <w:tcPr>
                  <w:tcW w:w="904" w:type="dxa"/>
                  <w:vAlign w:val="center"/>
                </w:tcPr>
                <w:p w14:paraId="5344A275">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50</w:t>
                  </w:r>
                </w:p>
              </w:tc>
              <w:tc>
                <w:tcPr>
                  <w:tcW w:w="828" w:type="dxa"/>
                  <w:vAlign w:val="center"/>
                </w:tcPr>
                <w:p w14:paraId="349E9909">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是</w:t>
                  </w:r>
                </w:p>
              </w:tc>
              <w:tc>
                <w:tcPr>
                  <w:tcW w:w="863" w:type="dxa"/>
                  <w:vMerge w:val="continue"/>
                  <w:vAlign w:val="center"/>
                </w:tcPr>
                <w:p w14:paraId="5688F14C">
                  <w:pPr>
                    <w:pStyle w:val="16"/>
                    <w:adjustRightInd w:val="0"/>
                    <w:spacing w:before="0" w:after="0" w:line="240" w:lineRule="auto"/>
                    <w:ind w:right="0"/>
                    <w:jc w:val="center"/>
                    <w:rPr>
                      <w:rFonts w:eastAsiaTheme="minorEastAsia"/>
                      <w:sz w:val="21"/>
                      <w:szCs w:val="21"/>
                      <w:highlight w:val="none"/>
                    </w:rPr>
                  </w:pPr>
                </w:p>
              </w:tc>
            </w:tr>
            <w:tr w14:paraId="01D8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6" w:type="dxa"/>
                  <w:vMerge w:val="continue"/>
                  <w:vAlign w:val="center"/>
                </w:tcPr>
                <w:p w14:paraId="1C097090">
                  <w:pPr>
                    <w:pStyle w:val="16"/>
                    <w:adjustRightInd w:val="0"/>
                    <w:spacing w:before="0" w:after="0" w:line="240" w:lineRule="auto"/>
                    <w:ind w:right="0"/>
                    <w:jc w:val="center"/>
                    <w:rPr>
                      <w:rFonts w:eastAsiaTheme="minorEastAsia"/>
                      <w:sz w:val="21"/>
                      <w:szCs w:val="21"/>
                      <w:highlight w:val="none"/>
                    </w:rPr>
                  </w:pPr>
                </w:p>
              </w:tc>
              <w:tc>
                <w:tcPr>
                  <w:tcW w:w="1102" w:type="dxa"/>
                  <w:vMerge w:val="continue"/>
                  <w:vAlign w:val="center"/>
                </w:tcPr>
                <w:p w14:paraId="1820AF33">
                  <w:pPr>
                    <w:adjustRightInd w:val="0"/>
                    <w:snapToGrid w:val="0"/>
                    <w:jc w:val="center"/>
                    <w:textAlignment w:val="center"/>
                    <w:rPr>
                      <w:rFonts w:eastAsiaTheme="minorEastAsia"/>
                      <w:kern w:val="0"/>
                      <w:szCs w:val="21"/>
                      <w:highlight w:val="none"/>
                    </w:rPr>
                  </w:pPr>
                </w:p>
              </w:tc>
              <w:tc>
                <w:tcPr>
                  <w:tcW w:w="867" w:type="dxa"/>
                  <w:shd w:val="clear" w:color="auto" w:fill="auto"/>
                  <w:vAlign w:val="center"/>
                </w:tcPr>
                <w:p w14:paraId="526EA685">
                  <w:pPr>
                    <w:pStyle w:val="176"/>
                    <w:adjustRightInd w:val="0"/>
                    <w:snapToGrid w:val="0"/>
                    <w:jc w:val="center"/>
                    <w:rPr>
                      <w:rFonts w:ascii="Times New Roman" w:hAnsi="Times New Roman" w:cs="Times New Roman" w:eastAsiaTheme="minorEastAsia"/>
                      <w:highlight w:val="none"/>
                    </w:rPr>
                  </w:pPr>
                  <w:r>
                    <w:rPr>
                      <w:rFonts w:ascii="Times New Roman" w:hAnsi="Times New Roman" w:cs="Times New Roman" w:eastAsiaTheme="minorEastAsia"/>
                      <w:highlight w:val="none"/>
                    </w:rPr>
                    <w:t>NOx</w:t>
                  </w:r>
                </w:p>
              </w:tc>
              <w:tc>
                <w:tcPr>
                  <w:tcW w:w="718" w:type="dxa"/>
                  <w:vMerge w:val="continue"/>
                  <w:vAlign w:val="center"/>
                </w:tcPr>
                <w:p w14:paraId="2BA64628">
                  <w:pPr>
                    <w:pStyle w:val="16"/>
                    <w:adjustRightInd w:val="0"/>
                    <w:spacing w:before="0" w:after="0" w:line="240" w:lineRule="auto"/>
                    <w:ind w:right="0"/>
                    <w:jc w:val="center"/>
                    <w:rPr>
                      <w:rFonts w:eastAsiaTheme="minorEastAsia"/>
                      <w:sz w:val="21"/>
                      <w:szCs w:val="21"/>
                      <w:highlight w:val="none"/>
                    </w:rPr>
                  </w:pPr>
                </w:p>
              </w:tc>
              <w:tc>
                <w:tcPr>
                  <w:tcW w:w="900" w:type="dxa"/>
                  <w:vMerge w:val="continue"/>
                  <w:vAlign w:val="center"/>
                </w:tcPr>
                <w:p w14:paraId="41B7F3F4">
                  <w:pPr>
                    <w:pStyle w:val="16"/>
                    <w:adjustRightInd w:val="0"/>
                    <w:spacing w:before="0" w:after="0" w:line="240" w:lineRule="auto"/>
                    <w:ind w:right="0"/>
                    <w:jc w:val="center"/>
                    <w:rPr>
                      <w:rFonts w:eastAsiaTheme="minorEastAsia"/>
                      <w:color w:val="000000" w:themeColor="text1"/>
                      <w:sz w:val="21"/>
                      <w:szCs w:val="21"/>
                      <w:highlight w:val="none"/>
                      <w14:textFill>
                        <w14:solidFill>
                          <w14:schemeClr w14:val="tx1"/>
                        </w14:solidFill>
                      </w14:textFill>
                    </w:rPr>
                  </w:pPr>
                </w:p>
              </w:tc>
              <w:tc>
                <w:tcPr>
                  <w:tcW w:w="1340" w:type="dxa"/>
                  <w:vMerge w:val="continue"/>
                  <w:vAlign w:val="center"/>
                </w:tcPr>
                <w:p w14:paraId="0738B4AE">
                  <w:pPr>
                    <w:pStyle w:val="16"/>
                    <w:adjustRightInd w:val="0"/>
                    <w:spacing w:before="0" w:after="0" w:line="240" w:lineRule="auto"/>
                    <w:ind w:right="0"/>
                    <w:jc w:val="center"/>
                    <w:rPr>
                      <w:rFonts w:eastAsiaTheme="minorEastAsia"/>
                      <w:sz w:val="21"/>
                      <w:szCs w:val="21"/>
                      <w:highlight w:val="none"/>
                    </w:rPr>
                  </w:pPr>
                </w:p>
              </w:tc>
              <w:tc>
                <w:tcPr>
                  <w:tcW w:w="2582" w:type="dxa"/>
                  <w:vMerge w:val="continue"/>
                  <w:vAlign w:val="center"/>
                </w:tcPr>
                <w:p w14:paraId="408A377B">
                  <w:pPr>
                    <w:pStyle w:val="16"/>
                    <w:adjustRightInd w:val="0"/>
                    <w:spacing w:before="0" w:after="0" w:line="240" w:lineRule="auto"/>
                    <w:ind w:right="0"/>
                    <w:jc w:val="center"/>
                    <w:rPr>
                      <w:rFonts w:eastAsiaTheme="minorEastAsia"/>
                      <w:sz w:val="21"/>
                      <w:szCs w:val="21"/>
                      <w:highlight w:val="none"/>
                      <w:lang w:bidi="ar"/>
                    </w:rPr>
                  </w:pPr>
                </w:p>
              </w:tc>
              <w:tc>
                <w:tcPr>
                  <w:tcW w:w="1159" w:type="dxa"/>
                  <w:vMerge w:val="continue"/>
                  <w:vAlign w:val="center"/>
                </w:tcPr>
                <w:p w14:paraId="19A8C790">
                  <w:pPr>
                    <w:pStyle w:val="16"/>
                    <w:adjustRightInd w:val="0"/>
                    <w:spacing w:before="0" w:after="0" w:line="240" w:lineRule="auto"/>
                    <w:ind w:right="0"/>
                    <w:jc w:val="center"/>
                    <w:rPr>
                      <w:rFonts w:eastAsiaTheme="minorEastAsia"/>
                      <w:sz w:val="21"/>
                      <w:szCs w:val="21"/>
                      <w:highlight w:val="none"/>
                    </w:rPr>
                  </w:pPr>
                </w:p>
              </w:tc>
              <w:tc>
                <w:tcPr>
                  <w:tcW w:w="752" w:type="dxa"/>
                  <w:vAlign w:val="center"/>
                </w:tcPr>
                <w:p w14:paraId="65A09899">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100</w:t>
                  </w:r>
                </w:p>
              </w:tc>
              <w:tc>
                <w:tcPr>
                  <w:tcW w:w="904" w:type="dxa"/>
                  <w:vAlign w:val="center"/>
                </w:tcPr>
                <w:p w14:paraId="3CE757D4">
                  <w:pPr>
                    <w:pStyle w:val="16"/>
                    <w:adjustRightInd w:val="0"/>
                    <w:spacing w:before="0" w:after="0" w:line="240" w:lineRule="auto"/>
                    <w:ind w:right="0"/>
                    <w:jc w:val="center"/>
                    <w:rPr>
                      <w:rFonts w:eastAsiaTheme="minorEastAsia"/>
                      <w:sz w:val="21"/>
                      <w:szCs w:val="21"/>
                      <w:highlight w:val="none"/>
                    </w:rPr>
                  </w:pPr>
                  <w:r>
                    <w:rPr>
                      <w:rFonts w:hint="eastAsia" w:eastAsiaTheme="minorEastAsia"/>
                      <w:sz w:val="21"/>
                      <w:szCs w:val="21"/>
                      <w:highlight w:val="none"/>
                    </w:rPr>
                    <w:t>/</w:t>
                  </w:r>
                </w:p>
              </w:tc>
              <w:tc>
                <w:tcPr>
                  <w:tcW w:w="828" w:type="dxa"/>
                  <w:vAlign w:val="center"/>
                </w:tcPr>
                <w:p w14:paraId="4AA3D499">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是</w:t>
                  </w:r>
                </w:p>
              </w:tc>
              <w:tc>
                <w:tcPr>
                  <w:tcW w:w="863" w:type="dxa"/>
                  <w:vMerge w:val="continue"/>
                  <w:vAlign w:val="center"/>
                </w:tcPr>
                <w:p w14:paraId="21EA0595">
                  <w:pPr>
                    <w:pStyle w:val="16"/>
                    <w:adjustRightInd w:val="0"/>
                    <w:spacing w:before="0" w:after="0" w:line="240" w:lineRule="auto"/>
                    <w:ind w:right="0"/>
                    <w:jc w:val="center"/>
                    <w:rPr>
                      <w:rFonts w:eastAsiaTheme="minorEastAsia"/>
                      <w:sz w:val="21"/>
                      <w:szCs w:val="21"/>
                      <w:highlight w:val="none"/>
                    </w:rPr>
                  </w:pPr>
                </w:p>
              </w:tc>
            </w:tr>
            <w:tr w14:paraId="44EF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476" w:type="dxa"/>
                  <w:vAlign w:val="center"/>
                </w:tcPr>
                <w:p w14:paraId="40AB6E67">
                  <w:pPr>
                    <w:pStyle w:val="16"/>
                    <w:adjustRightInd w:val="0"/>
                    <w:spacing w:before="0" w:after="0" w:line="240" w:lineRule="auto"/>
                    <w:ind w:right="0"/>
                    <w:jc w:val="center"/>
                    <w:rPr>
                      <w:rFonts w:hint="eastAsia" w:eastAsiaTheme="minorEastAsia"/>
                      <w:sz w:val="21"/>
                      <w:szCs w:val="21"/>
                      <w:highlight w:val="none"/>
                      <w:lang w:eastAsia="zh-CN"/>
                    </w:rPr>
                  </w:pPr>
                  <w:r>
                    <w:rPr>
                      <w:rFonts w:hint="eastAsia" w:eastAsiaTheme="minorEastAsia"/>
                      <w:sz w:val="21"/>
                      <w:szCs w:val="21"/>
                      <w:highlight w:val="none"/>
                      <w:lang w:val="en-US" w:eastAsia="zh-CN"/>
                    </w:rPr>
                    <w:t>4</w:t>
                  </w:r>
                </w:p>
              </w:tc>
              <w:tc>
                <w:tcPr>
                  <w:tcW w:w="1102" w:type="dxa"/>
                  <w:vAlign w:val="center"/>
                </w:tcPr>
                <w:p w14:paraId="1AF299B3">
                  <w:pPr>
                    <w:widowControl/>
                    <w:adjustRightInd w:val="0"/>
                    <w:snapToGrid w:val="0"/>
                    <w:jc w:val="left"/>
                    <w:textAlignment w:val="center"/>
                    <w:rPr>
                      <w:rFonts w:eastAsiaTheme="minorEastAsia"/>
                      <w:kern w:val="0"/>
                      <w:szCs w:val="21"/>
                      <w:highlight w:val="none"/>
                    </w:rPr>
                  </w:pPr>
                  <w:r>
                    <w:rPr>
                      <w:rFonts w:eastAsiaTheme="minorEastAsia"/>
                      <w:kern w:val="0"/>
                      <w:szCs w:val="21"/>
                      <w:highlight w:val="none"/>
                    </w:rPr>
                    <w:t>粉尘废气</w:t>
                  </w:r>
                  <w:r>
                    <w:rPr>
                      <w:rFonts w:hint="eastAsia" w:eastAsiaTheme="minorEastAsia"/>
                      <w:kern w:val="0"/>
                      <w:szCs w:val="21"/>
                      <w:highlight w:val="none"/>
                    </w:rPr>
                    <w:t>逸散</w:t>
                  </w:r>
                </w:p>
              </w:tc>
              <w:tc>
                <w:tcPr>
                  <w:tcW w:w="867" w:type="dxa"/>
                  <w:vAlign w:val="center"/>
                </w:tcPr>
                <w:p w14:paraId="663CFA9A">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颗粒物</w:t>
                  </w:r>
                </w:p>
              </w:tc>
              <w:tc>
                <w:tcPr>
                  <w:tcW w:w="718" w:type="dxa"/>
                  <w:vAlign w:val="center"/>
                </w:tcPr>
                <w:p w14:paraId="4E48BC7D">
                  <w:pPr>
                    <w:pStyle w:val="16"/>
                    <w:adjustRightInd w:val="0"/>
                    <w:spacing w:before="0" w:after="0" w:line="240" w:lineRule="auto"/>
                    <w:ind w:right="0"/>
                    <w:jc w:val="center"/>
                    <w:rPr>
                      <w:rFonts w:eastAsiaTheme="minorEastAsia"/>
                      <w:sz w:val="21"/>
                      <w:szCs w:val="21"/>
                      <w:highlight w:val="none"/>
                    </w:rPr>
                  </w:pPr>
                  <w:r>
                    <w:rPr>
                      <w:rFonts w:hint="eastAsia" w:eastAsiaTheme="minorEastAsia"/>
                      <w:sz w:val="21"/>
                      <w:szCs w:val="21"/>
                      <w:highlight w:val="none"/>
                    </w:rPr>
                    <w:t>无</w:t>
                  </w:r>
                  <w:r>
                    <w:rPr>
                      <w:rFonts w:eastAsiaTheme="minorEastAsia"/>
                      <w:sz w:val="21"/>
                      <w:szCs w:val="21"/>
                      <w:highlight w:val="none"/>
                    </w:rPr>
                    <w:t>组织</w:t>
                  </w:r>
                </w:p>
              </w:tc>
              <w:tc>
                <w:tcPr>
                  <w:tcW w:w="900" w:type="dxa"/>
                  <w:vAlign w:val="center"/>
                </w:tcPr>
                <w:p w14:paraId="2AA8DCB6">
                  <w:pPr>
                    <w:pStyle w:val="16"/>
                    <w:adjustRightInd w:val="0"/>
                    <w:spacing w:before="0" w:after="0" w:line="240" w:lineRule="auto"/>
                    <w:ind w:right="0"/>
                    <w:jc w:val="center"/>
                    <w:rPr>
                      <w:rFonts w:eastAsiaTheme="minorEastAsia"/>
                      <w:sz w:val="21"/>
                      <w:szCs w:val="21"/>
                      <w:highlight w:val="none"/>
                      <w:lang w:bidi="ar"/>
                    </w:rPr>
                  </w:pPr>
                  <w:r>
                    <w:rPr>
                      <w:rFonts w:hint="eastAsia" w:eastAsiaTheme="minorEastAsia"/>
                      <w:sz w:val="21"/>
                      <w:szCs w:val="21"/>
                      <w:highlight w:val="none"/>
                      <w:lang w:bidi="ar"/>
                    </w:rPr>
                    <w:t>/</w:t>
                  </w:r>
                </w:p>
              </w:tc>
              <w:tc>
                <w:tcPr>
                  <w:tcW w:w="1340" w:type="dxa"/>
                  <w:vAlign w:val="center"/>
                </w:tcPr>
                <w:p w14:paraId="47EFF387">
                  <w:pPr>
                    <w:pStyle w:val="16"/>
                    <w:adjustRightInd w:val="0"/>
                    <w:spacing w:before="0" w:after="0" w:line="240" w:lineRule="auto"/>
                    <w:ind w:right="0"/>
                    <w:jc w:val="center"/>
                    <w:rPr>
                      <w:rFonts w:eastAsiaTheme="minorEastAsia"/>
                      <w:sz w:val="21"/>
                      <w:szCs w:val="21"/>
                      <w:highlight w:val="none"/>
                      <w:lang w:bidi="ar"/>
                    </w:rPr>
                  </w:pPr>
                  <w:r>
                    <w:rPr>
                      <w:rFonts w:hint="eastAsia" w:eastAsiaTheme="minorEastAsia"/>
                      <w:sz w:val="21"/>
                      <w:szCs w:val="21"/>
                      <w:highlight w:val="none"/>
                      <w:lang w:bidi="ar"/>
                    </w:rPr>
                    <w:t>/</w:t>
                  </w:r>
                </w:p>
              </w:tc>
              <w:tc>
                <w:tcPr>
                  <w:tcW w:w="2582" w:type="dxa"/>
                  <w:vMerge w:val="restart"/>
                  <w:vAlign w:val="center"/>
                </w:tcPr>
                <w:p w14:paraId="70598332">
                  <w:pPr>
                    <w:pStyle w:val="16"/>
                    <w:adjustRightInd w:val="0"/>
                    <w:spacing w:before="0" w:after="0" w:line="240" w:lineRule="auto"/>
                    <w:ind w:right="0"/>
                    <w:jc w:val="left"/>
                    <w:rPr>
                      <w:rFonts w:eastAsiaTheme="minorEastAsia"/>
                      <w:sz w:val="21"/>
                      <w:szCs w:val="21"/>
                      <w:highlight w:val="none"/>
                    </w:rPr>
                  </w:pPr>
                  <w:r>
                    <w:rPr>
                      <w:rFonts w:hint="eastAsia" w:eastAsiaTheme="minorEastAsia"/>
                      <w:sz w:val="21"/>
                      <w:szCs w:val="21"/>
                      <w:highlight w:val="none"/>
                    </w:rPr>
                    <w:t>加强管理，采取及时清扫洒落的散料、进出料口加装软性布袋口、密封运输等措施</w:t>
                  </w:r>
                </w:p>
              </w:tc>
              <w:tc>
                <w:tcPr>
                  <w:tcW w:w="1159" w:type="dxa"/>
                  <w:vAlign w:val="center"/>
                </w:tcPr>
                <w:p w14:paraId="0DBD08FA">
                  <w:pPr>
                    <w:pStyle w:val="16"/>
                    <w:adjustRightInd w:val="0"/>
                    <w:spacing w:before="0" w:after="0" w:line="240" w:lineRule="auto"/>
                    <w:ind w:right="0"/>
                    <w:jc w:val="center"/>
                    <w:rPr>
                      <w:rFonts w:eastAsiaTheme="minorEastAsia"/>
                      <w:sz w:val="21"/>
                      <w:szCs w:val="21"/>
                      <w:highlight w:val="none"/>
                      <w:lang w:bidi="ar"/>
                    </w:rPr>
                  </w:pPr>
                  <w:r>
                    <w:rPr>
                      <w:rFonts w:hint="eastAsia" w:eastAsiaTheme="minorEastAsia"/>
                      <w:sz w:val="21"/>
                      <w:szCs w:val="21"/>
                      <w:highlight w:val="none"/>
                      <w:lang w:bidi="ar"/>
                    </w:rPr>
                    <w:t>/</w:t>
                  </w:r>
                </w:p>
              </w:tc>
              <w:tc>
                <w:tcPr>
                  <w:tcW w:w="752" w:type="dxa"/>
                  <w:vAlign w:val="center"/>
                </w:tcPr>
                <w:p w14:paraId="5F025D7F">
                  <w:pPr>
                    <w:pStyle w:val="16"/>
                    <w:adjustRightInd w:val="0"/>
                    <w:spacing w:before="0" w:after="0" w:line="240" w:lineRule="auto"/>
                    <w:ind w:right="0"/>
                    <w:jc w:val="center"/>
                    <w:rPr>
                      <w:rFonts w:eastAsiaTheme="minorEastAsia"/>
                      <w:sz w:val="21"/>
                      <w:szCs w:val="21"/>
                      <w:highlight w:val="none"/>
                      <w:lang w:bidi="ar"/>
                    </w:rPr>
                  </w:pPr>
                  <w:r>
                    <w:rPr>
                      <w:rFonts w:hint="eastAsia" w:eastAsiaTheme="minorEastAsia"/>
                      <w:sz w:val="21"/>
                      <w:szCs w:val="21"/>
                      <w:highlight w:val="none"/>
                      <w:lang w:bidi="ar"/>
                    </w:rPr>
                    <w:t>/</w:t>
                  </w:r>
                </w:p>
              </w:tc>
              <w:tc>
                <w:tcPr>
                  <w:tcW w:w="904" w:type="dxa"/>
                  <w:vAlign w:val="center"/>
                </w:tcPr>
                <w:p w14:paraId="03C2D844">
                  <w:pPr>
                    <w:pStyle w:val="16"/>
                    <w:adjustRightInd w:val="0"/>
                    <w:spacing w:before="0" w:after="0" w:line="240" w:lineRule="auto"/>
                    <w:ind w:right="0"/>
                    <w:jc w:val="center"/>
                    <w:rPr>
                      <w:rFonts w:eastAsiaTheme="minorEastAsia"/>
                      <w:sz w:val="21"/>
                      <w:szCs w:val="21"/>
                      <w:highlight w:val="none"/>
                    </w:rPr>
                  </w:pPr>
                  <w:r>
                    <w:rPr>
                      <w:rFonts w:hint="eastAsia" w:eastAsiaTheme="minorEastAsia"/>
                      <w:sz w:val="21"/>
                      <w:szCs w:val="21"/>
                      <w:highlight w:val="none"/>
                    </w:rPr>
                    <w:t>/</w:t>
                  </w:r>
                </w:p>
              </w:tc>
              <w:tc>
                <w:tcPr>
                  <w:tcW w:w="828" w:type="dxa"/>
                  <w:vAlign w:val="center"/>
                </w:tcPr>
                <w:p w14:paraId="75DFAD04">
                  <w:pPr>
                    <w:pStyle w:val="16"/>
                    <w:adjustRightInd w:val="0"/>
                    <w:spacing w:before="0" w:after="0" w:line="240" w:lineRule="auto"/>
                    <w:ind w:right="0"/>
                    <w:jc w:val="center"/>
                    <w:rPr>
                      <w:rFonts w:eastAsiaTheme="minorEastAsia"/>
                      <w:sz w:val="21"/>
                      <w:szCs w:val="21"/>
                      <w:highlight w:val="none"/>
                    </w:rPr>
                  </w:pPr>
                  <w:r>
                    <w:rPr>
                      <w:rFonts w:hint="eastAsia" w:eastAsiaTheme="minorEastAsia"/>
                      <w:sz w:val="21"/>
                      <w:szCs w:val="21"/>
                      <w:highlight w:val="none"/>
                    </w:rPr>
                    <w:t>是</w:t>
                  </w:r>
                </w:p>
              </w:tc>
              <w:tc>
                <w:tcPr>
                  <w:tcW w:w="863" w:type="dxa"/>
                  <w:vAlign w:val="center"/>
                </w:tcPr>
                <w:p w14:paraId="6C295ADC">
                  <w:pPr>
                    <w:pStyle w:val="16"/>
                    <w:adjustRightInd w:val="0"/>
                    <w:spacing w:before="0" w:after="0" w:line="240" w:lineRule="auto"/>
                    <w:ind w:right="0"/>
                    <w:jc w:val="center"/>
                    <w:rPr>
                      <w:rFonts w:eastAsiaTheme="minorEastAsia"/>
                      <w:sz w:val="21"/>
                      <w:szCs w:val="21"/>
                      <w:highlight w:val="none"/>
                      <w:lang w:bidi="ar"/>
                    </w:rPr>
                  </w:pPr>
                  <w:r>
                    <w:rPr>
                      <w:rFonts w:hint="eastAsia" w:eastAsiaTheme="minorEastAsia"/>
                      <w:sz w:val="21"/>
                      <w:szCs w:val="21"/>
                      <w:highlight w:val="none"/>
                      <w:lang w:bidi="ar"/>
                    </w:rPr>
                    <w:t>/</w:t>
                  </w:r>
                </w:p>
              </w:tc>
            </w:tr>
            <w:tr w14:paraId="35F7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476" w:type="dxa"/>
                  <w:vAlign w:val="center"/>
                </w:tcPr>
                <w:p w14:paraId="37B02064">
                  <w:pPr>
                    <w:pStyle w:val="16"/>
                    <w:adjustRightInd w:val="0"/>
                    <w:spacing w:before="0" w:after="0" w:line="240" w:lineRule="auto"/>
                    <w:ind w:right="0"/>
                    <w:jc w:val="center"/>
                    <w:rPr>
                      <w:rFonts w:hint="default" w:eastAsiaTheme="minorEastAsia"/>
                      <w:sz w:val="21"/>
                      <w:szCs w:val="21"/>
                      <w:highlight w:val="none"/>
                      <w:lang w:val="en-US" w:eastAsia="zh-CN"/>
                    </w:rPr>
                  </w:pPr>
                  <w:r>
                    <w:rPr>
                      <w:rFonts w:hint="eastAsia" w:eastAsiaTheme="minorEastAsia"/>
                      <w:sz w:val="21"/>
                      <w:szCs w:val="21"/>
                      <w:highlight w:val="none"/>
                      <w:lang w:val="en-US" w:eastAsia="zh-CN"/>
                    </w:rPr>
                    <w:t>5</w:t>
                  </w:r>
                </w:p>
              </w:tc>
              <w:tc>
                <w:tcPr>
                  <w:tcW w:w="1102" w:type="dxa"/>
                  <w:vAlign w:val="center"/>
                </w:tcPr>
                <w:p w14:paraId="6C0309A5">
                  <w:pPr>
                    <w:widowControl/>
                    <w:adjustRightInd w:val="0"/>
                    <w:snapToGrid w:val="0"/>
                    <w:jc w:val="left"/>
                    <w:textAlignment w:val="center"/>
                    <w:rPr>
                      <w:rFonts w:eastAsiaTheme="minorEastAsia"/>
                      <w:kern w:val="0"/>
                      <w:szCs w:val="21"/>
                      <w:highlight w:val="none"/>
                    </w:rPr>
                  </w:pPr>
                  <w:r>
                    <w:rPr>
                      <w:rFonts w:hint="eastAsia" w:eastAsiaTheme="minorEastAsia"/>
                      <w:kern w:val="0"/>
                      <w:szCs w:val="21"/>
                      <w:highlight w:val="none"/>
                    </w:rPr>
                    <w:t>原运输、装卸粉尘</w:t>
                  </w:r>
                </w:p>
              </w:tc>
              <w:tc>
                <w:tcPr>
                  <w:tcW w:w="867" w:type="dxa"/>
                  <w:vAlign w:val="center"/>
                </w:tcPr>
                <w:p w14:paraId="32C4DF27">
                  <w:pPr>
                    <w:pStyle w:val="16"/>
                    <w:adjustRightInd w:val="0"/>
                    <w:spacing w:before="0" w:after="0" w:line="240" w:lineRule="auto"/>
                    <w:ind w:right="0"/>
                    <w:jc w:val="center"/>
                    <w:rPr>
                      <w:rFonts w:eastAsiaTheme="minorEastAsia"/>
                      <w:sz w:val="21"/>
                      <w:szCs w:val="21"/>
                      <w:highlight w:val="none"/>
                    </w:rPr>
                  </w:pPr>
                  <w:r>
                    <w:rPr>
                      <w:rFonts w:eastAsiaTheme="minorEastAsia"/>
                      <w:sz w:val="21"/>
                      <w:szCs w:val="21"/>
                      <w:highlight w:val="none"/>
                    </w:rPr>
                    <w:t>颗粒物</w:t>
                  </w:r>
                </w:p>
              </w:tc>
              <w:tc>
                <w:tcPr>
                  <w:tcW w:w="718" w:type="dxa"/>
                  <w:vAlign w:val="center"/>
                </w:tcPr>
                <w:p w14:paraId="358F1499">
                  <w:pPr>
                    <w:pStyle w:val="16"/>
                    <w:adjustRightInd w:val="0"/>
                    <w:spacing w:before="0" w:after="0" w:line="240" w:lineRule="auto"/>
                    <w:ind w:right="0"/>
                    <w:jc w:val="center"/>
                    <w:rPr>
                      <w:rFonts w:eastAsiaTheme="minorEastAsia"/>
                      <w:sz w:val="21"/>
                      <w:szCs w:val="21"/>
                      <w:highlight w:val="none"/>
                    </w:rPr>
                  </w:pPr>
                  <w:r>
                    <w:rPr>
                      <w:rFonts w:hint="eastAsia" w:eastAsiaTheme="minorEastAsia"/>
                      <w:sz w:val="21"/>
                      <w:szCs w:val="21"/>
                      <w:highlight w:val="none"/>
                    </w:rPr>
                    <w:t>无</w:t>
                  </w:r>
                  <w:r>
                    <w:rPr>
                      <w:rFonts w:eastAsiaTheme="minorEastAsia"/>
                      <w:sz w:val="21"/>
                      <w:szCs w:val="21"/>
                      <w:highlight w:val="none"/>
                    </w:rPr>
                    <w:t>组织</w:t>
                  </w:r>
                </w:p>
              </w:tc>
              <w:tc>
                <w:tcPr>
                  <w:tcW w:w="900" w:type="dxa"/>
                  <w:vAlign w:val="center"/>
                </w:tcPr>
                <w:p w14:paraId="679DC110">
                  <w:pPr>
                    <w:pStyle w:val="16"/>
                    <w:adjustRightInd w:val="0"/>
                    <w:spacing w:before="0" w:after="0" w:line="240" w:lineRule="auto"/>
                    <w:ind w:right="0"/>
                    <w:jc w:val="center"/>
                    <w:rPr>
                      <w:rFonts w:eastAsiaTheme="minorEastAsia"/>
                      <w:sz w:val="21"/>
                      <w:szCs w:val="21"/>
                      <w:highlight w:val="none"/>
                      <w:lang w:bidi="ar"/>
                    </w:rPr>
                  </w:pPr>
                  <w:r>
                    <w:rPr>
                      <w:rFonts w:hint="eastAsia" w:eastAsiaTheme="minorEastAsia"/>
                      <w:sz w:val="21"/>
                      <w:szCs w:val="21"/>
                      <w:highlight w:val="none"/>
                      <w:lang w:bidi="ar"/>
                    </w:rPr>
                    <w:t>/</w:t>
                  </w:r>
                </w:p>
              </w:tc>
              <w:tc>
                <w:tcPr>
                  <w:tcW w:w="1340" w:type="dxa"/>
                  <w:vAlign w:val="center"/>
                </w:tcPr>
                <w:p w14:paraId="283304DE">
                  <w:pPr>
                    <w:pStyle w:val="16"/>
                    <w:adjustRightInd w:val="0"/>
                    <w:spacing w:before="0" w:after="0" w:line="240" w:lineRule="auto"/>
                    <w:ind w:right="0"/>
                    <w:jc w:val="center"/>
                    <w:rPr>
                      <w:rFonts w:eastAsiaTheme="minorEastAsia"/>
                      <w:sz w:val="21"/>
                      <w:szCs w:val="21"/>
                      <w:highlight w:val="none"/>
                      <w:lang w:bidi="ar"/>
                    </w:rPr>
                  </w:pPr>
                  <w:r>
                    <w:rPr>
                      <w:rFonts w:hint="eastAsia" w:eastAsiaTheme="minorEastAsia"/>
                      <w:sz w:val="21"/>
                      <w:szCs w:val="21"/>
                      <w:highlight w:val="none"/>
                      <w:lang w:bidi="ar"/>
                    </w:rPr>
                    <w:t>/</w:t>
                  </w:r>
                </w:p>
              </w:tc>
              <w:tc>
                <w:tcPr>
                  <w:tcW w:w="2582" w:type="dxa"/>
                  <w:vMerge w:val="continue"/>
                  <w:vAlign w:val="center"/>
                </w:tcPr>
                <w:p w14:paraId="4A248EDC">
                  <w:pPr>
                    <w:pStyle w:val="16"/>
                    <w:adjustRightInd w:val="0"/>
                    <w:spacing w:before="0" w:after="0" w:line="240" w:lineRule="auto"/>
                    <w:ind w:right="0"/>
                    <w:jc w:val="center"/>
                    <w:rPr>
                      <w:rFonts w:eastAsiaTheme="minorEastAsia"/>
                      <w:sz w:val="21"/>
                      <w:szCs w:val="21"/>
                      <w:highlight w:val="none"/>
                    </w:rPr>
                  </w:pPr>
                </w:p>
              </w:tc>
              <w:tc>
                <w:tcPr>
                  <w:tcW w:w="1159" w:type="dxa"/>
                  <w:vAlign w:val="center"/>
                </w:tcPr>
                <w:p w14:paraId="7BAE35C0">
                  <w:pPr>
                    <w:pStyle w:val="16"/>
                    <w:adjustRightInd w:val="0"/>
                    <w:spacing w:before="0" w:after="0" w:line="240" w:lineRule="auto"/>
                    <w:ind w:right="0"/>
                    <w:jc w:val="center"/>
                    <w:rPr>
                      <w:rFonts w:eastAsiaTheme="minorEastAsia"/>
                      <w:sz w:val="21"/>
                      <w:szCs w:val="21"/>
                      <w:highlight w:val="none"/>
                      <w:lang w:bidi="ar"/>
                    </w:rPr>
                  </w:pPr>
                  <w:r>
                    <w:rPr>
                      <w:rFonts w:hint="eastAsia" w:eastAsiaTheme="minorEastAsia"/>
                      <w:sz w:val="21"/>
                      <w:szCs w:val="21"/>
                      <w:highlight w:val="none"/>
                      <w:lang w:bidi="ar"/>
                    </w:rPr>
                    <w:t>/</w:t>
                  </w:r>
                </w:p>
              </w:tc>
              <w:tc>
                <w:tcPr>
                  <w:tcW w:w="752" w:type="dxa"/>
                  <w:vAlign w:val="center"/>
                </w:tcPr>
                <w:p w14:paraId="714DB453">
                  <w:pPr>
                    <w:pStyle w:val="16"/>
                    <w:adjustRightInd w:val="0"/>
                    <w:spacing w:before="0" w:after="0" w:line="240" w:lineRule="auto"/>
                    <w:ind w:right="0"/>
                    <w:jc w:val="center"/>
                    <w:rPr>
                      <w:rFonts w:eastAsiaTheme="minorEastAsia"/>
                      <w:sz w:val="21"/>
                      <w:szCs w:val="21"/>
                      <w:highlight w:val="none"/>
                      <w:lang w:bidi="ar"/>
                    </w:rPr>
                  </w:pPr>
                  <w:r>
                    <w:rPr>
                      <w:rFonts w:hint="eastAsia" w:eastAsiaTheme="minorEastAsia"/>
                      <w:sz w:val="21"/>
                      <w:szCs w:val="21"/>
                      <w:highlight w:val="none"/>
                      <w:lang w:bidi="ar"/>
                    </w:rPr>
                    <w:t>/</w:t>
                  </w:r>
                </w:p>
              </w:tc>
              <w:tc>
                <w:tcPr>
                  <w:tcW w:w="904" w:type="dxa"/>
                  <w:vAlign w:val="center"/>
                </w:tcPr>
                <w:p w14:paraId="0EA9AE84">
                  <w:pPr>
                    <w:pStyle w:val="16"/>
                    <w:adjustRightInd w:val="0"/>
                    <w:spacing w:before="0" w:after="0" w:line="240" w:lineRule="auto"/>
                    <w:ind w:right="0"/>
                    <w:jc w:val="center"/>
                    <w:rPr>
                      <w:rFonts w:eastAsiaTheme="minorEastAsia"/>
                      <w:sz w:val="21"/>
                      <w:szCs w:val="21"/>
                      <w:highlight w:val="none"/>
                    </w:rPr>
                  </w:pPr>
                  <w:r>
                    <w:rPr>
                      <w:rFonts w:hint="eastAsia" w:eastAsiaTheme="minorEastAsia"/>
                      <w:sz w:val="21"/>
                      <w:szCs w:val="21"/>
                      <w:highlight w:val="none"/>
                    </w:rPr>
                    <w:t>/</w:t>
                  </w:r>
                </w:p>
              </w:tc>
              <w:tc>
                <w:tcPr>
                  <w:tcW w:w="828" w:type="dxa"/>
                  <w:vAlign w:val="center"/>
                </w:tcPr>
                <w:p w14:paraId="68D8B24E">
                  <w:pPr>
                    <w:pStyle w:val="16"/>
                    <w:adjustRightInd w:val="0"/>
                    <w:spacing w:before="0" w:after="0" w:line="240" w:lineRule="auto"/>
                    <w:ind w:right="0"/>
                    <w:jc w:val="center"/>
                    <w:rPr>
                      <w:rFonts w:eastAsiaTheme="minorEastAsia"/>
                      <w:sz w:val="21"/>
                      <w:szCs w:val="21"/>
                      <w:highlight w:val="none"/>
                    </w:rPr>
                  </w:pPr>
                  <w:r>
                    <w:rPr>
                      <w:rFonts w:hint="eastAsia" w:eastAsiaTheme="minorEastAsia"/>
                      <w:sz w:val="21"/>
                      <w:szCs w:val="21"/>
                      <w:highlight w:val="none"/>
                    </w:rPr>
                    <w:t>是</w:t>
                  </w:r>
                </w:p>
              </w:tc>
              <w:tc>
                <w:tcPr>
                  <w:tcW w:w="863" w:type="dxa"/>
                  <w:vAlign w:val="center"/>
                </w:tcPr>
                <w:p w14:paraId="020B09E5">
                  <w:pPr>
                    <w:pStyle w:val="16"/>
                    <w:adjustRightInd w:val="0"/>
                    <w:spacing w:before="0" w:after="0" w:line="240" w:lineRule="auto"/>
                    <w:ind w:right="0"/>
                    <w:jc w:val="center"/>
                    <w:rPr>
                      <w:rFonts w:eastAsiaTheme="minorEastAsia"/>
                      <w:sz w:val="21"/>
                      <w:szCs w:val="21"/>
                      <w:highlight w:val="none"/>
                      <w:lang w:bidi="ar"/>
                    </w:rPr>
                  </w:pPr>
                  <w:r>
                    <w:rPr>
                      <w:rFonts w:hint="eastAsia" w:eastAsiaTheme="minorEastAsia"/>
                      <w:sz w:val="21"/>
                      <w:szCs w:val="21"/>
                      <w:highlight w:val="none"/>
                      <w:lang w:bidi="ar"/>
                    </w:rPr>
                    <w:t>/</w:t>
                  </w:r>
                </w:p>
              </w:tc>
            </w:tr>
          </w:tbl>
          <w:p w14:paraId="401B2F5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center"/>
              <w:textAlignment w:val="auto"/>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表</w:t>
            </w:r>
            <w:r>
              <w:rPr>
                <w:b/>
                <w:bCs/>
                <w:spacing w:val="-2"/>
                <w:sz w:val="24"/>
                <w:highlight w:val="none"/>
              </w:rPr>
              <w:t>4-</w:t>
            </w:r>
            <w:r>
              <w:rPr>
                <w:rFonts w:hint="eastAsia"/>
                <w:b/>
                <w:bCs/>
                <w:spacing w:val="-2"/>
                <w:sz w:val="24"/>
                <w:highlight w:val="none"/>
                <w:lang w:val="en-US" w:eastAsia="zh-CN"/>
              </w:rPr>
              <w:t>8</w:t>
            </w:r>
            <w:r>
              <w:rPr>
                <w:b/>
                <w:color w:val="000000" w:themeColor="text1"/>
                <w:sz w:val="24"/>
                <w:szCs w:val="21"/>
                <w:highlight w:val="none"/>
                <w14:textFill>
                  <w14:solidFill>
                    <w14:schemeClr w14:val="tx1"/>
                  </w14:solidFill>
                </w14:textFill>
              </w:rPr>
              <w:t>大气排放口基本情况</w:t>
            </w:r>
          </w:p>
          <w:tbl>
            <w:tblPr>
              <w:tblStyle w:val="7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88"/>
              <w:gridCol w:w="1444"/>
              <w:gridCol w:w="1602"/>
              <w:gridCol w:w="1747"/>
              <w:gridCol w:w="1228"/>
              <w:gridCol w:w="1800"/>
              <w:gridCol w:w="1291"/>
              <w:gridCol w:w="1517"/>
            </w:tblGrid>
            <w:tr w14:paraId="4902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3" w:type="pct"/>
                  <w:vMerge w:val="restart"/>
                  <w:vAlign w:val="center"/>
                </w:tcPr>
                <w:p w14:paraId="3C1852A2">
                  <w:pPr>
                    <w:pStyle w:val="134"/>
                    <w:adjustRightInd w:val="0"/>
                    <w:snapToGrid w:val="0"/>
                    <w:jc w:val="center"/>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序号</w:t>
                  </w:r>
                </w:p>
              </w:tc>
              <w:tc>
                <w:tcPr>
                  <w:tcW w:w="514" w:type="pct"/>
                  <w:vMerge w:val="restart"/>
                  <w:vAlign w:val="center"/>
                </w:tcPr>
                <w:p w14:paraId="73F3ADCF">
                  <w:pPr>
                    <w:pStyle w:val="134"/>
                    <w:adjustRightInd w:val="0"/>
                    <w:snapToGrid w:val="0"/>
                    <w:jc w:val="center"/>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排放口编号</w:t>
                  </w:r>
                </w:p>
              </w:tc>
              <w:tc>
                <w:tcPr>
                  <w:tcW w:w="576" w:type="pct"/>
                  <w:vMerge w:val="restart"/>
                  <w:vAlign w:val="center"/>
                </w:tcPr>
                <w:p w14:paraId="055967DC">
                  <w:pPr>
                    <w:pStyle w:val="134"/>
                    <w:adjustRightInd w:val="0"/>
                    <w:snapToGrid w:val="0"/>
                    <w:jc w:val="center"/>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排放口名称</w:t>
                  </w:r>
                </w:p>
              </w:tc>
              <w:tc>
                <w:tcPr>
                  <w:tcW w:w="1336" w:type="pct"/>
                  <w:gridSpan w:val="2"/>
                  <w:vAlign w:val="center"/>
                </w:tcPr>
                <w:p w14:paraId="2DA29A44">
                  <w:pPr>
                    <w:pStyle w:val="134"/>
                    <w:adjustRightInd w:val="0"/>
                    <w:snapToGrid w:val="0"/>
                    <w:jc w:val="center"/>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排放口地理坐标</w:t>
                  </w:r>
                </w:p>
              </w:tc>
              <w:tc>
                <w:tcPr>
                  <w:tcW w:w="490" w:type="pct"/>
                  <w:vMerge w:val="restart"/>
                  <w:vAlign w:val="center"/>
                </w:tcPr>
                <w:p w14:paraId="710FB1F4">
                  <w:pPr>
                    <w:pStyle w:val="134"/>
                    <w:adjustRightInd w:val="0"/>
                    <w:snapToGrid w:val="0"/>
                    <w:jc w:val="center"/>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排气筒度</w:t>
                  </w:r>
                </w:p>
                <w:p w14:paraId="53F7493E">
                  <w:pPr>
                    <w:pStyle w:val="134"/>
                    <w:adjustRightInd w:val="0"/>
                    <w:snapToGrid w:val="0"/>
                    <w:jc w:val="center"/>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（m）</w:t>
                  </w:r>
                </w:p>
              </w:tc>
              <w:tc>
                <w:tcPr>
                  <w:tcW w:w="718" w:type="pct"/>
                  <w:vMerge w:val="restart"/>
                  <w:vAlign w:val="center"/>
                </w:tcPr>
                <w:p w14:paraId="2A434FCD">
                  <w:pPr>
                    <w:pStyle w:val="134"/>
                    <w:adjustRightInd w:val="0"/>
                    <w:snapToGrid w:val="0"/>
                    <w:jc w:val="center"/>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排气筒出口内径（m）</w:t>
                  </w:r>
                </w:p>
              </w:tc>
              <w:tc>
                <w:tcPr>
                  <w:tcW w:w="515" w:type="pct"/>
                  <w:vMerge w:val="restart"/>
                  <w:vAlign w:val="center"/>
                </w:tcPr>
                <w:p w14:paraId="07061B8A">
                  <w:pPr>
                    <w:pStyle w:val="134"/>
                    <w:adjustRightInd w:val="0"/>
                    <w:snapToGrid w:val="0"/>
                    <w:jc w:val="center"/>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排气温度（℃）</w:t>
                  </w:r>
                </w:p>
              </w:tc>
              <w:tc>
                <w:tcPr>
                  <w:tcW w:w="605" w:type="pct"/>
                  <w:vMerge w:val="restart"/>
                  <w:vAlign w:val="center"/>
                </w:tcPr>
                <w:p w14:paraId="20C83BB8">
                  <w:pPr>
                    <w:pStyle w:val="134"/>
                    <w:adjustRightInd w:val="0"/>
                    <w:snapToGrid w:val="0"/>
                    <w:jc w:val="center"/>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类型</w:t>
                  </w:r>
                </w:p>
              </w:tc>
            </w:tr>
            <w:tr w14:paraId="7598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43" w:type="pct"/>
                  <w:vMerge w:val="continue"/>
                  <w:vAlign w:val="center"/>
                </w:tcPr>
                <w:p w14:paraId="5D463D4F">
                  <w:pPr>
                    <w:rPr>
                      <w:rFonts w:eastAsia="Times New Roman"/>
                      <w:color w:val="000000" w:themeColor="text1"/>
                      <w:szCs w:val="20"/>
                      <w:highlight w:val="none"/>
                      <w14:textFill>
                        <w14:solidFill>
                          <w14:schemeClr w14:val="tx1"/>
                        </w14:solidFill>
                      </w14:textFill>
                    </w:rPr>
                  </w:pPr>
                </w:p>
              </w:tc>
              <w:tc>
                <w:tcPr>
                  <w:tcW w:w="514" w:type="pct"/>
                  <w:vMerge w:val="continue"/>
                  <w:vAlign w:val="center"/>
                </w:tcPr>
                <w:p w14:paraId="2AF7D22C">
                  <w:pPr>
                    <w:rPr>
                      <w:rFonts w:eastAsia="Times New Roman"/>
                      <w:color w:val="000000" w:themeColor="text1"/>
                      <w:szCs w:val="20"/>
                      <w:highlight w:val="none"/>
                      <w14:textFill>
                        <w14:solidFill>
                          <w14:schemeClr w14:val="tx1"/>
                        </w14:solidFill>
                      </w14:textFill>
                    </w:rPr>
                  </w:pPr>
                </w:p>
              </w:tc>
              <w:tc>
                <w:tcPr>
                  <w:tcW w:w="576" w:type="pct"/>
                  <w:vMerge w:val="continue"/>
                  <w:vAlign w:val="center"/>
                </w:tcPr>
                <w:p w14:paraId="3239FA6E">
                  <w:pPr>
                    <w:rPr>
                      <w:rFonts w:eastAsia="Times New Roman"/>
                      <w:color w:val="000000" w:themeColor="text1"/>
                      <w:szCs w:val="20"/>
                      <w:highlight w:val="none"/>
                      <w14:textFill>
                        <w14:solidFill>
                          <w14:schemeClr w14:val="tx1"/>
                        </w14:solidFill>
                      </w14:textFill>
                    </w:rPr>
                  </w:pPr>
                </w:p>
              </w:tc>
              <w:tc>
                <w:tcPr>
                  <w:tcW w:w="639" w:type="pct"/>
                  <w:vAlign w:val="center"/>
                </w:tcPr>
                <w:p w14:paraId="227AC58A">
                  <w:pPr>
                    <w:pStyle w:val="134"/>
                    <w:adjustRightInd w:val="0"/>
                    <w:snapToGrid w:val="0"/>
                    <w:jc w:val="center"/>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经度</w:t>
                  </w:r>
                </w:p>
              </w:tc>
              <w:tc>
                <w:tcPr>
                  <w:tcW w:w="697" w:type="pct"/>
                  <w:vAlign w:val="center"/>
                </w:tcPr>
                <w:p w14:paraId="62E5EECD">
                  <w:pPr>
                    <w:pStyle w:val="134"/>
                    <w:adjustRightInd w:val="0"/>
                    <w:snapToGrid w:val="0"/>
                    <w:jc w:val="center"/>
                    <w:rPr>
                      <w:rFonts w:ascii="Times New Roman" w:hAnsi="Times New Roman" w:eastAsia="Times New Roman"/>
                      <w:snapToGrid w:val="0"/>
                      <w:color w:val="000000" w:themeColor="text1"/>
                      <w:kern w:val="20"/>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纬度</w:t>
                  </w:r>
                </w:p>
              </w:tc>
              <w:tc>
                <w:tcPr>
                  <w:tcW w:w="490" w:type="pct"/>
                  <w:vMerge w:val="continue"/>
                  <w:vAlign w:val="center"/>
                </w:tcPr>
                <w:p w14:paraId="409C4347">
                  <w:pPr>
                    <w:rPr>
                      <w:rFonts w:eastAsia="Times New Roman"/>
                      <w:color w:val="000000" w:themeColor="text1"/>
                      <w:szCs w:val="20"/>
                      <w:highlight w:val="none"/>
                      <w14:textFill>
                        <w14:solidFill>
                          <w14:schemeClr w14:val="tx1"/>
                        </w14:solidFill>
                      </w14:textFill>
                    </w:rPr>
                  </w:pPr>
                </w:p>
              </w:tc>
              <w:tc>
                <w:tcPr>
                  <w:tcW w:w="718" w:type="pct"/>
                  <w:vMerge w:val="continue"/>
                  <w:vAlign w:val="center"/>
                </w:tcPr>
                <w:p w14:paraId="398BC36D">
                  <w:pPr>
                    <w:rPr>
                      <w:rFonts w:eastAsia="Times New Roman"/>
                      <w:color w:val="000000" w:themeColor="text1"/>
                      <w:szCs w:val="20"/>
                      <w:highlight w:val="none"/>
                      <w14:textFill>
                        <w14:solidFill>
                          <w14:schemeClr w14:val="tx1"/>
                        </w14:solidFill>
                      </w14:textFill>
                    </w:rPr>
                  </w:pPr>
                </w:p>
              </w:tc>
              <w:tc>
                <w:tcPr>
                  <w:tcW w:w="515" w:type="pct"/>
                  <w:vMerge w:val="continue"/>
                  <w:vAlign w:val="center"/>
                </w:tcPr>
                <w:p w14:paraId="6D7A87FF">
                  <w:pPr>
                    <w:rPr>
                      <w:rFonts w:eastAsia="Times New Roman"/>
                      <w:color w:val="000000" w:themeColor="text1"/>
                      <w:szCs w:val="20"/>
                      <w:highlight w:val="none"/>
                      <w14:textFill>
                        <w14:solidFill>
                          <w14:schemeClr w14:val="tx1"/>
                        </w14:solidFill>
                      </w14:textFill>
                    </w:rPr>
                  </w:pPr>
                </w:p>
              </w:tc>
              <w:tc>
                <w:tcPr>
                  <w:tcW w:w="605" w:type="pct"/>
                  <w:vMerge w:val="continue"/>
                  <w:vAlign w:val="center"/>
                </w:tcPr>
                <w:p w14:paraId="7B44DAEB">
                  <w:pPr>
                    <w:rPr>
                      <w:rFonts w:eastAsia="Times New Roman"/>
                      <w:color w:val="000000" w:themeColor="text1"/>
                      <w:szCs w:val="20"/>
                      <w:highlight w:val="none"/>
                      <w14:textFill>
                        <w14:solidFill>
                          <w14:schemeClr w14:val="tx1"/>
                        </w14:solidFill>
                      </w14:textFill>
                    </w:rPr>
                  </w:pPr>
                </w:p>
              </w:tc>
            </w:tr>
            <w:tr w14:paraId="1684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3" w:type="pct"/>
                  <w:vAlign w:val="center"/>
                </w:tcPr>
                <w:p w14:paraId="2F5BD08D">
                  <w:pPr>
                    <w:jc w:val="center"/>
                    <w:rPr>
                      <w:rFonts w:eastAsia="Times New Roman"/>
                      <w:color w:val="000000" w:themeColor="text1"/>
                      <w:szCs w:val="20"/>
                      <w:highlight w:val="none"/>
                      <w14:textFill>
                        <w14:solidFill>
                          <w14:schemeClr w14:val="tx1"/>
                        </w14:solidFill>
                      </w14:textFill>
                    </w:rPr>
                  </w:pPr>
                  <w:r>
                    <w:rPr>
                      <w:rFonts w:eastAsia="Times New Roman"/>
                      <w:color w:val="000000" w:themeColor="text1"/>
                      <w:szCs w:val="20"/>
                      <w:highlight w:val="none"/>
                      <w14:textFill>
                        <w14:solidFill>
                          <w14:schemeClr w14:val="tx1"/>
                        </w14:solidFill>
                      </w14:textFill>
                    </w:rPr>
                    <w:t>1</w:t>
                  </w:r>
                </w:p>
              </w:tc>
              <w:tc>
                <w:tcPr>
                  <w:tcW w:w="514" w:type="pct"/>
                  <w:vAlign w:val="center"/>
                </w:tcPr>
                <w:p w14:paraId="37D8E74E">
                  <w:pPr>
                    <w:jc w:val="center"/>
                    <w:rPr>
                      <w:rFonts w:hint="default" w:eastAsia="宋体"/>
                      <w:color w:val="000000" w:themeColor="text1"/>
                      <w:szCs w:val="20"/>
                      <w:highlight w:val="none"/>
                      <w:lang w:val="en-US" w:eastAsia="zh-CN"/>
                      <w14:textFill>
                        <w14:solidFill>
                          <w14:schemeClr w14:val="tx1"/>
                        </w14:solidFill>
                      </w14:textFill>
                    </w:rPr>
                  </w:pPr>
                  <w:r>
                    <w:rPr>
                      <w:rFonts w:hint="eastAsia" w:eastAsia="宋体"/>
                      <w:color w:val="000000" w:themeColor="text1"/>
                      <w:szCs w:val="20"/>
                      <w:highlight w:val="none"/>
                      <w:lang w:val="en-US" w:eastAsia="zh-CN"/>
                      <w14:textFill>
                        <w14:solidFill>
                          <w14:schemeClr w14:val="tx1"/>
                        </w14:solidFill>
                      </w14:textFill>
                    </w:rPr>
                    <w:t>DA001</w:t>
                  </w:r>
                </w:p>
              </w:tc>
              <w:tc>
                <w:tcPr>
                  <w:tcW w:w="576" w:type="pct"/>
                  <w:vAlign w:val="center"/>
                </w:tcPr>
                <w:p w14:paraId="62F7E360">
                  <w:pPr>
                    <w:jc w:val="center"/>
                    <w:rPr>
                      <w:rFonts w:eastAsia="Times New Roman"/>
                      <w:color w:val="000000" w:themeColor="text1"/>
                      <w:szCs w:val="20"/>
                      <w:highlight w:val="none"/>
                      <w14:textFill>
                        <w14:solidFill>
                          <w14:schemeClr w14:val="tx1"/>
                        </w14:solidFill>
                      </w14:textFill>
                    </w:rPr>
                  </w:pPr>
                  <w:r>
                    <w:rPr>
                      <w:rFonts w:hint="eastAsia" w:eastAsia="宋体"/>
                      <w:color w:val="000000" w:themeColor="text1"/>
                      <w:szCs w:val="20"/>
                      <w:highlight w:val="none"/>
                      <w:lang w:val="en-US" w:eastAsia="zh-CN"/>
                      <w14:textFill>
                        <w14:solidFill>
                          <w14:schemeClr w14:val="tx1"/>
                        </w14:solidFill>
                      </w14:textFill>
                    </w:rPr>
                    <w:t>1</w:t>
                  </w:r>
                  <w:r>
                    <w:rPr>
                      <w:rFonts w:eastAsia="Times New Roman"/>
                      <w:color w:val="000000" w:themeColor="text1"/>
                      <w:szCs w:val="20"/>
                      <w:highlight w:val="none"/>
                      <w14:textFill>
                        <w14:solidFill>
                          <w14:schemeClr w14:val="tx1"/>
                        </w14:solidFill>
                      </w14:textFill>
                    </w:rPr>
                    <w:t>#排气筒</w:t>
                  </w:r>
                </w:p>
              </w:tc>
              <w:tc>
                <w:tcPr>
                  <w:tcW w:w="639" w:type="pct"/>
                  <w:shd w:val="clear" w:color="auto" w:fill="auto"/>
                  <w:vAlign w:val="center"/>
                </w:tcPr>
                <w:p w14:paraId="2252B3D0">
                  <w:pPr>
                    <w:pStyle w:val="134"/>
                    <w:adjustRightInd w:val="0"/>
                    <w:snapToGrid w:val="0"/>
                    <w:jc w:val="center"/>
                    <w:rPr>
                      <w:rFonts w:ascii="Times New Roman" w:hAnsi="Times New Roman" w:eastAsia="Times New Roman" w:cs="Times New Roman"/>
                      <w:color w:val="000000" w:themeColor="text1"/>
                      <w:kern w:val="2"/>
                      <w:sz w:val="21"/>
                      <w:highlight w:val="none"/>
                      <w:lang w:val="en-US" w:eastAsia="zh-CN" w:bidi="ar-SA"/>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11</w:t>
                  </w:r>
                  <w:r>
                    <w:rPr>
                      <w:rFonts w:hint="eastAsia" w:ascii="Times New Roman" w:hAnsi="Times New Roman" w:eastAsia="宋体"/>
                      <w:color w:val="000000" w:themeColor="text1"/>
                      <w:highlight w:val="none"/>
                      <w:lang w:val="en-US" w:eastAsia="zh-CN"/>
                      <w14:textFill>
                        <w14:solidFill>
                          <w14:schemeClr w14:val="tx1"/>
                        </w14:solidFill>
                      </w14:textFill>
                    </w:rPr>
                    <w:t>3</w:t>
                  </w:r>
                  <w:r>
                    <w:rPr>
                      <w:rFonts w:ascii="Times New Roman" w:hAnsi="Times New Roman" w:eastAsia="Times New Roman"/>
                      <w:color w:val="000000" w:themeColor="text1"/>
                      <w:highlight w:val="none"/>
                      <w14:textFill>
                        <w14:solidFill>
                          <w14:schemeClr w14:val="tx1"/>
                        </w14:solidFill>
                      </w14:textFill>
                    </w:rPr>
                    <w:t>°</w:t>
                  </w:r>
                  <w:r>
                    <w:rPr>
                      <w:rFonts w:hint="eastAsia" w:ascii="Times New Roman" w:hAnsi="Times New Roman" w:eastAsia="宋体"/>
                      <w:color w:val="000000" w:themeColor="text1"/>
                      <w:highlight w:val="none"/>
                      <w:lang w:val="en-US" w:eastAsia="zh-CN"/>
                      <w14:textFill>
                        <w14:solidFill>
                          <w14:schemeClr w14:val="tx1"/>
                        </w14:solidFill>
                      </w14:textFill>
                    </w:rPr>
                    <w:t>19</w:t>
                  </w:r>
                  <w:r>
                    <w:rPr>
                      <w:rFonts w:ascii="Times New Roman" w:hAnsi="Times New Roman" w:eastAsia="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29.683</w:t>
                  </w:r>
                  <w:r>
                    <w:rPr>
                      <w:rFonts w:ascii="Times New Roman" w:hAnsi="Times New Roman" w:eastAsia="Times New Roman"/>
                      <w:color w:val="000000" w:themeColor="text1"/>
                      <w:highlight w:val="none"/>
                      <w14:textFill>
                        <w14:solidFill>
                          <w14:schemeClr w14:val="tx1"/>
                        </w14:solidFill>
                      </w14:textFill>
                    </w:rPr>
                    <w:t>″</w:t>
                  </w:r>
                </w:p>
              </w:tc>
              <w:tc>
                <w:tcPr>
                  <w:tcW w:w="697" w:type="pct"/>
                  <w:shd w:val="clear" w:color="auto" w:fill="auto"/>
                  <w:vAlign w:val="center"/>
                </w:tcPr>
                <w:p w14:paraId="49D98B77">
                  <w:pPr>
                    <w:pStyle w:val="134"/>
                    <w:adjustRightInd w:val="0"/>
                    <w:snapToGrid w:val="0"/>
                    <w:jc w:val="center"/>
                    <w:rPr>
                      <w:rFonts w:ascii="Times New Roman" w:hAnsi="Times New Roman" w:eastAsia="Times New Roman" w:cs="Times New Roman"/>
                      <w:color w:val="000000" w:themeColor="text1"/>
                      <w:kern w:val="2"/>
                      <w:sz w:val="21"/>
                      <w:highlight w:val="none"/>
                      <w:lang w:val="en-US" w:eastAsia="zh-CN" w:bidi="ar-SA"/>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25°</w:t>
                  </w:r>
                  <w:r>
                    <w:rPr>
                      <w:rFonts w:hint="eastAsia" w:ascii="Times New Roman" w:hAnsi="Times New Roman" w:eastAsia="宋体"/>
                      <w:color w:val="000000" w:themeColor="text1"/>
                      <w:highlight w:val="none"/>
                      <w:lang w:val="en-US" w:eastAsia="zh-CN"/>
                      <w14:textFill>
                        <w14:solidFill>
                          <w14:schemeClr w14:val="tx1"/>
                        </w14:solidFill>
                      </w14:textFill>
                    </w:rPr>
                    <w:t>08</w:t>
                  </w:r>
                  <w:r>
                    <w:rPr>
                      <w:rFonts w:ascii="Times New Roman" w:hAnsi="Times New Roman" w:eastAsia="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27.610</w:t>
                  </w:r>
                  <w:r>
                    <w:rPr>
                      <w:rFonts w:ascii="Times New Roman" w:hAnsi="Times New Roman" w:eastAsia="Times New Roman"/>
                      <w:color w:val="000000" w:themeColor="text1"/>
                      <w:highlight w:val="none"/>
                      <w14:textFill>
                        <w14:solidFill>
                          <w14:schemeClr w14:val="tx1"/>
                        </w14:solidFill>
                      </w14:textFill>
                    </w:rPr>
                    <w:t>″</w:t>
                  </w:r>
                </w:p>
              </w:tc>
              <w:tc>
                <w:tcPr>
                  <w:tcW w:w="490" w:type="pct"/>
                  <w:vAlign w:val="center"/>
                </w:tcPr>
                <w:p w14:paraId="13FB42D3">
                  <w:pPr>
                    <w:pStyle w:val="122"/>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15</w:t>
                  </w:r>
                </w:p>
              </w:tc>
              <w:tc>
                <w:tcPr>
                  <w:tcW w:w="718" w:type="pct"/>
                  <w:vAlign w:val="center"/>
                </w:tcPr>
                <w:p w14:paraId="69725CCE">
                  <w:pPr>
                    <w:pStyle w:val="122"/>
                    <w:rPr>
                      <w:rFonts w:hint="default" w:ascii="Times New Roman" w:hAnsi="Times New Roman" w:eastAsiaTheme="minorEastAsia"/>
                      <w:color w:val="000000" w:themeColor="text1"/>
                      <w:highlight w:val="none"/>
                      <w:lang w:val="en-US" w:eastAsia="zh-CN"/>
                      <w14:textFill>
                        <w14:solidFill>
                          <w14:schemeClr w14:val="tx1"/>
                        </w14:solidFill>
                      </w14:textFill>
                    </w:rPr>
                  </w:pPr>
                  <w:r>
                    <w:rPr>
                      <w:rFonts w:hint="eastAsia" w:ascii="Times New Roman" w:hAnsi="Times New Roman" w:eastAsiaTheme="minorEastAsia"/>
                      <w:color w:val="000000" w:themeColor="text1"/>
                      <w:highlight w:val="none"/>
                      <w:lang w:val="en-US" w:eastAsia="zh-CN"/>
                      <w14:textFill>
                        <w14:solidFill>
                          <w14:schemeClr w14:val="tx1"/>
                        </w14:solidFill>
                      </w14:textFill>
                    </w:rPr>
                    <w:t>0.5</w:t>
                  </w:r>
                </w:p>
              </w:tc>
              <w:tc>
                <w:tcPr>
                  <w:tcW w:w="515" w:type="pct"/>
                  <w:vAlign w:val="center"/>
                </w:tcPr>
                <w:p w14:paraId="7536C88B">
                  <w:pPr>
                    <w:pStyle w:val="122"/>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30</w:t>
                  </w:r>
                </w:p>
              </w:tc>
              <w:tc>
                <w:tcPr>
                  <w:tcW w:w="605" w:type="pct"/>
                  <w:vAlign w:val="center"/>
                </w:tcPr>
                <w:p w14:paraId="71983D65">
                  <w:pPr>
                    <w:jc w:val="center"/>
                    <w:rPr>
                      <w:rFonts w:eastAsia="Times New Roman"/>
                      <w:color w:val="000000" w:themeColor="text1"/>
                      <w:szCs w:val="20"/>
                      <w:highlight w:val="none"/>
                      <w14:textFill>
                        <w14:solidFill>
                          <w14:schemeClr w14:val="tx1"/>
                        </w14:solidFill>
                      </w14:textFill>
                    </w:rPr>
                  </w:pPr>
                  <w:r>
                    <w:rPr>
                      <w:rFonts w:eastAsia="Times New Roman"/>
                      <w:color w:val="000000" w:themeColor="text1"/>
                      <w:szCs w:val="20"/>
                      <w:highlight w:val="none"/>
                      <w14:textFill>
                        <w14:solidFill>
                          <w14:schemeClr w14:val="tx1"/>
                        </w14:solidFill>
                      </w14:textFill>
                    </w:rPr>
                    <w:t>一般排放口</w:t>
                  </w:r>
                </w:p>
              </w:tc>
            </w:tr>
            <w:tr w14:paraId="387D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43" w:type="pct"/>
                  <w:vAlign w:val="center"/>
                </w:tcPr>
                <w:p w14:paraId="6F1A135E">
                  <w:pPr>
                    <w:jc w:val="center"/>
                    <w:rPr>
                      <w:rFonts w:hint="eastAsia" w:eastAsia="宋体"/>
                      <w:color w:val="000000" w:themeColor="text1"/>
                      <w:szCs w:val="20"/>
                      <w:highlight w:val="none"/>
                      <w:lang w:val="en-US" w:eastAsia="zh-CN"/>
                      <w14:textFill>
                        <w14:solidFill>
                          <w14:schemeClr w14:val="tx1"/>
                        </w14:solidFill>
                      </w14:textFill>
                    </w:rPr>
                  </w:pPr>
                  <w:r>
                    <w:rPr>
                      <w:rFonts w:hint="eastAsia" w:eastAsia="宋体"/>
                      <w:color w:val="000000" w:themeColor="text1"/>
                      <w:szCs w:val="20"/>
                      <w:highlight w:val="none"/>
                      <w:lang w:val="en-US" w:eastAsia="zh-CN"/>
                      <w14:textFill>
                        <w14:solidFill>
                          <w14:schemeClr w14:val="tx1"/>
                        </w14:solidFill>
                      </w14:textFill>
                    </w:rPr>
                    <w:t>2</w:t>
                  </w:r>
                </w:p>
              </w:tc>
              <w:tc>
                <w:tcPr>
                  <w:tcW w:w="514" w:type="pct"/>
                  <w:shd w:val="clear" w:color="auto" w:fill="auto"/>
                  <w:vAlign w:val="center"/>
                </w:tcPr>
                <w:p w14:paraId="38E40DE1">
                  <w:pPr>
                    <w:jc w:val="cente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eastAsia="宋体"/>
                      <w:color w:val="000000" w:themeColor="text1"/>
                      <w:szCs w:val="20"/>
                      <w:highlight w:val="none"/>
                      <w:lang w:eastAsia="zh-CN"/>
                      <w14:textFill>
                        <w14:solidFill>
                          <w14:schemeClr w14:val="tx1"/>
                        </w14:solidFill>
                      </w14:textFill>
                    </w:rPr>
                    <w:t>DA002</w:t>
                  </w:r>
                </w:p>
              </w:tc>
              <w:tc>
                <w:tcPr>
                  <w:tcW w:w="576" w:type="pct"/>
                  <w:shd w:val="clear" w:color="auto" w:fill="auto"/>
                  <w:vAlign w:val="center"/>
                </w:tcPr>
                <w:p w14:paraId="31D62DB4">
                  <w:pPr>
                    <w:jc w:val="center"/>
                    <w:rPr>
                      <w:rFonts w:ascii="Times New Roman" w:hAnsi="Times New Roman" w:eastAsia="Times New Roman" w:cs="Times New Roman"/>
                      <w:color w:val="000000" w:themeColor="text1"/>
                      <w:kern w:val="2"/>
                      <w:sz w:val="21"/>
                      <w:szCs w:val="20"/>
                      <w:highlight w:val="none"/>
                      <w:lang w:val="en-US" w:eastAsia="zh-CN" w:bidi="ar-SA"/>
                      <w14:textFill>
                        <w14:solidFill>
                          <w14:schemeClr w14:val="tx1"/>
                        </w14:solidFill>
                      </w14:textFill>
                    </w:rPr>
                  </w:pPr>
                  <w:r>
                    <w:rPr>
                      <w:rFonts w:hint="eastAsia" w:eastAsia="宋体"/>
                      <w:color w:val="000000" w:themeColor="text1"/>
                      <w:szCs w:val="20"/>
                      <w:highlight w:val="none"/>
                      <w:lang w:val="en-US" w:eastAsia="zh-CN"/>
                      <w14:textFill>
                        <w14:solidFill>
                          <w14:schemeClr w14:val="tx1"/>
                        </w14:solidFill>
                      </w14:textFill>
                    </w:rPr>
                    <w:t>2</w:t>
                  </w:r>
                  <w:r>
                    <w:rPr>
                      <w:rFonts w:eastAsia="Times New Roman"/>
                      <w:color w:val="000000" w:themeColor="text1"/>
                      <w:szCs w:val="20"/>
                      <w:highlight w:val="none"/>
                      <w14:textFill>
                        <w14:solidFill>
                          <w14:schemeClr w14:val="tx1"/>
                        </w14:solidFill>
                      </w14:textFill>
                    </w:rPr>
                    <w:t>#排气筒</w:t>
                  </w:r>
                </w:p>
              </w:tc>
              <w:tc>
                <w:tcPr>
                  <w:tcW w:w="639" w:type="pct"/>
                  <w:shd w:val="clear" w:color="auto" w:fill="auto"/>
                  <w:vAlign w:val="center"/>
                </w:tcPr>
                <w:p w14:paraId="24F99ADE">
                  <w:pPr>
                    <w:pStyle w:val="134"/>
                    <w:adjustRightInd w:val="0"/>
                    <w:snapToGrid w:val="0"/>
                    <w:jc w:val="center"/>
                    <w:rPr>
                      <w:rFonts w:ascii="Times New Roman" w:hAnsi="Times New Roman" w:eastAsia="Times New Roman" w:cs="Times New Roman"/>
                      <w:color w:val="000000" w:themeColor="text1"/>
                      <w:kern w:val="2"/>
                      <w:sz w:val="21"/>
                      <w:highlight w:val="none"/>
                      <w:lang w:val="en-US" w:eastAsia="zh-CN" w:bidi="ar-SA"/>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11</w:t>
                  </w:r>
                  <w:r>
                    <w:rPr>
                      <w:rFonts w:hint="eastAsia" w:ascii="Times New Roman" w:hAnsi="Times New Roman" w:eastAsia="宋体"/>
                      <w:color w:val="000000" w:themeColor="text1"/>
                      <w:highlight w:val="none"/>
                      <w:lang w:val="en-US" w:eastAsia="zh-CN"/>
                      <w14:textFill>
                        <w14:solidFill>
                          <w14:schemeClr w14:val="tx1"/>
                        </w14:solidFill>
                      </w14:textFill>
                    </w:rPr>
                    <w:t>3</w:t>
                  </w:r>
                  <w:r>
                    <w:rPr>
                      <w:rFonts w:ascii="Times New Roman" w:hAnsi="Times New Roman" w:eastAsia="Times New Roman"/>
                      <w:color w:val="000000" w:themeColor="text1"/>
                      <w:highlight w:val="none"/>
                      <w14:textFill>
                        <w14:solidFill>
                          <w14:schemeClr w14:val="tx1"/>
                        </w14:solidFill>
                      </w14:textFill>
                    </w:rPr>
                    <w:t>°</w:t>
                  </w:r>
                  <w:r>
                    <w:rPr>
                      <w:rFonts w:hint="eastAsia" w:ascii="Times New Roman" w:hAnsi="Times New Roman" w:eastAsia="宋体"/>
                      <w:color w:val="000000" w:themeColor="text1"/>
                      <w:highlight w:val="none"/>
                      <w:lang w:val="en-US" w:eastAsia="zh-CN"/>
                      <w14:textFill>
                        <w14:solidFill>
                          <w14:schemeClr w14:val="tx1"/>
                        </w14:solidFill>
                      </w14:textFill>
                    </w:rPr>
                    <w:t>19</w:t>
                  </w:r>
                  <w:r>
                    <w:rPr>
                      <w:rFonts w:ascii="Times New Roman" w:hAnsi="Times New Roman" w:eastAsia="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29.495</w:t>
                  </w:r>
                  <w:r>
                    <w:rPr>
                      <w:rFonts w:ascii="Times New Roman" w:hAnsi="Times New Roman" w:eastAsia="Times New Roman"/>
                      <w:color w:val="000000" w:themeColor="text1"/>
                      <w:highlight w:val="none"/>
                      <w14:textFill>
                        <w14:solidFill>
                          <w14:schemeClr w14:val="tx1"/>
                        </w14:solidFill>
                      </w14:textFill>
                    </w:rPr>
                    <w:t>″</w:t>
                  </w:r>
                </w:p>
              </w:tc>
              <w:tc>
                <w:tcPr>
                  <w:tcW w:w="697" w:type="pct"/>
                  <w:shd w:val="clear" w:color="auto" w:fill="auto"/>
                  <w:vAlign w:val="center"/>
                </w:tcPr>
                <w:p w14:paraId="72BB8BB1">
                  <w:pPr>
                    <w:pStyle w:val="134"/>
                    <w:adjustRightInd w:val="0"/>
                    <w:snapToGrid w:val="0"/>
                    <w:jc w:val="center"/>
                    <w:rPr>
                      <w:rFonts w:ascii="Times New Roman" w:hAnsi="Times New Roman" w:eastAsia="Times New Roman" w:cs="Times New Roman"/>
                      <w:color w:val="000000" w:themeColor="text1"/>
                      <w:kern w:val="2"/>
                      <w:sz w:val="21"/>
                      <w:highlight w:val="none"/>
                      <w:lang w:val="en-US" w:eastAsia="zh-CN" w:bidi="ar-SA"/>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25°</w:t>
                  </w:r>
                  <w:r>
                    <w:rPr>
                      <w:rFonts w:hint="eastAsia" w:ascii="Times New Roman" w:hAnsi="Times New Roman" w:eastAsia="宋体"/>
                      <w:color w:val="000000" w:themeColor="text1"/>
                      <w:highlight w:val="none"/>
                      <w:lang w:val="en-US" w:eastAsia="zh-CN"/>
                      <w14:textFill>
                        <w14:solidFill>
                          <w14:schemeClr w14:val="tx1"/>
                        </w14:solidFill>
                      </w14:textFill>
                    </w:rPr>
                    <w:t>08</w:t>
                  </w:r>
                  <w:r>
                    <w:rPr>
                      <w:rFonts w:ascii="Times New Roman" w:hAnsi="Times New Roman" w:eastAsia="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lang w:val="en-US" w:eastAsia="zh-CN"/>
                      <w14:textFill>
                        <w14:solidFill>
                          <w14:schemeClr w14:val="tx1"/>
                        </w14:solidFill>
                      </w14:textFill>
                    </w:rPr>
                    <w:t>28.506</w:t>
                  </w:r>
                  <w:r>
                    <w:rPr>
                      <w:rFonts w:ascii="Times New Roman" w:hAnsi="Times New Roman" w:eastAsia="Times New Roman"/>
                      <w:color w:val="000000" w:themeColor="text1"/>
                      <w:highlight w:val="none"/>
                      <w14:textFill>
                        <w14:solidFill>
                          <w14:schemeClr w14:val="tx1"/>
                        </w14:solidFill>
                      </w14:textFill>
                    </w:rPr>
                    <w:t>″</w:t>
                  </w:r>
                </w:p>
              </w:tc>
              <w:tc>
                <w:tcPr>
                  <w:tcW w:w="490" w:type="pct"/>
                  <w:shd w:val="clear" w:color="auto" w:fill="auto"/>
                  <w:vAlign w:val="center"/>
                </w:tcPr>
                <w:p w14:paraId="676C5F1F">
                  <w:pPr>
                    <w:pStyle w:val="122"/>
                    <w:rPr>
                      <w:rFonts w:hint="eastAsia" w:ascii="Times New Roman" w:hAnsi="Times New Roman" w:eastAsia="宋体" w:cs="Times New Roman"/>
                      <w:snapToGrid w:val="0"/>
                      <w:color w:val="000000" w:themeColor="text1"/>
                      <w:kern w:val="0"/>
                      <w:sz w:val="21"/>
                      <w:szCs w:val="20"/>
                      <w:highlight w:val="none"/>
                      <w:lang w:val="en-US" w:eastAsia="zh-CN" w:bidi="ar-SA"/>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1</w:t>
                  </w:r>
                  <w:r>
                    <w:rPr>
                      <w:rFonts w:hint="eastAsia" w:ascii="Times New Roman" w:hAnsi="Times New Roman" w:eastAsia="宋体"/>
                      <w:color w:val="000000" w:themeColor="text1"/>
                      <w:highlight w:val="none"/>
                      <w:lang w:val="en-US" w:eastAsia="zh-CN"/>
                      <w14:textFill>
                        <w14:solidFill>
                          <w14:schemeClr w14:val="tx1"/>
                        </w14:solidFill>
                      </w14:textFill>
                    </w:rPr>
                    <w:t>5</w:t>
                  </w:r>
                </w:p>
              </w:tc>
              <w:tc>
                <w:tcPr>
                  <w:tcW w:w="718" w:type="pct"/>
                  <w:shd w:val="clear" w:color="auto" w:fill="auto"/>
                  <w:vAlign w:val="center"/>
                </w:tcPr>
                <w:p w14:paraId="21C8C6F1">
                  <w:pPr>
                    <w:pStyle w:val="122"/>
                    <w:rPr>
                      <w:rFonts w:hint="default" w:ascii="Times New Roman" w:hAnsi="Times New Roman" w:cs="Times New Roman" w:eastAsiaTheme="minorEastAsia"/>
                      <w:snapToGrid w:val="0"/>
                      <w:color w:val="000000" w:themeColor="text1"/>
                      <w:kern w:val="0"/>
                      <w:sz w:val="21"/>
                      <w:szCs w:val="20"/>
                      <w:highlight w:val="none"/>
                      <w:lang w:val="en-US" w:eastAsia="zh-CN" w:bidi="ar-SA"/>
                      <w14:textFill>
                        <w14:solidFill>
                          <w14:schemeClr w14:val="tx1"/>
                        </w14:solidFill>
                      </w14:textFill>
                    </w:rPr>
                  </w:pPr>
                  <w:r>
                    <w:rPr>
                      <w:rFonts w:hint="eastAsia" w:ascii="Times New Roman" w:hAnsi="Times New Roman" w:eastAsiaTheme="minorEastAsia"/>
                      <w:color w:val="000000" w:themeColor="text1"/>
                      <w:highlight w:val="none"/>
                      <w:lang w:val="en-US" w:eastAsia="zh-CN"/>
                      <w14:textFill>
                        <w14:solidFill>
                          <w14:schemeClr w14:val="tx1"/>
                        </w14:solidFill>
                      </w14:textFill>
                    </w:rPr>
                    <w:t>1.0</w:t>
                  </w:r>
                </w:p>
              </w:tc>
              <w:tc>
                <w:tcPr>
                  <w:tcW w:w="515" w:type="pct"/>
                  <w:shd w:val="clear" w:color="auto" w:fill="auto"/>
                  <w:vAlign w:val="center"/>
                </w:tcPr>
                <w:p w14:paraId="2EB0729C">
                  <w:pPr>
                    <w:pStyle w:val="122"/>
                    <w:rPr>
                      <w:rFonts w:hint="eastAsia" w:ascii="Times New Roman" w:hAnsi="Times New Roman" w:eastAsia="宋体" w:cs="Times New Roman"/>
                      <w:snapToGrid w:val="0"/>
                      <w:color w:val="000000" w:themeColor="text1"/>
                      <w:kern w:val="0"/>
                      <w:sz w:val="21"/>
                      <w:szCs w:val="20"/>
                      <w:highlight w:val="none"/>
                      <w:lang w:val="en-US" w:eastAsia="zh-CN" w:bidi="ar-SA"/>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50</w:t>
                  </w:r>
                </w:p>
              </w:tc>
              <w:tc>
                <w:tcPr>
                  <w:tcW w:w="605" w:type="pct"/>
                  <w:shd w:val="clear" w:color="auto" w:fill="auto"/>
                  <w:vAlign w:val="center"/>
                </w:tcPr>
                <w:p w14:paraId="09E07579">
                  <w:pPr>
                    <w:jc w:val="center"/>
                    <w:rPr>
                      <w:rFonts w:ascii="Times New Roman" w:hAnsi="Times New Roman" w:eastAsia="Times New Roman" w:cs="Times New Roman"/>
                      <w:color w:val="000000" w:themeColor="text1"/>
                      <w:kern w:val="2"/>
                      <w:sz w:val="21"/>
                      <w:szCs w:val="20"/>
                      <w:highlight w:val="none"/>
                      <w:lang w:val="en-US" w:eastAsia="zh-CN" w:bidi="ar-SA"/>
                      <w14:textFill>
                        <w14:solidFill>
                          <w14:schemeClr w14:val="tx1"/>
                        </w14:solidFill>
                      </w14:textFill>
                    </w:rPr>
                  </w:pPr>
                  <w:r>
                    <w:rPr>
                      <w:rFonts w:eastAsia="Times New Roman"/>
                      <w:color w:val="000000" w:themeColor="text1"/>
                      <w:szCs w:val="20"/>
                      <w:highlight w:val="none"/>
                      <w14:textFill>
                        <w14:solidFill>
                          <w14:schemeClr w14:val="tx1"/>
                        </w14:solidFill>
                      </w14:textFill>
                    </w:rPr>
                    <w:t>一般排放口</w:t>
                  </w:r>
                </w:p>
              </w:tc>
            </w:tr>
          </w:tbl>
          <w:p w14:paraId="60ADC63A">
            <w:pPr>
              <w:adjustRightInd w:val="0"/>
              <w:snapToGrid w:val="0"/>
              <w:spacing w:line="360" w:lineRule="auto"/>
              <w:ind w:firstLine="482" w:firstLineChars="200"/>
              <w:jc w:val="center"/>
              <w:rPr>
                <w:b/>
                <w:color w:val="000000" w:themeColor="text1"/>
                <w:sz w:val="24"/>
                <w:szCs w:val="21"/>
                <w:highlight w:val="none"/>
                <w14:textFill>
                  <w14:solidFill>
                    <w14:schemeClr w14:val="tx1"/>
                  </w14:solidFill>
                </w14:textFill>
              </w:rPr>
            </w:pPr>
          </w:p>
          <w:p w14:paraId="2AD9761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center"/>
              <w:textAlignment w:val="auto"/>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表</w:t>
            </w:r>
            <w:r>
              <w:rPr>
                <w:b/>
                <w:bCs/>
                <w:spacing w:val="-2"/>
                <w:sz w:val="24"/>
                <w:highlight w:val="none"/>
              </w:rPr>
              <w:t>4-</w:t>
            </w:r>
            <w:r>
              <w:rPr>
                <w:rFonts w:hint="eastAsia"/>
                <w:b/>
                <w:bCs/>
                <w:spacing w:val="-2"/>
                <w:sz w:val="24"/>
                <w:highlight w:val="none"/>
                <w:lang w:val="en-US" w:eastAsia="zh-CN"/>
              </w:rPr>
              <w:t>9</w:t>
            </w:r>
            <w:r>
              <w:rPr>
                <w:b/>
                <w:bCs/>
                <w:spacing w:val="-2"/>
                <w:sz w:val="24"/>
                <w:highlight w:val="none"/>
              </w:rPr>
              <w:t xml:space="preserve"> </w:t>
            </w:r>
            <w:r>
              <w:rPr>
                <w:b/>
                <w:color w:val="000000" w:themeColor="text1"/>
                <w:sz w:val="24"/>
                <w:szCs w:val="21"/>
                <w:highlight w:val="none"/>
                <w14:textFill>
                  <w14:solidFill>
                    <w14:schemeClr w14:val="tx1"/>
                  </w14:solidFill>
                </w14:textFill>
              </w:rPr>
              <w:t>本项目污染物产排情况</w:t>
            </w:r>
          </w:p>
          <w:tbl>
            <w:tblPr>
              <w:tblStyle w:val="34"/>
              <w:tblW w:w="12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2072"/>
              <w:gridCol w:w="881"/>
              <w:gridCol w:w="900"/>
              <w:gridCol w:w="872"/>
              <w:gridCol w:w="910"/>
              <w:gridCol w:w="1134"/>
              <w:gridCol w:w="900"/>
              <w:gridCol w:w="853"/>
              <w:gridCol w:w="1097"/>
              <w:gridCol w:w="881"/>
              <w:gridCol w:w="844"/>
              <w:gridCol w:w="834"/>
            </w:tblGrid>
            <w:tr w14:paraId="67B8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09" w:type="dxa"/>
                  <w:vMerge w:val="restart"/>
                  <w:shd w:val="clear" w:color="auto" w:fill="auto"/>
                  <w:vAlign w:val="center"/>
                </w:tcPr>
                <w:p w14:paraId="6A21B504">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排放形式</w:t>
                  </w:r>
                </w:p>
              </w:tc>
              <w:tc>
                <w:tcPr>
                  <w:tcW w:w="2072" w:type="dxa"/>
                  <w:vMerge w:val="restart"/>
                  <w:shd w:val="clear" w:color="auto" w:fill="auto"/>
                  <w:vAlign w:val="center"/>
                </w:tcPr>
                <w:p w14:paraId="05ABC992">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污染源</w:t>
                  </w:r>
                </w:p>
              </w:tc>
              <w:tc>
                <w:tcPr>
                  <w:tcW w:w="881" w:type="dxa"/>
                  <w:vMerge w:val="restart"/>
                  <w:shd w:val="clear" w:color="auto" w:fill="auto"/>
                  <w:vAlign w:val="center"/>
                </w:tcPr>
                <w:p w14:paraId="56752CEE">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污染物种类</w:t>
                  </w:r>
                </w:p>
              </w:tc>
              <w:tc>
                <w:tcPr>
                  <w:tcW w:w="900" w:type="dxa"/>
                  <w:vMerge w:val="restart"/>
                  <w:shd w:val="clear" w:color="auto" w:fill="auto"/>
                  <w:vAlign w:val="center"/>
                </w:tcPr>
                <w:p w14:paraId="383445D2">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排放口编号</w:t>
                  </w:r>
                </w:p>
              </w:tc>
              <w:tc>
                <w:tcPr>
                  <w:tcW w:w="872" w:type="dxa"/>
                  <w:vMerge w:val="restart"/>
                  <w:shd w:val="clear" w:color="auto" w:fill="auto"/>
                  <w:vAlign w:val="center"/>
                </w:tcPr>
                <w:p w14:paraId="2DBFDCE4">
                  <w:pPr>
                    <w:widowControl/>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废气量m</w:t>
                  </w:r>
                  <w:r>
                    <w:rPr>
                      <w:rFonts w:hint="default" w:ascii="Times New Roman" w:hAnsi="Times New Roman" w:cs="Times New Roman"/>
                      <w:b/>
                      <w:bCs/>
                      <w:color w:val="000000"/>
                      <w:kern w:val="0"/>
                      <w:szCs w:val="21"/>
                      <w:highlight w:val="none"/>
                      <w:vertAlign w:val="superscript"/>
                    </w:rPr>
                    <w:t>3</w:t>
                  </w:r>
                  <w:r>
                    <w:rPr>
                      <w:rFonts w:hint="default" w:ascii="Times New Roman" w:hAnsi="Times New Roman" w:cs="Times New Roman"/>
                      <w:b/>
                      <w:bCs/>
                      <w:color w:val="000000"/>
                      <w:kern w:val="0"/>
                      <w:szCs w:val="21"/>
                      <w:highlight w:val="none"/>
                    </w:rPr>
                    <w:t>/h</w:t>
                  </w:r>
                </w:p>
              </w:tc>
              <w:tc>
                <w:tcPr>
                  <w:tcW w:w="2944" w:type="dxa"/>
                  <w:gridSpan w:val="3"/>
                  <w:shd w:val="clear" w:color="auto" w:fill="auto"/>
                  <w:vAlign w:val="center"/>
                </w:tcPr>
                <w:p w14:paraId="1CC97D12">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产生情况</w:t>
                  </w:r>
                </w:p>
              </w:tc>
              <w:tc>
                <w:tcPr>
                  <w:tcW w:w="2831" w:type="dxa"/>
                  <w:gridSpan w:val="3"/>
                  <w:shd w:val="clear" w:color="auto" w:fill="auto"/>
                  <w:vAlign w:val="center"/>
                </w:tcPr>
                <w:p w14:paraId="3C4A961C">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排放情况</w:t>
                  </w:r>
                </w:p>
              </w:tc>
              <w:tc>
                <w:tcPr>
                  <w:tcW w:w="1678" w:type="dxa"/>
                  <w:gridSpan w:val="2"/>
                  <w:shd w:val="clear" w:color="auto" w:fill="auto"/>
                  <w:vAlign w:val="center"/>
                </w:tcPr>
                <w:p w14:paraId="12AFDE85">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排放标准</w:t>
                  </w:r>
                </w:p>
              </w:tc>
            </w:tr>
            <w:tr w14:paraId="5635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09" w:type="dxa"/>
                  <w:vMerge w:val="continue"/>
                  <w:vAlign w:val="center"/>
                </w:tcPr>
                <w:p w14:paraId="58F2C97E">
                  <w:pPr>
                    <w:widowControl/>
                    <w:jc w:val="left"/>
                    <w:rPr>
                      <w:rFonts w:hint="default" w:ascii="Times New Roman" w:hAnsi="Times New Roman" w:cs="Times New Roman"/>
                      <w:b/>
                      <w:bCs/>
                      <w:color w:val="000000"/>
                      <w:kern w:val="0"/>
                      <w:szCs w:val="21"/>
                      <w:highlight w:val="none"/>
                    </w:rPr>
                  </w:pPr>
                </w:p>
              </w:tc>
              <w:tc>
                <w:tcPr>
                  <w:tcW w:w="2072" w:type="dxa"/>
                  <w:vMerge w:val="continue"/>
                  <w:vAlign w:val="center"/>
                </w:tcPr>
                <w:p w14:paraId="356B5EE0">
                  <w:pPr>
                    <w:widowControl/>
                    <w:jc w:val="left"/>
                    <w:rPr>
                      <w:rFonts w:hint="default" w:ascii="Times New Roman" w:hAnsi="Times New Roman" w:cs="Times New Roman"/>
                      <w:b/>
                      <w:bCs/>
                      <w:color w:val="000000"/>
                      <w:kern w:val="0"/>
                      <w:szCs w:val="21"/>
                      <w:highlight w:val="none"/>
                    </w:rPr>
                  </w:pPr>
                </w:p>
              </w:tc>
              <w:tc>
                <w:tcPr>
                  <w:tcW w:w="881" w:type="dxa"/>
                  <w:vMerge w:val="continue"/>
                  <w:vAlign w:val="center"/>
                </w:tcPr>
                <w:p w14:paraId="442C7F16">
                  <w:pPr>
                    <w:widowControl/>
                    <w:jc w:val="left"/>
                    <w:rPr>
                      <w:rFonts w:hint="default" w:ascii="Times New Roman" w:hAnsi="Times New Roman" w:cs="Times New Roman"/>
                      <w:b/>
                      <w:bCs/>
                      <w:color w:val="000000"/>
                      <w:kern w:val="0"/>
                      <w:szCs w:val="21"/>
                      <w:highlight w:val="none"/>
                    </w:rPr>
                  </w:pPr>
                </w:p>
              </w:tc>
              <w:tc>
                <w:tcPr>
                  <w:tcW w:w="900" w:type="dxa"/>
                  <w:vMerge w:val="continue"/>
                  <w:vAlign w:val="center"/>
                </w:tcPr>
                <w:p w14:paraId="447E98A9">
                  <w:pPr>
                    <w:widowControl/>
                    <w:jc w:val="left"/>
                    <w:rPr>
                      <w:rFonts w:hint="default" w:ascii="Times New Roman" w:hAnsi="Times New Roman" w:cs="Times New Roman"/>
                      <w:b/>
                      <w:bCs/>
                      <w:color w:val="000000"/>
                      <w:kern w:val="0"/>
                      <w:szCs w:val="21"/>
                      <w:highlight w:val="none"/>
                    </w:rPr>
                  </w:pPr>
                </w:p>
              </w:tc>
              <w:tc>
                <w:tcPr>
                  <w:tcW w:w="872" w:type="dxa"/>
                  <w:vMerge w:val="continue"/>
                  <w:shd w:val="clear" w:color="auto" w:fill="auto"/>
                  <w:vAlign w:val="center"/>
                </w:tcPr>
                <w:p w14:paraId="5AD8E4A8">
                  <w:pPr>
                    <w:widowControl/>
                    <w:jc w:val="center"/>
                    <w:rPr>
                      <w:rFonts w:hint="default" w:ascii="Times New Roman" w:hAnsi="Times New Roman" w:cs="Times New Roman"/>
                      <w:b/>
                      <w:bCs/>
                      <w:color w:val="000000"/>
                      <w:kern w:val="0"/>
                      <w:szCs w:val="21"/>
                      <w:highlight w:val="none"/>
                    </w:rPr>
                  </w:pPr>
                </w:p>
              </w:tc>
              <w:tc>
                <w:tcPr>
                  <w:tcW w:w="910" w:type="dxa"/>
                  <w:shd w:val="clear" w:color="auto" w:fill="auto"/>
                  <w:vAlign w:val="center"/>
                </w:tcPr>
                <w:p w14:paraId="5549A9C1">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产生量</w:t>
                  </w:r>
                </w:p>
                <w:p w14:paraId="361AA79B">
                  <w:pPr>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t/a</w:t>
                  </w:r>
                </w:p>
              </w:tc>
              <w:tc>
                <w:tcPr>
                  <w:tcW w:w="1134" w:type="dxa"/>
                  <w:shd w:val="clear" w:color="auto" w:fill="auto"/>
                  <w:vAlign w:val="center"/>
                </w:tcPr>
                <w:p w14:paraId="7AF43C98">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产生浓度mg/m</w:t>
                  </w:r>
                  <w:r>
                    <w:rPr>
                      <w:rFonts w:hint="default" w:ascii="Times New Roman" w:hAnsi="Times New Roman" w:cs="Times New Roman"/>
                      <w:b/>
                      <w:bCs/>
                      <w:color w:val="000000"/>
                      <w:kern w:val="0"/>
                      <w:szCs w:val="21"/>
                      <w:highlight w:val="none"/>
                      <w:vertAlign w:val="superscript"/>
                    </w:rPr>
                    <w:t>3</w:t>
                  </w:r>
                </w:p>
              </w:tc>
              <w:tc>
                <w:tcPr>
                  <w:tcW w:w="900" w:type="dxa"/>
                  <w:shd w:val="clear" w:color="auto" w:fill="auto"/>
                  <w:vAlign w:val="center"/>
                </w:tcPr>
                <w:p w14:paraId="7103BF5B">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产生速率kg/h</w:t>
                  </w:r>
                </w:p>
              </w:tc>
              <w:tc>
                <w:tcPr>
                  <w:tcW w:w="853" w:type="dxa"/>
                  <w:shd w:val="clear" w:color="auto" w:fill="auto"/>
                  <w:vAlign w:val="center"/>
                </w:tcPr>
                <w:p w14:paraId="56B8B8D9">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排放量</w:t>
                  </w:r>
                </w:p>
                <w:p w14:paraId="4759F14E">
                  <w:pPr>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t/a</w:t>
                  </w:r>
                </w:p>
              </w:tc>
              <w:tc>
                <w:tcPr>
                  <w:tcW w:w="1097" w:type="dxa"/>
                  <w:shd w:val="clear" w:color="auto" w:fill="auto"/>
                  <w:vAlign w:val="center"/>
                </w:tcPr>
                <w:p w14:paraId="4FDD2D59">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排放浓度mg/m</w:t>
                  </w:r>
                  <w:r>
                    <w:rPr>
                      <w:rFonts w:hint="default" w:ascii="Times New Roman" w:hAnsi="Times New Roman" w:cs="Times New Roman"/>
                      <w:b/>
                      <w:bCs/>
                      <w:color w:val="000000"/>
                      <w:kern w:val="0"/>
                      <w:szCs w:val="21"/>
                      <w:highlight w:val="none"/>
                      <w:vertAlign w:val="superscript"/>
                    </w:rPr>
                    <w:t>3</w:t>
                  </w:r>
                </w:p>
              </w:tc>
              <w:tc>
                <w:tcPr>
                  <w:tcW w:w="881" w:type="dxa"/>
                  <w:shd w:val="clear" w:color="auto" w:fill="auto"/>
                  <w:vAlign w:val="center"/>
                </w:tcPr>
                <w:p w14:paraId="4A88B14E">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排放速率kg/h</w:t>
                  </w:r>
                </w:p>
              </w:tc>
              <w:tc>
                <w:tcPr>
                  <w:tcW w:w="844" w:type="dxa"/>
                  <w:shd w:val="clear" w:color="auto" w:fill="auto"/>
                  <w:vAlign w:val="center"/>
                </w:tcPr>
                <w:p w14:paraId="770AAAEC">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排放浓度mg/m</w:t>
                  </w:r>
                  <w:r>
                    <w:rPr>
                      <w:rFonts w:hint="default" w:ascii="Times New Roman" w:hAnsi="Times New Roman" w:cs="Times New Roman"/>
                      <w:b/>
                      <w:bCs/>
                      <w:color w:val="000000"/>
                      <w:kern w:val="0"/>
                      <w:szCs w:val="21"/>
                      <w:highlight w:val="none"/>
                      <w:vertAlign w:val="superscript"/>
                    </w:rPr>
                    <w:t>3</w:t>
                  </w:r>
                </w:p>
              </w:tc>
              <w:tc>
                <w:tcPr>
                  <w:tcW w:w="834" w:type="dxa"/>
                  <w:shd w:val="clear" w:color="auto" w:fill="auto"/>
                  <w:vAlign w:val="center"/>
                </w:tcPr>
                <w:p w14:paraId="2CB52CC5">
                  <w:pPr>
                    <w:widowControl/>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排放速率kg/h</w:t>
                  </w:r>
                </w:p>
              </w:tc>
            </w:tr>
            <w:tr w14:paraId="77F4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09" w:type="dxa"/>
                  <w:vMerge w:val="restart"/>
                  <w:vAlign w:val="center"/>
                </w:tcPr>
                <w:p w14:paraId="0F35EB3B">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有组织排放</w:t>
                  </w:r>
                </w:p>
              </w:tc>
              <w:tc>
                <w:tcPr>
                  <w:tcW w:w="2072" w:type="dxa"/>
                  <w:vAlign w:val="center"/>
                </w:tcPr>
                <w:p w14:paraId="7AA5CE35">
                  <w:pPr>
                    <w:widowControl/>
                    <w:jc w:val="center"/>
                    <w:rPr>
                      <w:rFonts w:hint="default" w:ascii="Times New Roman" w:hAnsi="Times New Roman" w:cs="Times New Roman"/>
                      <w:b w:val="0"/>
                      <w:bCs w:val="0"/>
                      <w:color w:val="000000"/>
                      <w:kern w:val="0"/>
                      <w:szCs w:val="21"/>
                      <w:highlight w:val="none"/>
                    </w:rPr>
                  </w:pPr>
                  <w:r>
                    <w:rPr>
                      <w:rFonts w:hint="eastAsia" w:cs="Times New Roman"/>
                      <w:b w:val="0"/>
                      <w:bCs w:val="0"/>
                      <w:color w:val="000000"/>
                      <w:kern w:val="0"/>
                      <w:szCs w:val="21"/>
                      <w:highlight w:val="none"/>
                      <w:lang w:val="en-US" w:eastAsia="zh-CN"/>
                    </w:rPr>
                    <w:t>粉碎粉尘</w:t>
                  </w:r>
                </w:p>
              </w:tc>
              <w:tc>
                <w:tcPr>
                  <w:tcW w:w="881" w:type="dxa"/>
                  <w:vAlign w:val="center"/>
                </w:tcPr>
                <w:p w14:paraId="36585F08">
                  <w:pPr>
                    <w:widowControl/>
                    <w:jc w:val="center"/>
                    <w:rPr>
                      <w:rFonts w:hint="eastAsia" w:ascii="Times New Roman" w:hAnsi="Times New Roman" w:eastAsia="宋体" w:cs="Times New Roman"/>
                      <w:b w:val="0"/>
                      <w:bCs w:val="0"/>
                      <w:color w:val="000000"/>
                      <w:kern w:val="0"/>
                      <w:szCs w:val="21"/>
                      <w:highlight w:val="none"/>
                      <w:lang w:val="en-US" w:eastAsia="zh-CN"/>
                    </w:rPr>
                  </w:pPr>
                  <w:r>
                    <w:rPr>
                      <w:rFonts w:hint="eastAsia" w:cs="Times New Roman"/>
                      <w:b w:val="0"/>
                      <w:bCs w:val="0"/>
                      <w:color w:val="000000"/>
                      <w:kern w:val="0"/>
                      <w:szCs w:val="21"/>
                      <w:highlight w:val="none"/>
                      <w:lang w:val="en-US" w:eastAsia="zh-CN"/>
                    </w:rPr>
                    <w:t>颗粒物</w:t>
                  </w:r>
                </w:p>
              </w:tc>
              <w:tc>
                <w:tcPr>
                  <w:tcW w:w="900" w:type="dxa"/>
                  <w:vAlign w:val="center"/>
                </w:tcPr>
                <w:p w14:paraId="60AC5C3D">
                  <w:pPr>
                    <w:widowControl/>
                    <w:jc w:val="center"/>
                    <w:rPr>
                      <w:rFonts w:hint="default" w:ascii="Times New Roman" w:hAnsi="Times New Roman" w:eastAsia="宋体" w:cs="Times New Roman"/>
                      <w:b w:val="0"/>
                      <w:bCs w:val="0"/>
                      <w:color w:val="000000"/>
                      <w:kern w:val="0"/>
                      <w:szCs w:val="21"/>
                      <w:highlight w:val="none"/>
                      <w:lang w:val="en-US" w:eastAsia="zh-CN"/>
                    </w:rPr>
                  </w:pPr>
                  <w:r>
                    <w:rPr>
                      <w:rFonts w:hint="eastAsia" w:cs="Times New Roman"/>
                      <w:b w:val="0"/>
                      <w:bCs w:val="0"/>
                      <w:color w:val="000000"/>
                      <w:kern w:val="0"/>
                      <w:szCs w:val="21"/>
                      <w:highlight w:val="none"/>
                      <w:lang w:val="en-US" w:eastAsia="zh-CN"/>
                    </w:rPr>
                    <w:t>DA001</w:t>
                  </w:r>
                </w:p>
              </w:tc>
              <w:tc>
                <w:tcPr>
                  <w:tcW w:w="872" w:type="dxa"/>
                  <w:shd w:val="clear" w:color="auto" w:fill="auto"/>
                  <w:vAlign w:val="center"/>
                </w:tcPr>
                <w:p w14:paraId="70E94906">
                  <w:pPr>
                    <w:widowControl/>
                    <w:jc w:val="center"/>
                    <w:rPr>
                      <w:rFonts w:hint="default" w:ascii="Times New Roman" w:hAnsi="Times New Roman" w:eastAsia="宋体" w:cs="Times New Roman"/>
                      <w:b w:val="0"/>
                      <w:bCs w:val="0"/>
                      <w:color w:val="000000"/>
                      <w:kern w:val="0"/>
                      <w:szCs w:val="21"/>
                      <w:highlight w:val="none"/>
                      <w:lang w:val="en-US" w:eastAsia="zh-CN"/>
                    </w:rPr>
                  </w:pPr>
                  <w:r>
                    <w:rPr>
                      <w:rFonts w:hint="eastAsia" w:cs="Times New Roman"/>
                      <w:b w:val="0"/>
                      <w:bCs w:val="0"/>
                      <w:color w:val="000000"/>
                      <w:kern w:val="0"/>
                      <w:szCs w:val="21"/>
                      <w:highlight w:val="none"/>
                      <w:lang w:val="en-US" w:eastAsia="zh-CN"/>
                    </w:rPr>
                    <w:t>5000</w:t>
                  </w:r>
                </w:p>
              </w:tc>
              <w:tc>
                <w:tcPr>
                  <w:tcW w:w="910" w:type="dxa"/>
                  <w:shd w:val="clear" w:color="auto" w:fill="auto"/>
                  <w:vAlign w:val="center"/>
                </w:tcPr>
                <w:p w14:paraId="2D38387B">
                  <w:pPr>
                    <w:jc w:val="center"/>
                    <w:rPr>
                      <w:rFonts w:hint="default" w:ascii="Times New Roman" w:hAnsi="Times New Roman" w:eastAsia="宋体" w:cs="Times New Roman"/>
                      <w:b w:val="0"/>
                      <w:bCs w:val="0"/>
                      <w:color w:val="000000"/>
                      <w:kern w:val="0"/>
                      <w:szCs w:val="21"/>
                      <w:highlight w:val="none"/>
                      <w:lang w:val="en-US" w:eastAsia="zh-CN"/>
                    </w:rPr>
                  </w:pPr>
                  <w:r>
                    <w:rPr>
                      <w:rFonts w:hint="eastAsia" w:cs="Times New Roman"/>
                      <w:b w:val="0"/>
                      <w:bCs w:val="0"/>
                      <w:color w:val="000000"/>
                      <w:kern w:val="0"/>
                      <w:szCs w:val="21"/>
                      <w:highlight w:val="none"/>
                      <w:lang w:val="en-US" w:eastAsia="zh-CN"/>
                    </w:rPr>
                    <w:t>10.12</w:t>
                  </w:r>
                </w:p>
              </w:tc>
              <w:tc>
                <w:tcPr>
                  <w:tcW w:w="1134" w:type="dxa"/>
                  <w:shd w:val="clear" w:color="auto" w:fill="auto"/>
                  <w:vAlign w:val="center"/>
                </w:tcPr>
                <w:p w14:paraId="2A5FAC6E">
                  <w:pPr>
                    <w:widowControl/>
                    <w:jc w:val="center"/>
                    <w:rPr>
                      <w:rFonts w:hint="default" w:ascii="Times New Roman" w:hAnsi="Times New Roman" w:eastAsia="宋体" w:cs="Times New Roman"/>
                      <w:b w:val="0"/>
                      <w:bCs w:val="0"/>
                      <w:color w:val="000000"/>
                      <w:kern w:val="0"/>
                      <w:szCs w:val="21"/>
                      <w:highlight w:val="none"/>
                      <w:lang w:val="en-US" w:eastAsia="zh-CN"/>
                    </w:rPr>
                  </w:pPr>
                  <w:r>
                    <w:rPr>
                      <w:rFonts w:hint="eastAsia" w:cs="Times New Roman"/>
                      <w:b w:val="0"/>
                      <w:bCs w:val="0"/>
                      <w:color w:val="000000"/>
                      <w:kern w:val="0"/>
                      <w:szCs w:val="21"/>
                      <w:highlight w:val="none"/>
                      <w:lang w:val="en-US" w:eastAsia="zh-CN"/>
                    </w:rPr>
                    <w:t>843.33</w:t>
                  </w:r>
                </w:p>
              </w:tc>
              <w:tc>
                <w:tcPr>
                  <w:tcW w:w="900" w:type="dxa"/>
                  <w:shd w:val="clear" w:color="auto" w:fill="auto"/>
                  <w:vAlign w:val="center"/>
                </w:tcPr>
                <w:p w14:paraId="1A6398F4">
                  <w:pPr>
                    <w:widowControl/>
                    <w:jc w:val="center"/>
                    <w:rPr>
                      <w:rFonts w:hint="default" w:ascii="Times New Roman" w:hAnsi="Times New Roman" w:eastAsia="宋体" w:cs="Times New Roman"/>
                      <w:b w:val="0"/>
                      <w:bCs w:val="0"/>
                      <w:color w:val="000000"/>
                      <w:kern w:val="0"/>
                      <w:szCs w:val="21"/>
                      <w:highlight w:val="none"/>
                      <w:lang w:val="en-US" w:eastAsia="zh-CN"/>
                    </w:rPr>
                  </w:pPr>
                  <w:r>
                    <w:rPr>
                      <w:rFonts w:hint="eastAsia" w:cs="Times New Roman"/>
                      <w:b w:val="0"/>
                      <w:bCs w:val="0"/>
                      <w:color w:val="000000"/>
                      <w:kern w:val="0"/>
                      <w:szCs w:val="21"/>
                      <w:highlight w:val="none"/>
                      <w:lang w:val="en-US" w:eastAsia="zh-CN"/>
                    </w:rPr>
                    <w:t>4.22</w:t>
                  </w:r>
                </w:p>
              </w:tc>
              <w:tc>
                <w:tcPr>
                  <w:tcW w:w="853" w:type="dxa"/>
                  <w:shd w:val="clear" w:color="auto" w:fill="auto"/>
                  <w:vAlign w:val="center"/>
                </w:tcPr>
                <w:p w14:paraId="3EFABE74">
                  <w:pPr>
                    <w:jc w:val="center"/>
                    <w:rPr>
                      <w:rFonts w:hint="default" w:ascii="Times New Roman" w:hAnsi="Times New Roman" w:eastAsia="宋体" w:cs="Times New Roman"/>
                      <w:b w:val="0"/>
                      <w:bCs w:val="0"/>
                      <w:color w:val="000000"/>
                      <w:kern w:val="0"/>
                      <w:szCs w:val="21"/>
                      <w:highlight w:val="none"/>
                      <w:lang w:val="en-US" w:eastAsia="zh-CN"/>
                    </w:rPr>
                  </w:pPr>
                  <w:r>
                    <w:rPr>
                      <w:rFonts w:hint="eastAsia" w:cs="Times New Roman"/>
                      <w:b w:val="0"/>
                      <w:bCs w:val="0"/>
                      <w:color w:val="000000"/>
                      <w:kern w:val="0"/>
                      <w:szCs w:val="21"/>
                      <w:highlight w:val="none"/>
                      <w:lang w:val="en-US" w:eastAsia="zh-CN"/>
                    </w:rPr>
                    <w:t>0.51</w:t>
                  </w:r>
                </w:p>
              </w:tc>
              <w:tc>
                <w:tcPr>
                  <w:tcW w:w="1097" w:type="dxa"/>
                  <w:shd w:val="clear" w:color="auto" w:fill="auto"/>
                  <w:vAlign w:val="center"/>
                </w:tcPr>
                <w:p w14:paraId="03FDF316">
                  <w:pPr>
                    <w:widowControl/>
                    <w:jc w:val="center"/>
                    <w:rPr>
                      <w:rFonts w:hint="default" w:ascii="Times New Roman" w:hAnsi="Times New Roman" w:eastAsia="宋体" w:cs="Times New Roman"/>
                      <w:b w:val="0"/>
                      <w:bCs w:val="0"/>
                      <w:color w:val="000000"/>
                      <w:kern w:val="0"/>
                      <w:szCs w:val="21"/>
                      <w:highlight w:val="none"/>
                      <w:lang w:val="en-US" w:eastAsia="zh-CN"/>
                    </w:rPr>
                  </w:pPr>
                  <w:r>
                    <w:rPr>
                      <w:rFonts w:hint="eastAsia" w:cs="Times New Roman"/>
                      <w:b w:val="0"/>
                      <w:bCs w:val="0"/>
                      <w:color w:val="000000"/>
                      <w:kern w:val="0"/>
                      <w:szCs w:val="21"/>
                      <w:highlight w:val="none"/>
                      <w:lang w:val="en-US" w:eastAsia="zh-CN"/>
                    </w:rPr>
                    <w:t>42.5</w:t>
                  </w:r>
                </w:p>
              </w:tc>
              <w:tc>
                <w:tcPr>
                  <w:tcW w:w="881" w:type="dxa"/>
                  <w:shd w:val="clear" w:color="auto" w:fill="auto"/>
                  <w:vAlign w:val="center"/>
                </w:tcPr>
                <w:p w14:paraId="10222D78">
                  <w:pPr>
                    <w:widowControl/>
                    <w:jc w:val="center"/>
                    <w:rPr>
                      <w:rFonts w:hint="default" w:ascii="Times New Roman" w:hAnsi="Times New Roman" w:eastAsia="宋体" w:cs="Times New Roman"/>
                      <w:b w:val="0"/>
                      <w:bCs w:val="0"/>
                      <w:color w:val="000000"/>
                      <w:kern w:val="0"/>
                      <w:szCs w:val="21"/>
                      <w:highlight w:val="none"/>
                      <w:lang w:val="en-US" w:eastAsia="zh-CN"/>
                    </w:rPr>
                  </w:pPr>
                  <w:r>
                    <w:rPr>
                      <w:rFonts w:hint="eastAsia" w:cs="Times New Roman"/>
                      <w:b w:val="0"/>
                      <w:bCs w:val="0"/>
                      <w:color w:val="000000"/>
                      <w:kern w:val="0"/>
                      <w:szCs w:val="21"/>
                      <w:highlight w:val="none"/>
                      <w:lang w:val="en-US" w:eastAsia="zh-CN"/>
                    </w:rPr>
                    <w:t>0.21</w:t>
                  </w:r>
                </w:p>
              </w:tc>
              <w:tc>
                <w:tcPr>
                  <w:tcW w:w="844" w:type="dxa"/>
                  <w:shd w:val="clear" w:color="auto" w:fill="auto"/>
                  <w:vAlign w:val="center"/>
                </w:tcPr>
                <w:p w14:paraId="260CC707">
                  <w:pPr>
                    <w:widowControl/>
                    <w:jc w:val="center"/>
                    <w:rPr>
                      <w:rFonts w:hint="default" w:ascii="Times New Roman" w:hAnsi="Times New Roman" w:eastAsia="宋体" w:cs="Times New Roman"/>
                      <w:b w:val="0"/>
                      <w:bCs w:val="0"/>
                      <w:color w:val="000000"/>
                      <w:kern w:val="0"/>
                      <w:szCs w:val="21"/>
                      <w:highlight w:val="none"/>
                      <w:lang w:val="en-US" w:eastAsia="zh-CN"/>
                    </w:rPr>
                  </w:pPr>
                  <w:r>
                    <w:rPr>
                      <w:rFonts w:hint="eastAsia" w:cs="Times New Roman"/>
                      <w:b w:val="0"/>
                      <w:bCs w:val="0"/>
                      <w:color w:val="000000"/>
                      <w:kern w:val="0"/>
                      <w:szCs w:val="21"/>
                      <w:highlight w:val="none"/>
                      <w:lang w:val="en-US" w:eastAsia="zh-CN"/>
                    </w:rPr>
                    <w:t>120</w:t>
                  </w:r>
                </w:p>
              </w:tc>
              <w:tc>
                <w:tcPr>
                  <w:tcW w:w="834" w:type="dxa"/>
                  <w:shd w:val="clear" w:color="auto" w:fill="auto"/>
                  <w:vAlign w:val="center"/>
                </w:tcPr>
                <w:p w14:paraId="7448E93D">
                  <w:pPr>
                    <w:widowControl/>
                    <w:jc w:val="center"/>
                    <w:rPr>
                      <w:rFonts w:hint="default" w:ascii="Times New Roman" w:hAnsi="Times New Roman" w:eastAsia="宋体" w:cs="Times New Roman"/>
                      <w:b w:val="0"/>
                      <w:bCs w:val="0"/>
                      <w:color w:val="000000"/>
                      <w:kern w:val="0"/>
                      <w:szCs w:val="21"/>
                      <w:highlight w:val="none"/>
                      <w:lang w:val="en-US" w:eastAsia="zh-CN"/>
                    </w:rPr>
                  </w:pPr>
                  <w:r>
                    <w:rPr>
                      <w:rFonts w:hint="eastAsia" w:cs="Times New Roman"/>
                      <w:b w:val="0"/>
                      <w:bCs w:val="0"/>
                      <w:color w:val="000000"/>
                      <w:kern w:val="0"/>
                      <w:szCs w:val="21"/>
                      <w:highlight w:val="none"/>
                      <w:lang w:val="en-US" w:eastAsia="zh-CN"/>
                    </w:rPr>
                    <w:t>2.9</w:t>
                  </w:r>
                </w:p>
              </w:tc>
            </w:tr>
            <w:tr w14:paraId="5646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9" w:type="dxa"/>
                  <w:vMerge w:val="continue"/>
                  <w:shd w:val="clear" w:color="auto" w:fill="auto"/>
                  <w:vAlign w:val="center"/>
                </w:tcPr>
                <w:p w14:paraId="718BA13D">
                  <w:pPr>
                    <w:widowControl/>
                    <w:jc w:val="center"/>
                    <w:rPr>
                      <w:rFonts w:hint="default" w:ascii="Times New Roman" w:hAnsi="Times New Roman" w:cs="Times New Roman"/>
                      <w:color w:val="000000"/>
                      <w:kern w:val="0"/>
                      <w:szCs w:val="21"/>
                      <w:highlight w:val="none"/>
                    </w:rPr>
                  </w:pPr>
                </w:p>
              </w:tc>
              <w:tc>
                <w:tcPr>
                  <w:tcW w:w="2072" w:type="dxa"/>
                  <w:vMerge w:val="restart"/>
                  <w:shd w:val="clear" w:color="auto" w:fill="auto"/>
                  <w:vAlign w:val="center"/>
                </w:tcPr>
                <w:p w14:paraId="43F6FCC9">
                  <w:pPr>
                    <w:widowControl/>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制棒废气、烘干机粉尘、</w:t>
                  </w:r>
                  <w:r>
                    <w:rPr>
                      <w:rFonts w:hint="default" w:ascii="Times New Roman" w:hAnsi="Times New Roman" w:cs="Times New Roman"/>
                      <w:color w:val="000000"/>
                      <w:kern w:val="0"/>
                      <w:szCs w:val="21"/>
                      <w:highlight w:val="none"/>
                    </w:rPr>
                    <w:t>炭化废气</w:t>
                  </w:r>
                  <w:r>
                    <w:rPr>
                      <w:rFonts w:hint="default" w:ascii="Times New Roman" w:hAnsi="Times New Roman" w:cs="Times New Roman"/>
                      <w:color w:val="000000"/>
                      <w:kern w:val="0"/>
                      <w:szCs w:val="21"/>
                      <w:highlight w:val="none"/>
                      <w:lang w:eastAsia="zh-CN"/>
                    </w:rPr>
                    <w:t>、</w:t>
                  </w:r>
                  <w:r>
                    <w:rPr>
                      <w:rFonts w:hint="default" w:ascii="Times New Roman" w:hAnsi="Times New Roman" w:cs="Times New Roman"/>
                      <w:color w:val="000000"/>
                      <w:kern w:val="0"/>
                      <w:szCs w:val="21"/>
                      <w:highlight w:val="none"/>
                      <w:lang w:val="en-US" w:eastAsia="zh-CN"/>
                    </w:rPr>
                    <w:t>烘干机（燃烧炉）</w:t>
                  </w:r>
                  <w:r>
                    <w:rPr>
                      <w:rFonts w:hint="default" w:ascii="Times New Roman" w:hAnsi="Times New Roman" w:cs="Times New Roman"/>
                      <w:color w:val="000000"/>
                      <w:kern w:val="0"/>
                      <w:szCs w:val="21"/>
                      <w:highlight w:val="none"/>
                    </w:rPr>
                    <w:t>燃料燃烧废气</w:t>
                  </w:r>
                </w:p>
              </w:tc>
              <w:tc>
                <w:tcPr>
                  <w:tcW w:w="881" w:type="dxa"/>
                  <w:shd w:val="clear" w:color="auto" w:fill="auto"/>
                  <w:vAlign w:val="center"/>
                </w:tcPr>
                <w:p w14:paraId="5B8FDFB9">
                  <w:pPr>
                    <w:widowControl/>
                    <w:jc w:val="center"/>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cs="Times New Roman"/>
                      <w:color w:val="000000"/>
                      <w:kern w:val="0"/>
                      <w:szCs w:val="21"/>
                      <w:highlight w:val="none"/>
                    </w:rPr>
                    <w:t>颗粒物</w:t>
                  </w:r>
                </w:p>
              </w:tc>
              <w:tc>
                <w:tcPr>
                  <w:tcW w:w="900" w:type="dxa"/>
                  <w:vMerge w:val="restart"/>
                  <w:shd w:val="clear" w:color="auto" w:fill="auto"/>
                  <w:vAlign w:val="center"/>
                </w:tcPr>
                <w:p w14:paraId="4E93B816">
                  <w:pPr>
                    <w:widowControl/>
                    <w:jc w:val="center"/>
                    <w:rPr>
                      <w:rFonts w:hint="eastAsia" w:ascii="Times New Roman" w:hAnsi="Times New Roman" w:eastAsia="宋体" w:cs="Times New Roman"/>
                      <w:color w:val="000000"/>
                      <w:kern w:val="0"/>
                      <w:szCs w:val="21"/>
                      <w:highlight w:val="none"/>
                      <w:lang w:eastAsia="zh-CN"/>
                    </w:rPr>
                  </w:pPr>
                  <w:r>
                    <w:rPr>
                      <w:rFonts w:hint="eastAsia" w:cs="Times New Roman"/>
                      <w:color w:val="000000"/>
                      <w:kern w:val="0"/>
                      <w:szCs w:val="21"/>
                      <w:highlight w:val="none"/>
                      <w:lang w:eastAsia="zh-CN"/>
                    </w:rPr>
                    <w:t>DA002</w:t>
                  </w:r>
                </w:p>
              </w:tc>
              <w:tc>
                <w:tcPr>
                  <w:tcW w:w="872" w:type="dxa"/>
                  <w:vMerge w:val="restart"/>
                  <w:shd w:val="clear" w:color="auto" w:fill="auto"/>
                  <w:vAlign w:val="center"/>
                </w:tcPr>
                <w:p w14:paraId="6C72E10F">
                  <w:pPr>
                    <w:widowControl/>
                    <w:jc w:val="center"/>
                    <w:rPr>
                      <w:rFonts w:hint="default" w:ascii="Times New Roman" w:hAnsi="Times New Roman" w:eastAsia="宋体" w:cs="Times New Roman"/>
                      <w:color w:val="000000"/>
                      <w:kern w:val="0"/>
                      <w:szCs w:val="21"/>
                      <w:highlight w:val="none"/>
                      <w:lang w:val="en-US" w:eastAsia="zh-CN"/>
                    </w:rPr>
                  </w:pPr>
                  <w:r>
                    <w:rPr>
                      <w:rFonts w:hint="eastAsia" w:cs="Times New Roman"/>
                      <w:color w:val="000000"/>
                      <w:kern w:val="0"/>
                      <w:szCs w:val="21"/>
                      <w:highlight w:val="none"/>
                      <w:lang w:val="en-US" w:eastAsia="zh-CN"/>
                    </w:rPr>
                    <w:t>35000</w:t>
                  </w:r>
                </w:p>
              </w:tc>
              <w:tc>
                <w:tcPr>
                  <w:tcW w:w="910" w:type="dxa"/>
                  <w:shd w:val="clear" w:color="auto" w:fill="auto"/>
                  <w:vAlign w:val="center"/>
                </w:tcPr>
                <w:p w14:paraId="52AEDB4B">
                  <w:pPr>
                    <w:keepNext w:val="0"/>
                    <w:keepLines w:val="0"/>
                    <w:widowControl/>
                    <w:suppressLineNumbers w:val="0"/>
                    <w:jc w:val="center"/>
                    <w:textAlignment w:val="center"/>
                    <w:rPr>
                      <w:rFonts w:hint="default" w:ascii="Times New Roman" w:hAnsi="Times New Roman" w:eastAsia="宋体" w:cs="Times New Roman"/>
                      <w:color w:val="000000"/>
                      <w:kern w:val="0"/>
                      <w:szCs w:val="21"/>
                      <w:highlight w:val="none"/>
                      <w:lang w:val="en-US" w:eastAsia="zh-CN"/>
                    </w:rPr>
                  </w:pPr>
                  <w:r>
                    <w:rPr>
                      <w:rFonts w:hint="eastAsia" w:cs="Times New Roman"/>
                      <w:i w:val="0"/>
                      <w:iCs w:val="0"/>
                      <w:color w:val="000000"/>
                      <w:kern w:val="0"/>
                      <w:sz w:val="21"/>
                      <w:szCs w:val="21"/>
                      <w:highlight w:val="none"/>
                      <w:u w:val="none"/>
                      <w:lang w:val="en-US" w:eastAsia="zh-CN" w:bidi="ar"/>
                    </w:rPr>
                    <w:t>50.29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EB1D">
                  <w:pPr>
                    <w:widowControl/>
                    <w:jc w:val="center"/>
                    <w:rPr>
                      <w:rFonts w:hint="default" w:ascii="Times New Roman" w:hAnsi="Times New Roman" w:eastAsia="宋体" w:cs="Times New Roman"/>
                      <w:color w:val="000000"/>
                      <w:kern w:val="0"/>
                      <w:szCs w:val="21"/>
                      <w:highlight w:val="none"/>
                      <w:lang w:val="en-US" w:eastAsia="zh-CN"/>
                    </w:rPr>
                  </w:pPr>
                  <w:r>
                    <w:rPr>
                      <w:rFonts w:hint="eastAsia" w:cs="Times New Roman"/>
                      <w:color w:val="000000"/>
                      <w:kern w:val="0"/>
                      <w:szCs w:val="21"/>
                      <w:highlight w:val="none"/>
                      <w:lang w:val="en-US" w:eastAsia="zh-CN"/>
                    </w:rPr>
                    <w:t>551.68</w:t>
                  </w:r>
                </w:p>
              </w:tc>
              <w:tc>
                <w:tcPr>
                  <w:tcW w:w="900" w:type="dxa"/>
                  <w:shd w:val="clear" w:color="auto" w:fill="auto"/>
                  <w:vAlign w:val="center"/>
                </w:tcPr>
                <w:p w14:paraId="72F35483">
                  <w:pPr>
                    <w:keepNext w:val="0"/>
                    <w:keepLines w:val="0"/>
                    <w:widowControl/>
                    <w:suppressLineNumbers w:val="0"/>
                    <w:jc w:val="center"/>
                    <w:textAlignment w:val="center"/>
                    <w:rPr>
                      <w:rFonts w:hint="default" w:ascii="Times New Roman" w:hAnsi="Times New Roman" w:eastAsia="宋体" w:cs="Times New Roman"/>
                      <w:spacing w:val="3"/>
                      <w:kern w:val="2"/>
                      <w:sz w:val="21"/>
                      <w:szCs w:val="21"/>
                      <w:highlight w:val="none"/>
                      <w:u w:val="none"/>
                      <w:lang w:val="en-US" w:eastAsia="zh-CN" w:bidi="ar-SA"/>
                    </w:rPr>
                  </w:pPr>
                  <w:r>
                    <w:rPr>
                      <w:rFonts w:hint="eastAsia" w:cs="Times New Roman"/>
                      <w:spacing w:val="3"/>
                      <w:sz w:val="21"/>
                      <w:szCs w:val="21"/>
                      <w:highlight w:val="none"/>
                      <w:u w:val="none"/>
                      <w:lang w:val="en-US" w:eastAsia="zh-CN"/>
                    </w:rPr>
                    <w:t>19.309</w:t>
                  </w:r>
                </w:p>
              </w:tc>
              <w:tc>
                <w:tcPr>
                  <w:tcW w:w="853" w:type="dxa"/>
                  <w:shd w:val="clear" w:color="auto" w:fill="auto"/>
                  <w:vAlign w:val="center"/>
                </w:tcPr>
                <w:p w14:paraId="075FEB5F">
                  <w:pPr>
                    <w:keepNext w:val="0"/>
                    <w:keepLines w:val="0"/>
                    <w:widowControl/>
                    <w:suppressLineNumbers w:val="0"/>
                    <w:jc w:val="center"/>
                    <w:textAlignment w:val="center"/>
                    <w:rPr>
                      <w:rFonts w:hint="default" w:ascii="Times New Roman" w:hAnsi="Times New Roman" w:eastAsia="宋体" w:cs="Times New Roman"/>
                      <w:color w:val="000000"/>
                      <w:kern w:val="0"/>
                      <w:szCs w:val="21"/>
                      <w:highlight w:val="none"/>
                      <w:lang w:val="en-US" w:eastAsia="zh-CN"/>
                    </w:rPr>
                  </w:pPr>
                  <w:r>
                    <w:rPr>
                      <w:rFonts w:hint="eastAsia" w:cs="Times New Roman"/>
                      <w:i w:val="0"/>
                      <w:iCs w:val="0"/>
                      <w:color w:val="000000"/>
                      <w:kern w:val="0"/>
                      <w:sz w:val="21"/>
                      <w:szCs w:val="21"/>
                      <w:highlight w:val="none"/>
                      <w:u w:val="none"/>
                      <w:lang w:val="en-US" w:eastAsia="zh-CN" w:bidi="ar"/>
                    </w:rPr>
                    <w:t>2.528</w:t>
                  </w:r>
                </w:p>
              </w:tc>
              <w:tc>
                <w:tcPr>
                  <w:tcW w:w="1097" w:type="dxa"/>
                  <w:shd w:val="clear" w:color="auto" w:fill="auto"/>
                  <w:vAlign w:val="center"/>
                </w:tcPr>
                <w:p w14:paraId="0C14005A">
                  <w:pPr>
                    <w:keepNext w:val="0"/>
                    <w:keepLines w:val="0"/>
                    <w:widowControl/>
                    <w:suppressLineNumbers w:val="0"/>
                    <w:jc w:val="center"/>
                    <w:textAlignment w:val="center"/>
                    <w:rPr>
                      <w:rFonts w:hint="default" w:ascii="Times New Roman" w:hAnsi="Times New Roman" w:eastAsia="宋体" w:cs="Times New Roman"/>
                      <w:color w:val="000000"/>
                      <w:kern w:val="0"/>
                      <w:szCs w:val="21"/>
                      <w:highlight w:val="yellow"/>
                      <w:lang w:val="en-US" w:eastAsia="zh-CN"/>
                    </w:rPr>
                  </w:pPr>
                  <w:r>
                    <w:rPr>
                      <w:rFonts w:hint="eastAsia" w:cs="Times New Roman"/>
                      <w:i w:val="0"/>
                      <w:iCs w:val="0"/>
                      <w:color w:val="000000"/>
                      <w:kern w:val="0"/>
                      <w:sz w:val="21"/>
                      <w:szCs w:val="21"/>
                      <w:highlight w:val="none"/>
                      <w:u w:val="none"/>
                      <w:lang w:val="en-US" w:eastAsia="zh-CN" w:bidi="ar"/>
                    </w:rPr>
                    <w:t>27.71</w:t>
                  </w:r>
                </w:p>
              </w:tc>
              <w:tc>
                <w:tcPr>
                  <w:tcW w:w="881" w:type="dxa"/>
                  <w:shd w:val="clear" w:color="auto" w:fill="auto"/>
                  <w:vAlign w:val="center"/>
                </w:tcPr>
                <w:p w14:paraId="1721DEFD">
                  <w:pPr>
                    <w:keepNext w:val="0"/>
                    <w:keepLines w:val="0"/>
                    <w:widowControl/>
                    <w:suppressLineNumbers w:val="0"/>
                    <w:jc w:val="center"/>
                    <w:textAlignment w:val="center"/>
                    <w:rPr>
                      <w:rFonts w:hint="default" w:ascii="Times New Roman" w:hAnsi="Times New Roman" w:eastAsia="宋体" w:cs="Times New Roman"/>
                      <w:color w:val="000000"/>
                      <w:kern w:val="0"/>
                      <w:szCs w:val="21"/>
                      <w:highlight w:val="none"/>
                      <w:lang w:val="en-US" w:eastAsia="zh-CN"/>
                    </w:rPr>
                  </w:pPr>
                  <w:r>
                    <w:rPr>
                      <w:rFonts w:hint="eastAsia" w:cs="Times New Roman"/>
                      <w:i w:val="0"/>
                      <w:iCs w:val="0"/>
                      <w:color w:val="000000"/>
                      <w:kern w:val="0"/>
                      <w:sz w:val="21"/>
                      <w:szCs w:val="21"/>
                      <w:highlight w:val="none"/>
                      <w:u w:val="none"/>
                      <w:lang w:val="en-US" w:eastAsia="zh-CN" w:bidi="ar"/>
                    </w:rPr>
                    <w:t>0.97</w:t>
                  </w:r>
                </w:p>
              </w:tc>
              <w:tc>
                <w:tcPr>
                  <w:tcW w:w="844" w:type="dxa"/>
                  <w:shd w:val="clear" w:color="auto" w:fill="auto"/>
                  <w:vAlign w:val="center"/>
                </w:tcPr>
                <w:p w14:paraId="49E6FEE1">
                  <w:pPr>
                    <w:widowControl/>
                    <w:jc w:val="center"/>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30</w:t>
                  </w:r>
                </w:p>
              </w:tc>
              <w:tc>
                <w:tcPr>
                  <w:tcW w:w="834" w:type="dxa"/>
                  <w:shd w:val="clear" w:color="auto" w:fill="auto"/>
                  <w:vAlign w:val="center"/>
                </w:tcPr>
                <w:p w14:paraId="3D3AAD44">
                  <w:pPr>
                    <w:widowControl/>
                    <w:jc w:val="center"/>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2.9</w:t>
                  </w:r>
                </w:p>
              </w:tc>
            </w:tr>
            <w:tr w14:paraId="1ADF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9" w:type="dxa"/>
                  <w:vMerge w:val="continue"/>
                  <w:shd w:val="clear" w:color="auto" w:fill="auto"/>
                  <w:vAlign w:val="center"/>
                </w:tcPr>
                <w:p w14:paraId="0118EC47">
                  <w:pPr>
                    <w:widowControl/>
                    <w:jc w:val="center"/>
                    <w:rPr>
                      <w:rFonts w:hint="default" w:ascii="Times New Roman" w:hAnsi="Times New Roman" w:cs="Times New Roman"/>
                      <w:color w:val="000000"/>
                      <w:kern w:val="0"/>
                      <w:szCs w:val="21"/>
                      <w:highlight w:val="none"/>
                    </w:rPr>
                  </w:pPr>
                </w:p>
              </w:tc>
              <w:tc>
                <w:tcPr>
                  <w:tcW w:w="2072" w:type="dxa"/>
                  <w:vMerge w:val="continue"/>
                  <w:shd w:val="clear" w:color="auto" w:fill="auto"/>
                  <w:vAlign w:val="center"/>
                </w:tcPr>
                <w:p w14:paraId="60701E7E">
                  <w:pPr>
                    <w:widowControl/>
                    <w:jc w:val="center"/>
                    <w:rPr>
                      <w:rFonts w:hint="default" w:ascii="Times New Roman" w:hAnsi="Times New Roman" w:cs="Times New Roman"/>
                      <w:color w:val="000000"/>
                      <w:kern w:val="0"/>
                      <w:szCs w:val="21"/>
                      <w:highlight w:val="none"/>
                      <w:lang w:val="en-US" w:eastAsia="zh-CN"/>
                    </w:rPr>
                  </w:pPr>
                </w:p>
              </w:tc>
              <w:tc>
                <w:tcPr>
                  <w:tcW w:w="881" w:type="dxa"/>
                  <w:shd w:val="clear" w:color="auto" w:fill="auto"/>
                  <w:vAlign w:val="center"/>
                </w:tcPr>
                <w:p w14:paraId="0E25E560">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rPr>
                    <w:t>SO</w:t>
                  </w:r>
                  <w:r>
                    <w:rPr>
                      <w:rFonts w:hint="default" w:ascii="Times New Roman" w:hAnsi="Times New Roman" w:cs="Times New Roman"/>
                      <w:color w:val="000000"/>
                      <w:kern w:val="0"/>
                      <w:szCs w:val="21"/>
                      <w:highlight w:val="none"/>
                      <w:vertAlign w:val="subscript"/>
                    </w:rPr>
                    <w:t>2</w:t>
                  </w:r>
                </w:p>
              </w:tc>
              <w:tc>
                <w:tcPr>
                  <w:tcW w:w="900" w:type="dxa"/>
                  <w:vMerge w:val="continue"/>
                  <w:shd w:val="clear" w:color="auto" w:fill="auto"/>
                  <w:vAlign w:val="center"/>
                </w:tcPr>
                <w:p w14:paraId="616AC580">
                  <w:pPr>
                    <w:widowControl/>
                    <w:jc w:val="center"/>
                    <w:rPr>
                      <w:rFonts w:hint="default" w:ascii="Times New Roman" w:hAnsi="Times New Roman" w:cs="Times New Roman"/>
                      <w:color w:val="000000"/>
                      <w:kern w:val="0"/>
                      <w:szCs w:val="21"/>
                      <w:highlight w:val="none"/>
                    </w:rPr>
                  </w:pPr>
                </w:p>
              </w:tc>
              <w:tc>
                <w:tcPr>
                  <w:tcW w:w="872" w:type="dxa"/>
                  <w:vMerge w:val="continue"/>
                  <w:shd w:val="clear" w:color="auto" w:fill="auto"/>
                  <w:vAlign w:val="center"/>
                </w:tcPr>
                <w:p w14:paraId="70B0914C">
                  <w:pPr>
                    <w:widowControl/>
                    <w:jc w:val="center"/>
                    <w:rPr>
                      <w:rFonts w:hint="default" w:ascii="Times New Roman" w:hAnsi="Times New Roman" w:cs="Times New Roman"/>
                      <w:color w:val="000000"/>
                      <w:kern w:val="0"/>
                      <w:szCs w:val="21"/>
                      <w:highlight w:val="none"/>
                    </w:rPr>
                  </w:pPr>
                </w:p>
              </w:tc>
              <w:tc>
                <w:tcPr>
                  <w:tcW w:w="910" w:type="dxa"/>
                  <w:shd w:val="clear" w:color="auto" w:fill="auto"/>
                  <w:vAlign w:val="center"/>
                </w:tcPr>
                <w:p w14:paraId="3AFE900A">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i w:val="0"/>
                      <w:iCs w:val="0"/>
                      <w:color w:val="000000"/>
                      <w:kern w:val="0"/>
                      <w:sz w:val="21"/>
                      <w:szCs w:val="21"/>
                      <w:highlight w:val="none"/>
                      <w:u w:val="none"/>
                      <w:lang w:val="en-US" w:eastAsia="zh-CN" w:bidi="ar"/>
                    </w:rPr>
                    <w:t>18.4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E5FE">
                  <w:pPr>
                    <w:keepNext w:val="0"/>
                    <w:keepLines w:val="0"/>
                    <w:pageBreakBefore w:val="0"/>
                    <w:widowControl w:val="0"/>
                    <w:tabs>
                      <w:tab w:val="left" w:pos="693"/>
                    </w:tabs>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79.34</w:t>
                  </w:r>
                </w:p>
              </w:tc>
              <w:tc>
                <w:tcPr>
                  <w:tcW w:w="900" w:type="dxa"/>
                  <w:shd w:val="clear" w:color="auto" w:fill="auto"/>
                  <w:vAlign w:val="center"/>
                </w:tcPr>
                <w:p w14:paraId="68E9D3DE">
                  <w:pPr>
                    <w:keepNext w:val="0"/>
                    <w:keepLines w:val="0"/>
                    <w:widowControl/>
                    <w:suppressLineNumbers w:val="0"/>
                    <w:jc w:val="center"/>
                    <w:textAlignment w:val="center"/>
                    <w:rPr>
                      <w:rFonts w:hint="default" w:ascii="Times New Roman" w:hAnsi="Times New Roman" w:eastAsia="宋体" w:cs="Times New Roman"/>
                      <w:spacing w:val="3"/>
                      <w:kern w:val="2"/>
                      <w:sz w:val="21"/>
                      <w:szCs w:val="21"/>
                      <w:highlight w:val="none"/>
                      <w:u w:val="none"/>
                      <w:lang w:val="en-US" w:eastAsia="zh-CN" w:bidi="ar-SA"/>
                    </w:rPr>
                  </w:pPr>
                  <w:r>
                    <w:rPr>
                      <w:rFonts w:hint="eastAsia" w:cs="Times New Roman"/>
                      <w:spacing w:val="3"/>
                      <w:sz w:val="21"/>
                      <w:szCs w:val="21"/>
                      <w:highlight w:val="none"/>
                      <w:u w:val="none"/>
                      <w:lang w:val="en-US" w:eastAsia="zh-CN"/>
                    </w:rPr>
                    <w:t>2.777</w:t>
                  </w:r>
                </w:p>
              </w:tc>
              <w:tc>
                <w:tcPr>
                  <w:tcW w:w="853" w:type="dxa"/>
                  <w:shd w:val="clear" w:color="auto" w:fill="auto"/>
                  <w:vAlign w:val="center"/>
                </w:tcPr>
                <w:p w14:paraId="5D3F83AC">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9.2</w:t>
                  </w:r>
                </w:p>
              </w:tc>
              <w:tc>
                <w:tcPr>
                  <w:tcW w:w="1097" w:type="dxa"/>
                  <w:shd w:val="clear" w:color="auto" w:fill="auto"/>
                  <w:vAlign w:val="center"/>
                </w:tcPr>
                <w:p w14:paraId="3B20CAA7">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yellow"/>
                      <w:lang w:val="en-US" w:eastAsia="zh-CN" w:bidi="ar-SA"/>
                    </w:rPr>
                  </w:pPr>
                  <w:r>
                    <w:rPr>
                      <w:rFonts w:hint="eastAsia" w:cs="Times New Roman"/>
                      <w:i w:val="0"/>
                      <w:iCs w:val="0"/>
                      <w:color w:val="000000"/>
                      <w:kern w:val="0"/>
                      <w:sz w:val="21"/>
                      <w:szCs w:val="21"/>
                      <w:highlight w:val="none"/>
                      <w:u w:val="none"/>
                      <w:lang w:val="en-US" w:eastAsia="zh-CN" w:bidi="ar"/>
                    </w:rPr>
                    <w:t>39.68</w:t>
                  </w:r>
                </w:p>
              </w:tc>
              <w:tc>
                <w:tcPr>
                  <w:tcW w:w="881" w:type="dxa"/>
                  <w:shd w:val="clear" w:color="auto" w:fill="auto"/>
                  <w:vAlign w:val="center"/>
                </w:tcPr>
                <w:p w14:paraId="35CBE73C">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1.389</w:t>
                  </w:r>
                </w:p>
              </w:tc>
              <w:tc>
                <w:tcPr>
                  <w:tcW w:w="844" w:type="dxa"/>
                  <w:shd w:val="clear" w:color="auto" w:fill="auto"/>
                  <w:vAlign w:val="center"/>
                </w:tcPr>
                <w:p w14:paraId="299507C3">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szCs w:val="21"/>
                      <w:highlight w:val="none"/>
                    </w:rPr>
                    <w:t>200</w:t>
                  </w:r>
                </w:p>
              </w:tc>
              <w:tc>
                <w:tcPr>
                  <w:tcW w:w="834" w:type="dxa"/>
                  <w:shd w:val="clear" w:color="auto" w:fill="auto"/>
                  <w:vAlign w:val="center"/>
                </w:tcPr>
                <w:p w14:paraId="21365280">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szCs w:val="21"/>
                      <w:highlight w:val="none"/>
                    </w:rPr>
                    <w:t>/</w:t>
                  </w:r>
                </w:p>
              </w:tc>
            </w:tr>
            <w:tr w14:paraId="002D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9" w:type="dxa"/>
                  <w:vMerge w:val="continue"/>
                  <w:shd w:val="clear" w:color="auto" w:fill="auto"/>
                  <w:vAlign w:val="center"/>
                </w:tcPr>
                <w:p w14:paraId="670911F7">
                  <w:pPr>
                    <w:widowControl/>
                    <w:jc w:val="center"/>
                    <w:rPr>
                      <w:rFonts w:hint="default" w:ascii="Times New Roman" w:hAnsi="Times New Roman" w:cs="Times New Roman"/>
                      <w:color w:val="000000"/>
                      <w:kern w:val="0"/>
                      <w:szCs w:val="21"/>
                      <w:highlight w:val="none"/>
                    </w:rPr>
                  </w:pPr>
                </w:p>
              </w:tc>
              <w:tc>
                <w:tcPr>
                  <w:tcW w:w="2072" w:type="dxa"/>
                  <w:vMerge w:val="continue"/>
                  <w:shd w:val="clear" w:color="auto" w:fill="auto"/>
                  <w:vAlign w:val="center"/>
                </w:tcPr>
                <w:p w14:paraId="000EC31C">
                  <w:pPr>
                    <w:widowControl/>
                    <w:jc w:val="center"/>
                    <w:rPr>
                      <w:rFonts w:hint="default" w:ascii="Times New Roman" w:hAnsi="Times New Roman" w:cs="Times New Roman"/>
                      <w:color w:val="000000"/>
                      <w:kern w:val="0"/>
                      <w:szCs w:val="21"/>
                      <w:highlight w:val="none"/>
                      <w:lang w:val="en-US" w:eastAsia="zh-CN"/>
                    </w:rPr>
                  </w:pPr>
                </w:p>
              </w:tc>
              <w:tc>
                <w:tcPr>
                  <w:tcW w:w="881" w:type="dxa"/>
                  <w:shd w:val="clear" w:color="auto" w:fill="auto"/>
                  <w:vAlign w:val="center"/>
                </w:tcPr>
                <w:p w14:paraId="4C3BDFE1">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rPr>
                    <w:t>NOx</w:t>
                  </w:r>
                </w:p>
              </w:tc>
              <w:tc>
                <w:tcPr>
                  <w:tcW w:w="900" w:type="dxa"/>
                  <w:vMerge w:val="continue"/>
                  <w:shd w:val="clear" w:color="auto" w:fill="auto"/>
                  <w:vAlign w:val="center"/>
                </w:tcPr>
                <w:p w14:paraId="01B1526A">
                  <w:pPr>
                    <w:widowControl/>
                    <w:jc w:val="center"/>
                    <w:rPr>
                      <w:rFonts w:hint="default" w:ascii="Times New Roman" w:hAnsi="Times New Roman" w:cs="Times New Roman"/>
                      <w:color w:val="000000"/>
                      <w:kern w:val="0"/>
                      <w:szCs w:val="21"/>
                      <w:highlight w:val="none"/>
                    </w:rPr>
                  </w:pPr>
                </w:p>
              </w:tc>
              <w:tc>
                <w:tcPr>
                  <w:tcW w:w="872" w:type="dxa"/>
                  <w:vMerge w:val="continue"/>
                  <w:shd w:val="clear" w:color="auto" w:fill="auto"/>
                  <w:vAlign w:val="center"/>
                </w:tcPr>
                <w:p w14:paraId="5DD09FB8">
                  <w:pPr>
                    <w:widowControl/>
                    <w:jc w:val="center"/>
                    <w:rPr>
                      <w:rFonts w:hint="default" w:ascii="Times New Roman" w:hAnsi="Times New Roman" w:cs="Times New Roman"/>
                      <w:color w:val="000000"/>
                      <w:kern w:val="0"/>
                      <w:szCs w:val="21"/>
                      <w:highlight w:val="none"/>
                    </w:rPr>
                  </w:pPr>
                </w:p>
              </w:tc>
              <w:tc>
                <w:tcPr>
                  <w:tcW w:w="910" w:type="dxa"/>
                  <w:shd w:val="clear" w:color="auto" w:fill="auto"/>
                  <w:vAlign w:val="center"/>
                </w:tcPr>
                <w:p w14:paraId="4A7CE7A6">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i w:val="0"/>
                      <w:iCs w:val="0"/>
                      <w:color w:val="000000"/>
                      <w:kern w:val="0"/>
                      <w:sz w:val="21"/>
                      <w:szCs w:val="21"/>
                      <w:highlight w:val="none"/>
                      <w:u w:val="none"/>
                      <w:lang w:val="en-US" w:eastAsia="zh-CN" w:bidi="ar"/>
                    </w:rPr>
                    <w:t>10.79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D673">
                  <w:pPr>
                    <w:keepNext w:val="0"/>
                    <w:keepLines w:val="0"/>
                    <w:pageBreakBefore w:val="0"/>
                    <w:widowControl w:val="0"/>
                    <w:tabs>
                      <w:tab w:val="left" w:pos="693"/>
                    </w:tabs>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eastAsia" w:cs="Times New Roman"/>
                      <w:bCs/>
                      <w:color w:val="auto"/>
                      <w:szCs w:val="21"/>
                      <w:highlight w:val="none"/>
                      <w:lang w:val="en-US" w:eastAsia="zh-CN" w:bidi="ar"/>
                    </w:rPr>
                    <w:t>82.43</w:t>
                  </w:r>
                </w:p>
              </w:tc>
              <w:tc>
                <w:tcPr>
                  <w:tcW w:w="900" w:type="dxa"/>
                  <w:shd w:val="clear" w:color="auto" w:fill="auto"/>
                  <w:vAlign w:val="center"/>
                </w:tcPr>
                <w:p w14:paraId="3A224DA6">
                  <w:pPr>
                    <w:keepNext w:val="0"/>
                    <w:keepLines w:val="0"/>
                    <w:widowControl/>
                    <w:suppressLineNumbers w:val="0"/>
                    <w:jc w:val="center"/>
                    <w:textAlignment w:val="center"/>
                    <w:rPr>
                      <w:rFonts w:hint="default" w:ascii="Times New Roman" w:hAnsi="Times New Roman" w:eastAsia="宋体" w:cs="Times New Roman"/>
                      <w:spacing w:val="3"/>
                      <w:kern w:val="2"/>
                      <w:sz w:val="21"/>
                      <w:szCs w:val="21"/>
                      <w:highlight w:val="none"/>
                      <w:u w:val="none"/>
                      <w:lang w:val="en-US" w:eastAsia="zh-CN" w:bidi="ar-SA"/>
                    </w:rPr>
                  </w:pPr>
                  <w:r>
                    <w:rPr>
                      <w:rFonts w:hint="eastAsia" w:cs="Times New Roman"/>
                      <w:spacing w:val="3"/>
                      <w:sz w:val="21"/>
                      <w:szCs w:val="21"/>
                      <w:highlight w:val="none"/>
                      <w:u w:val="none"/>
                      <w:lang w:val="en-US" w:eastAsia="zh-CN"/>
                    </w:rPr>
                    <w:t>2.885</w:t>
                  </w:r>
                </w:p>
              </w:tc>
              <w:tc>
                <w:tcPr>
                  <w:tcW w:w="853" w:type="dxa"/>
                  <w:shd w:val="clear" w:color="auto" w:fill="auto"/>
                  <w:vAlign w:val="center"/>
                </w:tcPr>
                <w:p w14:paraId="4BC552E7">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10.79</w:t>
                  </w:r>
                </w:p>
              </w:tc>
              <w:tc>
                <w:tcPr>
                  <w:tcW w:w="1097" w:type="dxa"/>
                  <w:shd w:val="clear" w:color="auto" w:fill="auto"/>
                  <w:vAlign w:val="center"/>
                </w:tcPr>
                <w:p w14:paraId="79C53835">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yellow"/>
                      <w:lang w:val="en-US" w:eastAsia="zh-CN" w:bidi="ar-SA"/>
                    </w:rPr>
                  </w:pPr>
                  <w:r>
                    <w:rPr>
                      <w:rFonts w:hint="eastAsia" w:cs="Times New Roman"/>
                      <w:i w:val="0"/>
                      <w:iCs w:val="0"/>
                      <w:color w:val="000000"/>
                      <w:kern w:val="0"/>
                      <w:sz w:val="21"/>
                      <w:szCs w:val="21"/>
                      <w:highlight w:val="none"/>
                      <w:u w:val="none"/>
                      <w:lang w:val="en-US" w:eastAsia="zh-CN" w:bidi="ar"/>
                    </w:rPr>
                    <w:t>82.43</w:t>
                  </w:r>
                </w:p>
              </w:tc>
              <w:tc>
                <w:tcPr>
                  <w:tcW w:w="881" w:type="dxa"/>
                  <w:shd w:val="clear" w:color="auto" w:fill="auto"/>
                  <w:vAlign w:val="center"/>
                </w:tcPr>
                <w:p w14:paraId="6EFF0159">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2.885</w:t>
                  </w:r>
                </w:p>
              </w:tc>
              <w:tc>
                <w:tcPr>
                  <w:tcW w:w="844" w:type="dxa"/>
                  <w:shd w:val="clear" w:color="auto" w:fill="auto"/>
                  <w:vAlign w:val="center"/>
                </w:tcPr>
                <w:p w14:paraId="5237C470">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szCs w:val="21"/>
                      <w:highlight w:val="none"/>
                    </w:rPr>
                    <w:t>300</w:t>
                  </w:r>
                </w:p>
              </w:tc>
              <w:tc>
                <w:tcPr>
                  <w:tcW w:w="834" w:type="dxa"/>
                  <w:shd w:val="clear" w:color="auto" w:fill="auto"/>
                  <w:vAlign w:val="center"/>
                </w:tcPr>
                <w:p w14:paraId="3F4A9288">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szCs w:val="21"/>
                      <w:highlight w:val="none"/>
                    </w:rPr>
                    <w:t>/</w:t>
                  </w:r>
                </w:p>
              </w:tc>
            </w:tr>
            <w:tr w14:paraId="57CE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dxa"/>
                  <w:vMerge w:val="restart"/>
                  <w:shd w:val="clear" w:color="auto" w:fill="auto"/>
                  <w:vAlign w:val="center"/>
                </w:tcPr>
                <w:p w14:paraId="1A4CC98E">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无组织排放</w:t>
                  </w:r>
                </w:p>
              </w:tc>
              <w:tc>
                <w:tcPr>
                  <w:tcW w:w="2072" w:type="dxa"/>
                  <w:shd w:val="clear" w:color="auto" w:fill="auto"/>
                  <w:vAlign w:val="center"/>
                </w:tcPr>
                <w:p w14:paraId="76BB59FA">
                  <w:pPr>
                    <w:widowControl/>
                    <w:jc w:val="center"/>
                    <w:rPr>
                      <w:rFonts w:hint="default" w:ascii="Times New Roman" w:hAnsi="Times New Roman" w:cs="Times New Roman"/>
                      <w:color w:val="000000"/>
                      <w:kern w:val="0"/>
                      <w:szCs w:val="21"/>
                      <w:highlight w:val="none"/>
                      <w:lang w:val="en-US" w:eastAsia="zh-CN"/>
                    </w:rPr>
                  </w:pPr>
                  <w:r>
                    <w:rPr>
                      <w:rFonts w:hint="eastAsia" w:cs="Times New Roman"/>
                      <w:color w:val="000000"/>
                      <w:kern w:val="0"/>
                      <w:szCs w:val="21"/>
                      <w:highlight w:val="none"/>
                      <w:lang w:val="en-US" w:eastAsia="zh-CN"/>
                    </w:rPr>
                    <w:t>粉碎粉尘</w:t>
                  </w:r>
                </w:p>
              </w:tc>
              <w:tc>
                <w:tcPr>
                  <w:tcW w:w="881" w:type="dxa"/>
                  <w:shd w:val="clear" w:color="auto" w:fill="auto"/>
                  <w:vAlign w:val="center"/>
                </w:tcPr>
                <w:p w14:paraId="50E2D56B">
                  <w:pPr>
                    <w:widowControl/>
                    <w:jc w:val="center"/>
                    <w:rPr>
                      <w:rFonts w:hint="default" w:ascii="Times New Roman" w:hAnsi="Times New Roman" w:eastAsia="宋体" w:cs="Times New Roman"/>
                      <w:color w:val="000000"/>
                      <w:kern w:val="0"/>
                      <w:szCs w:val="21"/>
                      <w:highlight w:val="none"/>
                      <w:lang w:val="en-US" w:eastAsia="zh-CN"/>
                    </w:rPr>
                  </w:pPr>
                  <w:r>
                    <w:rPr>
                      <w:rFonts w:hint="eastAsia" w:cs="Times New Roman"/>
                      <w:color w:val="000000"/>
                      <w:kern w:val="0"/>
                      <w:szCs w:val="21"/>
                      <w:highlight w:val="none"/>
                      <w:lang w:val="en-US" w:eastAsia="zh-CN"/>
                    </w:rPr>
                    <w:t>颗粒物</w:t>
                  </w:r>
                </w:p>
              </w:tc>
              <w:tc>
                <w:tcPr>
                  <w:tcW w:w="900" w:type="dxa"/>
                  <w:shd w:val="clear" w:color="auto" w:fill="auto"/>
                  <w:vAlign w:val="center"/>
                </w:tcPr>
                <w:p w14:paraId="0DC9D7F2">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w:t>
                  </w:r>
                </w:p>
              </w:tc>
              <w:tc>
                <w:tcPr>
                  <w:tcW w:w="872" w:type="dxa"/>
                  <w:shd w:val="clear" w:color="auto" w:fill="auto"/>
                  <w:vAlign w:val="center"/>
                </w:tcPr>
                <w:p w14:paraId="19EDDB6A">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w:t>
                  </w:r>
                </w:p>
              </w:tc>
              <w:tc>
                <w:tcPr>
                  <w:tcW w:w="910" w:type="dxa"/>
                  <w:shd w:val="clear" w:color="auto" w:fill="auto"/>
                  <w:vAlign w:val="center"/>
                </w:tcPr>
                <w:p w14:paraId="31CEBEA8">
                  <w:pPr>
                    <w:widowControl/>
                    <w:jc w:val="center"/>
                    <w:rPr>
                      <w:rFonts w:hint="default" w:ascii="Times New Roman" w:hAnsi="Times New Roman" w:cs="Times New Roman"/>
                      <w:color w:val="000000"/>
                      <w:kern w:val="0"/>
                      <w:szCs w:val="21"/>
                      <w:highlight w:val="none"/>
                      <w:lang w:val="en-US" w:eastAsia="zh-CN"/>
                    </w:rPr>
                  </w:pPr>
                  <w:r>
                    <w:rPr>
                      <w:rFonts w:hint="eastAsia" w:cs="Times New Roman"/>
                      <w:color w:val="000000"/>
                      <w:kern w:val="0"/>
                      <w:szCs w:val="21"/>
                      <w:highlight w:val="none"/>
                      <w:lang w:val="en-US" w:eastAsia="zh-CN"/>
                    </w:rPr>
                    <w:t>1.12</w:t>
                  </w:r>
                </w:p>
              </w:tc>
              <w:tc>
                <w:tcPr>
                  <w:tcW w:w="1134" w:type="dxa"/>
                  <w:shd w:val="clear" w:color="auto" w:fill="auto"/>
                  <w:vAlign w:val="center"/>
                </w:tcPr>
                <w:p w14:paraId="24EC6B2B">
                  <w:pPr>
                    <w:widowControl/>
                    <w:jc w:val="center"/>
                    <w:rPr>
                      <w:rFonts w:hint="default" w:ascii="Times New Roman" w:hAnsi="Times New Roman" w:eastAsia="宋体"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w:t>
                  </w:r>
                </w:p>
              </w:tc>
              <w:tc>
                <w:tcPr>
                  <w:tcW w:w="900" w:type="dxa"/>
                  <w:shd w:val="clear" w:color="auto" w:fill="auto"/>
                  <w:vAlign w:val="center"/>
                </w:tcPr>
                <w:p w14:paraId="510C18D3">
                  <w:pPr>
                    <w:widowControl/>
                    <w:jc w:val="center"/>
                    <w:rPr>
                      <w:rFonts w:hint="default" w:ascii="Times New Roman" w:hAnsi="Times New Roman" w:cs="Times New Roman"/>
                      <w:color w:val="000000"/>
                      <w:kern w:val="0"/>
                      <w:szCs w:val="21"/>
                      <w:highlight w:val="none"/>
                      <w:lang w:val="en-US" w:eastAsia="zh-CN"/>
                    </w:rPr>
                  </w:pPr>
                  <w:r>
                    <w:rPr>
                      <w:rFonts w:hint="eastAsia" w:cs="Times New Roman"/>
                      <w:color w:val="000000"/>
                      <w:kern w:val="0"/>
                      <w:szCs w:val="21"/>
                      <w:highlight w:val="none"/>
                      <w:lang w:val="en-US" w:eastAsia="zh-CN"/>
                    </w:rPr>
                    <w:t>0.47</w:t>
                  </w:r>
                </w:p>
              </w:tc>
              <w:tc>
                <w:tcPr>
                  <w:tcW w:w="853" w:type="dxa"/>
                  <w:shd w:val="clear" w:color="auto" w:fill="auto"/>
                  <w:vAlign w:val="center"/>
                </w:tcPr>
                <w:p w14:paraId="27C17306">
                  <w:pPr>
                    <w:widowControl/>
                    <w:jc w:val="center"/>
                    <w:rPr>
                      <w:rFonts w:hint="default" w:ascii="Times New Roman" w:hAnsi="Times New Roman" w:cs="Times New Roman"/>
                      <w:color w:val="000000"/>
                      <w:kern w:val="0"/>
                      <w:szCs w:val="21"/>
                      <w:highlight w:val="none"/>
                      <w:lang w:val="en-US" w:eastAsia="zh-CN"/>
                    </w:rPr>
                  </w:pPr>
                  <w:r>
                    <w:rPr>
                      <w:rFonts w:hint="eastAsia" w:cs="Times New Roman"/>
                      <w:color w:val="000000"/>
                      <w:kern w:val="0"/>
                      <w:szCs w:val="21"/>
                      <w:highlight w:val="none"/>
                      <w:lang w:val="en-US" w:eastAsia="zh-CN"/>
                    </w:rPr>
                    <w:t>0.45</w:t>
                  </w:r>
                </w:p>
              </w:tc>
              <w:tc>
                <w:tcPr>
                  <w:tcW w:w="1097" w:type="dxa"/>
                  <w:shd w:val="clear" w:color="auto" w:fill="auto"/>
                  <w:vAlign w:val="center"/>
                </w:tcPr>
                <w:p w14:paraId="5DD22A82">
                  <w:pPr>
                    <w:widowControl/>
                    <w:jc w:val="center"/>
                    <w:rPr>
                      <w:rFonts w:hint="default" w:ascii="Times New Roman" w:hAnsi="Times New Roman" w:eastAsia="宋体"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w:t>
                  </w:r>
                </w:p>
              </w:tc>
              <w:tc>
                <w:tcPr>
                  <w:tcW w:w="881" w:type="dxa"/>
                  <w:shd w:val="clear" w:color="auto" w:fill="auto"/>
                  <w:vAlign w:val="center"/>
                </w:tcPr>
                <w:p w14:paraId="47BF42C5">
                  <w:pPr>
                    <w:widowControl/>
                    <w:jc w:val="center"/>
                    <w:rPr>
                      <w:rFonts w:hint="default" w:ascii="Times New Roman" w:hAnsi="Times New Roman" w:cs="Times New Roman"/>
                      <w:color w:val="000000"/>
                      <w:kern w:val="0"/>
                      <w:szCs w:val="21"/>
                      <w:highlight w:val="none"/>
                      <w:lang w:val="en-US" w:eastAsia="zh-CN"/>
                    </w:rPr>
                  </w:pPr>
                  <w:r>
                    <w:rPr>
                      <w:rFonts w:hint="eastAsia" w:cs="Times New Roman"/>
                      <w:color w:val="000000"/>
                      <w:kern w:val="0"/>
                      <w:szCs w:val="21"/>
                      <w:highlight w:val="none"/>
                      <w:lang w:val="en-US" w:eastAsia="zh-CN"/>
                    </w:rPr>
                    <w:t>0.19</w:t>
                  </w:r>
                </w:p>
              </w:tc>
              <w:tc>
                <w:tcPr>
                  <w:tcW w:w="844" w:type="dxa"/>
                  <w:shd w:val="clear" w:color="auto" w:fill="auto"/>
                  <w:vAlign w:val="center"/>
                </w:tcPr>
                <w:p w14:paraId="37C4D034">
                  <w:pPr>
                    <w:widowControl/>
                    <w:jc w:val="center"/>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1.0</w:t>
                  </w:r>
                </w:p>
              </w:tc>
              <w:tc>
                <w:tcPr>
                  <w:tcW w:w="834" w:type="dxa"/>
                  <w:shd w:val="clear" w:color="auto" w:fill="auto"/>
                  <w:vAlign w:val="center"/>
                </w:tcPr>
                <w:p w14:paraId="01FC7945">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r>
            <w:tr w14:paraId="5CC0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dxa"/>
                  <w:vMerge w:val="continue"/>
                  <w:shd w:val="clear" w:color="auto" w:fill="auto"/>
                  <w:vAlign w:val="center"/>
                </w:tcPr>
                <w:p w14:paraId="789A4564">
                  <w:pPr>
                    <w:widowControl/>
                    <w:jc w:val="center"/>
                    <w:rPr>
                      <w:rFonts w:hint="default" w:ascii="Times New Roman" w:hAnsi="Times New Roman" w:cs="Times New Roman"/>
                      <w:color w:val="000000"/>
                      <w:kern w:val="0"/>
                      <w:szCs w:val="21"/>
                      <w:highlight w:val="none"/>
                    </w:rPr>
                  </w:pPr>
                </w:p>
              </w:tc>
              <w:tc>
                <w:tcPr>
                  <w:tcW w:w="2072" w:type="dxa"/>
                  <w:shd w:val="clear" w:color="auto" w:fill="auto"/>
                  <w:vAlign w:val="center"/>
                </w:tcPr>
                <w:p w14:paraId="20529A2E">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制棒废气</w:t>
                  </w:r>
                </w:p>
              </w:tc>
              <w:tc>
                <w:tcPr>
                  <w:tcW w:w="881" w:type="dxa"/>
                  <w:shd w:val="clear" w:color="auto" w:fill="auto"/>
                  <w:vAlign w:val="center"/>
                </w:tcPr>
                <w:p w14:paraId="178F281B">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颗粒物</w:t>
                  </w:r>
                </w:p>
              </w:tc>
              <w:tc>
                <w:tcPr>
                  <w:tcW w:w="900" w:type="dxa"/>
                  <w:shd w:val="clear" w:color="auto" w:fill="auto"/>
                  <w:vAlign w:val="center"/>
                </w:tcPr>
                <w:p w14:paraId="1ACF3849">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w:t>
                  </w:r>
                </w:p>
              </w:tc>
              <w:tc>
                <w:tcPr>
                  <w:tcW w:w="872" w:type="dxa"/>
                  <w:shd w:val="clear" w:color="auto" w:fill="auto"/>
                  <w:vAlign w:val="center"/>
                </w:tcPr>
                <w:p w14:paraId="53FE3D87">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w:t>
                  </w:r>
                </w:p>
              </w:tc>
              <w:tc>
                <w:tcPr>
                  <w:tcW w:w="910" w:type="dxa"/>
                  <w:shd w:val="clear" w:color="auto" w:fill="auto"/>
                  <w:vAlign w:val="center"/>
                </w:tcPr>
                <w:p w14:paraId="180FEEF3">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0.41</w:t>
                  </w:r>
                </w:p>
              </w:tc>
              <w:tc>
                <w:tcPr>
                  <w:tcW w:w="1134" w:type="dxa"/>
                  <w:shd w:val="clear" w:color="auto" w:fill="auto"/>
                  <w:vAlign w:val="center"/>
                </w:tcPr>
                <w:p w14:paraId="6E24E5AE">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Cs w:val="21"/>
                      <w:highlight w:val="none"/>
                      <w:lang w:val="en-US" w:eastAsia="zh-CN"/>
                    </w:rPr>
                    <w:t>/</w:t>
                  </w:r>
                </w:p>
              </w:tc>
              <w:tc>
                <w:tcPr>
                  <w:tcW w:w="900" w:type="dxa"/>
                  <w:shd w:val="clear" w:color="auto" w:fill="auto"/>
                  <w:vAlign w:val="center"/>
                </w:tcPr>
                <w:p w14:paraId="5F5C734F">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0.17</w:t>
                  </w:r>
                </w:p>
              </w:tc>
              <w:tc>
                <w:tcPr>
                  <w:tcW w:w="853" w:type="dxa"/>
                  <w:shd w:val="clear" w:color="auto" w:fill="auto"/>
                  <w:vAlign w:val="center"/>
                </w:tcPr>
                <w:p w14:paraId="5D322AED">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0.16</w:t>
                  </w:r>
                </w:p>
              </w:tc>
              <w:tc>
                <w:tcPr>
                  <w:tcW w:w="1097" w:type="dxa"/>
                  <w:shd w:val="clear" w:color="auto" w:fill="auto"/>
                  <w:vAlign w:val="center"/>
                </w:tcPr>
                <w:p w14:paraId="21022615">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Cs w:val="21"/>
                      <w:highlight w:val="none"/>
                      <w:lang w:val="en-US" w:eastAsia="zh-CN"/>
                    </w:rPr>
                    <w:t>/</w:t>
                  </w:r>
                </w:p>
              </w:tc>
              <w:tc>
                <w:tcPr>
                  <w:tcW w:w="881" w:type="dxa"/>
                  <w:shd w:val="clear" w:color="auto" w:fill="auto"/>
                  <w:vAlign w:val="center"/>
                </w:tcPr>
                <w:p w14:paraId="2DBBF65F">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0.07</w:t>
                  </w:r>
                </w:p>
              </w:tc>
              <w:tc>
                <w:tcPr>
                  <w:tcW w:w="844" w:type="dxa"/>
                  <w:shd w:val="clear" w:color="auto" w:fill="auto"/>
                  <w:vAlign w:val="center"/>
                </w:tcPr>
                <w:p w14:paraId="70F2910B">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Cs w:val="21"/>
                      <w:highlight w:val="none"/>
                      <w:lang w:val="en-US" w:eastAsia="zh-CN"/>
                    </w:rPr>
                    <w:t>1.0</w:t>
                  </w:r>
                </w:p>
              </w:tc>
              <w:tc>
                <w:tcPr>
                  <w:tcW w:w="834" w:type="dxa"/>
                  <w:shd w:val="clear" w:color="auto" w:fill="auto"/>
                  <w:vAlign w:val="center"/>
                </w:tcPr>
                <w:p w14:paraId="2B0356C8">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szCs w:val="21"/>
                      <w:highlight w:val="none"/>
                    </w:rPr>
                    <w:t>/</w:t>
                  </w:r>
                </w:p>
              </w:tc>
            </w:tr>
            <w:tr w14:paraId="27D0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9" w:type="dxa"/>
                  <w:vMerge w:val="continue"/>
                  <w:shd w:val="clear" w:color="auto" w:fill="auto"/>
                  <w:vAlign w:val="center"/>
                </w:tcPr>
                <w:p w14:paraId="0CD1A538">
                  <w:pPr>
                    <w:widowControl/>
                    <w:jc w:val="center"/>
                    <w:rPr>
                      <w:rFonts w:hint="default" w:ascii="Times New Roman" w:hAnsi="Times New Roman" w:cs="Times New Roman"/>
                      <w:color w:val="000000"/>
                      <w:kern w:val="0"/>
                      <w:szCs w:val="21"/>
                      <w:highlight w:val="none"/>
                    </w:rPr>
                  </w:pPr>
                </w:p>
              </w:tc>
              <w:tc>
                <w:tcPr>
                  <w:tcW w:w="2072" w:type="dxa"/>
                  <w:shd w:val="clear" w:color="auto" w:fill="auto"/>
                  <w:vAlign w:val="center"/>
                </w:tcPr>
                <w:p w14:paraId="0B7E900D">
                  <w:pPr>
                    <w:widowControl/>
                    <w:jc w:val="center"/>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烘干粉尘</w:t>
                  </w:r>
                </w:p>
              </w:tc>
              <w:tc>
                <w:tcPr>
                  <w:tcW w:w="881" w:type="dxa"/>
                  <w:shd w:val="clear" w:color="auto" w:fill="auto"/>
                  <w:vAlign w:val="center"/>
                </w:tcPr>
                <w:p w14:paraId="5268EA33">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颗粒物</w:t>
                  </w:r>
                </w:p>
              </w:tc>
              <w:tc>
                <w:tcPr>
                  <w:tcW w:w="900" w:type="dxa"/>
                  <w:shd w:val="clear" w:color="auto" w:fill="auto"/>
                  <w:vAlign w:val="center"/>
                </w:tcPr>
                <w:p w14:paraId="451AFF30">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w:t>
                  </w:r>
                </w:p>
              </w:tc>
              <w:tc>
                <w:tcPr>
                  <w:tcW w:w="872" w:type="dxa"/>
                  <w:shd w:val="clear" w:color="auto" w:fill="auto"/>
                  <w:vAlign w:val="center"/>
                </w:tcPr>
                <w:p w14:paraId="47BED308">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Cs w:val="21"/>
                      <w:highlight w:val="none"/>
                      <w:lang w:val="en-US" w:eastAsia="zh-CN"/>
                    </w:rPr>
                    <w:t>/</w:t>
                  </w:r>
                </w:p>
              </w:tc>
              <w:tc>
                <w:tcPr>
                  <w:tcW w:w="910" w:type="dxa"/>
                  <w:shd w:val="clear" w:color="auto" w:fill="auto"/>
                  <w:vAlign w:val="center"/>
                </w:tcPr>
                <w:p w14:paraId="21DA1BB3">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Cs w:val="21"/>
                      <w:highlight w:val="none"/>
                      <w:lang w:val="en-US" w:eastAsia="zh-CN"/>
                    </w:rPr>
                    <w:t>4.5</w:t>
                  </w:r>
                </w:p>
              </w:tc>
              <w:tc>
                <w:tcPr>
                  <w:tcW w:w="1134" w:type="dxa"/>
                  <w:shd w:val="clear" w:color="auto" w:fill="auto"/>
                  <w:vAlign w:val="center"/>
                </w:tcPr>
                <w:p w14:paraId="22D5AFED">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Cs w:val="21"/>
                      <w:highlight w:val="none"/>
                      <w:lang w:val="en-US" w:eastAsia="zh-CN"/>
                    </w:rPr>
                    <w:t>/</w:t>
                  </w:r>
                </w:p>
              </w:tc>
              <w:tc>
                <w:tcPr>
                  <w:tcW w:w="900" w:type="dxa"/>
                  <w:shd w:val="clear" w:color="auto" w:fill="auto"/>
                  <w:vAlign w:val="center"/>
                </w:tcPr>
                <w:p w14:paraId="7440B983">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 w:val="21"/>
                      <w:szCs w:val="21"/>
                      <w:highlight w:val="none"/>
                      <w:lang w:val="en-US" w:eastAsia="zh-CN" w:bidi="ar-SA"/>
                    </w:rPr>
                    <w:t>1.88</w:t>
                  </w:r>
                </w:p>
              </w:tc>
              <w:tc>
                <w:tcPr>
                  <w:tcW w:w="853" w:type="dxa"/>
                  <w:shd w:val="clear" w:color="auto" w:fill="auto"/>
                  <w:vAlign w:val="center"/>
                </w:tcPr>
                <w:p w14:paraId="4F73F0D0">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Cs w:val="21"/>
                      <w:highlight w:val="none"/>
                      <w:lang w:val="en-US" w:eastAsia="zh-CN"/>
                    </w:rPr>
                    <w:t>1.8</w:t>
                  </w:r>
                </w:p>
              </w:tc>
              <w:tc>
                <w:tcPr>
                  <w:tcW w:w="1097" w:type="dxa"/>
                  <w:shd w:val="clear" w:color="auto" w:fill="auto"/>
                  <w:vAlign w:val="center"/>
                </w:tcPr>
                <w:p w14:paraId="78164758">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Cs w:val="21"/>
                      <w:highlight w:val="none"/>
                      <w:lang w:val="en-US" w:eastAsia="zh-CN"/>
                    </w:rPr>
                    <w:t>/</w:t>
                  </w:r>
                </w:p>
              </w:tc>
              <w:tc>
                <w:tcPr>
                  <w:tcW w:w="881" w:type="dxa"/>
                  <w:shd w:val="clear" w:color="auto" w:fill="auto"/>
                  <w:vAlign w:val="center"/>
                </w:tcPr>
                <w:p w14:paraId="42A0AC5E">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kern w:val="0"/>
                      <w:sz w:val="21"/>
                      <w:szCs w:val="21"/>
                      <w:highlight w:val="none"/>
                      <w:lang w:val="en-US" w:eastAsia="zh-CN" w:bidi="ar-SA"/>
                    </w:rPr>
                    <w:t>0.75</w:t>
                  </w:r>
                </w:p>
              </w:tc>
              <w:tc>
                <w:tcPr>
                  <w:tcW w:w="844" w:type="dxa"/>
                  <w:shd w:val="clear" w:color="auto" w:fill="auto"/>
                  <w:vAlign w:val="center"/>
                </w:tcPr>
                <w:p w14:paraId="04344720">
                  <w:pPr>
                    <w:widowControl/>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Cs w:val="21"/>
                      <w:highlight w:val="none"/>
                      <w:lang w:val="en-US" w:eastAsia="zh-CN"/>
                    </w:rPr>
                    <w:t>1.0</w:t>
                  </w:r>
                </w:p>
              </w:tc>
              <w:tc>
                <w:tcPr>
                  <w:tcW w:w="834" w:type="dxa"/>
                  <w:shd w:val="clear" w:color="auto" w:fill="auto"/>
                  <w:vAlign w:val="center"/>
                </w:tcPr>
                <w:p w14:paraId="73B7489D">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szCs w:val="21"/>
                      <w:highlight w:val="none"/>
                    </w:rPr>
                    <w:t>/</w:t>
                  </w:r>
                </w:p>
              </w:tc>
            </w:tr>
            <w:tr w14:paraId="1107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9" w:type="dxa"/>
                  <w:vMerge w:val="continue"/>
                  <w:vAlign w:val="center"/>
                </w:tcPr>
                <w:p w14:paraId="71B7583A">
                  <w:pPr>
                    <w:widowControl/>
                    <w:jc w:val="left"/>
                    <w:rPr>
                      <w:rFonts w:hint="default" w:ascii="Times New Roman" w:hAnsi="Times New Roman" w:cs="Times New Roman"/>
                      <w:color w:val="000000"/>
                      <w:kern w:val="0"/>
                      <w:szCs w:val="21"/>
                      <w:highlight w:val="none"/>
                    </w:rPr>
                  </w:pPr>
                </w:p>
              </w:tc>
              <w:tc>
                <w:tcPr>
                  <w:tcW w:w="2072" w:type="dxa"/>
                  <w:shd w:val="clear" w:color="auto" w:fill="auto"/>
                  <w:vAlign w:val="center"/>
                </w:tcPr>
                <w:p w14:paraId="77455049">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原运输、装卸</w:t>
                  </w:r>
                  <w:r>
                    <w:rPr>
                      <w:rFonts w:hint="default" w:ascii="Times New Roman" w:hAnsi="Times New Roman" w:cs="Times New Roman"/>
                      <w:color w:val="000000"/>
                      <w:kern w:val="0"/>
                      <w:szCs w:val="21"/>
                      <w:highlight w:val="none"/>
                      <w:lang w:val="en-US" w:eastAsia="zh-CN"/>
                    </w:rPr>
                    <w:t>及存放</w:t>
                  </w:r>
                  <w:r>
                    <w:rPr>
                      <w:rFonts w:hint="default" w:ascii="Times New Roman" w:hAnsi="Times New Roman" w:cs="Times New Roman"/>
                      <w:color w:val="000000"/>
                      <w:kern w:val="0"/>
                      <w:szCs w:val="21"/>
                      <w:highlight w:val="none"/>
                    </w:rPr>
                    <w:t>粉尘</w:t>
                  </w:r>
                </w:p>
              </w:tc>
              <w:tc>
                <w:tcPr>
                  <w:tcW w:w="881" w:type="dxa"/>
                  <w:shd w:val="clear" w:color="auto" w:fill="auto"/>
                  <w:vAlign w:val="center"/>
                </w:tcPr>
                <w:p w14:paraId="5F8944B8">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颗粒物</w:t>
                  </w:r>
                </w:p>
              </w:tc>
              <w:tc>
                <w:tcPr>
                  <w:tcW w:w="900" w:type="dxa"/>
                  <w:shd w:val="clear" w:color="auto" w:fill="auto"/>
                  <w:vAlign w:val="center"/>
                </w:tcPr>
                <w:p w14:paraId="0CDF3DA5">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w:t>
                  </w:r>
                </w:p>
              </w:tc>
              <w:tc>
                <w:tcPr>
                  <w:tcW w:w="872" w:type="dxa"/>
                  <w:shd w:val="clear" w:color="auto" w:fill="auto"/>
                  <w:vAlign w:val="center"/>
                </w:tcPr>
                <w:p w14:paraId="259C617A">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w:t>
                  </w:r>
                </w:p>
              </w:tc>
              <w:tc>
                <w:tcPr>
                  <w:tcW w:w="910" w:type="dxa"/>
                  <w:shd w:val="clear" w:color="auto" w:fill="auto"/>
                  <w:vAlign w:val="center"/>
                </w:tcPr>
                <w:p w14:paraId="22A08034">
                  <w:pPr>
                    <w:widowControl/>
                    <w:jc w:val="center"/>
                    <w:rPr>
                      <w:rFonts w:hint="default" w:ascii="Times New Roman" w:hAnsi="Times New Roman" w:eastAsia="宋体" w:cs="Times New Roman"/>
                      <w:color w:val="000000"/>
                      <w:kern w:val="0"/>
                      <w:szCs w:val="21"/>
                      <w:highlight w:val="none"/>
                      <w:lang w:val="en-US" w:eastAsia="zh-CN"/>
                    </w:rPr>
                  </w:pPr>
                  <w:r>
                    <w:rPr>
                      <w:rFonts w:hint="eastAsia" w:cs="Times New Roman"/>
                      <w:color w:val="000000"/>
                      <w:kern w:val="0"/>
                      <w:szCs w:val="21"/>
                      <w:highlight w:val="none"/>
                      <w:lang w:val="en-US" w:eastAsia="zh-CN"/>
                    </w:rPr>
                    <w:t>5.62</w:t>
                  </w:r>
                </w:p>
              </w:tc>
              <w:tc>
                <w:tcPr>
                  <w:tcW w:w="1134" w:type="dxa"/>
                  <w:shd w:val="clear" w:color="auto" w:fill="auto"/>
                  <w:vAlign w:val="center"/>
                </w:tcPr>
                <w:p w14:paraId="35C78705">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900" w:type="dxa"/>
                  <w:shd w:val="clear" w:color="auto" w:fill="auto"/>
                  <w:vAlign w:val="center"/>
                </w:tcPr>
                <w:p w14:paraId="7BA8C9D3">
                  <w:pPr>
                    <w:widowControl/>
                    <w:jc w:val="center"/>
                    <w:rPr>
                      <w:rFonts w:hint="default" w:ascii="Times New Roman" w:hAnsi="Times New Roman" w:eastAsia="宋体" w:cs="Times New Roman"/>
                      <w:color w:val="000000"/>
                      <w:kern w:val="0"/>
                      <w:szCs w:val="21"/>
                      <w:highlight w:val="none"/>
                      <w:lang w:val="en-US" w:eastAsia="zh-CN"/>
                    </w:rPr>
                  </w:pPr>
                  <w:r>
                    <w:rPr>
                      <w:rFonts w:hint="eastAsia" w:cs="Times New Roman"/>
                      <w:color w:val="000000"/>
                      <w:kern w:val="0"/>
                      <w:szCs w:val="21"/>
                      <w:highlight w:val="none"/>
                      <w:lang w:val="en-US" w:eastAsia="zh-CN"/>
                    </w:rPr>
                    <w:t>2.34</w:t>
                  </w:r>
                </w:p>
              </w:tc>
              <w:tc>
                <w:tcPr>
                  <w:tcW w:w="853" w:type="dxa"/>
                  <w:shd w:val="clear" w:color="auto" w:fill="auto"/>
                  <w:vAlign w:val="center"/>
                </w:tcPr>
                <w:p w14:paraId="7950149F">
                  <w:pPr>
                    <w:widowControl/>
                    <w:jc w:val="center"/>
                    <w:rPr>
                      <w:rFonts w:hint="default" w:ascii="Times New Roman" w:hAnsi="Times New Roman" w:eastAsia="宋体" w:cs="Times New Roman"/>
                      <w:color w:val="000000"/>
                      <w:kern w:val="0"/>
                      <w:szCs w:val="21"/>
                      <w:highlight w:val="none"/>
                      <w:lang w:val="en-US" w:eastAsia="zh-CN"/>
                    </w:rPr>
                  </w:pPr>
                  <w:r>
                    <w:rPr>
                      <w:rFonts w:hint="eastAsia" w:cs="Times New Roman"/>
                      <w:color w:val="000000"/>
                      <w:kern w:val="0"/>
                      <w:szCs w:val="21"/>
                      <w:highlight w:val="none"/>
                      <w:lang w:val="en-US" w:eastAsia="zh-CN"/>
                    </w:rPr>
                    <w:t>2.25</w:t>
                  </w:r>
                </w:p>
              </w:tc>
              <w:tc>
                <w:tcPr>
                  <w:tcW w:w="1097" w:type="dxa"/>
                  <w:shd w:val="clear" w:color="auto" w:fill="auto"/>
                  <w:vAlign w:val="center"/>
                </w:tcPr>
                <w:p w14:paraId="4EAAD7BA">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881" w:type="dxa"/>
                  <w:shd w:val="clear" w:color="auto" w:fill="auto"/>
                  <w:vAlign w:val="center"/>
                </w:tcPr>
                <w:p w14:paraId="7565CB94">
                  <w:pPr>
                    <w:widowControl/>
                    <w:jc w:val="center"/>
                    <w:rPr>
                      <w:rFonts w:hint="default" w:ascii="Times New Roman" w:hAnsi="Times New Roman" w:eastAsia="宋体" w:cs="Times New Roman"/>
                      <w:color w:val="000000"/>
                      <w:kern w:val="0"/>
                      <w:szCs w:val="21"/>
                      <w:highlight w:val="none"/>
                      <w:lang w:val="en-US" w:eastAsia="zh-CN"/>
                    </w:rPr>
                  </w:pPr>
                  <w:r>
                    <w:rPr>
                      <w:rFonts w:hint="eastAsia" w:cs="Times New Roman"/>
                      <w:color w:val="000000"/>
                      <w:kern w:val="0"/>
                      <w:szCs w:val="21"/>
                      <w:highlight w:val="none"/>
                      <w:lang w:val="en-US" w:eastAsia="zh-CN"/>
                    </w:rPr>
                    <w:t>0.94</w:t>
                  </w:r>
                </w:p>
              </w:tc>
              <w:tc>
                <w:tcPr>
                  <w:tcW w:w="844" w:type="dxa"/>
                  <w:shd w:val="clear" w:color="auto" w:fill="auto"/>
                  <w:vAlign w:val="center"/>
                </w:tcPr>
                <w:p w14:paraId="0A2F85A5">
                  <w:pPr>
                    <w:widowControl/>
                    <w:jc w:val="center"/>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cs="Times New Roman"/>
                      <w:color w:val="000000"/>
                      <w:szCs w:val="21"/>
                      <w:highlight w:val="none"/>
                    </w:rPr>
                    <w:t>1</w:t>
                  </w:r>
                  <w:r>
                    <w:rPr>
                      <w:rFonts w:hint="default" w:ascii="Times New Roman" w:hAnsi="Times New Roman" w:cs="Times New Roman"/>
                      <w:color w:val="000000"/>
                      <w:szCs w:val="21"/>
                      <w:highlight w:val="none"/>
                      <w:lang w:val="en-US" w:eastAsia="zh-CN"/>
                    </w:rPr>
                    <w:t>.0</w:t>
                  </w:r>
                </w:p>
              </w:tc>
              <w:tc>
                <w:tcPr>
                  <w:tcW w:w="834" w:type="dxa"/>
                  <w:shd w:val="clear" w:color="auto" w:fill="auto"/>
                  <w:vAlign w:val="center"/>
                </w:tcPr>
                <w:p w14:paraId="41C3A6A5">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r>
            <w:tr w14:paraId="6FDA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81" w:type="dxa"/>
                  <w:gridSpan w:val="2"/>
                  <w:vMerge w:val="restart"/>
                  <w:shd w:val="clear" w:color="auto" w:fill="auto"/>
                  <w:vAlign w:val="center"/>
                </w:tcPr>
                <w:p w14:paraId="23E1467C">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合计</w:t>
                  </w:r>
                </w:p>
              </w:tc>
              <w:tc>
                <w:tcPr>
                  <w:tcW w:w="881" w:type="dxa"/>
                  <w:shd w:val="clear" w:color="auto" w:fill="auto"/>
                  <w:vAlign w:val="center"/>
                </w:tcPr>
                <w:p w14:paraId="14A90543">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颗粒物</w:t>
                  </w:r>
                </w:p>
              </w:tc>
              <w:tc>
                <w:tcPr>
                  <w:tcW w:w="900" w:type="dxa"/>
                  <w:shd w:val="clear" w:color="auto" w:fill="auto"/>
                  <w:vAlign w:val="center"/>
                </w:tcPr>
                <w:p w14:paraId="2A2565B4">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w:t>
                  </w:r>
                </w:p>
              </w:tc>
              <w:tc>
                <w:tcPr>
                  <w:tcW w:w="872" w:type="dxa"/>
                  <w:shd w:val="clear" w:color="auto" w:fill="auto"/>
                  <w:vAlign w:val="center"/>
                </w:tcPr>
                <w:p w14:paraId="4AA4CE1E">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w:t>
                  </w:r>
                </w:p>
              </w:tc>
              <w:tc>
                <w:tcPr>
                  <w:tcW w:w="910" w:type="dxa"/>
                  <w:shd w:val="clear" w:color="auto" w:fill="auto"/>
                  <w:vAlign w:val="center"/>
                </w:tcPr>
                <w:p w14:paraId="17FBE916">
                  <w:pPr>
                    <w:keepNext w:val="0"/>
                    <w:keepLines w:val="0"/>
                    <w:widowControl/>
                    <w:suppressLineNumbers w:val="0"/>
                    <w:jc w:val="center"/>
                    <w:textAlignment w:val="center"/>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72.06</w:t>
                  </w:r>
                </w:p>
              </w:tc>
              <w:tc>
                <w:tcPr>
                  <w:tcW w:w="1134" w:type="dxa"/>
                  <w:shd w:val="clear" w:color="auto" w:fill="auto"/>
                  <w:vAlign w:val="center"/>
                </w:tcPr>
                <w:p w14:paraId="3DBD930C">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900" w:type="dxa"/>
                  <w:shd w:val="clear" w:color="auto" w:fill="auto"/>
                  <w:vAlign w:val="center"/>
                </w:tcPr>
                <w:p w14:paraId="78898D64">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853" w:type="dxa"/>
                  <w:shd w:val="clear" w:color="auto" w:fill="auto"/>
                  <w:vAlign w:val="center"/>
                </w:tcPr>
                <w:p w14:paraId="3BBEC41C">
                  <w:pPr>
                    <w:keepNext w:val="0"/>
                    <w:keepLines w:val="0"/>
                    <w:widowControl/>
                    <w:suppressLineNumbers w:val="0"/>
                    <w:jc w:val="center"/>
                    <w:textAlignment w:val="center"/>
                    <w:rPr>
                      <w:rFonts w:hint="default" w:ascii="Times New Roman" w:hAnsi="Times New Roman" w:eastAsia="宋体" w:cs="Times New Roman"/>
                      <w:color w:val="000000"/>
                      <w:kern w:val="0"/>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7.698</w:t>
                  </w:r>
                </w:p>
              </w:tc>
              <w:tc>
                <w:tcPr>
                  <w:tcW w:w="1097" w:type="dxa"/>
                  <w:shd w:val="clear" w:color="auto" w:fill="auto"/>
                  <w:vAlign w:val="center"/>
                </w:tcPr>
                <w:p w14:paraId="4C072E91">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szCs w:val="21"/>
                      <w:highlight w:val="none"/>
                    </w:rPr>
                    <w:t>/</w:t>
                  </w:r>
                </w:p>
              </w:tc>
              <w:tc>
                <w:tcPr>
                  <w:tcW w:w="881" w:type="dxa"/>
                  <w:shd w:val="clear" w:color="auto" w:fill="auto"/>
                  <w:vAlign w:val="center"/>
                </w:tcPr>
                <w:p w14:paraId="6BEC0FD9">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844" w:type="dxa"/>
                  <w:shd w:val="clear" w:color="auto" w:fill="auto"/>
                  <w:vAlign w:val="center"/>
                </w:tcPr>
                <w:p w14:paraId="3FBF3D38">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834" w:type="dxa"/>
                  <w:shd w:val="clear" w:color="auto" w:fill="auto"/>
                  <w:vAlign w:val="center"/>
                </w:tcPr>
                <w:p w14:paraId="333D35B8">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r>
            <w:tr w14:paraId="3CA8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81" w:type="dxa"/>
                  <w:gridSpan w:val="2"/>
                  <w:vMerge w:val="continue"/>
                  <w:vAlign w:val="center"/>
                </w:tcPr>
                <w:p w14:paraId="59ED4E15">
                  <w:pPr>
                    <w:widowControl/>
                    <w:jc w:val="center"/>
                    <w:rPr>
                      <w:rFonts w:hint="default" w:ascii="Times New Roman" w:hAnsi="Times New Roman" w:cs="Times New Roman"/>
                      <w:color w:val="000000"/>
                      <w:kern w:val="0"/>
                      <w:szCs w:val="21"/>
                      <w:highlight w:val="none"/>
                    </w:rPr>
                  </w:pPr>
                </w:p>
              </w:tc>
              <w:tc>
                <w:tcPr>
                  <w:tcW w:w="881" w:type="dxa"/>
                  <w:shd w:val="clear" w:color="auto" w:fill="auto"/>
                  <w:vAlign w:val="center"/>
                </w:tcPr>
                <w:p w14:paraId="7BB0EF2A">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SO</w:t>
                  </w:r>
                  <w:r>
                    <w:rPr>
                      <w:rFonts w:hint="default" w:ascii="Times New Roman" w:hAnsi="Times New Roman" w:cs="Times New Roman"/>
                      <w:color w:val="000000"/>
                      <w:kern w:val="0"/>
                      <w:szCs w:val="21"/>
                      <w:highlight w:val="none"/>
                      <w:vertAlign w:val="subscript"/>
                    </w:rPr>
                    <w:t>2</w:t>
                  </w:r>
                </w:p>
              </w:tc>
              <w:tc>
                <w:tcPr>
                  <w:tcW w:w="900" w:type="dxa"/>
                  <w:shd w:val="clear" w:color="auto" w:fill="auto"/>
                  <w:vAlign w:val="center"/>
                </w:tcPr>
                <w:p w14:paraId="7DCAC7E6">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w:t>
                  </w:r>
                </w:p>
              </w:tc>
              <w:tc>
                <w:tcPr>
                  <w:tcW w:w="872" w:type="dxa"/>
                  <w:shd w:val="clear" w:color="auto" w:fill="auto"/>
                  <w:vAlign w:val="center"/>
                </w:tcPr>
                <w:p w14:paraId="58133086">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w:t>
                  </w:r>
                </w:p>
              </w:tc>
              <w:tc>
                <w:tcPr>
                  <w:tcW w:w="910" w:type="dxa"/>
                  <w:shd w:val="clear" w:color="auto" w:fill="auto"/>
                  <w:vAlign w:val="center"/>
                </w:tcPr>
                <w:p w14:paraId="7FE47EE0">
                  <w:pPr>
                    <w:keepNext w:val="0"/>
                    <w:keepLines w:val="0"/>
                    <w:widowControl/>
                    <w:suppressLineNumbers w:val="0"/>
                    <w:jc w:val="center"/>
                    <w:textAlignment w:val="center"/>
                    <w:rPr>
                      <w:rFonts w:hint="default" w:ascii="Times New Roman" w:hAnsi="Times New Roman" w:cs="Times New Roman"/>
                      <w:color w:val="000000"/>
                      <w:kern w:val="0"/>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18.4</w:t>
                  </w:r>
                </w:p>
              </w:tc>
              <w:tc>
                <w:tcPr>
                  <w:tcW w:w="1134" w:type="dxa"/>
                  <w:shd w:val="clear" w:color="auto" w:fill="auto"/>
                  <w:vAlign w:val="center"/>
                </w:tcPr>
                <w:p w14:paraId="77B0219F">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900" w:type="dxa"/>
                  <w:shd w:val="clear" w:color="auto" w:fill="auto"/>
                  <w:vAlign w:val="center"/>
                </w:tcPr>
                <w:p w14:paraId="6C16B5C5">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853" w:type="dxa"/>
                  <w:shd w:val="clear" w:color="auto" w:fill="auto"/>
                  <w:vAlign w:val="center"/>
                </w:tcPr>
                <w:p w14:paraId="50747165">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9.2</w:t>
                  </w:r>
                </w:p>
              </w:tc>
              <w:tc>
                <w:tcPr>
                  <w:tcW w:w="1097" w:type="dxa"/>
                  <w:shd w:val="clear" w:color="auto" w:fill="auto"/>
                  <w:vAlign w:val="center"/>
                </w:tcPr>
                <w:p w14:paraId="23E7DE67">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szCs w:val="21"/>
                      <w:highlight w:val="none"/>
                    </w:rPr>
                    <w:t>/</w:t>
                  </w:r>
                </w:p>
              </w:tc>
              <w:tc>
                <w:tcPr>
                  <w:tcW w:w="881" w:type="dxa"/>
                  <w:shd w:val="clear" w:color="auto" w:fill="auto"/>
                  <w:vAlign w:val="center"/>
                </w:tcPr>
                <w:p w14:paraId="011D3FEF">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844" w:type="dxa"/>
                  <w:shd w:val="clear" w:color="auto" w:fill="auto"/>
                  <w:vAlign w:val="center"/>
                </w:tcPr>
                <w:p w14:paraId="3F6A476E">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834" w:type="dxa"/>
                  <w:shd w:val="clear" w:color="auto" w:fill="auto"/>
                  <w:vAlign w:val="center"/>
                </w:tcPr>
                <w:p w14:paraId="02B55653">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r>
            <w:tr w14:paraId="3205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81" w:type="dxa"/>
                  <w:gridSpan w:val="2"/>
                  <w:vMerge w:val="continue"/>
                  <w:vAlign w:val="center"/>
                </w:tcPr>
                <w:p w14:paraId="00DE8DD4">
                  <w:pPr>
                    <w:widowControl/>
                    <w:jc w:val="center"/>
                    <w:rPr>
                      <w:rFonts w:hint="default" w:ascii="Times New Roman" w:hAnsi="Times New Roman" w:cs="Times New Roman"/>
                      <w:color w:val="000000"/>
                      <w:kern w:val="0"/>
                      <w:szCs w:val="21"/>
                      <w:highlight w:val="none"/>
                    </w:rPr>
                  </w:pPr>
                </w:p>
              </w:tc>
              <w:tc>
                <w:tcPr>
                  <w:tcW w:w="881" w:type="dxa"/>
                  <w:shd w:val="clear" w:color="auto" w:fill="auto"/>
                  <w:vAlign w:val="center"/>
                </w:tcPr>
                <w:p w14:paraId="2FC6C9E8">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NOx</w:t>
                  </w:r>
                </w:p>
              </w:tc>
              <w:tc>
                <w:tcPr>
                  <w:tcW w:w="900" w:type="dxa"/>
                  <w:shd w:val="clear" w:color="auto" w:fill="auto"/>
                  <w:vAlign w:val="center"/>
                </w:tcPr>
                <w:p w14:paraId="5685CFCC">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w:t>
                  </w:r>
                </w:p>
              </w:tc>
              <w:tc>
                <w:tcPr>
                  <w:tcW w:w="872" w:type="dxa"/>
                  <w:shd w:val="clear" w:color="auto" w:fill="auto"/>
                  <w:vAlign w:val="center"/>
                </w:tcPr>
                <w:p w14:paraId="4FE4DC56">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w:t>
                  </w:r>
                </w:p>
              </w:tc>
              <w:tc>
                <w:tcPr>
                  <w:tcW w:w="910" w:type="dxa"/>
                  <w:shd w:val="clear" w:color="auto" w:fill="auto"/>
                  <w:vAlign w:val="center"/>
                </w:tcPr>
                <w:p w14:paraId="544B90A0">
                  <w:pPr>
                    <w:keepNext w:val="0"/>
                    <w:keepLines w:val="0"/>
                    <w:widowControl/>
                    <w:suppressLineNumbers w:val="0"/>
                    <w:jc w:val="center"/>
                    <w:textAlignment w:val="center"/>
                    <w:rPr>
                      <w:rFonts w:hint="default" w:ascii="Times New Roman" w:hAnsi="Times New Roman" w:cs="Times New Roman"/>
                      <w:color w:val="000000"/>
                      <w:kern w:val="0"/>
                      <w:szCs w:val="21"/>
                      <w:highlight w:val="none"/>
                      <w:lang w:val="en-US"/>
                    </w:rPr>
                  </w:pPr>
                  <w:r>
                    <w:rPr>
                      <w:rFonts w:hint="default" w:ascii="Times New Roman" w:hAnsi="Times New Roman" w:eastAsia="宋体" w:cs="Times New Roman"/>
                      <w:i w:val="0"/>
                      <w:iCs w:val="0"/>
                      <w:color w:val="000000"/>
                      <w:kern w:val="0"/>
                      <w:sz w:val="21"/>
                      <w:szCs w:val="21"/>
                      <w:highlight w:val="none"/>
                      <w:u w:val="none"/>
                      <w:lang w:val="en-US" w:eastAsia="zh-CN" w:bidi="ar"/>
                    </w:rPr>
                    <w:t>10.79</w:t>
                  </w:r>
                </w:p>
              </w:tc>
              <w:tc>
                <w:tcPr>
                  <w:tcW w:w="1134" w:type="dxa"/>
                  <w:shd w:val="clear" w:color="auto" w:fill="auto"/>
                  <w:vAlign w:val="center"/>
                </w:tcPr>
                <w:p w14:paraId="3C0F334E">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900" w:type="dxa"/>
                  <w:shd w:val="clear" w:color="auto" w:fill="auto"/>
                  <w:vAlign w:val="center"/>
                </w:tcPr>
                <w:p w14:paraId="4BD41D53">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853" w:type="dxa"/>
                  <w:shd w:val="clear" w:color="auto" w:fill="auto"/>
                  <w:vAlign w:val="center"/>
                </w:tcPr>
                <w:p w14:paraId="4123228B">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10.79</w:t>
                  </w:r>
                </w:p>
              </w:tc>
              <w:tc>
                <w:tcPr>
                  <w:tcW w:w="1097" w:type="dxa"/>
                  <w:shd w:val="clear" w:color="auto" w:fill="auto"/>
                  <w:vAlign w:val="center"/>
                </w:tcPr>
                <w:p w14:paraId="52E74CEA">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cs="Times New Roman"/>
                      <w:color w:val="000000"/>
                      <w:szCs w:val="21"/>
                      <w:highlight w:val="none"/>
                    </w:rPr>
                    <w:t>/</w:t>
                  </w:r>
                </w:p>
              </w:tc>
              <w:tc>
                <w:tcPr>
                  <w:tcW w:w="881" w:type="dxa"/>
                  <w:shd w:val="clear" w:color="auto" w:fill="auto"/>
                  <w:vAlign w:val="center"/>
                </w:tcPr>
                <w:p w14:paraId="08C6BF24">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844" w:type="dxa"/>
                  <w:shd w:val="clear" w:color="auto" w:fill="auto"/>
                  <w:vAlign w:val="center"/>
                </w:tcPr>
                <w:p w14:paraId="4D2FA791">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c>
                <w:tcPr>
                  <w:tcW w:w="834" w:type="dxa"/>
                  <w:shd w:val="clear" w:color="auto" w:fill="auto"/>
                  <w:vAlign w:val="center"/>
                </w:tcPr>
                <w:p w14:paraId="3647CC70">
                  <w:pPr>
                    <w:widowControl/>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szCs w:val="21"/>
                      <w:highlight w:val="none"/>
                    </w:rPr>
                    <w:t>/</w:t>
                  </w:r>
                </w:p>
              </w:tc>
            </w:tr>
            <w:tr w14:paraId="5D2B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87" w:type="dxa"/>
                  <w:gridSpan w:val="13"/>
                  <w:vAlign w:val="center"/>
                </w:tcPr>
                <w:p w14:paraId="2FD2BF6B">
                  <w:pPr>
                    <w:widowControl/>
                    <w:jc w:val="both"/>
                    <w:rPr>
                      <w:rFonts w:hint="default" w:ascii="Times New Roman" w:hAnsi="Times New Roman" w:cs="Times New Roman"/>
                      <w:color w:val="000000"/>
                      <w:szCs w:val="21"/>
                      <w:highlight w:val="none"/>
                    </w:rPr>
                  </w:pPr>
                  <w:r>
                    <w:rPr>
                      <w:rFonts w:hint="eastAsia" w:ascii="Times New Roman" w:hAnsi="Times New Roman" w:cs="Times New Roman"/>
                      <w:color w:val="000000" w:themeColor="text1"/>
                      <w:spacing w:val="0"/>
                      <w:sz w:val="21"/>
                      <w:szCs w:val="21"/>
                      <w:highlight w:val="none"/>
                      <w:u w:val="none"/>
                      <w:lang w:val="en-US" w:eastAsia="zh-CN"/>
                      <w14:textFill>
                        <w14:solidFill>
                          <w14:schemeClr w14:val="tx1"/>
                        </w14:solidFill>
                      </w14:textFill>
                    </w:rPr>
                    <w:t>注：DA002产生/排放速率、产生/排放浓度按制棒、烘干、碳化同时运行时段计算。</w:t>
                  </w:r>
                </w:p>
              </w:tc>
            </w:tr>
          </w:tbl>
          <w:p w14:paraId="3A464CA1">
            <w:pPr>
              <w:pStyle w:val="32"/>
              <w:ind w:left="0" w:leftChars="0" w:firstLine="0" w:firstLineChars="0"/>
              <w:jc w:val="both"/>
              <w:rPr>
                <w:highlight w:val="none"/>
              </w:rPr>
            </w:pPr>
          </w:p>
        </w:tc>
      </w:tr>
    </w:tbl>
    <w:p w14:paraId="465C65E0">
      <w:pPr>
        <w:pStyle w:val="44"/>
        <w:rPr>
          <w:rFonts w:ascii="Times New Roman" w:hAnsi="Times New Roman" w:cs="Times New Roman"/>
          <w:highlight w:val="none"/>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34"/>
        <w:tblW w:w="92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8647"/>
      </w:tblGrid>
      <w:tr w14:paraId="04876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12" w:hRule="atLeast"/>
          <w:jc w:val="center"/>
        </w:trPr>
        <w:tc>
          <w:tcPr>
            <w:tcW w:w="557" w:type="dxa"/>
            <w:tcMar>
              <w:left w:w="28" w:type="dxa"/>
              <w:right w:w="28" w:type="dxa"/>
            </w:tcMar>
            <w:vAlign w:val="center"/>
          </w:tcPr>
          <w:p w14:paraId="40098896">
            <w:pPr>
              <w:adjustRightInd w:val="0"/>
              <w:snapToGrid w:val="0"/>
              <w:jc w:val="center"/>
              <w:rPr>
                <w:rFonts w:ascii="Times New Roman" w:hAnsi="Times New Roman" w:eastAsia="宋体" w:cs="Times New Roman"/>
                <w:kern w:val="0"/>
                <w:sz w:val="24"/>
                <w:szCs w:val="24"/>
                <w:highlight w:val="none"/>
                <w:lang w:val="en-US" w:eastAsia="zh-CN" w:bidi="ar-SA"/>
              </w:rPr>
            </w:pPr>
            <w:r>
              <w:rPr>
                <w:rFonts w:ascii="Times New Roman" w:hAnsi="Times New Roman" w:eastAsia="宋体" w:cs="Times New Roman"/>
                <w:kern w:val="0"/>
                <w:sz w:val="24"/>
                <w:szCs w:val="24"/>
                <w:highlight w:val="none"/>
                <w:lang w:val="en-US" w:eastAsia="zh-CN" w:bidi="ar-SA"/>
              </w:rPr>
              <w:t>运营期环境影</w:t>
            </w:r>
          </w:p>
          <w:p w14:paraId="499C26A6">
            <w:pPr>
              <w:adjustRightInd w:val="0"/>
              <w:snapToGrid w:val="0"/>
              <w:jc w:val="center"/>
              <w:rPr>
                <w:bCs/>
                <w:szCs w:val="21"/>
                <w:highlight w:val="none"/>
              </w:rPr>
            </w:pPr>
            <w:r>
              <w:rPr>
                <w:rFonts w:ascii="Times New Roman" w:hAnsi="Times New Roman" w:eastAsia="宋体" w:cs="Times New Roman"/>
                <w:kern w:val="0"/>
                <w:sz w:val="24"/>
                <w:szCs w:val="24"/>
                <w:highlight w:val="none"/>
                <w:lang w:val="en-US" w:eastAsia="zh-CN" w:bidi="ar-SA"/>
              </w:rPr>
              <w:t>响和保护措施</w:t>
            </w:r>
          </w:p>
        </w:tc>
        <w:tc>
          <w:tcPr>
            <w:tcW w:w="8647" w:type="dxa"/>
            <w:vAlign w:val="center"/>
          </w:tcPr>
          <w:p w14:paraId="73568A86">
            <w:pPr>
              <w:pStyle w:val="21"/>
              <w:adjustRightInd w:val="0"/>
              <w:snapToGrid w:val="0"/>
              <w:spacing w:after="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2.废水</w:t>
            </w:r>
          </w:p>
          <w:p w14:paraId="72443561">
            <w:pPr>
              <w:pStyle w:val="44"/>
              <w:spacing w:line="360" w:lineRule="auto"/>
              <w:ind w:firstLine="472" w:firstLineChars="200"/>
              <w:rPr>
                <w:rFonts w:ascii="Times New Roman" w:hAnsi="Times New Roman" w:cs="Times New Roman"/>
                <w:spacing w:val="-2"/>
                <w:kern w:val="0"/>
                <w:sz w:val="24"/>
                <w:highlight w:val="none"/>
                <w:lang w:eastAsia="zh-CN"/>
              </w:rPr>
            </w:pPr>
            <w:r>
              <w:rPr>
                <w:rFonts w:hint="eastAsia" w:ascii="Times New Roman" w:hAnsi="Times New Roman" w:cs="Times New Roman"/>
                <w:spacing w:val="-2"/>
                <w:kern w:val="0"/>
                <w:sz w:val="24"/>
                <w:highlight w:val="none"/>
                <w:lang w:eastAsia="zh-CN"/>
              </w:rPr>
              <w:t>本项目运营期采用</w:t>
            </w:r>
            <w:r>
              <w:rPr>
                <w:rFonts w:hint="eastAsia" w:cs="Times New Roman"/>
                <w:spacing w:val="-2"/>
                <w:kern w:val="0"/>
                <w:sz w:val="24"/>
                <w:highlight w:val="none"/>
                <w:lang w:val="en-US" w:eastAsia="zh-CN"/>
              </w:rPr>
              <w:t>喷淋除尘脱硫塔</w:t>
            </w:r>
            <w:r>
              <w:rPr>
                <w:rFonts w:hint="eastAsia" w:ascii="Times New Roman" w:hAnsi="Times New Roman" w:cs="Times New Roman"/>
                <w:spacing w:val="-2"/>
                <w:kern w:val="0"/>
                <w:sz w:val="24"/>
                <w:highlight w:val="none"/>
                <w:lang w:eastAsia="zh-CN"/>
              </w:rPr>
              <w:t>过程会产生</w:t>
            </w:r>
            <w:r>
              <w:rPr>
                <w:rFonts w:hint="eastAsia" w:cs="Times New Roman"/>
                <w:spacing w:val="-2"/>
                <w:kern w:val="0"/>
                <w:sz w:val="24"/>
                <w:highlight w:val="none"/>
                <w:lang w:val="en-US" w:eastAsia="zh-CN"/>
              </w:rPr>
              <w:t>碱液喷淋</w:t>
            </w:r>
            <w:r>
              <w:rPr>
                <w:rFonts w:hint="eastAsia" w:ascii="Times New Roman" w:hAnsi="Times New Roman" w:cs="Times New Roman"/>
                <w:spacing w:val="-2"/>
                <w:kern w:val="0"/>
                <w:sz w:val="24"/>
                <w:highlight w:val="none"/>
                <w:lang w:eastAsia="zh-CN"/>
              </w:rPr>
              <w:t>废水，</w:t>
            </w:r>
            <w:r>
              <w:rPr>
                <w:rFonts w:hint="eastAsia" w:cs="Times New Roman"/>
                <w:spacing w:val="-2"/>
                <w:kern w:val="0"/>
                <w:sz w:val="24"/>
                <w:highlight w:val="none"/>
                <w:lang w:val="en-US" w:eastAsia="zh-CN"/>
              </w:rPr>
              <w:t>碱液喷淋</w:t>
            </w:r>
            <w:r>
              <w:rPr>
                <w:rFonts w:hint="eastAsia" w:ascii="Times New Roman" w:hAnsi="Times New Roman" w:cs="Times New Roman"/>
                <w:spacing w:val="-2"/>
                <w:kern w:val="0"/>
                <w:sz w:val="24"/>
                <w:highlight w:val="none"/>
                <w:lang w:eastAsia="zh-CN"/>
              </w:rPr>
              <w:t>废水经</w:t>
            </w:r>
            <w:r>
              <w:rPr>
                <w:rFonts w:hint="eastAsia" w:cs="Times New Roman"/>
                <w:spacing w:val="-2"/>
                <w:kern w:val="0"/>
                <w:sz w:val="24"/>
                <w:highlight w:val="none"/>
                <w:lang w:val="en-US" w:eastAsia="zh-CN"/>
              </w:rPr>
              <w:t>喷淋</w:t>
            </w:r>
            <w:r>
              <w:rPr>
                <w:rFonts w:hint="eastAsia" w:ascii="Times New Roman" w:hAnsi="Times New Roman" w:cs="Times New Roman"/>
                <w:spacing w:val="-2"/>
                <w:kern w:val="0"/>
                <w:sz w:val="24"/>
                <w:highlight w:val="none"/>
                <w:lang w:eastAsia="zh-CN"/>
              </w:rPr>
              <w:t>塔内配置的循环沉淀池处理后循环利用，不外排；</w:t>
            </w:r>
            <w:r>
              <w:rPr>
                <w:rFonts w:ascii="Times New Roman" w:hAnsi="Times New Roman" w:cs="Times New Roman"/>
                <w:spacing w:val="-2"/>
                <w:kern w:val="0"/>
                <w:sz w:val="24"/>
                <w:highlight w:val="none"/>
              </w:rPr>
              <w:t>炭化</w:t>
            </w:r>
            <w:r>
              <w:rPr>
                <w:rFonts w:hint="eastAsia" w:ascii="Times New Roman" w:hAnsi="Times New Roman" w:cs="Times New Roman"/>
                <w:spacing w:val="-2"/>
                <w:kern w:val="0"/>
                <w:sz w:val="24"/>
                <w:highlight w:val="none"/>
              </w:rPr>
              <w:t>窑废气</w:t>
            </w:r>
            <w:r>
              <w:rPr>
                <w:rFonts w:ascii="Times New Roman" w:hAnsi="Times New Roman" w:cs="Times New Roman"/>
                <w:spacing w:val="-2"/>
                <w:kern w:val="0"/>
                <w:sz w:val="24"/>
                <w:highlight w:val="none"/>
              </w:rPr>
              <w:t>冷</w:t>
            </w:r>
            <w:r>
              <w:rPr>
                <w:rFonts w:hint="eastAsia" w:ascii="Times New Roman" w:hAnsi="Times New Roman" w:cs="Times New Roman"/>
                <w:spacing w:val="-2"/>
                <w:kern w:val="0"/>
                <w:sz w:val="24"/>
                <w:highlight w:val="none"/>
              </w:rPr>
              <w:t>却</w:t>
            </w:r>
            <w:r>
              <w:rPr>
                <w:rFonts w:ascii="Times New Roman" w:hAnsi="Times New Roman" w:cs="Times New Roman"/>
                <w:spacing w:val="-2"/>
                <w:kern w:val="0"/>
                <w:sz w:val="24"/>
                <w:highlight w:val="none"/>
              </w:rPr>
              <w:t>水</w:t>
            </w:r>
            <w:r>
              <w:rPr>
                <w:rFonts w:hint="eastAsia" w:cs="Times New Roman"/>
                <w:spacing w:val="-2"/>
                <w:kern w:val="0"/>
                <w:sz w:val="24"/>
                <w:highlight w:val="none"/>
                <w:lang w:val="en-US" w:eastAsia="zh-CN"/>
              </w:rPr>
              <w:t>和</w:t>
            </w:r>
            <w:r>
              <w:rPr>
                <w:rFonts w:hint="eastAsia" w:ascii="Times New Roman" w:hAnsi="Times New Roman" w:cs="Times New Roman"/>
                <w:spacing w:val="-2"/>
                <w:kern w:val="0"/>
                <w:sz w:val="24"/>
                <w:highlight w:val="none"/>
              </w:rPr>
              <w:t>脱硫喷淋用水只需根据损耗定期补充新鲜水</w:t>
            </w:r>
            <w:r>
              <w:rPr>
                <w:rFonts w:hint="eastAsia" w:ascii="Times New Roman" w:hAnsi="Times New Roman" w:cs="Times New Roman"/>
                <w:spacing w:val="-2"/>
                <w:kern w:val="0"/>
                <w:sz w:val="24"/>
                <w:highlight w:val="none"/>
                <w:lang w:eastAsia="zh-CN"/>
              </w:rPr>
              <w:t>，</w:t>
            </w:r>
            <w:r>
              <w:rPr>
                <w:rFonts w:hint="eastAsia" w:ascii="Times New Roman" w:hAnsi="Times New Roman" w:cs="Times New Roman"/>
                <w:spacing w:val="-2"/>
                <w:kern w:val="0"/>
                <w:sz w:val="24"/>
                <w:highlight w:val="none"/>
                <w:lang w:val="en-US" w:eastAsia="zh-CN"/>
              </w:rPr>
              <w:t>均</w:t>
            </w:r>
            <w:r>
              <w:rPr>
                <w:rFonts w:ascii="Times New Roman" w:hAnsi="Times New Roman" w:cs="Times New Roman"/>
                <w:spacing w:val="-2"/>
                <w:kern w:val="0"/>
                <w:sz w:val="24"/>
                <w:highlight w:val="none"/>
              </w:rPr>
              <w:t>不外排</w:t>
            </w:r>
            <w:r>
              <w:rPr>
                <w:rFonts w:hint="eastAsia" w:ascii="Times New Roman" w:hAnsi="Times New Roman" w:cs="Times New Roman"/>
                <w:spacing w:val="-2"/>
                <w:kern w:val="0"/>
                <w:sz w:val="24"/>
                <w:highlight w:val="none"/>
                <w:lang w:val="en-US" w:eastAsia="zh-CN"/>
              </w:rPr>
              <w:t>；</w:t>
            </w:r>
            <w:r>
              <w:rPr>
                <w:rFonts w:hint="eastAsia" w:ascii="Times New Roman" w:hAnsi="Times New Roman" w:cs="Times New Roman"/>
                <w:spacing w:val="-2"/>
                <w:kern w:val="0"/>
                <w:sz w:val="24"/>
                <w:highlight w:val="none"/>
                <w:lang w:eastAsia="zh-CN"/>
              </w:rPr>
              <w:t>排放</w:t>
            </w:r>
            <w:r>
              <w:rPr>
                <w:rFonts w:ascii="Times New Roman" w:hAnsi="Times New Roman" w:cs="Times New Roman"/>
                <w:spacing w:val="-2"/>
                <w:kern w:val="0"/>
                <w:sz w:val="24"/>
                <w:highlight w:val="none"/>
                <w:lang w:eastAsia="zh-CN"/>
              </w:rPr>
              <w:t>废水</w:t>
            </w:r>
            <w:r>
              <w:rPr>
                <w:rFonts w:hint="eastAsia" w:ascii="Times New Roman" w:hAnsi="Times New Roman" w:cs="Times New Roman"/>
                <w:spacing w:val="-2"/>
                <w:kern w:val="0"/>
                <w:sz w:val="24"/>
                <w:highlight w:val="none"/>
                <w:lang w:eastAsia="zh-CN"/>
              </w:rPr>
              <w:t>来源于</w:t>
            </w:r>
            <w:r>
              <w:rPr>
                <w:rFonts w:ascii="Times New Roman" w:hAnsi="Times New Roman" w:cs="Times New Roman"/>
                <w:spacing w:val="-2"/>
                <w:kern w:val="0"/>
                <w:sz w:val="24"/>
                <w:highlight w:val="none"/>
                <w:lang w:eastAsia="zh-CN"/>
              </w:rPr>
              <w:t>生活污水</w:t>
            </w:r>
            <w:r>
              <w:rPr>
                <w:rFonts w:hint="eastAsia" w:ascii="Times New Roman" w:hAnsi="Times New Roman" w:cs="Times New Roman"/>
                <w:spacing w:val="-2"/>
                <w:kern w:val="0"/>
                <w:sz w:val="24"/>
                <w:highlight w:val="none"/>
                <w:lang w:eastAsia="zh-CN"/>
              </w:rPr>
              <w:t>，少量生活</w:t>
            </w:r>
            <w:r>
              <w:rPr>
                <w:rFonts w:ascii="Times New Roman" w:hAnsi="Times New Roman" w:cs="Times New Roman"/>
                <w:spacing w:val="-2"/>
                <w:kern w:val="0"/>
                <w:sz w:val="24"/>
                <w:highlight w:val="none"/>
                <w:lang w:eastAsia="zh-CN"/>
              </w:rPr>
              <w:t>污水经</w:t>
            </w:r>
            <w:r>
              <w:rPr>
                <w:rFonts w:hint="eastAsia" w:ascii="Times New Roman" w:hAnsi="Times New Roman" w:cs="Times New Roman"/>
                <w:spacing w:val="-2"/>
                <w:kern w:val="0"/>
                <w:sz w:val="24"/>
                <w:highlight w:val="none"/>
                <w:lang w:eastAsia="zh-CN"/>
              </w:rPr>
              <w:t>三级化粪池处理后</w:t>
            </w:r>
            <w:r>
              <w:rPr>
                <w:rFonts w:ascii="Times New Roman" w:hAnsi="Times New Roman" w:cs="Times New Roman"/>
                <w:spacing w:val="-2"/>
                <w:kern w:val="0"/>
                <w:sz w:val="24"/>
                <w:highlight w:val="none"/>
                <w:lang w:eastAsia="zh-CN"/>
              </w:rPr>
              <w:t>处理达</w:t>
            </w:r>
            <w:r>
              <w:rPr>
                <w:rFonts w:hint="eastAsia" w:ascii="Times New Roman" w:hAnsi="Times New Roman" w:cs="Times New Roman"/>
                <w:spacing w:val="-2"/>
                <w:kern w:val="0"/>
                <w:sz w:val="24"/>
                <w:highlight w:val="none"/>
                <w:lang w:eastAsia="zh-CN"/>
              </w:rPr>
              <w:t>到《农田灌溉水质标准》（</w:t>
            </w:r>
            <w:r>
              <w:rPr>
                <w:rFonts w:ascii="Times New Roman" w:hAnsi="Times New Roman" w:cs="Times New Roman"/>
                <w:spacing w:val="-2"/>
                <w:kern w:val="0"/>
                <w:sz w:val="24"/>
                <w:highlight w:val="none"/>
                <w:lang w:eastAsia="zh-CN"/>
              </w:rPr>
              <w:t>GB 5084-2021）</w:t>
            </w:r>
            <w:r>
              <w:rPr>
                <w:rFonts w:hint="eastAsia" w:ascii="Times New Roman" w:hAnsi="Times New Roman" w:cs="Times New Roman"/>
                <w:spacing w:val="-2"/>
                <w:kern w:val="0"/>
                <w:sz w:val="24"/>
                <w:highlight w:val="none"/>
                <w:lang w:eastAsia="zh-CN"/>
              </w:rPr>
              <w:t>中“表</w:t>
            </w:r>
            <w:r>
              <w:rPr>
                <w:rFonts w:ascii="Times New Roman" w:hAnsi="Times New Roman" w:cs="Times New Roman"/>
                <w:spacing w:val="-2"/>
                <w:kern w:val="0"/>
                <w:sz w:val="24"/>
                <w:highlight w:val="none"/>
                <w:lang w:eastAsia="zh-CN"/>
              </w:rPr>
              <w:t>1基本控制项目限值</w:t>
            </w:r>
            <w:r>
              <w:rPr>
                <w:rFonts w:hint="eastAsia" w:cs="Times New Roman"/>
                <w:spacing w:val="-2"/>
                <w:kern w:val="0"/>
                <w:sz w:val="24"/>
                <w:highlight w:val="none"/>
                <w:lang w:eastAsia="zh-CN"/>
              </w:rPr>
              <w:t>”</w:t>
            </w:r>
            <w:r>
              <w:rPr>
                <w:rFonts w:ascii="Times New Roman" w:hAnsi="Times New Roman" w:cs="Times New Roman"/>
                <w:spacing w:val="-2"/>
                <w:kern w:val="0"/>
                <w:sz w:val="24"/>
                <w:highlight w:val="none"/>
                <w:lang w:eastAsia="zh-CN"/>
              </w:rPr>
              <w:t>的旱地作物水质标准后进行绿化区</w:t>
            </w:r>
            <w:r>
              <w:rPr>
                <w:rFonts w:hint="eastAsia" w:ascii="Times New Roman" w:hAnsi="Times New Roman" w:cs="Times New Roman"/>
                <w:spacing w:val="-2"/>
                <w:kern w:val="0"/>
                <w:sz w:val="24"/>
                <w:highlight w:val="none"/>
                <w:lang w:eastAsia="zh-CN"/>
              </w:rPr>
              <w:t>浇灌</w:t>
            </w:r>
            <w:r>
              <w:rPr>
                <w:rFonts w:ascii="Times New Roman" w:hAnsi="Times New Roman" w:cs="Times New Roman"/>
                <w:spacing w:val="-2"/>
                <w:kern w:val="0"/>
                <w:sz w:val="24"/>
                <w:highlight w:val="none"/>
                <w:lang w:eastAsia="zh-CN"/>
              </w:rPr>
              <w:t>。</w:t>
            </w:r>
          </w:p>
          <w:p w14:paraId="52CC6E94">
            <w:pPr>
              <w:pStyle w:val="44"/>
              <w:spacing w:line="360" w:lineRule="auto"/>
              <w:ind w:firstLine="482" w:firstLineChars="200"/>
              <w:rPr>
                <w:rFonts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（1）</w:t>
            </w:r>
            <w:r>
              <w:rPr>
                <w:rFonts w:ascii="Times New Roman" w:hAnsi="Times New Roman" w:cs="Times New Roman"/>
                <w:b/>
                <w:color w:val="000000" w:themeColor="text1"/>
                <w:highlight w:val="none"/>
                <w14:textFill>
                  <w14:solidFill>
                    <w14:schemeClr w14:val="tx1"/>
                  </w14:solidFill>
                </w14:textFill>
              </w:rPr>
              <w:t>生活污水</w:t>
            </w:r>
          </w:p>
          <w:p w14:paraId="27A5CF97">
            <w:pPr>
              <w:autoSpaceDE w:val="0"/>
              <w:autoSpaceDN w:val="0"/>
              <w:spacing w:line="360" w:lineRule="auto"/>
              <w:ind w:firstLine="472" w:firstLineChars="200"/>
              <w:rPr>
                <w:spacing w:val="-2"/>
                <w:kern w:val="0"/>
                <w:sz w:val="24"/>
                <w:highlight w:val="none"/>
              </w:rPr>
            </w:pPr>
            <w:r>
              <w:rPr>
                <w:spacing w:val="-2"/>
                <w:kern w:val="0"/>
                <w:sz w:val="24"/>
                <w:highlight w:val="none"/>
              </w:rPr>
              <w:t>项目劳动定员</w:t>
            </w:r>
            <w:r>
              <w:rPr>
                <w:rFonts w:hint="eastAsia"/>
                <w:spacing w:val="-2"/>
                <w:kern w:val="0"/>
                <w:sz w:val="24"/>
                <w:highlight w:val="none"/>
                <w:lang w:val="en-US" w:eastAsia="zh-CN"/>
              </w:rPr>
              <w:t>10人</w:t>
            </w:r>
            <w:r>
              <w:rPr>
                <w:rFonts w:hint="eastAsia"/>
                <w:spacing w:val="-2"/>
                <w:kern w:val="0"/>
                <w:sz w:val="24"/>
                <w:highlight w:val="none"/>
              </w:rPr>
              <w:t>，</w:t>
            </w:r>
            <w:r>
              <w:rPr>
                <w:spacing w:val="-2"/>
                <w:kern w:val="0"/>
                <w:sz w:val="24"/>
                <w:highlight w:val="none"/>
              </w:rPr>
              <w:t>根据《广东省用水定额 第三部分：生活》（DB44/T 1461.3-2021）中无食堂的单位企业用水定额，厂区无食堂</w:t>
            </w:r>
            <w:r>
              <w:rPr>
                <w:rFonts w:hint="eastAsia"/>
                <w:color w:val="000000" w:themeColor="text1"/>
                <w:spacing w:val="-2"/>
                <w:kern w:val="0"/>
                <w:sz w:val="24"/>
                <w:highlight w:val="none"/>
                <w:lang w:val="en-US" w:eastAsia="zh-CN"/>
                <w14:textFill>
                  <w14:solidFill>
                    <w14:schemeClr w14:val="tx1"/>
                  </w14:solidFill>
                </w14:textFill>
              </w:rPr>
              <w:t>和</w:t>
            </w:r>
            <w:r>
              <w:rPr>
                <w:spacing w:val="-2"/>
                <w:kern w:val="0"/>
                <w:sz w:val="24"/>
                <w:highlight w:val="none"/>
              </w:rPr>
              <w:t>浴室的办公楼额定28 m</w:t>
            </w:r>
            <w:r>
              <w:rPr>
                <w:spacing w:val="-2"/>
                <w:kern w:val="0"/>
                <w:sz w:val="24"/>
                <w:highlight w:val="none"/>
                <w:vertAlign w:val="superscript"/>
              </w:rPr>
              <w:t>3</w:t>
            </w:r>
            <w:r>
              <w:rPr>
                <w:spacing w:val="-2"/>
                <w:kern w:val="0"/>
                <w:sz w:val="24"/>
                <w:highlight w:val="none"/>
              </w:rPr>
              <w:t>/（人.a）计，由此可计算得项目生活</w:t>
            </w:r>
            <w:r>
              <w:rPr>
                <w:rFonts w:hint="eastAsia"/>
                <w:spacing w:val="-2"/>
                <w:kern w:val="0"/>
                <w:sz w:val="24"/>
                <w:highlight w:val="none"/>
              </w:rPr>
              <w:t>用</w:t>
            </w:r>
            <w:r>
              <w:rPr>
                <w:spacing w:val="-2"/>
                <w:kern w:val="0"/>
                <w:sz w:val="24"/>
                <w:highlight w:val="none"/>
              </w:rPr>
              <w:t>水量为</w:t>
            </w:r>
            <w:r>
              <w:rPr>
                <w:rFonts w:hint="eastAsia"/>
                <w:spacing w:val="-2"/>
                <w:kern w:val="0"/>
                <w:sz w:val="24"/>
                <w:highlight w:val="none"/>
                <w:lang w:val="en-US" w:eastAsia="zh-CN"/>
              </w:rPr>
              <w:t>280</w:t>
            </w:r>
            <w:r>
              <w:rPr>
                <w:spacing w:val="-2"/>
                <w:kern w:val="0"/>
                <w:sz w:val="24"/>
                <w:highlight w:val="none"/>
              </w:rPr>
              <w:t>m</w:t>
            </w:r>
            <w:r>
              <w:rPr>
                <w:spacing w:val="-2"/>
                <w:kern w:val="0"/>
                <w:sz w:val="24"/>
                <w:highlight w:val="none"/>
                <w:vertAlign w:val="superscript"/>
              </w:rPr>
              <w:t>3</w:t>
            </w:r>
            <w:r>
              <w:rPr>
                <w:spacing w:val="-2"/>
                <w:kern w:val="0"/>
                <w:sz w:val="24"/>
                <w:highlight w:val="none"/>
              </w:rPr>
              <w:t>/a（</w:t>
            </w:r>
            <w:r>
              <w:rPr>
                <w:rFonts w:hint="eastAsia"/>
                <w:spacing w:val="-2"/>
                <w:kern w:val="0"/>
                <w:sz w:val="24"/>
                <w:highlight w:val="none"/>
                <w:lang w:val="en-US" w:eastAsia="zh-CN"/>
              </w:rPr>
              <w:t>0.93</w:t>
            </w:r>
            <w:r>
              <w:rPr>
                <w:spacing w:val="-2"/>
                <w:kern w:val="0"/>
                <w:sz w:val="24"/>
                <w:highlight w:val="none"/>
              </w:rPr>
              <w:t>m</w:t>
            </w:r>
            <w:r>
              <w:rPr>
                <w:spacing w:val="-2"/>
                <w:kern w:val="0"/>
                <w:sz w:val="24"/>
                <w:highlight w:val="none"/>
                <w:vertAlign w:val="superscript"/>
              </w:rPr>
              <w:t>3</w:t>
            </w:r>
            <w:r>
              <w:rPr>
                <w:spacing w:val="-2"/>
                <w:kern w:val="0"/>
                <w:sz w:val="24"/>
                <w:highlight w:val="none"/>
              </w:rPr>
              <w:t>/d，按300天/年计）。生活污水产生量约为用水量的90%，则本项目生活污水产生量为</w:t>
            </w:r>
            <w:r>
              <w:rPr>
                <w:rFonts w:hint="eastAsia"/>
                <w:spacing w:val="-2"/>
                <w:kern w:val="0"/>
                <w:sz w:val="24"/>
                <w:highlight w:val="none"/>
                <w:lang w:val="en-US" w:eastAsia="zh-CN"/>
              </w:rPr>
              <w:t>0.84</w:t>
            </w:r>
            <w:r>
              <w:rPr>
                <w:spacing w:val="-2"/>
                <w:kern w:val="0"/>
                <w:sz w:val="24"/>
                <w:highlight w:val="none"/>
              </w:rPr>
              <w:t>m</w:t>
            </w:r>
            <w:r>
              <w:rPr>
                <w:spacing w:val="-2"/>
                <w:kern w:val="0"/>
                <w:sz w:val="24"/>
                <w:highlight w:val="none"/>
                <w:vertAlign w:val="superscript"/>
              </w:rPr>
              <w:t>3</w:t>
            </w:r>
            <w:r>
              <w:rPr>
                <w:spacing w:val="-2"/>
                <w:kern w:val="0"/>
                <w:sz w:val="24"/>
                <w:highlight w:val="none"/>
              </w:rPr>
              <w:t>/d，合</w:t>
            </w:r>
            <w:r>
              <w:rPr>
                <w:rFonts w:hint="eastAsia"/>
                <w:spacing w:val="-2"/>
                <w:kern w:val="0"/>
                <w:sz w:val="24"/>
                <w:highlight w:val="none"/>
                <w:lang w:val="en-US" w:eastAsia="zh-CN"/>
              </w:rPr>
              <w:t>252</w:t>
            </w:r>
            <w:r>
              <w:rPr>
                <w:spacing w:val="-2"/>
                <w:kern w:val="0"/>
                <w:sz w:val="24"/>
                <w:highlight w:val="none"/>
              </w:rPr>
              <w:t>m</w:t>
            </w:r>
            <w:r>
              <w:rPr>
                <w:spacing w:val="-2"/>
                <w:kern w:val="0"/>
                <w:sz w:val="24"/>
                <w:highlight w:val="none"/>
                <w:vertAlign w:val="superscript"/>
              </w:rPr>
              <w:t>3</w:t>
            </w:r>
            <w:r>
              <w:rPr>
                <w:spacing w:val="-2"/>
                <w:kern w:val="0"/>
                <w:sz w:val="24"/>
                <w:highlight w:val="none"/>
              </w:rPr>
              <w:t>/a。</w:t>
            </w:r>
            <w:r>
              <w:rPr>
                <w:rFonts w:hint="eastAsia"/>
                <w:spacing w:val="-2"/>
                <w:kern w:val="0"/>
                <w:sz w:val="24"/>
                <w:highlight w:val="none"/>
              </w:rPr>
              <w:t>主要污染因子为COD</w:t>
            </w:r>
            <w:r>
              <w:rPr>
                <w:rFonts w:hint="eastAsia"/>
                <w:spacing w:val="-2"/>
                <w:kern w:val="0"/>
                <w:sz w:val="24"/>
                <w:highlight w:val="none"/>
                <w:lang w:val="en-US" w:eastAsia="zh-CN"/>
              </w:rPr>
              <w:t>cr</w:t>
            </w:r>
            <w:r>
              <w:rPr>
                <w:rFonts w:hint="eastAsia"/>
                <w:spacing w:val="-2"/>
                <w:kern w:val="0"/>
                <w:sz w:val="24"/>
                <w:highlight w:val="none"/>
              </w:rPr>
              <w:t>、SS、BOD</w:t>
            </w:r>
            <w:r>
              <w:rPr>
                <w:rFonts w:hint="eastAsia"/>
                <w:spacing w:val="-2"/>
                <w:kern w:val="0"/>
                <w:sz w:val="24"/>
                <w:highlight w:val="none"/>
                <w:vertAlign w:val="subscript"/>
              </w:rPr>
              <w:t>5</w:t>
            </w:r>
            <w:r>
              <w:rPr>
                <w:rFonts w:hint="eastAsia"/>
                <w:spacing w:val="-2"/>
                <w:kern w:val="0"/>
                <w:sz w:val="24"/>
                <w:highlight w:val="none"/>
              </w:rPr>
              <w:t>等，参照韶关市生活污水浓度经验数值，见表</w:t>
            </w:r>
            <w:r>
              <w:rPr>
                <w:spacing w:val="-2"/>
                <w:sz w:val="24"/>
                <w:highlight w:val="none"/>
              </w:rPr>
              <w:t>4-</w:t>
            </w:r>
            <w:r>
              <w:rPr>
                <w:rFonts w:hint="eastAsia"/>
                <w:spacing w:val="-2"/>
                <w:sz w:val="24"/>
                <w:highlight w:val="none"/>
                <w:lang w:val="en-US" w:eastAsia="zh-CN"/>
              </w:rPr>
              <w:t>10</w:t>
            </w:r>
            <w:r>
              <w:rPr>
                <w:rFonts w:hint="eastAsia"/>
                <w:spacing w:val="-2"/>
                <w:kern w:val="0"/>
                <w:sz w:val="24"/>
                <w:highlight w:val="none"/>
              </w:rPr>
              <w:t>。生活污水经三级化粪池处理，达到《农田灌溉水质标准》</w:t>
            </w:r>
            <w:r>
              <w:rPr>
                <w:rFonts w:hint="eastAsia"/>
                <w:color w:val="000000" w:themeColor="text1"/>
                <w:spacing w:val="-2"/>
                <w:kern w:val="0"/>
                <w:sz w:val="24"/>
                <w:highlight w:val="none"/>
                <w14:textFill>
                  <w14:solidFill>
                    <w14:schemeClr w14:val="tx1"/>
                  </w14:solidFill>
                </w14:textFill>
              </w:rPr>
              <w:t>（GB5084-20</w:t>
            </w:r>
            <w:r>
              <w:rPr>
                <w:rFonts w:hint="eastAsia"/>
                <w:color w:val="000000" w:themeColor="text1"/>
                <w:spacing w:val="-2"/>
                <w:kern w:val="0"/>
                <w:sz w:val="24"/>
                <w:highlight w:val="none"/>
                <w:lang w:val="en-US" w:eastAsia="zh-CN"/>
                <w14:textFill>
                  <w14:solidFill>
                    <w14:schemeClr w14:val="tx1"/>
                  </w14:solidFill>
                </w14:textFill>
              </w:rPr>
              <w:t>21</w:t>
            </w:r>
            <w:r>
              <w:rPr>
                <w:rFonts w:hint="eastAsia"/>
                <w:color w:val="000000" w:themeColor="text1"/>
                <w:spacing w:val="-2"/>
                <w:kern w:val="0"/>
                <w:sz w:val="24"/>
                <w:highlight w:val="none"/>
                <w14:textFill>
                  <w14:solidFill>
                    <w14:schemeClr w14:val="tx1"/>
                  </w14:solidFill>
                </w14:textFill>
              </w:rPr>
              <w:t>）</w:t>
            </w:r>
            <w:r>
              <w:rPr>
                <w:rFonts w:hint="eastAsia"/>
                <w:spacing w:val="-2"/>
                <w:kern w:val="0"/>
                <w:sz w:val="24"/>
                <w:highlight w:val="none"/>
              </w:rPr>
              <w:t>中的旱作灌溉用水标准后用于周边林地</w:t>
            </w:r>
            <w:r>
              <w:rPr>
                <w:rFonts w:hint="eastAsia"/>
                <w:spacing w:val="-2"/>
                <w:kern w:val="0"/>
                <w:sz w:val="24"/>
                <w:highlight w:val="none"/>
                <w:lang w:val="en-US" w:eastAsia="zh-CN"/>
              </w:rPr>
              <w:t>浇灌</w:t>
            </w:r>
            <w:r>
              <w:rPr>
                <w:rFonts w:hint="eastAsia"/>
                <w:spacing w:val="-2"/>
                <w:kern w:val="0"/>
                <w:sz w:val="24"/>
                <w:highlight w:val="none"/>
              </w:rPr>
              <w:t>。</w:t>
            </w:r>
          </w:p>
          <w:p w14:paraId="2FBB4D07">
            <w:pPr>
              <w:pStyle w:val="114"/>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32"/>
                <w:highlight w:val="none"/>
                <w14:textFill>
                  <w14:solidFill>
                    <w14:schemeClr w14:val="tx1"/>
                  </w14:solidFill>
                </w14:textFill>
              </w:rPr>
              <w:t>表</w:t>
            </w:r>
            <w:r>
              <w:rPr>
                <w:rFonts w:ascii="Times New Roman" w:hAnsi="Times New Roman" w:cs="Times New Roman"/>
                <w:spacing w:val="-2"/>
                <w:highlight w:val="none"/>
              </w:rPr>
              <w:t>4-</w:t>
            </w:r>
            <w:r>
              <w:rPr>
                <w:rFonts w:hint="eastAsia" w:ascii="Times New Roman" w:hAnsi="Times New Roman" w:cs="Times New Roman"/>
                <w:spacing w:val="-2"/>
                <w:highlight w:val="none"/>
                <w:lang w:val="en-US" w:eastAsia="zh-CN"/>
              </w:rPr>
              <w:t>10</w:t>
            </w:r>
            <w:r>
              <w:rPr>
                <w:rFonts w:ascii="Times New Roman" w:hAnsi="Times New Roman" w:cs="Times New Roman"/>
                <w:color w:val="000000" w:themeColor="text1"/>
                <w:highlight w:val="none"/>
                <w14:textFill>
                  <w14:solidFill>
                    <w14:schemeClr w14:val="tx1"/>
                  </w14:solidFill>
                </w14:textFill>
              </w:rPr>
              <w:t>本项目生活污水产排情况一览表</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2383"/>
              <w:gridCol w:w="1137"/>
              <w:gridCol w:w="1137"/>
              <w:gridCol w:w="1127"/>
              <w:gridCol w:w="1133"/>
            </w:tblGrid>
            <w:tr w14:paraId="2296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307" w:type="pct"/>
                  <w:gridSpan w:val="2"/>
                  <w:shd w:val="clear" w:color="auto" w:fill="auto"/>
                  <w:vAlign w:val="center"/>
                </w:tcPr>
                <w:p w14:paraId="2F46D902">
                  <w:pPr>
                    <w:widowControl/>
                    <w:adjustRightInd w:val="0"/>
                    <w:snapToGrid w:val="0"/>
                    <w:jc w:val="center"/>
                    <w:rPr>
                      <w:rFonts w:eastAsiaTheme="majorEastAsia"/>
                      <w:b/>
                      <w:bCs/>
                      <w:color w:val="000000"/>
                      <w:kern w:val="0"/>
                      <w:szCs w:val="21"/>
                      <w:highlight w:val="none"/>
                    </w:rPr>
                  </w:pPr>
                  <w:r>
                    <w:rPr>
                      <w:rFonts w:eastAsiaTheme="majorEastAsia"/>
                      <w:b/>
                      <w:bCs/>
                      <w:color w:val="000000"/>
                      <w:kern w:val="0"/>
                      <w:szCs w:val="21"/>
                      <w:highlight w:val="none"/>
                    </w:rPr>
                    <w:t>污染物</w:t>
                  </w:r>
                </w:p>
              </w:tc>
              <w:tc>
                <w:tcPr>
                  <w:tcW w:w="675" w:type="pct"/>
                  <w:shd w:val="clear" w:color="auto" w:fill="auto"/>
                  <w:vAlign w:val="center"/>
                </w:tcPr>
                <w:p w14:paraId="5E7D1A30">
                  <w:pPr>
                    <w:widowControl/>
                    <w:adjustRightInd w:val="0"/>
                    <w:snapToGrid w:val="0"/>
                    <w:jc w:val="center"/>
                    <w:rPr>
                      <w:rFonts w:hint="default" w:eastAsiaTheme="majorEastAsia"/>
                      <w:b/>
                      <w:bCs/>
                      <w:color w:val="000000"/>
                      <w:kern w:val="0"/>
                      <w:szCs w:val="21"/>
                      <w:highlight w:val="none"/>
                      <w:lang w:val="en-US" w:eastAsia="zh-CN"/>
                    </w:rPr>
                  </w:pPr>
                  <w:r>
                    <w:rPr>
                      <w:rFonts w:hint="eastAsia" w:eastAsiaTheme="majorEastAsia"/>
                      <w:b/>
                      <w:bCs/>
                      <w:color w:val="000000"/>
                      <w:kern w:val="0"/>
                      <w:szCs w:val="21"/>
                      <w:highlight w:val="none"/>
                      <w:lang w:val="en-US" w:eastAsia="zh-CN"/>
                    </w:rPr>
                    <w:t>NH</w:t>
                  </w:r>
                  <w:r>
                    <w:rPr>
                      <w:rFonts w:hint="eastAsia" w:eastAsiaTheme="majorEastAsia"/>
                      <w:b/>
                      <w:bCs/>
                      <w:color w:val="000000"/>
                      <w:kern w:val="0"/>
                      <w:szCs w:val="21"/>
                      <w:highlight w:val="none"/>
                      <w:vertAlign w:val="subscript"/>
                      <w:lang w:val="en-US" w:eastAsia="zh-CN"/>
                    </w:rPr>
                    <w:t>3</w:t>
                  </w:r>
                  <w:r>
                    <w:rPr>
                      <w:rFonts w:hint="eastAsia" w:eastAsiaTheme="majorEastAsia"/>
                      <w:b/>
                      <w:bCs/>
                      <w:color w:val="000000"/>
                      <w:kern w:val="0"/>
                      <w:szCs w:val="21"/>
                      <w:highlight w:val="none"/>
                      <w:lang w:val="en-US" w:eastAsia="zh-CN"/>
                    </w:rPr>
                    <w:t>-N</w:t>
                  </w:r>
                </w:p>
              </w:tc>
              <w:tc>
                <w:tcPr>
                  <w:tcW w:w="675" w:type="pct"/>
                  <w:shd w:val="clear" w:color="auto" w:fill="auto"/>
                  <w:vAlign w:val="center"/>
                </w:tcPr>
                <w:p w14:paraId="659B5166">
                  <w:pPr>
                    <w:widowControl/>
                    <w:adjustRightInd w:val="0"/>
                    <w:snapToGrid w:val="0"/>
                    <w:jc w:val="center"/>
                    <w:rPr>
                      <w:rFonts w:hint="eastAsia" w:eastAsiaTheme="majorEastAsia"/>
                      <w:b/>
                      <w:bCs/>
                      <w:color w:val="000000"/>
                      <w:kern w:val="0"/>
                      <w:szCs w:val="21"/>
                      <w:highlight w:val="none"/>
                      <w:lang w:val="en-US" w:eastAsia="zh-CN"/>
                    </w:rPr>
                  </w:pPr>
                  <w:r>
                    <w:rPr>
                      <w:rFonts w:eastAsiaTheme="majorEastAsia"/>
                      <w:b/>
                      <w:bCs/>
                      <w:color w:val="000000"/>
                      <w:kern w:val="0"/>
                      <w:szCs w:val="21"/>
                      <w:highlight w:val="none"/>
                    </w:rPr>
                    <w:t>COD</w:t>
                  </w:r>
                  <w:r>
                    <w:rPr>
                      <w:rFonts w:hint="eastAsia" w:eastAsiaTheme="majorEastAsia"/>
                      <w:b/>
                      <w:bCs/>
                      <w:color w:val="000000"/>
                      <w:kern w:val="0"/>
                      <w:szCs w:val="21"/>
                      <w:highlight w:val="none"/>
                      <w:lang w:val="en-US" w:eastAsia="zh-CN"/>
                    </w:rPr>
                    <w:t>cr</w:t>
                  </w:r>
                </w:p>
              </w:tc>
              <w:tc>
                <w:tcPr>
                  <w:tcW w:w="669" w:type="pct"/>
                  <w:shd w:val="clear" w:color="auto" w:fill="auto"/>
                  <w:vAlign w:val="center"/>
                </w:tcPr>
                <w:p w14:paraId="3AAE3AFC">
                  <w:pPr>
                    <w:widowControl/>
                    <w:adjustRightInd w:val="0"/>
                    <w:snapToGrid w:val="0"/>
                    <w:jc w:val="center"/>
                    <w:rPr>
                      <w:rFonts w:eastAsiaTheme="majorEastAsia"/>
                      <w:b/>
                      <w:bCs/>
                      <w:color w:val="000000"/>
                      <w:kern w:val="0"/>
                      <w:szCs w:val="21"/>
                      <w:highlight w:val="none"/>
                    </w:rPr>
                  </w:pPr>
                  <w:r>
                    <w:rPr>
                      <w:rFonts w:eastAsiaTheme="majorEastAsia"/>
                      <w:b/>
                      <w:bCs/>
                      <w:color w:val="000000"/>
                      <w:kern w:val="0"/>
                      <w:szCs w:val="21"/>
                      <w:highlight w:val="none"/>
                    </w:rPr>
                    <w:t>BOD</w:t>
                  </w:r>
                  <w:r>
                    <w:rPr>
                      <w:rFonts w:eastAsiaTheme="majorEastAsia"/>
                      <w:b/>
                      <w:bCs/>
                      <w:color w:val="000000"/>
                      <w:kern w:val="0"/>
                      <w:szCs w:val="21"/>
                      <w:highlight w:val="none"/>
                      <w:vertAlign w:val="subscript"/>
                    </w:rPr>
                    <w:t>5</w:t>
                  </w:r>
                </w:p>
              </w:tc>
              <w:tc>
                <w:tcPr>
                  <w:tcW w:w="671" w:type="pct"/>
                  <w:shd w:val="clear" w:color="auto" w:fill="auto"/>
                  <w:vAlign w:val="center"/>
                </w:tcPr>
                <w:p w14:paraId="1B7C88CE">
                  <w:pPr>
                    <w:widowControl/>
                    <w:adjustRightInd w:val="0"/>
                    <w:snapToGrid w:val="0"/>
                    <w:jc w:val="center"/>
                    <w:rPr>
                      <w:rFonts w:eastAsiaTheme="majorEastAsia"/>
                      <w:b/>
                      <w:bCs/>
                      <w:color w:val="000000"/>
                      <w:kern w:val="0"/>
                      <w:szCs w:val="21"/>
                      <w:highlight w:val="none"/>
                    </w:rPr>
                  </w:pPr>
                  <w:r>
                    <w:rPr>
                      <w:rFonts w:eastAsiaTheme="majorEastAsia"/>
                      <w:b/>
                      <w:bCs/>
                      <w:color w:val="000000"/>
                      <w:kern w:val="0"/>
                      <w:szCs w:val="21"/>
                      <w:highlight w:val="none"/>
                    </w:rPr>
                    <w:t>SS</w:t>
                  </w:r>
                </w:p>
              </w:tc>
            </w:tr>
            <w:tr w14:paraId="58DC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92" w:type="pct"/>
                  <w:vMerge w:val="restart"/>
                  <w:shd w:val="clear" w:color="auto" w:fill="auto"/>
                  <w:vAlign w:val="center"/>
                </w:tcPr>
                <w:p w14:paraId="6E802E93">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生活污水</w:t>
                  </w:r>
                </w:p>
                <w:p w14:paraId="6723E13F">
                  <w:pPr>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w:t>
                  </w:r>
                  <w:r>
                    <w:rPr>
                      <w:rFonts w:hint="eastAsia" w:eastAsiaTheme="majorEastAsia"/>
                      <w:color w:val="000000"/>
                      <w:kern w:val="0"/>
                      <w:szCs w:val="21"/>
                      <w:highlight w:val="none"/>
                      <w:lang w:val="en-US" w:eastAsia="zh-CN"/>
                    </w:rPr>
                    <w:t>252</w:t>
                  </w:r>
                  <w:r>
                    <w:rPr>
                      <w:rFonts w:eastAsiaTheme="majorEastAsia"/>
                      <w:color w:val="000000"/>
                      <w:kern w:val="0"/>
                      <w:szCs w:val="21"/>
                      <w:highlight w:val="none"/>
                    </w:rPr>
                    <w:t>m</w:t>
                  </w:r>
                  <w:r>
                    <w:rPr>
                      <w:rFonts w:eastAsiaTheme="majorEastAsia"/>
                      <w:color w:val="000000"/>
                      <w:kern w:val="0"/>
                      <w:szCs w:val="21"/>
                      <w:highlight w:val="none"/>
                      <w:vertAlign w:val="superscript"/>
                    </w:rPr>
                    <w:t>3</w:t>
                  </w:r>
                  <w:r>
                    <w:rPr>
                      <w:rFonts w:eastAsiaTheme="majorEastAsia"/>
                      <w:color w:val="000000"/>
                      <w:kern w:val="0"/>
                      <w:szCs w:val="21"/>
                      <w:highlight w:val="none"/>
                    </w:rPr>
                    <w:t>/a）</w:t>
                  </w:r>
                </w:p>
              </w:tc>
              <w:tc>
                <w:tcPr>
                  <w:tcW w:w="1415" w:type="pct"/>
                  <w:shd w:val="clear" w:color="auto" w:fill="auto"/>
                  <w:vAlign w:val="center"/>
                </w:tcPr>
                <w:p w14:paraId="0753E820">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产生浓度（mg/L）</w:t>
                  </w:r>
                </w:p>
              </w:tc>
              <w:tc>
                <w:tcPr>
                  <w:tcW w:w="675" w:type="pct"/>
                  <w:shd w:val="clear" w:color="auto" w:fill="auto"/>
                  <w:vAlign w:val="center"/>
                </w:tcPr>
                <w:p w14:paraId="64BCB380">
                  <w:pPr>
                    <w:widowControl/>
                    <w:adjustRightInd w:val="0"/>
                    <w:snapToGrid w:val="0"/>
                    <w:jc w:val="center"/>
                    <w:rPr>
                      <w:rFonts w:hint="default" w:eastAsiaTheme="majorEastAsia"/>
                      <w:color w:val="000000"/>
                      <w:kern w:val="0"/>
                      <w:szCs w:val="21"/>
                      <w:highlight w:val="none"/>
                      <w:lang w:val="en-US" w:eastAsia="zh-CN"/>
                    </w:rPr>
                  </w:pPr>
                  <w:r>
                    <w:rPr>
                      <w:rFonts w:hint="eastAsia" w:eastAsiaTheme="majorEastAsia"/>
                      <w:color w:val="000000"/>
                      <w:kern w:val="0"/>
                      <w:szCs w:val="21"/>
                      <w:highlight w:val="none"/>
                      <w:lang w:val="en-US" w:eastAsia="zh-CN"/>
                    </w:rPr>
                    <w:t>30</w:t>
                  </w:r>
                </w:p>
              </w:tc>
              <w:tc>
                <w:tcPr>
                  <w:tcW w:w="675" w:type="pct"/>
                  <w:shd w:val="clear" w:color="auto" w:fill="auto"/>
                  <w:vAlign w:val="center"/>
                </w:tcPr>
                <w:p w14:paraId="1E2042C8">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250</w:t>
                  </w:r>
                </w:p>
              </w:tc>
              <w:tc>
                <w:tcPr>
                  <w:tcW w:w="669" w:type="pct"/>
                  <w:shd w:val="clear" w:color="auto" w:fill="auto"/>
                  <w:vAlign w:val="center"/>
                </w:tcPr>
                <w:p w14:paraId="23A91814">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150</w:t>
                  </w:r>
                </w:p>
              </w:tc>
              <w:tc>
                <w:tcPr>
                  <w:tcW w:w="671" w:type="pct"/>
                  <w:shd w:val="clear" w:color="auto" w:fill="auto"/>
                  <w:vAlign w:val="center"/>
                </w:tcPr>
                <w:p w14:paraId="0D6193B2">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200</w:t>
                  </w:r>
                </w:p>
              </w:tc>
            </w:tr>
            <w:tr w14:paraId="78E2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892" w:type="pct"/>
                  <w:vMerge w:val="continue"/>
                  <w:shd w:val="clear" w:color="auto" w:fill="auto"/>
                  <w:vAlign w:val="center"/>
                </w:tcPr>
                <w:p w14:paraId="7A76A037">
                  <w:pPr>
                    <w:widowControl/>
                    <w:adjustRightInd w:val="0"/>
                    <w:snapToGrid w:val="0"/>
                    <w:jc w:val="center"/>
                    <w:rPr>
                      <w:rFonts w:eastAsiaTheme="majorEastAsia"/>
                      <w:color w:val="000000"/>
                      <w:kern w:val="0"/>
                      <w:szCs w:val="21"/>
                      <w:highlight w:val="none"/>
                    </w:rPr>
                  </w:pPr>
                </w:p>
              </w:tc>
              <w:tc>
                <w:tcPr>
                  <w:tcW w:w="1415" w:type="pct"/>
                  <w:shd w:val="clear" w:color="auto" w:fill="auto"/>
                  <w:vAlign w:val="center"/>
                </w:tcPr>
                <w:p w14:paraId="37521ABA">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产生量（t/a）</w:t>
                  </w:r>
                </w:p>
              </w:tc>
              <w:tc>
                <w:tcPr>
                  <w:tcW w:w="675" w:type="pct"/>
                  <w:shd w:val="clear" w:color="auto" w:fill="auto"/>
                  <w:vAlign w:val="center"/>
                </w:tcPr>
                <w:p w14:paraId="5E37AA53">
                  <w:pPr>
                    <w:widowControl/>
                    <w:adjustRightInd w:val="0"/>
                    <w:snapToGrid w:val="0"/>
                    <w:jc w:val="center"/>
                    <w:rPr>
                      <w:rFonts w:hint="default" w:eastAsiaTheme="majorEastAsia"/>
                      <w:color w:val="000000"/>
                      <w:kern w:val="0"/>
                      <w:szCs w:val="21"/>
                      <w:highlight w:val="none"/>
                      <w:lang w:val="en-US" w:eastAsia="zh-CN"/>
                    </w:rPr>
                  </w:pPr>
                  <w:r>
                    <w:rPr>
                      <w:rFonts w:hint="eastAsia" w:eastAsiaTheme="majorEastAsia"/>
                      <w:color w:val="000000"/>
                      <w:kern w:val="0"/>
                      <w:szCs w:val="21"/>
                      <w:highlight w:val="none"/>
                      <w:lang w:val="en-US" w:eastAsia="zh-CN"/>
                    </w:rPr>
                    <w:t>0.008</w:t>
                  </w:r>
                </w:p>
              </w:tc>
              <w:tc>
                <w:tcPr>
                  <w:tcW w:w="675" w:type="pct"/>
                  <w:shd w:val="clear" w:color="auto" w:fill="auto"/>
                  <w:vAlign w:val="center"/>
                </w:tcPr>
                <w:p w14:paraId="4B7D7B9F">
                  <w:pPr>
                    <w:widowControl/>
                    <w:adjustRightInd w:val="0"/>
                    <w:snapToGrid w:val="0"/>
                    <w:jc w:val="center"/>
                    <w:rPr>
                      <w:rFonts w:hint="default" w:eastAsiaTheme="majorEastAsia"/>
                      <w:color w:val="000000"/>
                      <w:kern w:val="0"/>
                      <w:szCs w:val="21"/>
                      <w:highlight w:val="none"/>
                      <w:lang w:val="en-US" w:eastAsia="zh-CN"/>
                    </w:rPr>
                  </w:pPr>
                  <w:r>
                    <w:rPr>
                      <w:rFonts w:hint="eastAsia" w:eastAsiaTheme="majorEastAsia"/>
                      <w:color w:val="000000"/>
                      <w:kern w:val="0"/>
                      <w:szCs w:val="21"/>
                      <w:highlight w:val="none"/>
                      <w:lang w:val="en-US" w:eastAsia="zh-CN"/>
                    </w:rPr>
                    <w:t>0.063</w:t>
                  </w:r>
                </w:p>
              </w:tc>
              <w:tc>
                <w:tcPr>
                  <w:tcW w:w="669" w:type="pct"/>
                  <w:shd w:val="clear" w:color="auto" w:fill="auto"/>
                  <w:vAlign w:val="center"/>
                </w:tcPr>
                <w:p w14:paraId="2A6102EF">
                  <w:pPr>
                    <w:widowControl/>
                    <w:adjustRightInd w:val="0"/>
                    <w:snapToGrid w:val="0"/>
                    <w:jc w:val="center"/>
                    <w:rPr>
                      <w:rFonts w:hint="default" w:eastAsiaTheme="majorEastAsia"/>
                      <w:color w:val="000000"/>
                      <w:kern w:val="0"/>
                      <w:szCs w:val="21"/>
                      <w:highlight w:val="none"/>
                      <w:lang w:val="en-US" w:eastAsia="zh-CN"/>
                    </w:rPr>
                  </w:pPr>
                  <w:r>
                    <w:rPr>
                      <w:rFonts w:hint="eastAsia" w:eastAsiaTheme="majorEastAsia"/>
                      <w:color w:val="000000"/>
                      <w:kern w:val="0"/>
                      <w:szCs w:val="21"/>
                      <w:highlight w:val="none"/>
                      <w:lang w:val="en-US" w:eastAsia="zh-CN"/>
                    </w:rPr>
                    <w:t>0.038</w:t>
                  </w:r>
                </w:p>
              </w:tc>
              <w:tc>
                <w:tcPr>
                  <w:tcW w:w="671" w:type="pct"/>
                  <w:shd w:val="clear" w:color="auto" w:fill="auto"/>
                  <w:vAlign w:val="center"/>
                </w:tcPr>
                <w:p w14:paraId="60D36019">
                  <w:pPr>
                    <w:widowControl/>
                    <w:adjustRightInd w:val="0"/>
                    <w:snapToGrid w:val="0"/>
                    <w:jc w:val="center"/>
                    <w:rPr>
                      <w:rFonts w:hint="default" w:eastAsiaTheme="majorEastAsia"/>
                      <w:color w:val="000000"/>
                      <w:kern w:val="0"/>
                      <w:szCs w:val="21"/>
                      <w:highlight w:val="none"/>
                      <w:lang w:val="en-US" w:eastAsia="zh-CN"/>
                    </w:rPr>
                  </w:pPr>
                  <w:r>
                    <w:rPr>
                      <w:rFonts w:hint="eastAsia" w:eastAsiaTheme="majorEastAsia"/>
                      <w:color w:val="000000"/>
                      <w:kern w:val="0"/>
                      <w:szCs w:val="21"/>
                      <w:highlight w:val="none"/>
                      <w:lang w:val="en-US" w:eastAsia="zh-CN"/>
                    </w:rPr>
                    <w:t>0.050</w:t>
                  </w:r>
                </w:p>
              </w:tc>
            </w:tr>
            <w:tr w14:paraId="0C40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892" w:type="pct"/>
                  <w:vMerge w:val="continue"/>
                  <w:shd w:val="clear" w:color="auto" w:fill="auto"/>
                  <w:vAlign w:val="center"/>
                </w:tcPr>
                <w:p w14:paraId="72985D7A">
                  <w:pPr>
                    <w:widowControl/>
                    <w:adjustRightInd w:val="0"/>
                    <w:snapToGrid w:val="0"/>
                    <w:jc w:val="center"/>
                    <w:rPr>
                      <w:rFonts w:eastAsiaTheme="majorEastAsia"/>
                      <w:color w:val="000000"/>
                      <w:kern w:val="0"/>
                      <w:szCs w:val="21"/>
                      <w:highlight w:val="none"/>
                    </w:rPr>
                  </w:pPr>
                </w:p>
              </w:tc>
              <w:tc>
                <w:tcPr>
                  <w:tcW w:w="4107" w:type="pct"/>
                  <w:gridSpan w:val="5"/>
                  <w:shd w:val="clear" w:color="auto" w:fill="auto"/>
                  <w:vAlign w:val="center"/>
                </w:tcPr>
                <w:p w14:paraId="683566A3">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center"/>
                    <w:textAlignment w:val="auto"/>
                    <w:rPr>
                      <w:rFonts w:eastAsiaTheme="majorEastAsia"/>
                      <w:color w:val="000000"/>
                      <w:kern w:val="0"/>
                      <w:szCs w:val="21"/>
                      <w:highlight w:val="none"/>
                    </w:rPr>
                  </w:pPr>
                  <w:r>
                    <w:rPr>
                      <w:rFonts w:hint="eastAsia" w:ascii="Times New Roman" w:hAnsi="Times New Roman" w:cs="Times New Roman" w:eastAsiaTheme="majorEastAsia"/>
                      <w:color w:val="000000"/>
                      <w:kern w:val="0"/>
                      <w:szCs w:val="21"/>
                      <w:highlight w:val="none"/>
                    </w:rPr>
                    <w:t>生活污水经三级化粪池处理，达到《农田灌溉水质标准》（GB5084-20</w:t>
                  </w:r>
                  <w:r>
                    <w:rPr>
                      <w:rFonts w:hint="eastAsia" w:ascii="Times New Roman" w:hAnsi="Times New Roman" w:cs="Times New Roman" w:eastAsiaTheme="majorEastAsia"/>
                      <w:color w:val="000000"/>
                      <w:kern w:val="0"/>
                      <w:szCs w:val="21"/>
                      <w:highlight w:val="none"/>
                      <w:lang w:val="en-US" w:eastAsia="zh-CN"/>
                    </w:rPr>
                    <w:t>21</w:t>
                  </w:r>
                  <w:r>
                    <w:rPr>
                      <w:rFonts w:hint="eastAsia" w:ascii="Times New Roman" w:hAnsi="Times New Roman" w:cs="Times New Roman" w:eastAsiaTheme="majorEastAsia"/>
                      <w:color w:val="000000"/>
                      <w:kern w:val="0"/>
                      <w:szCs w:val="21"/>
                      <w:highlight w:val="none"/>
                    </w:rPr>
                    <w:t>）中的旱作灌溉用水标准后用于周边林地</w:t>
                  </w:r>
                  <w:r>
                    <w:rPr>
                      <w:rFonts w:hint="eastAsia" w:cs="Times New Roman" w:eastAsiaTheme="majorEastAsia"/>
                      <w:color w:val="000000"/>
                      <w:kern w:val="0"/>
                      <w:szCs w:val="21"/>
                      <w:highlight w:val="none"/>
                      <w:lang w:val="en-US" w:eastAsia="zh-CN"/>
                    </w:rPr>
                    <w:t>浇灌</w:t>
                  </w:r>
                  <w:r>
                    <w:rPr>
                      <w:rFonts w:hint="eastAsia" w:ascii="Times New Roman" w:hAnsi="Times New Roman" w:cs="Times New Roman" w:eastAsiaTheme="majorEastAsia"/>
                      <w:color w:val="000000"/>
                      <w:kern w:val="0"/>
                      <w:szCs w:val="21"/>
                      <w:highlight w:val="none"/>
                    </w:rPr>
                    <w:t>。</w:t>
                  </w:r>
                </w:p>
              </w:tc>
            </w:tr>
            <w:tr w14:paraId="783C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92" w:type="pct"/>
                  <w:vMerge w:val="continue"/>
                  <w:shd w:val="clear" w:color="auto" w:fill="auto"/>
                  <w:noWrap/>
                  <w:vAlign w:val="center"/>
                </w:tcPr>
                <w:p w14:paraId="546F726C">
                  <w:pPr>
                    <w:widowControl/>
                    <w:adjustRightInd w:val="0"/>
                    <w:snapToGrid w:val="0"/>
                    <w:jc w:val="center"/>
                    <w:rPr>
                      <w:rFonts w:eastAsiaTheme="majorEastAsia"/>
                      <w:color w:val="000000"/>
                      <w:kern w:val="0"/>
                      <w:szCs w:val="21"/>
                      <w:highlight w:val="none"/>
                    </w:rPr>
                  </w:pPr>
                </w:p>
              </w:tc>
              <w:tc>
                <w:tcPr>
                  <w:tcW w:w="1415" w:type="pct"/>
                  <w:shd w:val="clear" w:color="auto" w:fill="auto"/>
                  <w:vAlign w:val="center"/>
                </w:tcPr>
                <w:p w14:paraId="30546ADF">
                  <w:pPr>
                    <w:widowControl/>
                    <w:adjustRightInd w:val="0"/>
                    <w:snapToGrid w:val="0"/>
                    <w:jc w:val="center"/>
                    <w:rPr>
                      <w:rFonts w:eastAsiaTheme="majorEastAsia"/>
                      <w:color w:val="000000"/>
                      <w:kern w:val="0"/>
                      <w:szCs w:val="21"/>
                      <w:highlight w:val="none"/>
                    </w:rPr>
                  </w:pPr>
                  <w:r>
                    <w:rPr>
                      <w:rFonts w:hint="eastAsia" w:eastAsiaTheme="majorEastAsia"/>
                      <w:color w:val="000000"/>
                      <w:kern w:val="0"/>
                      <w:szCs w:val="21"/>
                      <w:highlight w:val="none"/>
                      <w:lang w:val="en-US" w:eastAsia="zh-CN"/>
                    </w:rPr>
                    <w:t>排放</w:t>
                  </w:r>
                  <w:r>
                    <w:rPr>
                      <w:rFonts w:eastAsiaTheme="majorEastAsia"/>
                      <w:color w:val="000000"/>
                      <w:kern w:val="0"/>
                      <w:szCs w:val="21"/>
                      <w:highlight w:val="none"/>
                    </w:rPr>
                    <w:t>浓度（mg/L）</w:t>
                  </w:r>
                </w:p>
              </w:tc>
              <w:tc>
                <w:tcPr>
                  <w:tcW w:w="675" w:type="pct"/>
                  <w:shd w:val="clear" w:color="auto" w:fill="auto"/>
                  <w:vAlign w:val="center"/>
                </w:tcPr>
                <w:p w14:paraId="08155582">
                  <w:pPr>
                    <w:widowControl/>
                    <w:adjustRightInd w:val="0"/>
                    <w:snapToGrid w:val="0"/>
                    <w:jc w:val="center"/>
                    <w:rPr>
                      <w:rFonts w:hint="default" w:eastAsiaTheme="majorEastAsia"/>
                      <w:color w:val="000000"/>
                      <w:kern w:val="0"/>
                      <w:szCs w:val="21"/>
                      <w:highlight w:val="none"/>
                      <w:lang w:val="en-US" w:eastAsia="zh-CN"/>
                    </w:rPr>
                  </w:pPr>
                  <w:r>
                    <w:rPr>
                      <w:rFonts w:hint="eastAsia" w:eastAsiaTheme="majorEastAsia"/>
                      <w:color w:val="000000"/>
                      <w:kern w:val="0"/>
                      <w:szCs w:val="21"/>
                      <w:highlight w:val="none"/>
                      <w:lang w:val="en-US" w:eastAsia="zh-CN"/>
                    </w:rPr>
                    <w:t>20</w:t>
                  </w:r>
                </w:p>
              </w:tc>
              <w:tc>
                <w:tcPr>
                  <w:tcW w:w="675" w:type="pct"/>
                  <w:shd w:val="clear" w:color="auto" w:fill="auto"/>
                  <w:vAlign w:val="center"/>
                </w:tcPr>
                <w:p w14:paraId="528313AD">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150</w:t>
                  </w:r>
                </w:p>
              </w:tc>
              <w:tc>
                <w:tcPr>
                  <w:tcW w:w="669" w:type="pct"/>
                  <w:shd w:val="clear" w:color="auto" w:fill="auto"/>
                  <w:vAlign w:val="center"/>
                </w:tcPr>
                <w:p w14:paraId="373B5C56">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90</w:t>
                  </w:r>
                </w:p>
              </w:tc>
              <w:tc>
                <w:tcPr>
                  <w:tcW w:w="671" w:type="pct"/>
                  <w:shd w:val="clear" w:color="auto" w:fill="auto"/>
                  <w:vAlign w:val="center"/>
                </w:tcPr>
                <w:p w14:paraId="23035691">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90</w:t>
                  </w:r>
                </w:p>
              </w:tc>
            </w:tr>
            <w:tr w14:paraId="53C3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92" w:type="pct"/>
                  <w:vMerge w:val="continue"/>
                  <w:shd w:val="clear" w:color="auto" w:fill="auto"/>
                  <w:noWrap/>
                  <w:vAlign w:val="center"/>
                </w:tcPr>
                <w:p w14:paraId="18293276">
                  <w:pPr>
                    <w:widowControl/>
                    <w:adjustRightInd w:val="0"/>
                    <w:snapToGrid w:val="0"/>
                    <w:jc w:val="center"/>
                    <w:rPr>
                      <w:rFonts w:eastAsiaTheme="majorEastAsia"/>
                      <w:color w:val="000000"/>
                      <w:kern w:val="0"/>
                      <w:szCs w:val="21"/>
                      <w:highlight w:val="none"/>
                    </w:rPr>
                  </w:pPr>
                </w:p>
              </w:tc>
              <w:tc>
                <w:tcPr>
                  <w:tcW w:w="1415" w:type="pct"/>
                  <w:shd w:val="clear" w:color="auto" w:fill="auto"/>
                  <w:vAlign w:val="center"/>
                </w:tcPr>
                <w:p w14:paraId="060E68BE">
                  <w:pPr>
                    <w:widowControl/>
                    <w:adjustRightInd w:val="0"/>
                    <w:snapToGrid w:val="0"/>
                    <w:jc w:val="center"/>
                    <w:rPr>
                      <w:rFonts w:eastAsiaTheme="majorEastAsia"/>
                      <w:color w:val="000000"/>
                      <w:kern w:val="0"/>
                      <w:szCs w:val="21"/>
                      <w:highlight w:val="none"/>
                    </w:rPr>
                  </w:pPr>
                  <w:r>
                    <w:rPr>
                      <w:rFonts w:hint="eastAsia" w:eastAsiaTheme="majorEastAsia"/>
                      <w:color w:val="000000"/>
                      <w:kern w:val="0"/>
                      <w:szCs w:val="21"/>
                      <w:highlight w:val="none"/>
                      <w:lang w:val="en-US" w:eastAsia="zh-CN"/>
                    </w:rPr>
                    <w:t>排放</w:t>
                  </w:r>
                  <w:r>
                    <w:rPr>
                      <w:rFonts w:eastAsiaTheme="majorEastAsia"/>
                      <w:color w:val="000000"/>
                      <w:kern w:val="0"/>
                      <w:szCs w:val="21"/>
                      <w:highlight w:val="none"/>
                    </w:rPr>
                    <w:t>量（t/a）</w:t>
                  </w:r>
                </w:p>
              </w:tc>
              <w:tc>
                <w:tcPr>
                  <w:tcW w:w="675" w:type="pct"/>
                  <w:shd w:val="clear" w:color="auto" w:fill="auto"/>
                  <w:vAlign w:val="center"/>
                </w:tcPr>
                <w:p w14:paraId="2389AD1F">
                  <w:pPr>
                    <w:widowControl/>
                    <w:adjustRightInd w:val="0"/>
                    <w:snapToGrid w:val="0"/>
                    <w:jc w:val="center"/>
                    <w:rPr>
                      <w:rFonts w:hint="default" w:eastAsiaTheme="majorEastAsia"/>
                      <w:color w:val="000000"/>
                      <w:kern w:val="0"/>
                      <w:szCs w:val="21"/>
                      <w:highlight w:val="none"/>
                      <w:lang w:val="en-US" w:eastAsia="zh-CN"/>
                    </w:rPr>
                  </w:pPr>
                  <w:r>
                    <w:rPr>
                      <w:rFonts w:hint="eastAsia" w:eastAsiaTheme="majorEastAsia"/>
                      <w:color w:val="000000"/>
                      <w:kern w:val="0"/>
                      <w:szCs w:val="21"/>
                      <w:highlight w:val="none"/>
                      <w:lang w:val="en-US" w:eastAsia="zh-CN"/>
                    </w:rPr>
                    <w:t>0.005</w:t>
                  </w:r>
                </w:p>
              </w:tc>
              <w:tc>
                <w:tcPr>
                  <w:tcW w:w="675" w:type="pct"/>
                  <w:shd w:val="clear" w:color="auto" w:fill="auto"/>
                  <w:vAlign w:val="center"/>
                </w:tcPr>
                <w:p w14:paraId="59ADC6B1">
                  <w:pPr>
                    <w:widowControl/>
                    <w:adjustRightInd w:val="0"/>
                    <w:snapToGrid w:val="0"/>
                    <w:jc w:val="center"/>
                    <w:rPr>
                      <w:rFonts w:hint="default" w:eastAsiaTheme="majorEastAsia"/>
                      <w:color w:val="000000"/>
                      <w:kern w:val="0"/>
                      <w:szCs w:val="21"/>
                      <w:highlight w:val="none"/>
                      <w:lang w:val="en-US" w:eastAsia="zh-CN"/>
                    </w:rPr>
                  </w:pPr>
                  <w:r>
                    <w:rPr>
                      <w:rFonts w:hint="eastAsia" w:eastAsiaTheme="majorEastAsia"/>
                      <w:color w:val="000000"/>
                      <w:kern w:val="0"/>
                      <w:szCs w:val="21"/>
                      <w:highlight w:val="none"/>
                      <w:lang w:val="en-US" w:eastAsia="zh-CN"/>
                    </w:rPr>
                    <w:t>0.038</w:t>
                  </w:r>
                </w:p>
              </w:tc>
              <w:tc>
                <w:tcPr>
                  <w:tcW w:w="669" w:type="pct"/>
                  <w:shd w:val="clear" w:color="auto" w:fill="auto"/>
                  <w:vAlign w:val="center"/>
                </w:tcPr>
                <w:p w14:paraId="7C7113A6">
                  <w:pPr>
                    <w:widowControl/>
                    <w:adjustRightInd w:val="0"/>
                    <w:snapToGrid w:val="0"/>
                    <w:jc w:val="center"/>
                    <w:rPr>
                      <w:rFonts w:hint="default" w:eastAsiaTheme="majorEastAsia"/>
                      <w:color w:val="000000"/>
                      <w:kern w:val="0"/>
                      <w:szCs w:val="21"/>
                      <w:highlight w:val="none"/>
                      <w:lang w:val="en-US" w:eastAsia="zh-CN"/>
                    </w:rPr>
                  </w:pPr>
                  <w:r>
                    <w:rPr>
                      <w:rFonts w:hint="eastAsia" w:eastAsiaTheme="majorEastAsia"/>
                      <w:color w:val="000000"/>
                      <w:kern w:val="0"/>
                      <w:szCs w:val="21"/>
                      <w:highlight w:val="none"/>
                      <w:lang w:val="en-US" w:eastAsia="zh-CN"/>
                    </w:rPr>
                    <w:t>0.023</w:t>
                  </w:r>
                </w:p>
              </w:tc>
              <w:tc>
                <w:tcPr>
                  <w:tcW w:w="671" w:type="pct"/>
                  <w:shd w:val="clear" w:color="auto" w:fill="auto"/>
                  <w:vAlign w:val="center"/>
                </w:tcPr>
                <w:p w14:paraId="42E27DB6">
                  <w:pPr>
                    <w:widowControl/>
                    <w:adjustRightInd w:val="0"/>
                    <w:snapToGrid w:val="0"/>
                    <w:jc w:val="center"/>
                    <w:rPr>
                      <w:rFonts w:hint="default" w:eastAsiaTheme="majorEastAsia"/>
                      <w:color w:val="000000"/>
                      <w:kern w:val="0"/>
                      <w:szCs w:val="21"/>
                      <w:highlight w:val="none"/>
                      <w:lang w:val="en-US" w:eastAsia="zh-CN"/>
                    </w:rPr>
                  </w:pPr>
                  <w:r>
                    <w:rPr>
                      <w:rFonts w:hint="eastAsia" w:eastAsiaTheme="majorEastAsia"/>
                      <w:color w:val="000000"/>
                      <w:kern w:val="0"/>
                      <w:szCs w:val="21"/>
                      <w:highlight w:val="none"/>
                      <w:lang w:val="en-US" w:eastAsia="zh-CN"/>
                    </w:rPr>
                    <w:t>0.023</w:t>
                  </w:r>
                </w:p>
              </w:tc>
            </w:tr>
            <w:tr w14:paraId="40B5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307" w:type="pct"/>
                  <w:gridSpan w:val="2"/>
                  <w:shd w:val="clear" w:color="auto" w:fill="auto"/>
                  <w:vAlign w:val="center"/>
                </w:tcPr>
                <w:p w14:paraId="3EFCA152">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农田灌溉水质标准（GB 5084-2021）（mg/L）</w:t>
                  </w:r>
                </w:p>
              </w:tc>
              <w:tc>
                <w:tcPr>
                  <w:tcW w:w="675" w:type="pct"/>
                  <w:shd w:val="clear" w:color="auto" w:fill="auto"/>
                  <w:vAlign w:val="center"/>
                </w:tcPr>
                <w:p w14:paraId="56CE9DF9">
                  <w:pPr>
                    <w:widowControl/>
                    <w:adjustRightInd w:val="0"/>
                    <w:snapToGrid w:val="0"/>
                    <w:jc w:val="center"/>
                    <w:rPr>
                      <w:rFonts w:hint="default" w:eastAsiaTheme="majorEastAsia"/>
                      <w:color w:val="000000"/>
                      <w:kern w:val="0"/>
                      <w:szCs w:val="21"/>
                      <w:highlight w:val="none"/>
                      <w:lang w:val="en-US" w:eastAsia="zh-CN"/>
                    </w:rPr>
                  </w:pPr>
                  <w:r>
                    <w:rPr>
                      <w:rFonts w:hint="eastAsia" w:eastAsiaTheme="majorEastAsia"/>
                      <w:color w:val="000000"/>
                      <w:kern w:val="0"/>
                      <w:szCs w:val="21"/>
                      <w:highlight w:val="none"/>
                      <w:lang w:val="en-US" w:eastAsia="zh-CN"/>
                    </w:rPr>
                    <w:t>/</w:t>
                  </w:r>
                </w:p>
              </w:tc>
              <w:tc>
                <w:tcPr>
                  <w:tcW w:w="675" w:type="pct"/>
                  <w:shd w:val="clear" w:color="auto" w:fill="auto"/>
                  <w:vAlign w:val="center"/>
                </w:tcPr>
                <w:p w14:paraId="4FBAD8B0">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≤200</w:t>
                  </w:r>
                </w:p>
              </w:tc>
              <w:tc>
                <w:tcPr>
                  <w:tcW w:w="669" w:type="pct"/>
                  <w:shd w:val="clear" w:color="auto" w:fill="auto"/>
                  <w:vAlign w:val="center"/>
                </w:tcPr>
                <w:p w14:paraId="076C68EF">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≤100</w:t>
                  </w:r>
                </w:p>
              </w:tc>
              <w:tc>
                <w:tcPr>
                  <w:tcW w:w="671" w:type="pct"/>
                  <w:shd w:val="clear" w:color="auto" w:fill="auto"/>
                  <w:vAlign w:val="center"/>
                </w:tcPr>
                <w:p w14:paraId="09B9948C">
                  <w:pPr>
                    <w:widowControl/>
                    <w:adjustRightInd w:val="0"/>
                    <w:snapToGrid w:val="0"/>
                    <w:jc w:val="center"/>
                    <w:rPr>
                      <w:rFonts w:eastAsiaTheme="majorEastAsia"/>
                      <w:color w:val="000000"/>
                      <w:kern w:val="0"/>
                      <w:szCs w:val="21"/>
                      <w:highlight w:val="none"/>
                    </w:rPr>
                  </w:pPr>
                  <w:r>
                    <w:rPr>
                      <w:rFonts w:eastAsiaTheme="majorEastAsia"/>
                      <w:color w:val="000000"/>
                      <w:kern w:val="0"/>
                      <w:szCs w:val="21"/>
                      <w:highlight w:val="none"/>
                    </w:rPr>
                    <w:t>≤100</w:t>
                  </w:r>
                </w:p>
              </w:tc>
            </w:tr>
          </w:tbl>
          <w:p w14:paraId="3F9453FC">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default" w:ascii="宋体" w:hAnsi="宋体" w:eastAsia="宋体"/>
                <w:b/>
                <w:sz w:val="24"/>
                <w:highlight w:val="none"/>
                <w:lang w:val="en-US" w:eastAsia="zh-CN"/>
              </w:rPr>
            </w:pPr>
            <w:r>
              <w:rPr>
                <w:rFonts w:hint="eastAsia" w:ascii="宋体" w:hAnsi="宋体"/>
                <w:b/>
                <w:sz w:val="24"/>
                <w:highlight w:val="none"/>
              </w:rPr>
              <w:t>（</w:t>
            </w:r>
            <w:r>
              <w:rPr>
                <w:rFonts w:ascii="宋体" w:hAnsi="宋体"/>
                <w:b/>
                <w:sz w:val="24"/>
                <w:highlight w:val="none"/>
              </w:rPr>
              <w:t>2</w:t>
            </w:r>
            <w:r>
              <w:rPr>
                <w:rFonts w:hint="eastAsia" w:ascii="宋体" w:hAnsi="宋体"/>
                <w:b/>
                <w:sz w:val="24"/>
                <w:highlight w:val="none"/>
              </w:rPr>
              <w:t>）</w:t>
            </w:r>
            <w:r>
              <w:rPr>
                <w:rFonts w:hint="eastAsia" w:ascii="宋体" w:hAnsi="宋体" w:cs="Times New Roman"/>
                <w:b/>
                <w:sz w:val="24"/>
                <w:highlight w:val="none"/>
                <w:lang w:val="en-US" w:eastAsia="zh-CN"/>
              </w:rPr>
              <w:t>喷淋除尘脱硫塔</w:t>
            </w:r>
            <w:r>
              <w:rPr>
                <w:rFonts w:hint="eastAsia" w:ascii="宋体" w:hAnsi="宋体"/>
                <w:b/>
                <w:sz w:val="24"/>
                <w:highlight w:val="none"/>
                <w:lang w:val="en-US" w:eastAsia="zh-CN"/>
              </w:rPr>
              <w:t>用水</w:t>
            </w:r>
          </w:p>
          <w:p w14:paraId="421EDAC7">
            <w:pPr>
              <w:spacing w:line="336"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本</w:t>
            </w:r>
            <w:r>
              <w:rPr>
                <w:rFonts w:hint="default" w:ascii="Times New Roman" w:hAnsi="Times New Roman" w:eastAsia="宋体" w:cs="Times New Roman"/>
                <w:sz w:val="24"/>
                <w:highlight w:val="none"/>
              </w:rPr>
              <w:t>项目采用</w:t>
            </w:r>
            <w:r>
              <w:rPr>
                <w:rFonts w:hint="eastAsia" w:cs="Times New Roman"/>
                <w:sz w:val="24"/>
                <w:highlight w:val="none"/>
                <w:lang w:val="en-US" w:eastAsia="zh-CN"/>
              </w:rPr>
              <w:t>旋风除尘+碱液喷淋</w:t>
            </w:r>
            <w:r>
              <w:rPr>
                <w:rFonts w:hint="default" w:ascii="Times New Roman" w:hAnsi="Times New Roman" w:eastAsia="宋体" w:cs="Times New Roman"/>
                <w:sz w:val="24"/>
                <w:highlight w:val="none"/>
              </w:rPr>
              <w:t>工艺对烘干烟气、炭化烟气及制棒废气进行</w:t>
            </w:r>
            <w:r>
              <w:rPr>
                <w:rFonts w:hint="eastAsia" w:cs="Times New Roman"/>
                <w:sz w:val="24"/>
                <w:highlight w:val="none"/>
                <w:lang w:val="en-US" w:eastAsia="zh-CN"/>
              </w:rPr>
              <w:t>除尘脱硫</w:t>
            </w:r>
            <w:r>
              <w:rPr>
                <w:rFonts w:hint="default" w:ascii="Times New Roman" w:hAnsi="Times New Roman" w:eastAsia="宋体" w:cs="Times New Roman"/>
                <w:sz w:val="24"/>
                <w:highlight w:val="none"/>
              </w:rPr>
              <w:t>处理，在此过程中对水质要求不高，喷淋水循环使用，不外排。项目</w:t>
            </w:r>
            <w:r>
              <w:rPr>
                <w:rFonts w:hint="eastAsia" w:cs="Times New Roman"/>
                <w:sz w:val="24"/>
                <w:highlight w:val="none"/>
                <w:lang w:val="en-US" w:eastAsia="zh-CN"/>
              </w:rPr>
              <w:t>喷淋</w:t>
            </w:r>
            <w:r>
              <w:rPr>
                <w:rFonts w:hint="default" w:ascii="Times New Roman" w:hAnsi="Times New Roman" w:eastAsia="宋体" w:cs="Times New Roman"/>
                <w:sz w:val="24"/>
                <w:highlight w:val="none"/>
              </w:rPr>
              <w:t>过程中会有少量损失，需定期补充消耗的水分，为新鲜自来水。根据建设单位提供的资料，</w:t>
            </w:r>
            <w:r>
              <w:rPr>
                <w:rFonts w:hint="eastAsia" w:cs="Times New Roman"/>
                <w:sz w:val="24"/>
                <w:highlight w:val="none"/>
                <w:lang w:val="en-US" w:eastAsia="zh-CN"/>
              </w:rPr>
              <w:t>喷淋除尘脱硫塔</w:t>
            </w:r>
            <w:r>
              <w:rPr>
                <w:rFonts w:hint="eastAsia" w:ascii="Times New Roman" w:hAnsi="Times New Roman" w:eastAsia="宋体" w:cs="Times New Roman"/>
                <w:sz w:val="24"/>
                <w:highlight w:val="none"/>
                <w:lang w:val="en-US" w:eastAsia="zh-CN"/>
              </w:rPr>
              <w:t>用水配套</w:t>
            </w:r>
            <w:r>
              <w:rPr>
                <w:rFonts w:hint="eastAsia" w:cs="Times New Roman"/>
                <w:sz w:val="24"/>
                <w:highlight w:val="none"/>
                <w:lang w:val="en-US" w:eastAsia="zh-CN"/>
              </w:rPr>
              <w:t>1</w:t>
            </w:r>
            <w:r>
              <w:rPr>
                <w:rFonts w:hint="default" w:ascii="Times New Roman" w:hAnsi="Times New Roman" w:eastAsia="宋体" w:cs="Times New Roman"/>
                <w:sz w:val="24"/>
                <w:highlight w:val="none"/>
                <w:lang w:val="en-US" w:eastAsia="zh-CN"/>
              </w:rPr>
              <w:t xml:space="preserve">0 </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循环沉淀池</w:t>
            </w:r>
            <w:r>
              <w:rPr>
                <w:rFonts w:hint="eastAsia" w:ascii="Times New Roman" w:hAnsi="Times New Roman" w:eastAsia="宋体" w:cs="Times New Roman"/>
                <w:sz w:val="24"/>
                <w:highlight w:val="none"/>
                <w:lang w:val="en-US" w:eastAsia="zh-CN"/>
              </w:rPr>
              <w:t>由水泵抽回</w:t>
            </w:r>
            <w:r>
              <w:rPr>
                <w:rFonts w:hint="eastAsia" w:cs="Times New Roman"/>
                <w:sz w:val="24"/>
                <w:highlight w:val="none"/>
                <w:lang w:val="en-US" w:eastAsia="zh-CN"/>
              </w:rPr>
              <w:t>喷淋除尘脱硫塔</w:t>
            </w:r>
            <w:r>
              <w:rPr>
                <w:rFonts w:hint="eastAsia" w:ascii="Times New Roman" w:hAnsi="Times New Roman" w:eastAsia="宋体" w:cs="Times New Roman"/>
                <w:sz w:val="24"/>
                <w:highlight w:val="none"/>
                <w:lang w:val="en-US" w:eastAsia="zh-CN"/>
              </w:rPr>
              <w:t>内循环使用</w:t>
            </w:r>
            <w:r>
              <w:rPr>
                <w:rFonts w:hint="default" w:ascii="Times New Roman" w:hAnsi="Times New Roman" w:eastAsia="宋体" w:cs="Times New Roman"/>
                <w:sz w:val="24"/>
                <w:highlight w:val="none"/>
              </w:rPr>
              <w:t>，不外排。由于水汽挥发等损耗，</w:t>
            </w:r>
            <w:r>
              <w:rPr>
                <w:rFonts w:hint="eastAsia" w:cs="Times New Roman"/>
                <w:sz w:val="24"/>
                <w:highlight w:val="none"/>
                <w:lang w:val="en-US" w:eastAsia="zh-CN"/>
              </w:rPr>
              <w:t>喷淋除尘脱硫塔</w:t>
            </w:r>
            <w:r>
              <w:rPr>
                <w:rFonts w:hint="eastAsia" w:ascii="Times New Roman" w:hAnsi="Times New Roman" w:eastAsia="宋体" w:cs="Times New Roman"/>
                <w:sz w:val="24"/>
                <w:highlight w:val="none"/>
                <w:lang w:val="en-US" w:eastAsia="zh-CN"/>
              </w:rPr>
              <w:t>循环水需定期补充，每天损耗10%，则</w:t>
            </w:r>
            <w:r>
              <w:rPr>
                <w:rFonts w:hint="default" w:ascii="Times New Roman" w:hAnsi="Times New Roman" w:eastAsia="宋体" w:cs="Times New Roman"/>
                <w:sz w:val="24"/>
                <w:highlight w:val="none"/>
              </w:rPr>
              <w:t>每</w:t>
            </w:r>
            <w:r>
              <w:rPr>
                <w:rFonts w:hint="eastAsia" w:ascii="Times New Roman" w:hAnsi="Times New Roman" w:eastAsia="宋体" w:cs="Times New Roman"/>
                <w:sz w:val="24"/>
                <w:highlight w:val="none"/>
                <w:lang w:val="en-US" w:eastAsia="zh-CN"/>
              </w:rPr>
              <w:t>天</w:t>
            </w:r>
            <w:r>
              <w:rPr>
                <w:rFonts w:hint="default" w:ascii="Times New Roman" w:hAnsi="Times New Roman" w:eastAsia="宋体" w:cs="Times New Roman"/>
                <w:sz w:val="24"/>
                <w:highlight w:val="none"/>
              </w:rPr>
              <w:t>需补充新鲜水量约</w:t>
            </w:r>
            <w:r>
              <w:rPr>
                <w:rFonts w:hint="eastAsia" w:cs="Times New Roman"/>
                <w:sz w:val="24"/>
                <w:highlight w:val="none"/>
                <w:lang w:val="en-US" w:eastAsia="zh-CN"/>
              </w:rPr>
              <w:t>1</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d，年补充量为</w:t>
            </w:r>
            <w:r>
              <w:rPr>
                <w:rFonts w:hint="eastAsia" w:cs="Times New Roman"/>
                <w:sz w:val="24"/>
                <w:highlight w:val="none"/>
                <w:lang w:val="en-US" w:eastAsia="zh-CN"/>
              </w:rPr>
              <w:t>3</w:t>
            </w:r>
            <w:r>
              <w:rPr>
                <w:rFonts w:hint="eastAsia" w:ascii="Times New Roman" w:hAnsi="Times New Roman" w:eastAsia="宋体" w:cs="Times New Roman"/>
                <w:sz w:val="24"/>
                <w:highlight w:val="none"/>
                <w:lang w:val="en-US" w:eastAsia="zh-CN"/>
              </w:rPr>
              <w:t>00</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a</w:t>
            </w:r>
            <w:r>
              <w:rPr>
                <w:rFonts w:hint="default" w:ascii="Times New Roman" w:hAnsi="Times New Roman" w:eastAsia="宋体" w:cs="Times New Roman"/>
                <w:sz w:val="24"/>
                <w:highlight w:val="none"/>
              </w:rPr>
              <w:t>。</w:t>
            </w:r>
          </w:p>
          <w:p w14:paraId="5E8197D4">
            <w:pPr>
              <w:rPr>
                <w:highlight w:val="none"/>
              </w:rPr>
            </w:pPr>
          </w:p>
          <w:p w14:paraId="6F9473AC">
            <w:pPr>
              <w:widowControl/>
              <w:adjustRightInd w:val="0"/>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3</w:t>
            </w:r>
            <w:r>
              <w:rPr>
                <w:rFonts w:hint="eastAsia"/>
                <w:b/>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机制炭降温用水</w:t>
            </w:r>
          </w:p>
          <w:p w14:paraId="00F24CE3">
            <w:pPr>
              <w:widowControl/>
              <w:spacing w:line="360" w:lineRule="auto"/>
              <w:ind w:firstLine="480" w:firstLineChars="200"/>
              <w:jc w:val="left"/>
              <w:rPr>
                <w:rFonts w:hint="default" w:eastAsia="宋体"/>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从炭化窑中出窑的机制炭温度较高，为防止其发生自</w:t>
            </w:r>
            <w:r>
              <w:rPr>
                <w:color w:val="auto"/>
                <w:sz w:val="24"/>
                <w:highlight w:val="none"/>
              </w:rPr>
              <w:t>燃，需</w:t>
            </w:r>
            <w:r>
              <w:rPr>
                <w:rFonts w:hint="eastAsia"/>
                <w:color w:val="auto"/>
                <w:sz w:val="24"/>
                <w:highlight w:val="none"/>
                <w:lang w:val="en-US" w:eastAsia="zh-CN"/>
              </w:rPr>
              <w:t>建设6cm×30m</w:t>
            </w:r>
            <w:r>
              <w:rPr>
                <w:rFonts w:hint="eastAsia"/>
                <w:color w:val="auto"/>
                <w:sz w:val="24"/>
                <w:highlight w:val="none"/>
                <w:vertAlign w:val="superscript"/>
                <w:lang w:val="en-US" w:eastAsia="zh-CN"/>
              </w:rPr>
              <w:t>2</w:t>
            </w:r>
            <w:r>
              <w:rPr>
                <w:rFonts w:hint="eastAsia"/>
                <w:color w:val="auto"/>
                <w:sz w:val="24"/>
                <w:highlight w:val="none"/>
                <w:vertAlign w:val="baseline"/>
                <w:lang w:val="en-US" w:eastAsia="zh-CN"/>
              </w:rPr>
              <w:t>的</w:t>
            </w:r>
            <w:r>
              <w:rPr>
                <w:rFonts w:hint="eastAsia"/>
                <w:color w:val="auto"/>
                <w:sz w:val="24"/>
                <w:highlight w:val="none"/>
                <w:lang w:val="en-US" w:eastAsia="zh-CN"/>
              </w:rPr>
              <w:t>冷却池</w:t>
            </w:r>
            <w:r>
              <w:rPr>
                <w:color w:val="auto"/>
                <w:sz w:val="24"/>
                <w:highlight w:val="none"/>
              </w:rPr>
              <w:t>使机制炭降温，</w:t>
            </w:r>
            <w:r>
              <w:rPr>
                <w:rFonts w:hint="eastAsia"/>
                <w:color w:val="auto"/>
                <w:sz w:val="24"/>
                <w:highlight w:val="none"/>
                <w:lang w:val="en-US" w:eastAsia="zh-CN"/>
              </w:rPr>
              <w:t>则</w:t>
            </w:r>
            <w:r>
              <w:rPr>
                <w:color w:val="auto"/>
                <w:sz w:val="24"/>
                <w:highlight w:val="none"/>
              </w:rPr>
              <w:t>机制炭降温用水量</w:t>
            </w:r>
            <w:r>
              <w:rPr>
                <w:rFonts w:hint="eastAsia"/>
                <w:color w:val="auto"/>
                <w:sz w:val="24"/>
                <w:highlight w:val="none"/>
                <w:lang w:val="en-US" w:eastAsia="zh-CN"/>
              </w:rPr>
              <w:t>为1.8</w:t>
            </w:r>
            <w:r>
              <w:rPr>
                <w:color w:val="auto"/>
                <w:sz w:val="24"/>
                <w:highlight w:val="none"/>
              </w:rPr>
              <w:t>m</w:t>
            </w:r>
            <w:r>
              <w:rPr>
                <w:color w:val="auto"/>
                <w:sz w:val="24"/>
                <w:highlight w:val="none"/>
                <w:vertAlign w:val="superscript"/>
              </w:rPr>
              <w:t>3</w:t>
            </w:r>
            <w:r>
              <w:rPr>
                <w:rFonts w:hint="eastAsia"/>
                <w:color w:val="auto"/>
                <w:sz w:val="24"/>
                <w:highlight w:val="none"/>
                <w:vertAlign w:val="baseline"/>
                <w:lang w:val="en-US" w:eastAsia="zh-CN"/>
              </w:rPr>
              <w:t>/d</w:t>
            </w:r>
            <w:r>
              <w:rPr>
                <w:color w:val="auto"/>
                <w:sz w:val="24"/>
                <w:highlight w:val="none"/>
              </w:rPr>
              <w:t>，</w:t>
            </w:r>
            <w:r>
              <w:rPr>
                <w:rFonts w:hint="eastAsia"/>
                <w:color w:val="auto"/>
                <w:sz w:val="24"/>
                <w:highlight w:val="none"/>
                <w:lang w:val="en-US" w:eastAsia="zh-CN"/>
              </w:rPr>
              <w:t>即540</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/a</w:t>
            </w:r>
            <w:r>
              <w:rPr>
                <w:rFonts w:hint="eastAsia" w:ascii="Times New Roman" w:hAnsi="Times New Roman" w:eastAsia="宋体" w:cs="Times New Roman"/>
                <w:sz w:val="24"/>
                <w:highlight w:val="none"/>
                <w:lang w:eastAsia="zh-CN"/>
              </w:rPr>
              <w:t>，</w:t>
            </w:r>
            <w:r>
              <w:rPr>
                <w:rFonts w:hint="eastAsia"/>
                <w:color w:val="000000" w:themeColor="text1"/>
                <w:sz w:val="24"/>
                <w:highlight w:val="none"/>
                <w:lang w:val="en-US" w:eastAsia="zh-CN"/>
                <w14:textFill>
                  <w14:solidFill>
                    <w14:schemeClr w14:val="tx1"/>
                  </w14:solidFill>
                </w14:textFill>
              </w:rPr>
              <w:t>该部分用水全部蒸发</w:t>
            </w:r>
            <w:r>
              <w:rPr>
                <w:rFonts w:hint="eastAsia" w:ascii="Times New Roman" w:hAnsi="Times New Roman" w:eastAsia="宋体" w:cs="Times New Roman"/>
                <w:sz w:val="24"/>
                <w:highlight w:val="none"/>
                <w:lang w:val="en-US" w:eastAsia="zh-CN"/>
              </w:rPr>
              <w:t>。故本项目不产生废水。</w:t>
            </w:r>
          </w:p>
          <w:p w14:paraId="28822F72">
            <w:pPr>
              <w:widowControl/>
              <w:adjustRightInd w:val="0"/>
              <w:snapToGrid w:val="0"/>
              <w:spacing w:line="360" w:lineRule="auto"/>
              <w:ind w:firstLine="422" w:firstLineChars="200"/>
              <w:rPr>
                <w:b/>
                <w:bCs/>
                <w:color w:val="000000" w:themeColor="text1"/>
                <w:sz w:val="24"/>
                <w:highlight w:val="none"/>
                <w14:textFill>
                  <w14:solidFill>
                    <w14:schemeClr w14:val="tx1"/>
                  </w14:solidFill>
                </w14:textFill>
              </w:rPr>
            </w:pPr>
            <w:r>
              <w:rPr>
                <w:rFonts w:hint="eastAsia"/>
                <w:b/>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t>4</w:t>
            </w:r>
            <w:r>
              <w:rPr>
                <w:rFonts w:hint="eastAsia"/>
                <w:b/>
                <w:color w:val="000000" w:themeColor="text1"/>
                <w:highlight w:val="none"/>
                <w14:textFill>
                  <w14:solidFill>
                    <w14:schemeClr w14:val="tx1"/>
                  </w14:solidFill>
                </w14:textFill>
              </w:rPr>
              <w:t>）</w:t>
            </w:r>
            <w:r>
              <w:rPr>
                <w:b/>
                <w:bCs/>
                <w:color w:val="000000" w:themeColor="text1"/>
                <w:sz w:val="24"/>
                <w:highlight w:val="none"/>
                <w14:textFill>
                  <w14:solidFill>
                    <w14:schemeClr w14:val="tx1"/>
                  </w14:solidFill>
                </w14:textFill>
              </w:rPr>
              <w:t>水污染控制和水污染影响减缓措施有效性评价</w:t>
            </w:r>
          </w:p>
          <w:p w14:paraId="202ECA58">
            <w:pPr>
              <w:spacing w:line="336" w:lineRule="auto"/>
              <w:ind w:firstLine="480" w:firstLineChars="200"/>
              <w:rPr>
                <w:sz w:val="24"/>
                <w:highlight w:val="none"/>
              </w:rPr>
            </w:pPr>
            <w:r>
              <w:rPr>
                <w:rFonts w:ascii="宋体" w:hAnsi="宋体"/>
                <w:sz w:val="24"/>
                <w:highlight w:val="none"/>
              </w:rPr>
              <w:t>本项目废水总量为</w:t>
            </w:r>
            <w:r>
              <w:rPr>
                <w:rFonts w:hint="eastAsia" w:cs="Times New Roman"/>
                <w:sz w:val="24"/>
                <w:highlight w:val="none"/>
                <w:lang w:val="en-US" w:eastAsia="zh-CN"/>
              </w:rPr>
              <w:t>252</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/a（合</w:t>
            </w:r>
            <w:r>
              <w:rPr>
                <w:rFonts w:hint="eastAsia" w:cs="Times New Roman"/>
                <w:sz w:val="24"/>
                <w:highlight w:val="none"/>
                <w:lang w:val="en-US" w:eastAsia="zh-CN"/>
              </w:rPr>
              <w:t>0.84</w:t>
            </w:r>
            <w:r>
              <w:rPr>
                <w:rFonts w:hint="default" w:ascii="Times New Roman" w:hAnsi="Times New Roman" w:eastAsia="宋体" w:cs="Times New Roman"/>
                <w:sz w:val="24"/>
                <w:highlight w:val="none"/>
              </w:rPr>
              <w:t>m</w:t>
            </w:r>
            <w:r>
              <w:rPr>
                <w:rFonts w:hint="default" w:ascii="Times New Roman" w:hAnsi="Times New Roman" w:eastAsia="宋体" w:cs="Times New Roman"/>
                <w:sz w:val="24"/>
                <w:highlight w:val="none"/>
                <w:vertAlign w:val="superscript"/>
              </w:rPr>
              <w:t>3</w:t>
            </w:r>
            <w:r>
              <w:rPr>
                <w:rFonts w:hint="default" w:ascii="Times New Roman" w:hAnsi="Times New Roman" w:eastAsia="宋体" w:cs="Times New Roman"/>
                <w:sz w:val="24"/>
                <w:highlight w:val="none"/>
              </w:rPr>
              <w:t>/d），</w:t>
            </w:r>
            <w:r>
              <w:rPr>
                <w:rFonts w:hint="eastAsia" w:ascii="宋体" w:hAnsi="宋体"/>
                <w:sz w:val="24"/>
                <w:highlight w:val="none"/>
              </w:rPr>
              <w:t>仅为</w:t>
            </w:r>
            <w:r>
              <w:rPr>
                <w:rFonts w:ascii="宋体" w:hAnsi="宋体"/>
                <w:sz w:val="24"/>
                <w:highlight w:val="none"/>
              </w:rPr>
              <w:t>生活污水，污染物种类简单且易生化，处理后能满足</w:t>
            </w:r>
            <w:r>
              <w:rPr>
                <w:rFonts w:hint="eastAsia" w:ascii="宋体" w:hAnsi="宋体"/>
                <w:sz w:val="24"/>
                <w:highlight w:val="none"/>
              </w:rPr>
              <w:t>《农田灌溉水质标准》（</w:t>
            </w:r>
            <w:r>
              <w:rPr>
                <w:sz w:val="24"/>
                <w:highlight w:val="none"/>
              </w:rPr>
              <w:t>GB 5084-2021</w:t>
            </w:r>
            <w:r>
              <w:rPr>
                <w:rFonts w:ascii="宋体" w:hAnsi="宋体"/>
                <w:sz w:val="24"/>
                <w:highlight w:val="none"/>
              </w:rPr>
              <w:t>）中</w:t>
            </w:r>
            <w:r>
              <w:rPr>
                <w:sz w:val="24"/>
                <w:highlight w:val="none"/>
              </w:rPr>
              <w:t>“</w:t>
            </w:r>
            <w:r>
              <w:rPr>
                <w:rFonts w:ascii="宋体" w:hAnsi="宋体"/>
                <w:sz w:val="24"/>
                <w:highlight w:val="none"/>
              </w:rPr>
              <w:t>表</w:t>
            </w:r>
            <w:r>
              <w:rPr>
                <w:sz w:val="24"/>
                <w:highlight w:val="none"/>
              </w:rPr>
              <w:t>1</w:t>
            </w:r>
            <w:r>
              <w:rPr>
                <w:rFonts w:ascii="宋体" w:hAnsi="宋体"/>
                <w:sz w:val="24"/>
                <w:highlight w:val="none"/>
              </w:rPr>
              <w:t>基本控制项目限值</w:t>
            </w:r>
            <w:r>
              <w:rPr>
                <w:sz w:val="24"/>
                <w:highlight w:val="none"/>
              </w:rPr>
              <w:t>”</w:t>
            </w:r>
            <w:r>
              <w:rPr>
                <w:rFonts w:ascii="宋体" w:hAnsi="宋体"/>
                <w:sz w:val="24"/>
                <w:highlight w:val="none"/>
              </w:rPr>
              <w:t>的旱地作物水质标准的要求，不会对</w:t>
            </w:r>
            <w:r>
              <w:rPr>
                <w:rFonts w:hint="eastAsia" w:ascii="宋体" w:hAnsi="宋体"/>
                <w:sz w:val="24"/>
                <w:highlight w:val="none"/>
              </w:rPr>
              <w:t>周边</w:t>
            </w:r>
            <w:r>
              <w:rPr>
                <w:rFonts w:ascii="宋体" w:hAnsi="宋体"/>
                <w:sz w:val="24"/>
                <w:highlight w:val="none"/>
              </w:rPr>
              <w:t>环境造成大的负荷。</w:t>
            </w:r>
          </w:p>
          <w:p w14:paraId="4AD4BCFC">
            <w:pPr>
              <w:pStyle w:val="44"/>
              <w:spacing w:line="360" w:lineRule="auto"/>
              <w:ind w:firstLine="482" w:firstLineChars="200"/>
              <w:rPr>
                <w:rFonts w:ascii="Times New Roman" w:hAnsi="Times New Roman" w:cs="Times New Roman"/>
                <w:b/>
                <w:bCs/>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w:t>
            </w:r>
            <w:r>
              <w:rPr>
                <w:rFonts w:ascii="Times New Roman" w:hAnsi="Times New Roman" w:cs="Times New Roman"/>
                <w:b/>
                <w:color w:val="000000" w:themeColor="text1"/>
                <w:highlight w:val="none"/>
                <w14:textFill>
                  <w14:solidFill>
                    <w14:schemeClr w14:val="tx1"/>
                  </w14:solidFill>
                </w14:textFill>
              </w:rPr>
              <w:t>5</w:t>
            </w:r>
            <w:r>
              <w:rPr>
                <w:rFonts w:hint="eastAsia" w:ascii="Times New Roman" w:hAnsi="Times New Roman" w:cs="Times New Roman"/>
                <w:b/>
                <w:color w:val="000000" w:themeColor="text1"/>
                <w:highlight w:val="none"/>
                <w14:textFill>
                  <w14:solidFill>
                    <w14:schemeClr w14:val="tx1"/>
                  </w14:solidFill>
                </w14:textFill>
              </w:rPr>
              <w:t>）</w:t>
            </w:r>
            <w:r>
              <w:rPr>
                <w:rFonts w:hint="eastAsia" w:ascii="Times New Roman" w:hAnsi="Times New Roman" w:cs="Times New Roman"/>
                <w:b/>
                <w:bCs/>
                <w:color w:val="000000" w:themeColor="text1"/>
                <w:highlight w:val="none"/>
                <w14:textFill>
                  <w14:solidFill>
                    <w14:schemeClr w14:val="tx1"/>
                  </w14:solidFill>
                </w14:textFill>
              </w:rPr>
              <w:t>废水回用浇灌可行性分析</w:t>
            </w:r>
          </w:p>
          <w:p w14:paraId="27BB95F8">
            <w:pPr>
              <w:spacing w:line="360" w:lineRule="auto"/>
              <w:ind w:firstLine="481"/>
              <w:rPr>
                <w:sz w:val="24"/>
                <w:highlight w:val="none"/>
              </w:rPr>
            </w:pPr>
            <w:r>
              <w:rPr>
                <w:sz w:val="24"/>
                <w:highlight w:val="none"/>
              </w:rPr>
              <w:t>本项目生活污水经过</w:t>
            </w:r>
            <w:r>
              <w:rPr>
                <w:rFonts w:hint="eastAsia"/>
                <w:sz w:val="24"/>
                <w:highlight w:val="none"/>
                <w:lang w:val="en-US" w:eastAsia="zh-CN"/>
              </w:rPr>
              <w:t>三级化粪池</w:t>
            </w:r>
            <w:r>
              <w:rPr>
                <w:sz w:val="24"/>
                <w:highlight w:val="none"/>
              </w:rPr>
              <w:t>处理后</w:t>
            </w:r>
            <w:r>
              <w:rPr>
                <w:kern w:val="0"/>
                <w:sz w:val="24"/>
                <w:highlight w:val="none"/>
              </w:rPr>
              <w:t>出水水质</w:t>
            </w:r>
            <w:r>
              <w:rPr>
                <w:sz w:val="24"/>
                <w:highlight w:val="none"/>
              </w:rPr>
              <w:t>达到《农田灌溉水质标准》（GB 5084-2021）中</w:t>
            </w:r>
            <w:r>
              <w:rPr>
                <w:rFonts w:hint="eastAsia"/>
                <w:sz w:val="24"/>
                <w:highlight w:val="none"/>
              </w:rPr>
              <w:t>“</w:t>
            </w:r>
            <w:r>
              <w:rPr>
                <w:sz w:val="24"/>
                <w:highlight w:val="none"/>
              </w:rPr>
              <w:t>表1基本控制项目限值</w:t>
            </w:r>
            <w:r>
              <w:rPr>
                <w:rFonts w:hint="eastAsia"/>
                <w:sz w:val="24"/>
                <w:highlight w:val="none"/>
              </w:rPr>
              <w:t>”</w:t>
            </w:r>
            <w:r>
              <w:rPr>
                <w:sz w:val="24"/>
                <w:highlight w:val="none"/>
              </w:rPr>
              <w:t>的旱地作物水质标准</w:t>
            </w:r>
            <w:r>
              <w:rPr>
                <w:rFonts w:hint="eastAsia"/>
                <w:sz w:val="24"/>
                <w:highlight w:val="none"/>
              </w:rPr>
              <w:t>要求</w:t>
            </w:r>
            <w:r>
              <w:rPr>
                <w:rFonts w:hint="eastAsia"/>
                <w:sz w:val="24"/>
                <w:highlight w:val="none"/>
                <w:lang w:val="en-US" w:eastAsia="zh-CN"/>
              </w:rPr>
              <w:t>后，</w:t>
            </w:r>
            <w:r>
              <w:rPr>
                <w:sz w:val="24"/>
                <w:szCs w:val="24"/>
                <w:highlight w:val="none"/>
              </w:rPr>
              <w:t>全部用于厂区周边林地</w:t>
            </w:r>
            <w:r>
              <w:rPr>
                <w:rFonts w:hint="eastAsia"/>
                <w:sz w:val="24"/>
                <w:szCs w:val="24"/>
                <w:highlight w:val="none"/>
                <w:lang w:val="en-US" w:eastAsia="zh-CN"/>
              </w:rPr>
              <w:t>浇灌</w:t>
            </w:r>
            <w:r>
              <w:rPr>
                <w:sz w:val="24"/>
                <w:szCs w:val="24"/>
                <w:highlight w:val="none"/>
              </w:rPr>
              <w:t>，不外排入地表水体</w:t>
            </w:r>
            <w:r>
              <w:rPr>
                <w:sz w:val="24"/>
                <w:highlight w:val="none"/>
              </w:rPr>
              <w:t>。</w:t>
            </w:r>
            <w:r>
              <w:rPr>
                <w:sz w:val="24"/>
                <w:szCs w:val="24"/>
                <w:highlight w:val="none"/>
              </w:rPr>
              <w:t>本项目</w:t>
            </w:r>
            <w:r>
              <w:rPr>
                <w:rFonts w:hint="eastAsia"/>
                <w:sz w:val="24"/>
                <w:szCs w:val="24"/>
                <w:highlight w:val="none"/>
                <w:lang w:val="en-US" w:eastAsia="zh-CN"/>
              </w:rPr>
              <w:t>浇灌</w:t>
            </w:r>
            <w:r>
              <w:rPr>
                <w:sz w:val="24"/>
                <w:szCs w:val="24"/>
                <w:highlight w:val="none"/>
              </w:rPr>
              <w:t>用水量1.1L/m</w:t>
            </w:r>
            <w:r>
              <w:rPr>
                <w:sz w:val="24"/>
                <w:szCs w:val="24"/>
                <w:highlight w:val="none"/>
                <w:vertAlign w:val="superscript"/>
              </w:rPr>
              <w:t>2</w:t>
            </w:r>
            <w:r>
              <w:rPr>
                <w:sz w:val="24"/>
                <w:szCs w:val="24"/>
                <w:highlight w:val="none"/>
              </w:rPr>
              <w:t>·d计，</w:t>
            </w:r>
            <w:r>
              <w:rPr>
                <w:sz w:val="24"/>
                <w:szCs w:val="24"/>
                <w:highlight w:val="none"/>
                <w:lang w:bidi="ar"/>
              </w:rPr>
              <w:t>本项目员工生活污水产生量为</w:t>
            </w:r>
            <w:r>
              <w:rPr>
                <w:rFonts w:hint="eastAsia"/>
                <w:sz w:val="24"/>
                <w:szCs w:val="24"/>
                <w:highlight w:val="none"/>
                <w:lang w:val="en-US" w:eastAsia="zh-CN" w:bidi="ar"/>
              </w:rPr>
              <w:t>0.84</w:t>
            </w:r>
            <w:r>
              <w:rPr>
                <w:sz w:val="24"/>
                <w:szCs w:val="24"/>
                <w:highlight w:val="none"/>
                <w:lang w:bidi="ar"/>
              </w:rPr>
              <w:t>m³/d</w:t>
            </w:r>
            <w:r>
              <w:rPr>
                <w:bCs/>
                <w:kern w:val="0"/>
                <w:sz w:val="24"/>
                <w:szCs w:val="24"/>
                <w:highlight w:val="none"/>
              </w:rPr>
              <w:t>，需要</w:t>
            </w:r>
            <w:r>
              <w:rPr>
                <w:rFonts w:hint="eastAsia"/>
                <w:bCs/>
                <w:kern w:val="0"/>
                <w:sz w:val="24"/>
                <w:szCs w:val="24"/>
                <w:highlight w:val="none"/>
                <w:lang w:val="en-US" w:eastAsia="zh-CN"/>
              </w:rPr>
              <w:t>764</w:t>
            </w:r>
            <w:r>
              <w:rPr>
                <w:bCs/>
                <w:kern w:val="0"/>
                <w:sz w:val="24"/>
                <w:szCs w:val="24"/>
                <w:highlight w:val="none"/>
              </w:rPr>
              <w:t>m</w:t>
            </w:r>
            <w:r>
              <w:rPr>
                <w:bCs/>
                <w:kern w:val="0"/>
                <w:sz w:val="24"/>
                <w:szCs w:val="24"/>
                <w:highlight w:val="none"/>
                <w:vertAlign w:val="superscript"/>
              </w:rPr>
              <w:t>2</w:t>
            </w:r>
            <w:r>
              <w:rPr>
                <w:rFonts w:hint="eastAsia"/>
                <w:bCs/>
                <w:kern w:val="0"/>
                <w:sz w:val="24"/>
                <w:szCs w:val="24"/>
                <w:highlight w:val="none"/>
                <w:vertAlign w:val="baseline"/>
                <w:lang w:val="en-US" w:eastAsia="zh-CN"/>
              </w:rPr>
              <w:t>林地</w:t>
            </w:r>
            <w:r>
              <w:rPr>
                <w:bCs/>
                <w:kern w:val="0"/>
                <w:sz w:val="24"/>
                <w:szCs w:val="24"/>
                <w:highlight w:val="none"/>
              </w:rPr>
              <w:t>面积，周边</w:t>
            </w:r>
            <w:r>
              <w:rPr>
                <w:rFonts w:hint="eastAsia"/>
                <w:bCs/>
                <w:kern w:val="0"/>
                <w:sz w:val="24"/>
                <w:szCs w:val="24"/>
                <w:highlight w:val="none"/>
                <w:lang w:val="en-US" w:eastAsia="zh-CN"/>
              </w:rPr>
              <w:t>林</w:t>
            </w:r>
            <w:r>
              <w:rPr>
                <w:bCs/>
                <w:kern w:val="0"/>
                <w:sz w:val="24"/>
                <w:szCs w:val="24"/>
                <w:highlight w:val="none"/>
              </w:rPr>
              <w:t>地的面积超过</w:t>
            </w:r>
            <w:r>
              <w:rPr>
                <w:rFonts w:hint="eastAsia"/>
                <w:bCs/>
                <w:kern w:val="0"/>
                <w:sz w:val="24"/>
                <w:szCs w:val="24"/>
                <w:highlight w:val="none"/>
                <w:lang w:val="en-US" w:eastAsia="zh-CN"/>
              </w:rPr>
              <w:t>1</w:t>
            </w:r>
            <w:r>
              <w:rPr>
                <w:rFonts w:hint="eastAsia"/>
                <w:bCs/>
                <w:kern w:val="0"/>
                <w:sz w:val="24"/>
                <w:szCs w:val="24"/>
                <w:highlight w:val="none"/>
              </w:rPr>
              <w:t>0000</w:t>
            </w:r>
            <w:r>
              <w:rPr>
                <w:bCs/>
                <w:kern w:val="0"/>
                <w:sz w:val="24"/>
                <w:szCs w:val="24"/>
                <w:highlight w:val="none"/>
              </w:rPr>
              <w:t>m</w:t>
            </w:r>
            <w:r>
              <w:rPr>
                <w:bCs/>
                <w:kern w:val="0"/>
                <w:sz w:val="24"/>
                <w:szCs w:val="24"/>
                <w:highlight w:val="none"/>
                <w:vertAlign w:val="superscript"/>
              </w:rPr>
              <w:t>2</w:t>
            </w:r>
            <w:r>
              <w:rPr>
                <w:bCs/>
                <w:kern w:val="0"/>
                <w:sz w:val="24"/>
                <w:szCs w:val="24"/>
                <w:highlight w:val="none"/>
              </w:rPr>
              <w:t>，所需的</w:t>
            </w:r>
            <w:r>
              <w:rPr>
                <w:rFonts w:hint="eastAsia"/>
                <w:bCs/>
                <w:kern w:val="0"/>
                <w:sz w:val="24"/>
                <w:szCs w:val="24"/>
                <w:highlight w:val="none"/>
                <w:lang w:eastAsia="zh-CN"/>
              </w:rPr>
              <w:t>绿化</w:t>
            </w:r>
            <w:r>
              <w:rPr>
                <w:bCs/>
                <w:kern w:val="0"/>
                <w:sz w:val="24"/>
                <w:szCs w:val="24"/>
                <w:highlight w:val="none"/>
              </w:rPr>
              <w:t>水量远大于</w:t>
            </w:r>
            <w:r>
              <w:rPr>
                <w:rFonts w:hint="eastAsia"/>
                <w:bCs/>
                <w:kern w:val="0"/>
                <w:sz w:val="24"/>
                <w:szCs w:val="24"/>
                <w:highlight w:val="none"/>
                <w:lang w:eastAsia="zh-CN"/>
              </w:rPr>
              <w:t>项目生活污</w:t>
            </w:r>
            <w:r>
              <w:rPr>
                <w:bCs/>
                <w:kern w:val="0"/>
                <w:sz w:val="24"/>
                <w:szCs w:val="24"/>
                <w:highlight w:val="none"/>
              </w:rPr>
              <w:t>水量，可完全接纳生活污水。</w:t>
            </w:r>
            <w:r>
              <w:rPr>
                <w:sz w:val="24"/>
                <w:highlight w:val="none"/>
              </w:rPr>
              <w:t>综上</w:t>
            </w:r>
            <w:r>
              <w:rPr>
                <w:rFonts w:hint="eastAsia"/>
                <w:sz w:val="24"/>
                <w:highlight w:val="none"/>
                <w:lang w:eastAsia="zh-CN"/>
              </w:rPr>
              <w:t>，</w:t>
            </w:r>
            <w:r>
              <w:rPr>
                <w:sz w:val="24"/>
                <w:highlight w:val="none"/>
              </w:rPr>
              <w:t>项目所产生的废水作为</w:t>
            </w:r>
            <w:r>
              <w:rPr>
                <w:rFonts w:hint="eastAsia"/>
                <w:sz w:val="24"/>
                <w:highlight w:val="none"/>
              </w:rPr>
              <w:t>林地</w:t>
            </w:r>
            <w:r>
              <w:rPr>
                <w:sz w:val="24"/>
                <w:highlight w:val="none"/>
              </w:rPr>
              <w:t>浇灌具有可行性。</w:t>
            </w:r>
          </w:p>
          <w:p w14:paraId="7C8C0813">
            <w:pPr>
              <w:pStyle w:val="44"/>
              <w:spacing w:line="360" w:lineRule="auto"/>
              <w:ind w:firstLine="482" w:firstLineChars="200"/>
              <w:rPr>
                <w:rFonts w:ascii="Times New Roman" w:hAnsi="Times New Roman" w:cs="Times New Roman"/>
                <w:b/>
                <w:bCs/>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w:t>
            </w:r>
            <w:r>
              <w:rPr>
                <w:rFonts w:ascii="Times New Roman" w:hAnsi="Times New Roman" w:cs="Times New Roman"/>
                <w:b/>
                <w:color w:val="000000" w:themeColor="text1"/>
                <w:highlight w:val="none"/>
                <w14:textFill>
                  <w14:solidFill>
                    <w14:schemeClr w14:val="tx1"/>
                  </w14:solidFill>
                </w14:textFill>
              </w:rPr>
              <w:t>6</w:t>
            </w:r>
            <w:r>
              <w:rPr>
                <w:rFonts w:hint="eastAsia" w:ascii="Times New Roman" w:hAnsi="Times New Roman" w:cs="Times New Roman"/>
                <w:b/>
                <w:color w:val="000000" w:themeColor="text1"/>
                <w:highlight w:val="none"/>
                <w14:textFill>
                  <w14:solidFill>
                    <w14:schemeClr w14:val="tx1"/>
                  </w14:solidFill>
                </w14:textFill>
              </w:rPr>
              <w:t>）</w:t>
            </w:r>
            <w:r>
              <w:rPr>
                <w:rFonts w:ascii="Times New Roman" w:hAnsi="Times New Roman" w:cs="Times New Roman"/>
                <w:b/>
                <w:bCs/>
                <w:color w:val="000000" w:themeColor="text1"/>
                <w:highlight w:val="none"/>
                <w14:textFill>
                  <w14:solidFill>
                    <w14:schemeClr w14:val="tx1"/>
                  </w14:solidFill>
                </w14:textFill>
              </w:rPr>
              <w:t>废水环境影响分析结论</w:t>
            </w:r>
          </w:p>
          <w:p w14:paraId="2391837F">
            <w:pPr>
              <w:adjustRightInd w:val="0"/>
              <w:snapToGrid w:val="0"/>
              <w:spacing w:line="360" w:lineRule="auto"/>
              <w:ind w:firstLine="480" w:firstLineChars="200"/>
              <w:rPr>
                <w:bCs/>
                <w:sz w:val="24"/>
                <w:highlight w:val="none"/>
              </w:rPr>
            </w:pPr>
            <w:r>
              <w:rPr>
                <w:bCs/>
                <w:sz w:val="24"/>
                <w:highlight w:val="none"/>
              </w:rPr>
              <w:t>纳污河段</w:t>
            </w:r>
            <w:r>
              <w:rPr>
                <w:rFonts w:hint="eastAsia"/>
                <w:bCs/>
                <w:color w:val="auto"/>
                <w:sz w:val="24"/>
                <w:highlight w:val="none"/>
                <w:lang w:val="en-US" w:eastAsia="zh-CN"/>
              </w:rPr>
              <w:t>武水“乐昌城—犁市（曲江）”河段</w:t>
            </w:r>
            <w:r>
              <w:rPr>
                <w:bCs/>
                <w:sz w:val="24"/>
                <w:highlight w:val="none"/>
              </w:rPr>
              <w:t>上下游断面监测结果表明该河段水质指标达到</w:t>
            </w:r>
            <w:r>
              <w:rPr>
                <w:rFonts w:hint="eastAsia" w:ascii="宋体" w:hAnsi="宋体" w:eastAsia="宋体" w:cs="宋体"/>
                <w:bCs/>
                <w:sz w:val="24"/>
                <w:highlight w:val="none"/>
              </w:rPr>
              <w:t>Ⅲ</w:t>
            </w:r>
            <w:r>
              <w:rPr>
                <w:bCs/>
                <w:sz w:val="24"/>
                <w:highlight w:val="none"/>
              </w:rPr>
              <w:t>类水质标准，水环境质量现状良好，</w:t>
            </w:r>
            <w:r>
              <w:rPr>
                <w:rFonts w:hint="eastAsia"/>
                <w:bCs/>
                <w:color w:val="auto"/>
                <w:sz w:val="24"/>
                <w:highlight w:val="none"/>
                <w:lang w:val="en-US" w:eastAsia="zh-CN"/>
              </w:rPr>
              <w:t>武水“乐昌城—犁市（曲江）”河段</w:t>
            </w:r>
            <w:r>
              <w:rPr>
                <w:bCs/>
                <w:sz w:val="24"/>
                <w:highlight w:val="none"/>
              </w:rPr>
              <w:t>属达标区。本项目水污染控制和水污染影响减缓措施有效，回用浇灌分析可行，污水不外排，对地表水环境无</w:t>
            </w:r>
            <w:r>
              <w:rPr>
                <w:rFonts w:hint="eastAsia"/>
                <w:bCs/>
                <w:sz w:val="24"/>
                <w:highlight w:val="none"/>
              </w:rPr>
              <w:t>不利</w:t>
            </w:r>
            <w:r>
              <w:rPr>
                <w:bCs/>
                <w:sz w:val="24"/>
                <w:highlight w:val="none"/>
              </w:rPr>
              <w:t>影响。</w:t>
            </w:r>
          </w:p>
          <w:p w14:paraId="7B688E6D">
            <w:pPr>
              <w:adjustRightInd w:val="0"/>
              <w:snapToGrid w:val="0"/>
              <w:spacing w:line="360" w:lineRule="auto"/>
              <w:ind w:firstLine="480" w:firstLineChars="200"/>
              <w:rPr>
                <w:bCs/>
                <w:color w:val="000000" w:themeColor="text1"/>
                <w:sz w:val="24"/>
                <w:szCs w:val="21"/>
                <w:highlight w:val="none"/>
                <w14:textFill>
                  <w14:solidFill>
                    <w14:schemeClr w14:val="tx1"/>
                  </w14:solidFill>
                </w14:textFill>
              </w:rPr>
            </w:pPr>
            <w:r>
              <w:rPr>
                <w:bCs/>
                <w:color w:val="000000" w:themeColor="text1"/>
                <w:sz w:val="24"/>
                <w:szCs w:val="21"/>
                <w:highlight w:val="none"/>
                <w14:textFill>
                  <w14:solidFill>
                    <w14:schemeClr w14:val="tx1"/>
                  </w14:solidFill>
                </w14:textFill>
              </w:rPr>
              <w:t>综上所述，本项目废水排放信息如表</w:t>
            </w:r>
            <w:r>
              <w:rPr>
                <w:spacing w:val="-2"/>
                <w:sz w:val="24"/>
                <w:highlight w:val="none"/>
              </w:rPr>
              <w:t>4-</w:t>
            </w:r>
            <w:r>
              <w:rPr>
                <w:rFonts w:hint="eastAsia"/>
                <w:spacing w:val="-2"/>
                <w:sz w:val="24"/>
                <w:highlight w:val="none"/>
                <w:lang w:val="en-US" w:eastAsia="zh-CN"/>
              </w:rPr>
              <w:t>11</w:t>
            </w:r>
            <w:r>
              <w:rPr>
                <w:rFonts w:hint="eastAsia"/>
                <w:bCs/>
                <w:color w:val="000000" w:themeColor="text1"/>
                <w:sz w:val="24"/>
                <w:szCs w:val="21"/>
                <w:highlight w:val="none"/>
                <w14:textFill>
                  <w14:solidFill>
                    <w14:schemeClr w14:val="tx1"/>
                  </w14:solidFill>
                </w14:textFill>
              </w:rPr>
              <w:t>、</w:t>
            </w:r>
            <w:r>
              <w:rPr>
                <w:spacing w:val="-2"/>
                <w:sz w:val="24"/>
                <w:highlight w:val="none"/>
              </w:rPr>
              <w:t>4-1</w:t>
            </w:r>
            <w:r>
              <w:rPr>
                <w:rFonts w:hint="eastAsia"/>
                <w:spacing w:val="-2"/>
                <w:sz w:val="24"/>
                <w:highlight w:val="none"/>
                <w:lang w:val="en-US" w:eastAsia="zh-CN"/>
              </w:rPr>
              <w:t>2</w:t>
            </w:r>
            <w:r>
              <w:rPr>
                <w:bCs/>
                <w:color w:val="000000" w:themeColor="text1"/>
                <w:sz w:val="24"/>
                <w:szCs w:val="21"/>
                <w:highlight w:val="none"/>
                <w14:textFill>
                  <w14:solidFill>
                    <w14:schemeClr w14:val="tx1"/>
                  </w14:solidFill>
                </w14:textFill>
              </w:rPr>
              <w:t>所示。</w:t>
            </w:r>
          </w:p>
          <w:p w14:paraId="7ECA4C6E">
            <w:pPr>
              <w:adjustRightInd w:val="0"/>
              <w:snapToGrid w:val="0"/>
              <w:spacing w:line="360" w:lineRule="auto"/>
              <w:ind w:firstLine="420" w:firstLineChars="200"/>
              <w:rPr>
                <w:highlight w:val="none"/>
              </w:rPr>
            </w:pPr>
          </w:p>
        </w:tc>
      </w:tr>
    </w:tbl>
    <w:p w14:paraId="51F57791">
      <w:pPr>
        <w:rPr>
          <w:snapToGrid w:val="0"/>
          <w:highlight w:val="none"/>
        </w:rPr>
      </w:pPr>
    </w:p>
    <w:p w14:paraId="22F7A737">
      <w:pPr>
        <w:rPr>
          <w:snapToGrid w:val="0"/>
          <w:highlight w:val="none"/>
        </w:rPr>
      </w:pPr>
    </w:p>
    <w:p w14:paraId="6D2CB421">
      <w:pPr>
        <w:rPr>
          <w:snapToGrid w:val="0"/>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2"/>
      </w:tblGrid>
      <w:tr w14:paraId="2EC8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6" w:type="dxa"/>
          </w:tcPr>
          <w:p w14:paraId="46918BB4">
            <w:pPr>
              <w:spacing w:line="360" w:lineRule="auto"/>
              <w:ind w:firstLine="482"/>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表</w:t>
            </w:r>
            <w:r>
              <w:rPr>
                <w:b/>
                <w:bCs/>
                <w:spacing w:val="-2"/>
                <w:sz w:val="24"/>
                <w:highlight w:val="none"/>
              </w:rPr>
              <w:t>4-</w:t>
            </w:r>
            <w:r>
              <w:rPr>
                <w:rFonts w:hint="eastAsia"/>
                <w:b/>
                <w:bCs/>
                <w:spacing w:val="-2"/>
                <w:sz w:val="24"/>
                <w:highlight w:val="none"/>
                <w:lang w:val="en-US" w:eastAsia="zh-CN"/>
              </w:rPr>
              <w:t>11</w:t>
            </w:r>
            <w:r>
              <w:rPr>
                <w:b/>
                <w:bCs/>
                <w:color w:val="000000" w:themeColor="text1"/>
                <w:sz w:val="24"/>
                <w:highlight w:val="none"/>
                <w14:textFill>
                  <w14:solidFill>
                    <w14:schemeClr w14:val="tx1"/>
                  </w14:solidFill>
                </w14:textFill>
              </w:rPr>
              <w:t>废水类别、污染物及治理设施信息表</w:t>
            </w:r>
          </w:p>
          <w:tbl>
            <w:tblPr>
              <w:tblStyle w:val="7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696"/>
              <w:gridCol w:w="1918"/>
              <w:gridCol w:w="1539"/>
              <w:gridCol w:w="1252"/>
              <w:gridCol w:w="1240"/>
              <w:gridCol w:w="968"/>
              <w:gridCol w:w="1181"/>
              <w:gridCol w:w="1152"/>
              <w:gridCol w:w="1211"/>
              <w:gridCol w:w="1766"/>
            </w:tblGrid>
            <w:tr w14:paraId="47D7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vMerge w:val="restart"/>
                  <w:vAlign w:val="center"/>
                </w:tcPr>
                <w:p w14:paraId="281C0550">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序号</w:t>
                  </w:r>
                </w:p>
              </w:tc>
              <w:tc>
                <w:tcPr>
                  <w:tcW w:w="696" w:type="dxa"/>
                  <w:vMerge w:val="restart"/>
                  <w:vAlign w:val="center"/>
                </w:tcPr>
                <w:p w14:paraId="4A96DC4E">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废水</w:t>
                  </w:r>
                  <w:r>
                    <w:rPr>
                      <w:rFonts w:ascii="Times New Roman" w:hAnsi="Times New Roman" w:eastAsia="Times New Roman"/>
                      <w:b/>
                      <w:bCs/>
                      <w:color w:val="000000" w:themeColor="text1"/>
                      <w:highlight w:val="none"/>
                      <w14:textFill>
                        <w14:solidFill>
                          <w14:schemeClr w14:val="tx1"/>
                        </w14:solidFill>
                      </w14:textFill>
                    </w:rPr>
                    <w:t xml:space="preserve">      </w:t>
                  </w:r>
                </w:p>
                <w:p w14:paraId="0213647E">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类别</w:t>
                  </w:r>
                </w:p>
              </w:tc>
              <w:tc>
                <w:tcPr>
                  <w:tcW w:w="1918" w:type="dxa"/>
                  <w:vMerge w:val="restart"/>
                  <w:vAlign w:val="center"/>
                </w:tcPr>
                <w:p w14:paraId="56C087F5">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污染物</w:t>
                  </w:r>
                </w:p>
                <w:p w14:paraId="33F01F56">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种类</w:t>
                  </w:r>
                </w:p>
              </w:tc>
              <w:tc>
                <w:tcPr>
                  <w:tcW w:w="1539" w:type="dxa"/>
                  <w:vMerge w:val="restart"/>
                  <w:vAlign w:val="center"/>
                </w:tcPr>
                <w:p w14:paraId="001287AE">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排放去向</w:t>
                  </w:r>
                </w:p>
              </w:tc>
              <w:tc>
                <w:tcPr>
                  <w:tcW w:w="0" w:type="auto"/>
                  <w:vMerge w:val="restart"/>
                  <w:vAlign w:val="center"/>
                </w:tcPr>
                <w:p w14:paraId="51A7224F">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排放规律</w:t>
                  </w:r>
                </w:p>
              </w:tc>
              <w:tc>
                <w:tcPr>
                  <w:tcW w:w="3389" w:type="dxa"/>
                  <w:gridSpan w:val="3"/>
                  <w:vAlign w:val="center"/>
                </w:tcPr>
                <w:p w14:paraId="15F3BDAA">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污染治理设施</w:t>
                  </w:r>
                </w:p>
              </w:tc>
              <w:tc>
                <w:tcPr>
                  <w:tcW w:w="1152" w:type="dxa"/>
                  <w:vMerge w:val="restart"/>
                  <w:vAlign w:val="center"/>
                </w:tcPr>
                <w:p w14:paraId="3A6113FA">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排放口编号</w:t>
                  </w:r>
                </w:p>
              </w:tc>
              <w:tc>
                <w:tcPr>
                  <w:tcW w:w="1211" w:type="dxa"/>
                  <w:vMerge w:val="restart"/>
                  <w:vAlign w:val="center"/>
                </w:tcPr>
                <w:p w14:paraId="4810961F">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排放口设置是否符合要求</w:t>
                  </w:r>
                </w:p>
              </w:tc>
              <w:tc>
                <w:tcPr>
                  <w:tcW w:w="1766" w:type="dxa"/>
                  <w:vMerge w:val="restart"/>
                  <w:vAlign w:val="center"/>
                </w:tcPr>
                <w:p w14:paraId="4BF40971">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排放口类型</w:t>
                  </w:r>
                </w:p>
              </w:tc>
            </w:tr>
            <w:tr w14:paraId="1C88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vMerge w:val="continue"/>
                  <w:vAlign w:val="center"/>
                </w:tcPr>
                <w:p w14:paraId="418F044D">
                  <w:pPr>
                    <w:widowControl/>
                    <w:jc w:val="left"/>
                    <w:rPr>
                      <w:rFonts w:eastAsia="Times New Roman"/>
                      <w:color w:val="000000" w:themeColor="text1"/>
                      <w:kern w:val="0"/>
                      <w:szCs w:val="21"/>
                      <w:highlight w:val="none"/>
                      <w14:textFill>
                        <w14:solidFill>
                          <w14:schemeClr w14:val="tx1"/>
                        </w14:solidFill>
                      </w14:textFill>
                    </w:rPr>
                  </w:pPr>
                </w:p>
              </w:tc>
              <w:tc>
                <w:tcPr>
                  <w:tcW w:w="696" w:type="dxa"/>
                  <w:vMerge w:val="continue"/>
                  <w:vAlign w:val="center"/>
                </w:tcPr>
                <w:p w14:paraId="41825744">
                  <w:pPr>
                    <w:widowControl/>
                    <w:jc w:val="left"/>
                    <w:rPr>
                      <w:rFonts w:eastAsia="Times New Roman"/>
                      <w:color w:val="000000" w:themeColor="text1"/>
                      <w:kern w:val="0"/>
                      <w:szCs w:val="21"/>
                      <w:highlight w:val="none"/>
                      <w14:textFill>
                        <w14:solidFill>
                          <w14:schemeClr w14:val="tx1"/>
                        </w14:solidFill>
                      </w14:textFill>
                    </w:rPr>
                  </w:pPr>
                </w:p>
              </w:tc>
              <w:tc>
                <w:tcPr>
                  <w:tcW w:w="1918" w:type="dxa"/>
                  <w:vMerge w:val="continue"/>
                  <w:vAlign w:val="center"/>
                </w:tcPr>
                <w:p w14:paraId="7693F94F">
                  <w:pPr>
                    <w:widowControl/>
                    <w:jc w:val="left"/>
                    <w:rPr>
                      <w:rFonts w:eastAsia="Times New Roman"/>
                      <w:color w:val="000000" w:themeColor="text1"/>
                      <w:kern w:val="0"/>
                      <w:szCs w:val="21"/>
                      <w:highlight w:val="none"/>
                      <w14:textFill>
                        <w14:solidFill>
                          <w14:schemeClr w14:val="tx1"/>
                        </w14:solidFill>
                      </w14:textFill>
                    </w:rPr>
                  </w:pPr>
                </w:p>
              </w:tc>
              <w:tc>
                <w:tcPr>
                  <w:tcW w:w="1539" w:type="dxa"/>
                  <w:vMerge w:val="continue"/>
                  <w:vAlign w:val="center"/>
                </w:tcPr>
                <w:p w14:paraId="0E8BFADE">
                  <w:pPr>
                    <w:widowControl/>
                    <w:jc w:val="left"/>
                    <w:rPr>
                      <w:rFonts w:eastAsia="Times New Roman"/>
                      <w:color w:val="000000" w:themeColor="text1"/>
                      <w:kern w:val="0"/>
                      <w:szCs w:val="21"/>
                      <w:highlight w:val="none"/>
                      <w14:textFill>
                        <w14:solidFill>
                          <w14:schemeClr w14:val="tx1"/>
                        </w14:solidFill>
                      </w14:textFill>
                    </w:rPr>
                  </w:pPr>
                </w:p>
              </w:tc>
              <w:tc>
                <w:tcPr>
                  <w:tcW w:w="0" w:type="auto"/>
                  <w:vMerge w:val="continue"/>
                  <w:vAlign w:val="center"/>
                </w:tcPr>
                <w:p w14:paraId="23B093B3">
                  <w:pPr>
                    <w:widowControl/>
                    <w:jc w:val="left"/>
                    <w:rPr>
                      <w:rFonts w:eastAsia="Times New Roman"/>
                      <w:color w:val="000000" w:themeColor="text1"/>
                      <w:kern w:val="0"/>
                      <w:szCs w:val="21"/>
                      <w:highlight w:val="none"/>
                      <w14:textFill>
                        <w14:solidFill>
                          <w14:schemeClr w14:val="tx1"/>
                        </w14:solidFill>
                      </w14:textFill>
                    </w:rPr>
                  </w:pPr>
                </w:p>
              </w:tc>
              <w:tc>
                <w:tcPr>
                  <w:tcW w:w="0" w:type="auto"/>
                  <w:vAlign w:val="center"/>
                </w:tcPr>
                <w:p w14:paraId="6DA080D3">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污染治理设施编号</w:t>
                  </w:r>
                </w:p>
              </w:tc>
              <w:tc>
                <w:tcPr>
                  <w:tcW w:w="0" w:type="auto"/>
                  <w:vAlign w:val="center"/>
                </w:tcPr>
                <w:p w14:paraId="1BD0CD99">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污染治理设施名称</w:t>
                  </w:r>
                </w:p>
              </w:tc>
              <w:tc>
                <w:tcPr>
                  <w:tcW w:w="1181" w:type="dxa"/>
                  <w:vAlign w:val="center"/>
                </w:tcPr>
                <w:p w14:paraId="6618C0C8">
                  <w:pPr>
                    <w:pStyle w:val="115"/>
                    <w:ind w:left="-2"/>
                    <w:rPr>
                      <w:rFonts w:ascii="Times New Roman" w:hAnsi="Times New Roman" w:eastAsia="Times New Roman"/>
                      <w:b/>
                      <w:bCs/>
                      <w:color w:val="000000" w:themeColor="text1"/>
                      <w:highlight w:val="none"/>
                      <w14:textFill>
                        <w14:solidFill>
                          <w14:schemeClr w14:val="tx1"/>
                        </w14:solidFill>
                      </w14:textFill>
                    </w:rPr>
                  </w:pPr>
                  <w:r>
                    <w:rPr>
                      <w:rFonts w:hint="eastAsia" w:ascii="宋体" w:hAnsi="宋体" w:eastAsia="Times New Roman" w:cs="宋体"/>
                      <w:b/>
                      <w:bCs/>
                      <w:color w:val="000000" w:themeColor="text1"/>
                      <w:highlight w:val="none"/>
                      <w14:textFill>
                        <w14:solidFill>
                          <w14:schemeClr w14:val="tx1"/>
                        </w14:solidFill>
                      </w14:textFill>
                    </w:rPr>
                    <w:t>污染治理设施工艺</w:t>
                  </w:r>
                </w:p>
              </w:tc>
              <w:tc>
                <w:tcPr>
                  <w:tcW w:w="1152" w:type="dxa"/>
                  <w:vMerge w:val="continue"/>
                  <w:vAlign w:val="center"/>
                </w:tcPr>
                <w:p w14:paraId="1D6B22B4">
                  <w:pPr>
                    <w:widowControl/>
                    <w:jc w:val="left"/>
                    <w:rPr>
                      <w:rFonts w:eastAsia="Times New Roman"/>
                      <w:color w:val="000000" w:themeColor="text1"/>
                      <w:kern w:val="0"/>
                      <w:szCs w:val="21"/>
                      <w:highlight w:val="none"/>
                      <w14:textFill>
                        <w14:solidFill>
                          <w14:schemeClr w14:val="tx1"/>
                        </w14:solidFill>
                      </w14:textFill>
                    </w:rPr>
                  </w:pPr>
                </w:p>
              </w:tc>
              <w:tc>
                <w:tcPr>
                  <w:tcW w:w="1211" w:type="dxa"/>
                  <w:vMerge w:val="continue"/>
                  <w:vAlign w:val="center"/>
                </w:tcPr>
                <w:p w14:paraId="61CB1D42">
                  <w:pPr>
                    <w:widowControl/>
                    <w:jc w:val="left"/>
                    <w:rPr>
                      <w:rFonts w:eastAsia="Times New Roman"/>
                      <w:color w:val="000000" w:themeColor="text1"/>
                      <w:kern w:val="0"/>
                      <w:szCs w:val="21"/>
                      <w:highlight w:val="none"/>
                      <w14:textFill>
                        <w14:solidFill>
                          <w14:schemeClr w14:val="tx1"/>
                        </w14:solidFill>
                      </w14:textFill>
                    </w:rPr>
                  </w:pPr>
                </w:p>
              </w:tc>
              <w:tc>
                <w:tcPr>
                  <w:tcW w:w="1766" w:type="dxa"/>
                  <w:vMerge w:val="continue"/>
                  <w:vAlign w:val="center"/>
                </w:tcPr>
                <w:p w14:paraId="1B686769">
                  <w:pPr>
                    <w:widowControl/>
                    <w:jc w:val="left"/>
                    <w:rPr>
                      <w:rFonts w:eastAsia="Times New Roman"/>
                      <w:color w:val="000000" w:themeColor="text1"/>
                      <w:kern w:val="0"/>
                      <w:szCs w:val="21"/>
                      <w:highlight w:val="none"/>
                      <w14:textFill>
                        <w14:solidFill>
                          <w14:schemeClr w14:val="tx1"/>
                        </w14:solidFill>
                      </w14:textFill>
                    </w:rPr>
                  </w:pPr>
                </w:p>
              </w:tc>
            </w:tr>
            <w:tr w14:paraId="7F8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vAlign w:val="center"/>
                </w:tcPr>
                <w:p w14:paraId="10B1A2BA">
                  <w:pPr>
                    <w:pStyle w:val="115"/>
                    <w:ind w:left="-2"/>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1</w:t>
                  </w:r>
                </w:p>
              </w:tc>
              <w:tc>
                <w:tcPr>
                  <w:tcW w:w="696" w:type="dxa"/>
                  <w:vAlign w:val="center"/>
                </w:tcPr>
                <w:p w14:paraId="35C7145C">
                  <w:pPr>
                    <w:pStyle w:val="115"/>
                    <w:ind w:left="-2"/>
                    <w:rPr>
                      <w:rFonts w:ascii="Times New Roman" w:hAnsi="Times New Roman" w:eastAsia="Times New Roman"/>
                      <w:color w:val="000000" w:themeColor="text1"/>
                      <w:highlight w:val="none"/>
                      <w14:textFill>
                        <w14:solidFill>
                          <w14:schemeClr w14:val="tx1"/>
                        </w14:solidFill>
                      </w14:textFill>
                    </w:rPr>
                  </w:pPr>
                  <w:r>
                    <w:rPr>
                      <w:rFonts w:hint="eastAsia" w:ascii="宋体" w:hAnsi="宋体" w:eastAsia="Times New Roman" w:cs="宋体"/>
                      <w:color w:val="000000" w:themeColor="text1"/>
                      <w:highlight w:val="none"/>
                      <w14:textFill>
                        <w14:solidFill>
                          <w14:schemeClr w14:val="tx1"/>
                        </w14:solidFill>
                      </w14:textFill>
                    </w:rPr>
                    <w:t>生活污水</w:t>
                  </w:r>
                  <w:r>
                    <w:rPr>
                      <w:rFonts w:ascii="Times New Roman" w:hAnsi="Times New Roman" w:eastAsia="Times New Roman"/>
                      <w:color w:val="000000" w:themeColor="text1"/>
                      <w:highlight w:val="none"/>
                      <w14:textFill>
                        <w14:solidFill>
                          <w14:schemeClr w14:val="tx1"/>
                        </w14:solidFill>
                      </w14:textFill>
                    </w:rPr>
                    <w:t xml:space="preserve">   </w:t>
                  </w:r>
                </w:p>
              </w:tc>
              <w:tc>
                <w:tcPr>
                  <w:tcW w:w="1918" w:type="dxa"/>
                  <w:vAlign w:val="center"/>
                </w:tcPr>
                <w:p w14:paraId="5A7D36EF">
                  <w:pPr>
                    <w:pStyle w:val="115"/>
                    <w:ind w:left="-2"/>
                    <w:rPr>
                      <w:rFonts w:ascii="Times New Roman" w:hAnsi="Times New Roman" w:eastAsia="Times New Roman"/>
                      <w:color w:val="000000" w:themeColor="text1"/>
                      <w:highlight w:val="none"/>
                      <w14:textFill>
                        <w14:solidFill>
                          <w14:schemeClr w14:val="tx1"/>
                        </w14:solidFill>
                      </w14:textFill>
                    </w:rPr>
                  </w:pPr>
                  <w:r>
                    <w:rPr>
                      <w:rFonts w:hint="eastAsia" w:ascii="Times New Roman" w:hAnsi="Times New Roman" w:eastAsia="宋体"/>
                      <w:szCs w:val="21"/>
                      <w:highlight w:val="none"/>
                      <w:lang w:val="en-US" w:eastAsia="zh-CN"/>
                    </w:rPr>
                    <w:t>氨氮</w:t>
                  </w:r>
                  <w:r>
                    <w:rPr>
                      <w:rFonts w:hint="eastAsia" w:ascii="Times New Roman" w:hAnsi="Times New Roman" w:eastAsia="Times New Roman"/>
                      <w:szCs w:val="21"/>
                      <w:highlight w:val="none"/>
                    </w:rPr>
                    <w:t>、</w:t>
                  </w:r>
                  <w:r>
                    <w:rPr>
                      <w:rFonts w:hint="eastAsia" w:ascii="宋体" w:hAnsi="宋体" w:eastAsia="Times New Roman" w:cs="宋体"/>
                      <w:color w:val="000000" w:themeColor="text1"/>
                      <w:highlight w:val="none"/>
                      <w14:textFill>
                        <w14:solidFill>
                          <w14:schemeClr w14:val="tx1"/>
                        </w14:solidFill>
                      </w14:textFill>
                    </w:rPr>
                    <w:t>化学需氧量、悬浮物、五日生化需氧量</w:t>
                  </w:r>
                </w:p>
              </w:tc>
              <w:tc>
                <w:tcPr>
                  <w:tcW w:w="1539" w:type="dxa"/>
                  <w:vAlign w:val="center"/>
                </w:tcPr>
                <w:p w14:paraId="0CB776AB">
                  <w:pPr>
                    <w:pStyle w:val="115"/>
                    <w:ind w:left="-2"/>
                    <w:rPr>
                      <w:rFonts w:ascii="Times New Roman" w:hAnsi="Times New Roman" w:eastAsia="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回用于厂区周边</w:t>
                  </w:r>
                  <w:r>
                    <w:rPr>
                      <w:rFonts w:hint="eastAsia" w:ascii="宋体" w:hAnsi="宋体" w:eastAsia="Times New Roman" w:cs="宋体"/>
                      <w:color w:val="000000" w:themeColor="text1"/>
                      <w:highlight w:val="none"/>
                      <w14:textFill>
                        <w14:solidFill>
                          <w14:schemeClr w14:val="tx1"/>
                        </w14:solidFill>
                      </w14:textFill>
                    </w:rPr>
                    <w:t>林地浇灌</w:t>
                  </w:r>
                </w:p>
              </w:tc>
              <w:tc>
                <w:tcPr>
                  <w:tcW w:w="0" w:type="auto"/>
                  <w:vAlign w:val="center"/>
                </w:tcPr>
                <w:p w14:paraId="365B9EE6">
                  <w:pPr>
                    <w:pStyle w:val="115"/>
                    <w:ind w:left="-2"/>
                    <w:rPr>
                      <w:rFonts w:ascii="Times New Roman" w:hAnsi="Times New Roman" w:eastAsia="Times New Roman"/>
                      <w:color w:val="000000" w:themeColor="text1"/>
                      <w:highlight w:val="none"/>
                      <w14:textFill>
                        <w14:solidFill>
                          <w14:schemeClr w14:val="tx1"/>
                        </w14:solidFill>
                      </w14:textFill>
                    </w:rPr>
                  </w:pPr>
                  <w:r>
                    <w:rPr>
                      <w:rFonts w:hint="eastAsia" w:ascii="宋体" w:hAnsi="宋体" w:eastAsia="Times New Roman" w:cs="宋体"/>
                      <w:highlight w:val="none"/>
                    </w:rPr>
                    <w:t>间歇排放，流量不稳定</w:t>
                  </w:r>
                </w:p>
              </w:tc>
              <w:tc>
                <w:tcPr>
                  <w:tcW w:w="0" w:type="auto"/>
                  <w:vAlign w:val="center"/>
                </w:tcPr>
                <w:p w14:paraId="44AA9816">
                  <w:pPr>
                    <w:pStyle w:val="115"/>
                    <w:ind w:left="-2"/>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TW001</w:t>
                  </w:r>
                </w:p>
              </w:tc>
              <w:tc>
                <w:tcPr>
                  <w:tcW w:w="0" w:type="auto"/>
                  <w:vAlign w:val="center"/>
                </w:tcPr>
                <w:p w14:paraId="59B39D3B">
                  <w:pPr>
                    <w:pStyle w:val="115"/>
                    <w:ind w:left="-2"/>
                    <w:rPr>
                      <w:rFonts w:ascii="Times New Roman" w:hAnsi="Times New Roman" w:eastAsia="Times New Roman"/>
                      <w:color w:val="000000" w:themeColor="text1"/>
                      <w:highlight w:val="none"/>
                      <w14:textFill>
                        <w14:solidFill>
                          <w14:schemeClr w14:val="tx1"/>
                        </w14:solidFill>
                      </w14:textFill>
                    </w:rPr>
                  </w:pPr>
                  <w:r>
                    <w:rPr>
                      <w:rFonts w:hint="eastAsia" w:ascii="宋体" w:hAnsi="宋体" w:eastAsia="Times New Roman" w:cs="宋体"/>
                      <w:highlight w:val="none"/>
                    </w:rPr>
                    <w:t>生活污水处理系统</w:t>
                  </w:r>
                </w:p>
              </w:tc>
              <w:tc>
                <w:tcPr>
                  <w:tcW w:w="1181" w:type="dxa"/>
                  <w:vAlign w:val="center"/>
                </w:tcPr>
                <w:p w14:paraId="51AAC89F">
                  <w:pPr>
                    <w:pStyle w:val="115"/>
                    <w:ind w:left="-2"/>
                    <w:rPr>
                      <w:rFonts w:ascii="Times New Roman" w:hAnsi="Times New Roman" w:eastAsia="Times New Roman"/>
                      <w:color w:val="000000" w:themeColor="text1"/>
                      <w:highlight w:val="none"/>
                      <w14:textFill>
                        <w14:solidFill>
                          <w14:schemeClr w14:val="tx1"/>
                        </w14:solidFill>
                      </w14:textFill>
                    </w:rPr>
                  </w:pPr>
                  <w:r>
                    <w:rPr>
                      <w:rFonts w:hint="eastAsia" w:ascii="宋体" w:hAnsi="宋体" w:eastAsia="Times New Roman" w:cs="宋体"/>
                      <w:highlight w:val="none"/>
                    </w:rPr>
                    <w:t>三级化粪池</w:t>
                  </w:r>
                </w:p>
              </w:tc>
              <w:tc>
                <w:tcPr>
                  <w:tcW w:w="1152" w:type="dxa"/>
                  <w:vAlign w:val="center"/>
                </w:tcPr>
                <w:p w14:paraId="732BEA5F">
                  <w:pPr>
                    <w:pStyle w:val="115"/>
                    <w:ind w:left="-2"/>
                    <w:rPr>
                      <w:rFonts w:ascii="Times New Roman" w:hAnsi="Times New Roman" w:eastAsia="Times New Roman"/>
                      <w:color w:val="000000" w:themeColor="text1"/>
                      <w:highlight w:val="none"/>
                      <w14:textFill>
                        <w14:solidFill>
                          <w14:schemeClr w14:val="tx1"/>
                        </w14:solidFill>
                      </w14:textFill>
                    </w:rPr>
                  </w:pPr>
                  <w:r>
                    <w:rPr>
                      <w:rFonts w:hint="eastAsia" w:ascii="宋体" w:hAnsi="宋体" w:eastAsia="Times New Roman" w:cs="宋体"/>
                      <w:color w:val="000000" w:themeColor="text1"/>
                      <w:highlight w:val="none"/>
                      <w14:textFill>
                        <w14:solidFill>
                          <w14:schemeClr w14:val="tx1"/>
                        </w14:solidFill>
                      </w14:textFill>
                    </w:rPr>
                    <w:t>不排放</w:t>
                  </w:r>
                </w:p>
              </w:tc>
              <w:tc>
                <w:tcPr>
                  <w:tcW w:w="1211" w:type="dxa"/>
                  <w:vAlign w:val="center"/>
                </w:tcPr>
                <w:p w14:paraId="74E6CEBD">
                  <w:pPr>
                    <w:pStyle w:val="115"/>
                    <w:ind w:left="-2"/>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sym w:font="Wingdings 2" w:char="0052"/>
                  </w:r>
                  <w:r>
                    <w:rPr>
                      <w:rFonts w:hint="eastAsia" w:ascii="宋体" w:hAnsi="宋体" w:eastAsia="Times New Roman" w:cs="宋体"/>
                      <w:color w:val="000000" w:themeColor="text1"/>
                      <w:highlight w:val="none"/>
                      <w14:textFill>
                        <w14:solidFill>
                          <w14:schemeClr w14:val="tx1"/>
                        </w14:solidFill>
                      </w14:textFill>
                    </w:rPr>
                    <w:t>是</w:t>
                  </w:r>
                </w:p>
                <w:p w14:paraId="0CE7AACB">
                  <w:pPr>
                    <w:pStyle w:val="115"/>
                    <w:ind w:left="-2"/>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sym w:font="Wingdings 2" w:char="00A3"/>
                  </w:r>
                  <w:r>
                    <w:rPr>
                      <w:rFonts w:hint="eastAsia" w:ascii="宋体" w:hAnsi="宋体" w:eastAsia="Times New Roman" w:cs="宋体"/>
                      <w:color w:val="000000" w:themeColor="text1"/>
                      <w:highlight w:val="none"/>
                      <w14:textFill>
                        <w14:solidFill>
                          <w14:schemeClr w14:val="tx1"/>
                        </w14:solidFill>
                      </w14:textFill>
                    </w:rPr>
                    <w:t>否</w:t>
                  </w:r>
                </w:p>
              </w:tc>
              <w:tc>
                <w:tcPr>
                  <w:tcW w:w="1766" w:type="dxa"/>
                  <w:vAlign w:val="center"/>
                </w:tcPr>
                <w:p w14:paraId="35459E92">
                  <w:pPr>
                    <w:pStyle w:val="115"/>
                    <w:ind w:left="-2"/>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sym w:font="Wingdings 2" w:char="0052"/>
                  </w:r>
                  <w:r>
                    <w:rPr>
                      <w:rFonts w:hint="eastAsia" w:ascii="宋体" w:hAnsi="宋体" w:eastAsia="Times New Roman" w:cs="宋体"/>
                      <w:color w:val="000000" w:themeColor="text1"/>
                      <w:highlight w:val="none"/>
                      <w14:textFill>
                        <w14:solidFill>
                          <w14:schemeClr w14:val="tx1"/>
                        </w14:solidFill>
                      </w14:textFill>
                    </w:rPr>
                    <w:t>企业总排口</w:t>
                  </w:r>
                </w:p>
                <w:p w14:paraId="2A82E3CF">
                  <w:pPr>
                    <w:pStyle w:val="115"/>
                    <w:ind w:left="-2"/>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sym w:font="Wingdings 2" w:char="00A3"/>
                  </w:r>
                  <w:r>
                    <w:rPr>
                      <w:rFonts w:hint="eastAsia" w:ascii="宋体" w:hAnsi="宋体" w:eastAsia="Times New Roman" w:cs="宋体"/>
                      <w:color w:val="000000" w:themeColor="text1"/>
                      <w:highlight w:val="none"/>
                      <w14:textFill>
                        <w14:solidFill>
                          <w14:schemeClr w14:val="tx1"/>
                        </w14:solidFill>
                      </w14:textFill>
                    </w:rPr>
                    <w:t>雨水排放</w:t>
                  </w:r>
                </w:p>
                <w:p w14:paraId="1C1D93C3">
                  <w:pPr>
                    <w:pStyle w:val="115"/>
                    <w:ind w:left="-2"/>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sym w:font="Wingdings 2" w:char="00A3"/>
                  </w:r>
                  <w:r>
                    <w:rPr>
                      <w:rFonts w:hint="eastAsia" w:ascii="宋体" w:hAnsi="宋体" w:eastAsia="Times New Roman" w:cs="宋体"/>
                      <w:color w:val="000000" w:themeColor="text1"/>
                      <w:highlight w:val="none"/>
                      <w14:textFill>
                        <w14:solidFill>
                          <w14:schemeClr w14:val="tx1"/>
                        </w14:solidFill>
                      </w14:textFill>
                    </w:rPr>
                    <w:t>清净下水排放</w:t>
                  </w:r>
                </w:p>
                <w:p w14:paraId="73468F1D">
                  <w:pPr>
                    <w:pStyle w:val="115"/>
                    <w:ind w:left="-2"/>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sym w:font="Wingdings 2" w:char="00A3"/>
                  </w:r>
                  <w:r>
                    <w:rPr>
                      <w:rFonts w:hint="eastAsia" w:ascii="宋体" w:hAnsi="宋体" w:eastAsia="Times New Roman" w:cs="宋体"/>
                      <w:color w:val="000000" w:themeColor="text1"/>
                      <w:highlight w:val="none"/>
                      <w14:textFill>
                        <w14:solidFill>
                          <w14:schemeClr w14:val="tx1"/>
                        </w14:solidFill>
                      </w14:textFill>
                    </w:rPr>
                    <w:t>温排水排放</w:t>
                  </w:r>
                </w:p>
                <w:p w14:paraId="5A41C3F9">
                  <w:pPr>
                    <w:pStyle w:val="115"/>
                    <w:ind w:left="-2"/>
                    <w:rPr>
                      <w:rFonts w:ascii="Times New Roman" w:hAnsi="Times New Roman" w:eastAsia="Times New Roman"/>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sym w:font="Wingdings 2" w:char="00A3"/>
                  </w:r>
                  <w:r>
                    <w:rPr>
                      <w:rFonts w:hint="eastAsia" w:ascii="宋体" w:hAnsi="宋体" w:eastAsia="Times New Roman" w:cs="宋体"/>
                      <w:color w:val="000000" w:themeColor="text1"/>
                      <w:highlight w:val="none"/>
                      <w14:textFill>
                        <w14:solidFill>
                          <w14:schemeClr w14:val="tx1"/>
                        </w14:solidFill>
                      </w14:textFill>
                    </w:rPr>
                    <w:t>车间或车间处理设施排放口</w:t>
                  </w:r>
                </w:p>
              </w:tc>
            </w:tr>
          </w:tbl>
          <w:p w14:paraId="21E8694A">
            <w:pPr>
              <w:spacing w:before="120" w:beforeLines="50" w:line="360" w:lineRule="auto"/>
              <w:jc w:val="center"/>
              <w:rPr>
                <w:b/>
                <w:bCs/>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表</w:t>
            </w:r>
            <w:r>
              <w:rPr>
                <w:b/>
                <w:bCs/>
                <w:spacing w:val="-2"/>
                <w:sz w:val="24"/>
                <w:highlight w:val="none"/>
              </w:rPr>
              <w:t>4-1</w:t>
            </w:r>
            <w:r>
              <w:rPr>
                <w:rFonts w:hint="eastAsia"/>
                <w:b/>
                <w:bCs/>
                <w:spacing w:val="-2"/>
                <w:sz w:val="24"/>
                <w:highlight w:val="none"/>
                <w:lang w:val="en-US" w:eastAsia="zh-CN"/>
              </w:rPr>
              <w:t>2</w:t>
            </w:r>
            <w:r>
              <w:rPr>
                <w:b/>
                <w:bCs/>
                <w:color w:val="000000" w:themeColor="text1"/>
                <w:kern w:val="0"/>
                <w:sz w:val="24"/>
                <w:highlight w:val="none"/>
                <w14:textFill>
                  <w14:solidFill>
                    <w14:schemeClr w14:val="tx1"/>
                  </w14:solidFill>
                </w14:textFill>
              </w:rPr>
              <w:t xml:space="preserve"> 废水污染物排放标准</w:t>
            </w:r>
          </w:p>
          <w:tbl>
            <w:tblPr>
              <w:tblStyle w:val="1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105"/>
              <w:gridCol w:w="7954"/>
              <w:gridCol w:w="2290"/>
            </w:tblGrid>
            <w:tr w14:paraId="1E8A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5" w:type="dxa"/>
                  <w:vMerge w:val="restart"/>
                  <w:tcBorders>
                    <w:top w:val="single" w:color="auto" w:sz="4" w:space="0"/>
                    <w:left w:val="single" w:color="auto" w:sz="4" w:space="0"/>
                    <w:bottom w:val="single" w:color="auto" w:sz="4" w:space="0"/>
                    <w:right w:val="single" w:color="auto" w:sz="4" w:space="0"/>
                  </w:tcBorders>
                  <w:vAlign w:val="center"/>
                </w:tcPr>
                <w:p w14:paraId="1E9C5F57">
                  <w:pPr>
                    <w:rPr>
                      <w:rFonts w:eastAsia="Times New Roman"/>
                      <w:b/>
                      <w:bCs/>
                      <w:kern w:val="0"/>
                      <w:szCs w:val="21"/>
                      <w:highlight w:val="none"/>
                    </w:rPr>
                  </w:pPr>
                  <w:r>
                    <w:rPr>
                      <w:rFonts w:eastAsia="Times New Roman"/>
                      <w:b/>
                      <w:bCs/>
                      <w:kern w:val="0"/>
                      <w:szCs w:val="21"/>
                      <w:highlight w:val="none"/>
                    </w:rPr>
                    <w:t>序号</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14:paraId="72311AB3">
                  <w:pPr>
                    <w:rPr>
                      <w:rFonts w:eastAsia="Times New Roman"/>
                      <w:b/>
                      <w:bCs/>
                      <w:kern w:val="0"/>
                      <w:szCs w:val="21"/>
                      <w:highlight w:val="none"/>
                    </w:rPr>
                  </w:pPr>
                  <w:r>
                    <w:rPr>
                      <w:rFonts w:eastAsia="Times New Roman"/>
                      <w:b/>
                      <w:bCs/>
                      <w:kern w:val="0"/>
                      <w:szCs w:val="21"/>
                      <w:highlight w:val="none"/>
                    </w:rPr>
                    <w:t>污染物种类</w:t>
                  </w:r>
                </w:p>
              </w:tc>
              <w:tc>
                <w:tcPr>
                  <w:tcW w:w="10244" w:type="dxa"/>
                  <w:gridSpan w:val="2"/>
                  <w:tcBorders>
                    <w:top w:val="single" w:color="auto" w:sz="4" w:space="0"/>
                    <w:left w:val="single" w:color="auto" w:sz="4" w:space="0"/>
                    <w:bottom w:val="single" w:color="auto" w:sz="4" w:space="0"/>
                    <w:right w:val="single" w:color="auto" w:sz="4" w:space="0"/>
                  </w:tcBorders>
                  <w:vAlign w:val="center"/>
                </w:tcPr>
                <w:p w14:paraId="02BA3051">
                  <w:pPr>
                    <w:jc w:val="center"/>
                    <w:rPr>
                      <w:rFonts w:eastAsia="Times New Roman"/>
                      <w:b/>
                      <w:bCs/>
                      <w:kern w:val="0"/>
                      <w:szCs w:val="21"/>
                      <w:highlight w:val="none"/>
                    </w:rPr>
                  </w:pPr>
                  <w:r>
                    <w:rPr>
                      <w:rFonts w:eastAsia="Times New Roman"/>
                      <w:b/>
                      <w:bCs/>
                      <w:kern w:val="0"/>
                      <w:szCs w:val="21"/>
                      <w:highlight w:val="none"/>
                    </w:rPr>
                    <w:t>国家或地方污染物排放标准及其他按规定商定的排放协议</w:t>
                  </w:r>
                </w:p>
              </w:tc>
            </w:tr>
            <w:tr w14:paraId="226C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5" w:type="dxa"/>
                  <w:vMerge w:val="continue"/>
                  <w:tcBorders>
                    <w:top w:val="single" w:color="auto" w:sz="4" w:space="0"/>
                    <w:left w:val="single" w:color="auto" w:sz="4" w:space="0"/>
                    <w:bottom w:val="single" w:color="auto" w:sz="4" w:space="0"/>
                    <w:right w:val="single" w:color="auto" w:sz="4" w:space="0"/>
                  </w:tcBorders>
                  <w:vAlign w:val="center"/>
                </w:tcPr>
                <w:p w14:paraId="2FC3968D">
                  <w:pPr>
                    <w:widowControl/>
                    <w:rPr>
                      <w:rFonts w:eastAsia="Times New Roman"/>
                      <w:b/>
                      <w:bCs/>
                      <w:kern w:val="0"/>
                      <w:szCs w:val="21"/>
                      <w:highlight w:val="none"/>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14:paraId="3ABFFE26">
                  <w:pPr>
                    <w:widowControl/>
                    <w:rPr>
                      <w:rFonts w:eastAsia="Times New Roman"/>
                      <w:b/>
                      <w:bCs/>
                      <w:kern w:val="0"/>
                      <w:szCs w:val="21"/>
                      <w:highlight w:val="none"/>
                    </w:rPr>
                  </w:pPr>
                </w:p>
              </w:tc>
              <w:tc>
                <w:tcPr>
                  <w:tcW w:w="7954" w:type="dxa"/>
                  <w:tcBorders>
                    <w:top w:val="single" w:color="auto" w:sz="4" w:space="0"/>
                    <w:left w:val="single" w:color="auto" w:sz="4" w:space="0"/>
                    <w:bottom w:val="single" w:color="auto" w:sz="4" w:space="0"/>
                    <w:right w:val="single" w:color="auto" w:sz="4" w:space="0"/>
                  </w:tcBorders>
                  <w:vAlign w:val="center"/>
                </w:tcPr>
                <w:p w14:paraId="40A7224B">
                  <w:pPr>
                    <w:jc w:val="center"/>
                    <w:rPr>
                      <w:rFonts w:eastAsia="Times New Roman"/>
                      <w:b/>
                      <w:bCs/>
                      <w:kern w:val="0"/>
                      <w:szCs w:val="21"/>
                      <w:highlight w:val="none"/>
                    </w:rPr>
                  </w:pPr>
                  <w:r>
                    <w:rPr>
                      <w:rFonts w:eastAsia="Times New Roman"/>
                      <w:b/>
                      <w:bCs/>
                      <w:kern w:val="0"/>
                      <w:szCs w:val="21"/>
                      <w:highlight w:val="none"/>
                    </w:rPr>
                    <w:t>名称</w:t>
                  </w:r>
                </w:p>
              </w:tc>
              <w:tc>
                <w:tcPr>
                  <w:tcW w:w="2290" w:type="dxa"/>
                  <w:tcBorders>
                    <w:top w:val="single" w:color="auto" w:sz="4" w:space="0"/>
                    <w:left w:val="single" w:color="auto" w:sz="4" w:space="0"/>
                    <w:bottom w:val="single" w:color="auto" w:sz="4" w:space="0"/>
                    <w:right w:val="single" w:color="auto" w:sz="4" w:space="0"/>
                  </w:tcBorders>
                  <w:vAlign w:val="center"/>
                </w:tcPr>
                <w:p w14:paraId="7D48B7D8">
                  <w:pPr>
                    <w:rPr>
                      <w:rFonts w:eastAsia="Times New Roman"/>
                      <w:b/>
                      <w:bCs/>
                      <w:kern w:val="0"/>
                      <w:szCs w:val="21"/>
                      <w:highlight w:val="none"/>
                    </w:rPr>
                  </w:pPr>
                  <w:r>
                    <w:rPr>
                      <w:rFonts w:eastAsia="Times New Roman"/>
                      <w:b/>
                      <w:bCs/>
                      <w:kern w:val="0"/>
                      <w:szCs w:val="21"/>
                      <w:highlight w:val="none"/>
                    </w:rPr>
                    <w:t>浓度限值/（mg/L）</w:t>
                  </w:r>
                </w:p>
              </w:tc>
            </w:tr>
            <w:tr w14:paraId="68E4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399952CD">
                  <w:pPr>
                    <w:rPr>
                      <w:rFonts w:eastAsia="Times New Roman"/>
                      <w:kern w:val="0"/>
                      <w:szCs w:val="21"/>
                      <w:highlight w:val="none"/>
                    </w:rPr>
                  </w:pPr>
                  <w:r>
                    <w:rPr>
                      <w:rFonts w:eastAsia="Times New Roman"/>
                      <w:kern w:val="0"/>
                      <w:szCs w:val="21"/>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759B4A95">
                  <w:pPr>
                    <w:overflowPunct w:val="0"/>
                    <w:snapToGrid w:val="0"/>
                    <w:ind w:left="-2" w:leftChars="-1"/>
                    <w:rPr>
                      <w:rFonts w:hint="eastAsia" w:eastAsia="宋体"/>
                      <w:kern w:val="0"/>
                      <w:szCs w:val="21"/>
                      <w:highlight w:val="none"/>
                      <w:lang w:val="en-US" w:eastAsia="zh-CN"/>
                    </w:rPr>
                  </w:pPr>
                  <w:r>
                    <w:rPr>
                      <w:rFonts w:eastAsia="Times New Roman"/>
                      <w:kern w:val="0"/>
                      <w:szCs w:val="21"/>
                      <w:highlight w:val="none"/>
                    </w:rPr>
                    <w:t>pH</w:t>
                  </w:r>
                  <w:r>
                    <w:rPr>
                      <w:rFonts w:hint="eastAsia" w:eastAsia="宋体"/>
                      <w:kern w:val="0"/>
                      <w:szCs w:val="21"/>
                      <w:highlight w:val="none"/>
                      <w:lang w:val="en-US" w:eastAsia="zh-CN"/>
                    </w:rPr>
                    <w:t>值</w:t>
                  </w:r>
                </w:p>
              </w:tc>
              <w:tc>
                <w:tcPr>
                  <w:tcW w:w="7954" w:type="dxa"/>
                  <w:vMerge w:val="restart"/>
                  <w:tcBorders>
                    <w:top w:val="nil"/>
                    <w:left w:val="single" w:color="auto" w:sz="4" w:space="0"/>
                    <w:bottom w:val="single" w:color="auto" w:sz="4" w:space="0"/>
                    <w:right w:val="single" w:color="auto" w:sz="4" w:space="0"/>
                  </w:tcBorders>
                  <w:vAlign w:val="center"/>
                </w:tcPr>
                <w:p w14:paraId="7096C799">
                  <w:pPr>
                    <w:rPr>
                      <w:rFonts w:eastAsia="Times New Roman"/>
                      <w:kern w:val="0"/>
                      <w:szCs w:val="21"/>
                      <w:highlight w:val="none"/>
                    </w:rPr>
                  </w:pPr>
                  <w:r>
                    <w:rPr>
                      <w:rFonts w:eastAsia="Times New Roman"/>
                      <w:kern w:val="0"/>
                      <w:szCs w:val="21"/>
                      <w:highlight w:val="none"/>
                    </w:rPr>
                    <w:t>《农田灌溉水质标准》（GB 5084-2021）</w:t>
                  </w:r>
                  <w:r>
                    <w:rPr>
                      <w:rStyle w:val="167"/>
                      <w:rFonts w:hint="default" w:ascii="Times New Roman" w:hAnsi="Times New Roman"/>
                      <w:bCs/>
                      <w:kern w:val="0"/>
                      <w:sz w:val="21"/>
                      <w:szCs w:val="21"/>
                      <w:highlight w:val="none"/>
                      <w:vertAlign w:val="baseline"/>
                    </w:rPr>
                    <w:t>中“表1基本控制项目限值”</w:t>
                  </w:r>
                  <w:r>
                    <w:rPr>
                      <w:rFonts w:eastAsia="Times New Roman"/>
                      <w:kern w:val="0"/>
                      <w:szCs w:val="21"/>
                      <w:highlight w:val="none"/>
                    </w:rPr>
                    <w:t xml:space="preserve"> 的旱地作物水质标准</w:t>
                  </w:r>
                </w:p>
              </w:tc>
              <w:tc>
                <w:tcPr>
                  <w:tcW w:w="2290" w:type="dxa"/>
                  <w:tcBorders>
                    <w:top w:val="single" w:color="auto" w:sz="4" w:space="0"/>
                    <w:left w:val="single" w:color="auto" w:sz="4" w:space="0"/>
                    <w:bottom w:val="single" w:color="auto" w:sz="4" w:space="0"/>
                    <w:right w:val="single" w:color="auto" w:sz="4" w:space="0"/>
                  </w:tcBorders>
                  <w:vAlign w:val="center"/>
                </w:tcPr>
                <w:p w14:paraId="0DBE254C">
                  <w:pPr>
                    <w:jc w:val="center"/>
                    <w:rPr>
                      <w:rFonts w:eastAsia="Times New Roman"/>
                      <w:kern w:val="0"/>
                      <w:szCs w:val="21"/>
                      <w:highlight w:val="none"/>
                    </w:rPr>
                  </w:pPr>
                  <w:r>
                    <w:rPr>
                      <w:rFonts w:eastAsia="Times New Roman"/>
                      <w:kern w:val="0"/>
                      <w:szCs w:val="21"/>
                      <w:highlight w:val="none"/>
                    </w:rPr>
                    <w:t>5.5~8.5（无量纲）</w:t>
                  </w:r>
                </w:p>
              </w:tc>
            </w:tr>
            <w:tr w14:paraId="3A01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62AD4EF4">
                  <w:pPr>
                    <w:rPr>
                      <w:rFonts w:ascii="Times New Roman" w:hAnsi="Times New Roman" w:eastAsia="Times New Roman" w:cs="Times New Roman"/>
                      <w:kern w:val="0"/>
                      <w:sz w:val="21"/>
                      <w:szCs w:val="21"/>
                      <w:highlight w:val="none"/>
                      <w:lang w:val="en-US" w:eastAsia="zh-CN" w:bidi="ar-SA"/>
                    </w:rPr>
                  </w:pPr>
                  <w:r>
                    <w:rPr>
                      <w:rFonts w:eastAsia="Times New Roman"/>
                      <w:kern w:val="0"/>
                      <w:szCs w:val="21"/>
                      <w:highlight w:val="none"/>
                    </w:rPr>
                    <w:t>2</w:t>
                  </w:r>
                </w:p>
              </w:tc>
              <w:tc>
                <w:tcPr>
                  <w:tcW w:w="2105" w:type="dxa"/>
                  <w:tcBorders>
                    <w:top w:val="single" w:color="auto" w:sz="4" w:space="0"/>
                    <w:left w:val="single" w:color="auto" w:sz="4" w:space="0"/>
                    <w:bottom w:val="single" w:color="auto" w:sz="4" w:space="0"/>
                    <w:right w:val="single" w:color="auto" w:sz="4" w:space="0"/>
                  </w:tcBorders>
                  <w:vAlign w:val="center"/>
                </w:tcPr>
                <w:p w14:paraId="5516DC9A">
                  <w:pPr>
                    <w:overflowPunct w:val="0"/>
                    <w:snapToGrid w:val="0"/>
                    <w:ind w:left="-2" w:leftChars="-1"/>
                    <w:rPr>
                      <w:rFonts w:hint="eastAsia" w:eastAsia="宋体"/>
                      <w:kern w:val="0"/>
                      <w:szCs w:val="21"/>
                      <w:highlight w:val="none"/>
                      <w:lang w:val="en-US" w:eastAsia="zh-CN"/>
                    </w:rPr>
                  </w:pPr>
                  <w:r>
                    <w:rPr>
                      <w:rFonts w:hint="eastAsia" w:eastAsia="宋体"/>
                      <w:kern w:val="0"/>
                      <w:szCs w:val="21"/>
                      <w:highlight w:val="none"/>
                      <w:lang w:val="en-US" w:eastAsia="zh-CN"/>
                    </w:rPr>
                    <w:t>氨氮</w:t>
                  </w:r>
                </w:p>
              </w:tc>
              <w:tc>
                <w:tcPr>
                  <w:tcW w:w="7954" w:type="dxa"/>
                  <w:vMerge w:val="continue"/>
                  <w:tcBorders>
                    <w:left w:val="single" w:color="auto" w:sz="4" w:space="0"/>
                    <w:right w:val="single" w:color="auto" w:sz="4" w:space="0"/>
                  </w:tcBorders>
                  <w:vAlign w:val="center"/>
                </w:tcPr>
                <w:p w14:paraId="4D21DC5B">
                  <w:pPr>
                    <w:rPr>
                      <w:rFonts w:eastAsia="Times New Roman"/>
                      <w:kern w:val="0"/>
                      <w:szCs w:val="21"/>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14:paraId="7D56DC84">
                  <w:pPr>
                    <w:jc w:val="center"/>
                    <w:rPr>
                      <w:rFonts w:hint="eastAsia" w:eastAsia="宋体"/>
                      <w:kern w:val="0"/>
                      <w:szCs w:val="21"/>
                      <w:highlight w:val="none"/>
                      <w:lang w:val="en-US" w:eastAsia="zh-CN"/>
                    </w:rPr>
                  </w:pPr>
                  <w:r>
                    <w:rPr>
                      <w:rFonts w:hint="eastAsia" w:eastAsia="宋体"/>
                      <w:kern w:val="0"/>
                      <w:szCs w:val="21"/>
                      <w:highlight w:val="none"/>
                      <w:lang w:val="en-US" w:eastAsia="zh-CN"/>
                    </w:rPr>
                    <w:t>/</w:t>
                  </w:r>
                </w:p>
              </w:tc>
            </w:tr>
            <w:tr w14:paraId="2CD3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371D5376">
                  <w:pPr>
                    <w:rPr>
                      <w:rFonts w:ascii="Times New Roman" w:hAnsi="Times New Roman" w:eastAsia="Times New Roman" w:cs="Times New Roman"/>
                      <w:kern w:val="0"/>
                      <w:sz w:val="21"/>
                      <w:szCs w:val="21"/>
                      <w:highlight w:val="none"/>
                      <w:lang w:val="en-US" w:eastAsia="zh-CN" w:bidi="ar-SA"/>
                    </w:rPr>
                  </w:pPr>
                  <w:r>
                    <w:rPr>
                      <w:rFonts w:eastAsia="Times New Roman"/>
                      <w:kern w:val="0"/>
                      <w:szCs w:val="21"/>
                      <w:highlight w:val="none"/>
                    </w:rPr>
                    <w:t>3</w:t>
                  </w:r>
                </w:p>
              </w:tc>
              <w:tc>
                <w:tcPr>
                  <w:tcW w:w="2105" w:type="dxa"/>
                  <w:tcBorders>
                    <w:top w:val="single" w:color="auto" w:sz="4" w:space="0"/>
                    <w:left w:val="single" w:color="auto" w:sz="4" w:space="0"/>
                    <w:bottom w:val="single" w:color="auto" w:sz="4" w:space="0"/>
                    <w:right w:val="single" w:color="auto" w:sz="4" w:space="0"/>
                  </w:tcBorders>
                  <w:vAlign w:val="center"/>
                </w:tcPr>
                <w:p w14:paraId="33E00A8A">
                  <w:pPr>
                    <w:overflowPunct w:val="0"/>
                    <w:snapToGrid w:val="0"/>
                    <w:ind w:left="-2" w:leftChars="-1"/>
                    <w:rPr>
                      <w:rFonts w:eastAsia="Times New Roman"/>
                      <w:kern w:val="0"/>
                      <w:szCs w:val="21"/>
                      <w:highlight w:val="none"/>
                    </w:rPr>
                  </w:pPr>
                  <w:r>
                    <w:rPr>
                      <w:rFonts w:eastAsia="Times New Roman"/>
                      <w:kern w:val="0"/>
                      <w:szCs w:val="21"/>
                      <w:highlight w:val="none"/>
                    </w:rPr>
                    <w:t>化学需氧量</w:t>
                  </w:r>
                </w:p>
              </w:tc>
              <w:tc>
                <w:tcPr>
                  <w:tcW w:w="7954" w:type="dxa"/>
                  <w:vMerge w:val="continue"/>
                  <w:tcBorders>
                    <w:top w:val="nil"/>
                    <w:left w:val="single" w:color="auto" w:sz="4" w:space="0"/>
                    <w:bottom w:val="single" w:color="auto" w:sz="4" w:space="0"/>
                    <w:right w:val="single" w:color="auto" w:sz="4" w:space="0"/>
                  </w:tcBorders>
                  <w:vAlign w:val="center"/>
                </w:tcPr>
                <w:p w14:paraId="767BC5C9">
                  <w:pPr>
                    <w:widowControl/>
                    <w:rPr>
                      <w:rFonts w:eastAsia="Times New Roman"/>
                      <w:kern w:val="0"/>
                      <w:szCs w:val="21"/>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14:paraId="2762EBF6">
                  <w:pPr>
                    <w:jc w:val="center"/>
                    <w:rPr>
                      <w:rFonts w:eastAsia="Times New Roman"/>
                      <w:kern w:val="0"/>
                      <w:szCs w:val="21"/>
                      <w:highlight w:val="none"/>
                    </w:rPr>
                  </w:pPr>
                  <w:r>
                    <w:rPr>
                      <w:rFonts w:eastAsia="Times New Roman"/>
                      <w:kern w:val="0"/>
                      <w:szCs w:val="21"/>
                      <w:highlight w:val="none"/>
                    </w:rPr>
                    <w:t>200</w:t>
                  </w:r>
                </w:p>
              </w:tc>
            </w:tr>
            <w:tr w14:paraId="0D22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8B5F661">
                  <w:pPr>
                    <w:rPr>
                      <w:rFonts w:ascii="Times New Roman" w:hAnsi="Times New Roman" w:eastAsia="Times New Roman" w:cs="Times New Roman"/>
                      <w:kern w:val="0"/>
                      <w:sz w:val="21"/>
                      <w:szCs w:val="21"/>
                      <w:highlight w:val="none"/>
                      <w:lang w:val="en-US" w:eastAsia="zh-CN" w:bidi="ar-SA"/>
                    </w:rPr>
                  </w:pPr>
                  <w:r>
                    <w:rPr>
                      <w:rFonts w:eastAsia="Times New Roman"/>
                      <w:kern w:val="0"/>
                      <w:szCs w:val="21"/>
                      <w:highlight w:val="none"/>
                    </w:rPr>
                    <w:t>4</w:t>
                  </w:r>
                </w:p>
              </w:tc>
              <w:tc>
                <w:tcPr>
                  <w:tcW w:w="2105" w:type="dxa"/>
                  <w:tcBorders>
                    <w:top w:val="single" w:color="auto" w:sz="4" w:space="0"/>
                    <w:left w:val="single" w:color="auto" w:sz="4" w:space="0"/>
                    <w:bottom w:val="single" w:color="auto" w:sz="4" w:space="0"/>
                    <w:right w:val="single" w:color="auto" w:sz="4" w:space="0"/>
                  </w:tcBorders>
                  <w:vAlign w:val="center"/>
                </w:tcPr>
                <w:p w14:paraId="28798C6F">
                  <w:pPr>
                    <w:overflowPunct w:val="0"/>
                    <w:snapToGrid w:val="0"/>
                    <w:ind w:left="-2" w:leftChars="-1"/>
                    <w:rPr>
                      <w:rFonts w:eastAsia="Times New Roman"/>
                      <w:kern w:val="0"/>
                      <w:szCs w:val="21"/>
                      <w:highlight w:val="none"/>
                    </w:rPr>
                  </w:pPr>
                  <w:r>
                    <w:rPr>
                      <w:rFonts w:eastAsia="Times New Roman"/>
                      <w:kern w:val="0"/>
                      <w:szCs w:val="21"/>
                      <w:highlight w:val="none"/>
                    </w:rPr>
                    <w:t>五日生化需氧量</w:t>
                  </w:r>
                </w:p>
              </w:tc>
              <w:tc>
                <w:tcPr>
                  <w:tcW w:w="7954" w:type="dxa"/>
                  <w:vMerge w:val="continue"/>
                  <w:tcBorders>
                    <w:top w:val="nil"/>
                    <w:left w:val="single" w:color="auto" w:sz="4" w:space="0"/>
                    <w:bottom w:val="single" w:color="auto" w:sz="4" w:space="0"/>
                    <w:right w:val="single" w:color="auto" w:sz="4" w:space="0"/>
                  </w:tcBorders>
                  <w:vAlign w:val="center"/>
                </w:tcPr>
                <w:p w14:paraId="748C9A98">
                  <w:pPr>
                    <w:widowControl/>
                    <w:rPr>
                      <w:rFonts w:eastAsia="Times New Roman"/>
                      <w:kern w:val="0"/>
                      <w:szCs w:val="21"/>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14:paraId="72F64F66">
                  <w:pPr>
                    <w:jc w:val="center"/>
                    <w:rPr>
                      <w:rFonts w:eastAsia="Times New Roman"/>
                      <w:kern w:val="0"/>
                      <w:szCs w:val="21"/>
                      <w:highlight w:val="none"/>
                    </w:rPr>
                  </w:pPr>
                  <w:r>
                    <w:rPr>
                      <w:rFonts w:eastAsia="Times New Roman"/>
                      <w:kern w:val="0"/>
                      <w:szCs w:val="21"/>
                      <w:highlight w:val="none"/>
                    </w:rPr>
                    <w:t>100</w:t>
                  </w:r>
                </w:p>
              </w:tc>
            </w:tr>
            <w:tr w14:paraId="1D12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74A57CF">
                  <w:pPr>
                    <w:rPr>
                      <w:rFonts w:hint="eastAsia" w:eastAsia="宋体"/>
                      <w:kern w:val="0"/>
                      <w:szCs w:val="21"/>
                      <w:highlight w:val="none"/>
                      <w:lang w:val="en-US" w:eastAsia="zh-CN"/>
                    </w:rPr>
                  </w:pPr>
                  <w:r>
                    <w:rPr>
                      <w:rFonts w:hint="eastAsia" w:eastAsia="宋体"/>
                      <w:kern w:val="0"/>
                      <w:szCs w:val="21"/>
                      <w:highlight w:val="none"/>
                      <w:lang w:val="en-US" w:eastAsia="zh-CN"/>
                    </w:rPr>
                    <w:t>5</w:t>
                  </w:r>
                </w:p>
              </w:tc>
              <w:tc>
                <w:tcPr>
                  <w:tcW w:w="2105" w:type="dxa"/>
                  <w:tcBorders>
                    <w:top w:val="single" w:color="auto" w:sz="4" w:space="0"/>
                    <w:left w:val="single" w:color="auto" w:sz="4" w:space="0"/>
                    <w:bottom w:val="single" w:color="auto" w:sz="4" w:space="0"/>
                    <w:right w:val="single" w:color="auto" w:sz="4" w:space="0"/>
                  </w:tcBorders>
                  <w:vAlign w:val="center"/>
                </w:tcPr>
                <w:p w14:paraId="22FE7894">
                  <w:pPr>
                    <w:overflowPunct w:val="0"/>
                    <w:snapToGrid w:val="0"/>
                    <w:ind w:left="-2" w:leftChars="-1"/>
                    <w:rPr>
                      <w:rFonts w:eastAsia="Times New Roman"/>
                      <w:kern w:val="0"/>
                      <w:szCs w:val="21"/>
                      <w:highlight w:val="none"/>
                    </w:rPr>
                  </w:pPr>
                  <w:r>
                    <w:rPr>
                      <w:rFonts w:eastAsia="Times New Roman"/>
                      <w:kern w:val="0"/>
                      <w:szCs w:val="21"/>
                      <w:highlight w:val="none"/>
                    </w:rPr>
                    <w:t>悬浮物</w:t>
                  </w:r>
                </w:p>
              </w:tc>
              <w:tc>
                <w:tcPr>
                  <w:tcW w:w="7954" w:type="dxa"/>
                  <w:vMerge w:val="continue"/>
                  <w:tcBorders>
                    <w:top w:val="nil"/>
                    <w:left w:val="single" w:color="auto" w:sz="4" w:space="0"/>
                    <w:bottom w:val="single" w:color="auto" w:sz="4" w:space="0"/>
                    <w:right w:val="single" w:color="auto" w:sz="4" w:space="0"/>
                  </w:tcBorders>
                  <w:vAlign w:val="center"/>
                </w:tcPr>
                <w:p w14:paraId="10A24A85">
                  <w:pPr>
                    <w:widowControl/>
                    <w:rPr>
                      <w:rFonts w:eastAsia="Times New Roman"/>
                      <w:kern w:val="0"/>
                      <w:szCs w:val="21"/>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14:paraId="58A120D4">
                  <w:pPr>
                    <w:jc w:val="center"/>
                    <w:rPr>
                      <w:rFonts w:eastAsia="Times New Roman"/>
                      <w:kern w:val="0"/>
                      <w:szCs w:val="21"/>
                      <w:highlight w:val="none"/>
                    </w:rPr>
                  </w:pPr>
                  <w:r>
                    <w:rPr>
                      <w:rFonts w:eastAsia="Times New Roman"/>
                      <w:kern w:val="0"/>
                      <w:szCs w:val="21"/>
                      <w:highlight w:val="none"/>
                    </w:rPr>
                    <w:t>100</w:t>
                  </w:r>
                </w:p>
              </w:tc>
            </w:tr>
            <w:tr w14:paraId="37C7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14" w:type="dxa"/>
                  <w:gridSpan w:val="4"/>
                  <w:tcBorders>
                    <w:top w:val="single" w:color="auto" w:sz="4" w:space="0"/>
                    <w:left w:val="single" w:color="auto" w:sz="4" w:space="0"/>
                    <w:bottom w:val="single" w:color="auto" w:sz="4" w:space="0"/>
                    <w:right w:val="single" w:color="auto" w:sz="4" w:space="0"/>
                  </w:tcBorders>
                  <w:vAlign w:val="center"/>
                </w:tcPr>
                <w:p w14:paraId="013D2500">
                  <w:pPr>
                    <w:jc w:val="left"/>
                    <w:rPr>
                      <w:rFonts w:eastAsia="Times New Roman"/>
                      <w:kern w:val="0"/>
                      <w:szCs w:val="21"/>
                      <w:highlight w:val="none"/>
                    </w:rPr>
                  </w:pPr>
                  <w:r>
                    <w:rPr>
                      <w:rFonts w:eastAsia="Times New Roman"/>
                      <w:b/>
                      <w:bCs/>
                      <w:kern w:val="0"/>
                      <w:szCs w:val="21"/>
                      <w:highlight w:val="none"/>
                    </w:rPr>
                    <w:t>注：</w:t>
                  </w:r>
                  <w:r>
                    <w:rPr>
                      <w:rFonts w:eastAsia="Times New Roman"/>
                      <w:kern w:val="0"/>
                      <w:szCs w:val="21"/>
                      <w:highlight w:val="none"/>
                    </w:rPr>
                    <w:t>本表中污染物参照执行排放标准，达标处理后用于</w:t>
                  </w:r>
                  <w:r>
                    <w:rPr>
                      <w:rFonts w:hint="eastAsia" w:eastAsia="Times New Roman"/>
                      <w:kern w:val="0"/>
                      <w:szCs w:val="21"/>
                      <w:highlight w:val="none"/>
                    </w:rPr>
                    <w:t>林地</w:t>
                  </w:r>
                  <w:r>
                    <w:rPr>
                      <w:rFonts w:eastAsia="Times New Roman"/>
                      <w:szCs w:val="21"/>
                      <w:highlight w:val="none"/>
                    </w:rPr>
                    <w:t>浇灌</w:t>
                  </w:r>
                  <w:r>
                    <w:rPr>
                      <w:rFonts w:eastAsia="Times New Roman"/>
                      <w:kern w:val="0"/>
                      <w:szCs w:val="21"/>
                      <w:highlight w:val="none"/>
                    </w:rPr>
                    <w:t>不外排。</w:t>
                  </w:r>
                </w:p>
              </w:tc>
            </w:tr>
          </w:tbl>
          <w:p w14:paraId="7245BA8D">
            <w:pPr>
              <w:spacing w:line="360" w:lineRule="auto"/>
              <w:rPr>
                <w:b/>
                <w:color w:val="000000" w:themeColor="text1"/>
                <w:sz w:val="24"/>
                <w:highlight w:val="none"/>
                <w14:textFill>
                  <w14:solidFill>
                    <w14:schemeClr w14:val="tx1"/>
                  </w14:solidFill>
                </w14:textFill>
              </w:rPr>
            </w:pPr>
          </w:p>
          <w:p w14:paraId="0C2B8095">
            <w:pPr>
              <w:rPr>
                <w:b/>
                <w:color w:val="000000" w:themeColor="text1"/>
                <w:kern w:val="0"/>
                <w:sz w:val="28"/>
                <w:szCs w:val="28"/>
                <w:highlight w:val="none"/>
                <w14:textFill>
                  <w14:solidFill>
                    <w14:schemeClr w14:val="tx1"/>
                  </w14:solidFill>
                </w14:textFill>
              </w:rPr>
            </w:pPr>
          </w:p>
        </w:tc>
      </w:tr>
    </w:tbl>
    <w:p w14:paraId="4FF81419">
      <w:pPr>
        <w:pStyle w:val="29"/>
        <w:outlineLvl w:val="0"/>
        <w:rPr>
          <w:rFonts w:ascii="Times New Roman" w:hAnsi="Times New Roman" w:eastAsia="黑体"/>
          <w:snapToGrid w:val="0"/>
          <w:sz w:val="30"/>
          <w:szCs w:val="30"/>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4"/>
        <w:tblW w:w="92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8694"/>
      </w:tblGrid>
      <w:tr w14:paraId="49A21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6" w:hRule="atLeast"/>
          <w:jc w:val="center"/>
        </w:trPr>
        <w:tc>
          <w:tcPr>
            <w:tcW w:w="557" w:type="dxa"/>
            <w:tcMar>
              <w:left w:w="28" w:type="dxa"/>
              <w:right w:w="28" w:type="dxa"/>
            </w:tcMar>
            <w:vAlign w:val="center"/>
          </w:tcPr>
          <w:p w14:paraId="0C2BC8E2">
            <w:pPr>
              <w:adjustRightInd w:val="0"/>
              <w:snapToGrid w:val="0"/>
              <w:jc w:val="center"/>
              <w:rPr>
                <w:bCs/>
                <w:sz w:val="24"/>
                <w:szCs w:val="24"/>
                <w:highlight w:val="none"/>
              </w:rPr>
            </w:pPr>
            <w:r>
              <w:rPr>
                <w:bCs/>
                <w:sz w:val="24"/>
                <w:szCs w:val="24"/>
                <w:highlight w:val="none"/>
              </w:rPr>
              <w:t>运营</w:t>
            </w:r>
          </w:p>
          <w:p w14:paraId="193526BA">
            <w:pPr>
              <w:adjustRightInd w:val="0"/>
              <w:snapToGrid w:val="0"/>
              <w:jc w:val="center"/>
              <w:rPr>
                <w:bCs/>
                <w:sz w:val="24"/>
                <w:szCs w:val="24"/>
                <w:highlight w:val="none"/>
              </w:rPr>
            </w:pPr>
            <w:r>
              <w:rPr>
                <w:bCs/>
                <w:sz w:val="24"/>
                <w:szCs w:val="24"/>
                <w:highlight w:val="none"/>
              </w:rPr>
              <w:t>期环</w:t>
            </w:r>
          </w:p>
          <w:p w14:paraId="4308E20F">
            <w:pPr>
              <w:adjustRightInd w:val="0"/>
              <w:snapToGrid w:val="0"/>
              <w:jc w:val="center"/>
              <w:rPr>
                <w:bCs/>
                <w:sz w:val="24"/>
                <w:szCs w:val="24"/>
                <w:highlight w:val="none"/>
              </w:rPr>
            </w:pPr>
            <w:r>
              <w:rPr>
                <w:bCs/>
                <w:sz w:val="24"/>
                <w:szCs w:val="24"/>
                <w:highlight w:val="none"/>
              </w:rPr>
              <w:t>境影</w:t>
            </w:r>
          </w:p>
          <w:p w14:paraId="376094F2">
            <w:pPr>
              <w:adjustRightInd w:val="0"/>
              <w:snapToGrid w:val="0"/>
              <w:jc w:val="center"/>
              <w:rPr>
                <w:bCs/>
                <w:sz w:val="24"/>
                <w:szCs w:val="24"/>
                <w:highlight w:val="none"/>
              </w:rPr>
            </w:pPr>
            <w:r>
              <w:rPr>
                <w:bCs/>
                <w:sz w:val="24"/>
                <w:szCs w:val="24"/>
                <w:highlight w:val="none"/>
              </w:rPr>
              <w:t>响和</w:t>
            </w:r>
          </w:p>
          <w:p w14:paraId="2B211DCC">
            <w:pPr>
              <w:adjustRightInd w:val="0"/>
              <w:snapToGrid w:val="0"/>
              <w:jc w:val="center"/>
              <w:rPr>
                <w:bCs/>
                <w:sz w:val="24"/>
                <w:szCs w:val="24"/>
                <w:highlight w:val="none"/>
              </w:rPr>
            </w:pPr>
            <w:r>
              <w:rPr>
                <w:bCs/>
                <w:sz w:val="24"/>
                <w:szCs w:val="24"/>
                <w:highlight w:val="none"/>
              </w:rPr>
              <w:t>保护</w:t>
            </w:r>
          </w:p>
          <w:p w14:paraId="307880C9">
            <w:pPr>
              <w:adjustRightInd w:val="0"/>
              <w:snapToGrid w:val="0"/>
              <w:jc w:val="center"/>
              <w:rPr>
                <w:bCs/>
                <w:szCs w:val="21"/>
                <w:highlight w:val="none"/>
              </w:rPr>
            </w:pPr>
            <w:r>
              <w:rPr>
                <w:bCs/>
                <w:sz w:val="24"/>
                <w:szCs w:val="24"/>
                <w:highlight w:val="none"/>
              </w:rPr>
              <w:t>措施</w:t>
            </w:r>
          </w:p>
        </w:tc>
        <w:tc>
          <w:tcPr>
            <w:tcW w:w="8694" w:type="dxa"/>
            <w:vAlign w:val="center"/>
          </w:tcPr>
          <w:p w14:paraId="3D62DDD9">
            <w:pPr>
              <w:pStyle w:val="125"/>
              <w:ind w:left="-2" w:firstLine="474"/>
              <w:rPr>
                <w:rFonts w:cs="Times New Roman"/>
                <w:color w:val="auto"/>
                <w:highlight w:val="none"/>
              </w:rPr>
            </w:pPr>
            <w:r>
              <w:rPr>
                <w:rFonts w:cs="Times New Roman"/>
                <w:color w:val="auto"/>
                <w:highlight w:val="none"/>
              </w:rPr>
              <w:t>3.噪声</w:t>
            </w:r>
          </w:p>
          <w:p w14:paraId="2F9EC4CE">
            <w:pPr>
              <w:pStyle w:val="125"/>
              <w:shd w:val="clear"/>
              <w:ind w:left="-2"/>
              <w:rPr>
                <w:rFonts w:cs="Times New Roman"/>
                <w:b w:val="0"/>
                <w:color w:val="auto"/>
                <w:highlight w:val="none"/>
              </w:rPr>
            </w:pPr>
            <w:r>
              <w:rPr>
                <w:rFonts w:cs="Times New Roman"/>
                <w:b w:val="0"/>
                <w:color w:val="auto"/>
                <w:highlight w:val="none"/>
              </w:rPr>
              <w:t>本项目主要噪声源为</w:t>
            </w:r>
            <w:r>
              <w:rPr>
                <w:rFonts w:cs="Times New Roman"/>
                <w:b w:val="0"/>
                <w:bCs/>
                <w:color w:val="auto"/>
                <w:highlight w:val="none"/>
              </w:rPr>
              <w:t>机器设备运行时产生的噪声</w:t>
            </w:r>
            <w:r>
              <w:rPr>
                <w:rFonts w:cs="Times New Roman"/>
                <w:b w:val="0"/>
                <w:color w:val="auto"/>
                <w:highlight w:val="none"/>
              </w:rPr>
              <w:t>，</w:t>
            </w:r>
            <w:r>
              <w:rPr>
                <w:rFonts w:hint="eastAsia" w:cs="Times New Roman"/>
                <w:b w:val="0"/>
                <w:color w:val="auto"/>
                <w:highlight w:val="none"/>
              </w:rPr>
              <w:t>主要生产</w:t>
            </w:r>
            <w:r>
              <w:rPr>
                <w:rFonts w:cs="Times New Roman"/>
                <w:b w:val="0"/>
                <w:color w:val="auto"/>
                <w:highlight w:val="none"/>
              </w:rPr>
              <w:t>设备的噪声源强详见表</w:t>
            </w:r>
            <w:r>
              <w:rPr>
                <w:rFonts w:hint="eastAsia" w:cs="Times New Roman"/>
                <w:b w:val="0"/>
                <w:color w:val="auto"/>
                <w:highlight w:val="none"/>
                <w:lang w:val="en-US" w:eastAsia="zh-CN"/>
              </w:rPr>
              <w:t>4-13</w:t>
            </w:r>
            <w:r>
              <w:rPr>
                <w:rFonts w:cs="Times New Roman"/>
                <w:b w:val="0"/>
                <w:color w:val="auto"/>
                <w:highlight w:val="none"/>
              </w:rPr>
              <w:t>。</w:t>
            </w:r>
          </w:p>
          <w:p w14:paraId="4AF6EBD9">
            <w:pPr>
              <w:pStyle w:val="114"/>
              <w:shd w:val="clear"/>
              <w:rPr>
                <w:rFonts w:ascii="Times New Roman" w:hAnsi="Times New Roman" w:cs="Times New Roman"/>
                <w:color w:val="auto"/>
                <w:highlight w:val="none"/>
              </w:rPr>
            </w:pPr>
            <w:r>
              <w:rPr>
                <w:rFonts w:ascii="Times New Roman" w:hAnsi="Times New Roman" w:cs="Times New Roman"/>
                <w:color w:val="auto"/>
                <w:szCs w:val="32"/>
                <w:highlight w:val="none"/>
              </w:rPr>
              <w:t>表</w:t>
            </w:r>
            <w:r>
              <w:rPr>
                <w:rFonts w:hint="eastAsia" w:ascii="Times New Roman" w:hAnsi="Times New Roman" w:cs="Times New Roman"/>
                <w:color w:val="auto"/>
                <w:szCs w:val="32"/>
                <w:highlight w:val="none"/>
                <w:lang w:val="en-US" w:eastAsia="zh-CN"/>
              </w:rPr>
              <w:t xml:space="preserve">4-13  </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本项目主要噪声源强</w:t>
            </w:r>
          </w:p>
          <w:tbl>
            <w:tblPr>
              <w:tblStyle w:val="3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887"/>
              <w:gridCol w:w="1562"/>
              <w:gridCol w:w="1344"/>
              <w:gridCol w:w="1520"/>
              <w:gridCol w:w="1265"/>
            </w:tblGrid>
            <w:tr w14:paraId="4C1A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21" w:type="pct"/>
                  <w:tcBorders>
                    <w:tl2br w:val="nil"/>
                    <w:tr2bl w:val="nil"/>
                  </w:tcBorders>
                  <w:vAlign w:val="center"/>
                </w:tcPr>
                <w:p w14:paraId="7A999C10">
                  <w:pPr>
                    <w:shd w:val="clear"/>
                    <w:adjustRightInd w:val="0"/>
                    <w:snapToGrid w:val="0"/>
                    <w:jc w:val="center"/>
                    <w:rPr>
                      <w:rFonts w:hint="default"/>
                      <w:b/>
                      <w:bCs/>
                      <w:color w:val="auto"/>
                      <w:szCs w:val="21"/>
                      <w:highlight w:val="none"/>
                      <w:lang w:val="en-US" w:eastAsia="zh-CN"/>
                    </w:rPr>
                  </w:pPr>
                  <w:r>
                    <w:rPr>
                      <w:rFonts w:hint="eastAsia"/>
                      <w:b/>
                      <w:bCs/>
                      <w:color w:val="auto"/>
                      <w:szCs w:val="21"/>
                      <w:highlight w:val="none"/>
                      <w:lang w:val="en-US" w:eastAsia="zh-CN"/>
                    </w:rPr>
                    <w:t>噪声源</w:t>
                  </w:r>
                </w:p>
              </w:tc>
              <w:tc>
                <w:tcPr>
                  <w:tcW w:w="1115" w:type="pct"/>
                  <w:tcBorders>
                    <w:tl2br w:val="nil"/>
                    <w:tr2bl w:val="nil"/>
                  </w:tcBorders>
                  <w:vAlign w:val="center"/>
                </w:tcPr>
                <w:p w14:paraId="041905C8">
                  <w:pPr>
                    <w:shd w:val="clear"/>
                    <w:adjustRightInd w:val="0"/>
                    <w:snapToGrid w:val="0"/>
                    <w:jc w:val="center"/>
                    <w:rPr>
                      <w:rFonts w:hint="default" w:eastAsia="宋体"/>
                      <w:color w:val="auto"/>
                      <w:szCs w:val="21"/>
                      <w:highlight w:val="none"/>
                      <w:lang w:val="en-US" w:eastAsia="zh-CN"/>
                    </w:rPr>
                  </w:pPr>
                  <w:r>
                    <w:rPr>
                      <w:rFonts w:hint="eastAsia"/>
                      <w:b/>
                      <w:bCs/>
                      <w:color w:val="auto"/>
                      <w:szCs w:val="21"/>
                      <w:highlight w:val="none"/>
                      <w:lang w:val="en-US" w:eastAsia="zh-CN"/>
                    </w:rPr>
                    <w:t>设备名称</w:t>
                  </w:r>
                </w:p>
              </w:tc>
              <w:tc>
                <w:tcPr>
                  <w:tcW w:w="923" w:type="pct"/>
                  <w:tcBorders>
                    <w:tl2br w:val="nil"/>
                    <w:tr2bl w:val="nil"/>
                  </w:tcBorders>
                  <w:vAlign w:val="center"/>
                </w:tcPr>
                <w:p w14:paraId="336989FA">
                  <w:pPr>
                    <w:pStyle w:val="19"/>
                    <w:shd w:val="clear"/>
                    <w:adjustRightInd w:val="0"/>
                    <w:snapToGrid w:val="0"/>
                    <w:jc w:val="center"/>
                    <w:rPr>
                      <w:rFonts w:ascii="Times New Roman" w:hAnsi="Times New Roman" w:cs="Times New Roman"/>
                      <w:color w:val="auto"/>
                      <w:highlight w:val="none"/>
                    </w:rPr>
                  </w:pPr>
                  <w:r>
                    <w:rPr>
                      <w:rFonts w:hint="eastAsia"/>
                      <w:b/>
                      <w:bCs/>
                      <w:color w:val="auto"/>
                      <w:kern w:val="2"/>
                      <w:sz w:val="21"/>
                      <w:szCs w:val="21"/>
                      <w:highlight w:val="none"/>
                      <w:lang w:bidi="ar"/>
                    </w:rPr>
                    <w:t>产生强度</w:t>
                  </w:r>
                  <w:r>
                    <w:rPr>
                      <w:rFonts w:ascii="Times New Roman" w:hAnsi="Times New Roman" w:eastAsia="Times New Roman"/>
                      <w:b/>
                      <w:bCs/>
                      <w:color w:val="auto"/>
                      <w:kern w:val="2"/>
                      <w:sz w:val="21"/>
                      <w:szCs w:val="21"/>
                      <w:highlight w:val="none"/>
                      <w:lang w:bidi="ar"/>
                    </w:rPr>
                    <w:t>/dB</w:t>
                  </w:r>
                  <w:r>
                    <w:rPr>
                      <w:rFonts w:hint="eastAsia"/>
                      <w:b/>
                      <w:bCs/>
                      <w:color w:val="auto"/>
                      <w:kern w:val="2"/>
                      <w:sz w:val="21"/>
                      <w:szCs w:val="21"/>
                      <w:highlight w:val="none"/>
                      <w:lang w:bidi="ar"/>
                    </w:rPr>
                    <w:t>（</w:t>
                  </w:r>
                  <w:r>
                    <w:rPr>
                      <w:rFonts w:ascii="Times New Roman" w:hAnsi="Times New Roman" w:eastAsia="Times New Roman"/>
                      <w:b/>
                      <w:bCs/>
                      <w:color w:val="auto"/>
                      <w:kern w:val="2"/>
                      <w:sz w:val="21"/>
                      <w:szCs w:val="21"/>
                      <w:highlight w:val="none"/>
                      <w:lang w:bidi="ar"/>
                    </w:rPr>
                    <w:t>A</w:t>
                  </w:r>
                  <w:r>
                    <w:rPr>
                      <w:rFonts w:hint="eastAsia"/>
                      <w:b/>
                      <w:bCs/>
                      <w:color w:val="auto"/>
                      <w:kern w:val="2"/>
                      <w:sz w:val="21"/>
                      <w:szCs w:val="21"/>
                      <w:highlight w:val="none"/>
                      <w:lang w:bidi="ar"/>
                    </w:rPr>
                    <w:t>）</w:t>
                  </w:r>
                </w:p>
              </w:tc>
              <w:tc>
                <w:tcPr>
                  <w:tcW w:w="794" w:type="pct"/>
                  <w:tcBorders>
                    <w:tl2br w:val="nil"/>
                    <w:tr2bl w:val="nil"/>
                  </w:tcBorders>
                  <w:vAlign w:val="center"/>
                </w:tcPr>
                <w:p w14:paraId="164E582E">
                  <w:pPr>
                    <w:pStyle w:val="19"/>
                    <w:shd w:val="clear"/>
                    <w:adjustRightInd w:val="0"/>
                    <w:snapToGrid w:val="0"/>
                    <w:jc w:val="center"/>
                    <w:rPr>
                      <w:rFonts w:ascii="Times New Roman" w:hAnsi="Times New Roman" w:cs="Times New Roman"/>
                      <w:b/>
                      <w:bCs/>
                      <w:color w:val="auto"/>
                      <w:kern w:val="0"/>
                      <w:highlight w:val="none"/>
                    </w:rPr>
                  </w:pPr>
                  <w:r>
                    <w:rPr>
                      <w:rFonts w:hint="eastAsia" w:ascii="Times New Roman" w:hAnsi="Times New Roman" w:cs="Times New Roman"/>
                      <w:b/>
                      <w:bCs/>
                      <w:color w:val="auto"/>
                      <w:kern w:val="0"/>
                      <w:highlight w:val="none"/>
                      <w:lang w:val="en-US" w:eastAsia="zh-CN"/>
                    </w:rPr>
                    <w:t>降噪</w:t>
                  </w:r>
                  <w:r>
                    <w:rPr>
                      <w:rFonts w:ascii="Times New Roman" w:hAnsi="Times New Roman" w:cs="Times New Roman"/>
                      <w:b/>
                      <w:bCs/>
                      <w:color w:val="auto"/>
                      <w:kern w:val="0"/>
                      <w:highlight w:val="none"/>
                    </w:rPr>
                    <w:t>措施</w:t>
                  </w:r>
                </w:p>
              </w:tc>
              <w:tc>
                <w:tcPr>
                  <w:tcW w:w="898" w:type="pct"/>
                  <w:tcBorders>
                    <w:tl2br w:val="nil"/>
                    <w:tr2bl w:val="nil"/>
                  </w:tcBorders>
                  <w:vAlign w:val="center"/>
                </w:tcPr>
                <w:p w14:paraId="32F8F065">
                  <w:pPr>
                    <w:pStyle w:val="19"/>
                    <w:shd w:val="clear"/>
                    <w:adjustRightInd w:val="0"/>
                    <w:snapToGrid w:val="0"/>
                    <w:jc w:val="center"/>
                    <w:rPr>
                      <w:rFonts w:hint="default" w:ascii="Times New Roman" w:hAnsi="Times New Roman" w:eastAsia="宋体" w:cs="Times New Roman"/>
                      <w:b/>
                      <w:bCs/>
                      <w:color w:val="auto"/>
                      <w:kern w:val="0"/>
                      <w:highlight w:val="none"/>
                      <w:lang w:val="en-US" w:eastAsia="zh-CN"/>
                    </w:rPr>
                  </w:pPr>
                  <w:r>
                    <w:rPr>
                      <w:rFonts w:hint="eastAsia" w:ascii="Times New Roman" w:hAnsi="Times New Roman" w:cs="Times New Roman"/>
                      <w:b/>
                      <w:bCs/>
                      <w:color w:val="auto"/>
                      <w:kern w:val="0"/>
                      <w:highlight w:val="none"/>
                      <w:lang w:val="en-US" w:eastAsia="zh-CN"/>
                    </w:rPr>
                    <w:t>排放强度</w:t>
                  </w:r>
                  <w:r>
                    <w:rPr>
                      <w:rFonts w:ascii="Times New Roman" w:hAnsi="Times New Roman" w:eastAsia="Times New Roman"/>
                      <w:b/>
                      <w:bCs/>
                      <w:color w:val="auto"/>
                      <w:kern w:val="2"/>
                      <w:sz w:val="21"/>
                      <w:szCs w:val="21"/>
                      <w:highlight w:val="none"/>
                      <w:lang w:bidi="ar"/>
                    </w:rPr>
                    <w:t>/dB</w:t>
                  </w:r>
                  <w:r>
                    <w:rPr>
                      <w:rFonts w:hint="eastAsia"/>
                      <w:b/>
                      <w:bCs/>
                      <w:color w:val="auto"/>
                      <w:kern w:val="2"/>
                      <w:sz w:val="21"/>
                      <w:szCs w:val="21"/>
                      <w:highlight w:val="none"/>
                      <w:lang w:bidi="ar"/>
                    </w:rPr>
                    <w:t>（</w:t>
                  </w:r>
                  <w:r>
                    <w:rPr>
                      <w:rFonts w:ascii="Times New Roman" w:hAnsi="Times New Roman" w:eastAsia="Times New Roman"/>
                      <w:b/>
                      <w:bCs/>
                      <w:color w:val="auto"/>
                      <w:kern w:val="2"/>
                      <w:sz w:val="21"/>
                      <w:szCs w:val="21"/>
                      <w:highlight w:val="none"/>
                      <w:lang w:bidi="ar"/>
                    </w:rPr>
                    <w:t>A</w:t>
                  </w:r>
                  <w:r>
                    <w:rPr>
                      <w:rFonts w:hint="eastAsia"/>
                      <w:b/>
                      <w:bCs/>
                      <w:color w:val="auto"/>
                      <w:kern w:val="2"/>
                      <w:sz w:val="21"/>
                      <w:szCs w:val="21"/>
                      <w:highlight w:val="none"/>
                      <w:lang w:bidi="ar"/>
                    </w:rPr>
                    <w:t>）</w:t>
                  </w:r>
                </w:p>
              </w:tc>
              <w:tc>
                <w:tcPr>
                  <w:tcW w:w="747" w:type="pct"/>
                  <w:tcBorders>
                    <w:tl2br w:val="nil"/>
                    <w:tr2bl w:val="nil"/>
                  </w:tcBorders>
                  <w:vAlign w:val="center"/>
                </w:tcPr>
                <w:p w14:paraId="29068E4A">
                  <w:pPr>
                    <w:pStyle w:val="19"/>
                    <w:shd w:val="clear"/>
                    <w:adjustRightInd w:val="0"/>
                    <w:snapToGrid w:val="0"/>
                    <w:jc w:val="center"/>
                    <w:rPr>
                      <w:rFonts w:hint="default" w:ascii="Times New Roman" w:hAnsi="Times New Roman" w:cs="Times New Roman"/>
                      <w:b/>
                      <w:bCs/>
                      <w:color w:val="auto"/>
                      <w:kern w:val="0"/>
                      <w:highlight w:val="none"/>
                      <w:lang w:val="en-US" w:eastAsia="zh-CN"/>
                    </w:rPr>
                  </w:pPr>
                  <w:r>
                    <w:rPr>
                      <w:rFonts w:hint="eastAsia" w:ascii="Times New Roman" w:hAnsi="Times New Roman" w:cs="Times New Roman"/>
                      <w:b/>
                      <w:bCs/>
                      <w:color w:val="auto"/>
                      <w:kern w:val="0"/>
                      <w:highlight w:val="none"/>
                      <w:lang w:val="en-US" w:eastAsia="zh-CN"/>
                    </w:rPr>
                    <w:t>持续时间</w:t>
                  </w:r>
                </w:p>
              </w:tc>
            </w:tr>
            <w:tr w14:paraId="1246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21" w:type="pct"/>
                  <w:vMerge w:val="restart"/>
                  <w:tcBorders>
                    <w:tl2br w:val="nil"/>
                    <w:tr2bl w:val="nil"/>
                  </w:tcBorders>
                  <w:vAlign w:val="center"/>
                </w:tcPr>
                <w:p w14:paraId="5409935B">
                  <w:pPr>
                    <w:shd w:val="clear"/>
                    <w:autoSpaceDN w:val="0"/>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生产区</w:t>
                  </w:r>
                </w:p>
              </w:tc>
              <w:tc>
                <w:tcPr>
                  <w:tcW w:w="1115" w:type="pct"/>
                  <w:tcBorders>
                    <w:tl2br w:val="nil"/>
                    <w:tr2bl w:val="nil"/>
                  </w:tcBorders>
                  <w:vAlign w:val="center"/>
                </w:tcPr>
                <w:p w14:paraId="1C756667">
                  <w:pPr>
                    <w:shd w:val="clear"/>
                    <w:autoSpaceDN w:val="0"/>
                    <w:jc w:val="center"/>
                    <w:textAlignment w:val="center"/>
                    <w:rPr>
                      <w:rFonts w:hint="eastAsia" w:eastAsia="宋体"/>
                      <w:color w:val="auto"/>
                      <w:szCs w:val="21"/>
                      <w:highlight w:val="none"/>
                      <w:lang w:eastAsia="zh-CN"/>
                    </w:rPr>
                  </w:pPr>
                  <w:r>
                    <w:rPr>
                      <w:rFonts w:hint="eastAsia"/>
                      <w:color w:val="auto"/>
                      <w:szCs w:val="21"/>
                      <w:highlight w:val="none"/>
                      <w:lang w:val="en-US" w:eastAsia="zh-CN"/>
                    </w:rPr>
                    <w:t>上料机</w:t>
                  </w:r>
                </w:p>
              </w:tc>
              <w:tc>
                <w:tcPr>
                  <w:tcW w:w="923" w:type="pct"/>
                  <w:tcBorders>
                    <w:tl2br w:val="nil"/>
                    <w:tr2bl w:val="nil"/>
                  </w:tcBorders>
                  <w:vAlign w:val="center"/>
                </w:tcPr>
                <w:p w14:paraId="058F5269">
                  <w:pPr>
                    <w:pStyle w:val="26"/>
                    <w:shd w:val="clear"/>
                    <w:ind w:left="420" w:hanging="420"/>
                    <w:jc w:val="center"/>
                    <w:rPr>
                      <w:rFonts w:hint="default" w:eastAsia="宋体"/>
                      <w:color w:val="auto"/>
                      <w:szCs w:val="21"/>
                      <w:highlight w:val="none"/>
                      <w:lang w:val="en-US" w:eastAsia="zh-CN"/>
                    </w:rPr>
                  </w:pPr>
                  <w:r>
                    <w:rPr>
                      <w:rFonts w:hint="eastAsia"/>
                      <w:color w:val="auto"/>
                      <w:szCs w:val="21"/>
                      <w:highlight w:val="none"/>
                      <w:lang w:val="en-US" w:eastAsia="zh-CN"/>
                    </w:rPr>
                    <w:t>7</w:t>
                  </w:r>
                  <w:r>
                    <w:rPr>
                      <w:color w:val="auto"/>
                      <w:szCs w:val="21"/>
                      <w:highlight w:val="none"/>
                    </w:rPr>
                    <w:t>0~</w:t>
                  </w:r>
                  <w:r>
                    <w:rPr>
                      <w:rFonts w:hint="eastAsia"/>
                      <w:color w:val="auto"/>
                      <w:szCs w:val="21"/>
                      <w:highlight w:val="none"/>
                      <w:lang w:val="en-US" w:eastAsia="zh-CN"/>
                    </w:rPr>
                    <w:t>80</w:t>
                  </w:r>
                </w:p>
              </w:tc>
              <w:tc>
                <w:tcPr>
                  <w:tcW w:w="794" w:type="pct"/>
                  <w:vMerge w:val="restart"/>
                  <w:tcBorders>
                    <w:tl2br w:val="nil"/>
                    <w:tr2bl w:val="nil"/>
                  </w:tcBorders>
                  <w:vAlign w:val="center"/>
                </w:tcPr>
                <w:p w14:paraId="59672135">
                  <w:pPr>
                    <w:pStyle w:val="19"/>
                    <w:shd w:val="clear"/>
                    <w:adjustRightInd w:val="0"/>
                    <w:snapToGrid w:val="0"/>
                    <w:jc w:val="center"/>
                    <w:rPr>
                      <w:rFonts w:ascii="Times New Roman" w:hAnsi="Times New Roman" w:cs="Times New Roman"/>
                      <w:color w:val="auto"/>
                      <w:highlight w:val="none"/>
                    </w:rPr>
                  </w:pPr>
                  <w:r>
                    <w:rPr>
                      <w:rFonts w:ascii="Times New Roman" w:hAnsi="Times New Roman" w:cs="Times New Roman"/>
                      <w:color w:val="auto"/>
                      <w:highlight w:val="none"/>
                    </w:rPr>
                    <w:t>基础减震、安装橡胶或金属弹簧减震器、距离衰减</w:t>
                  </w:r>
                </w:p>
              </w:tc>
              <w:tc>
                <w:tcPr>
                  <w:tcW w:w="898" w:type="pct"/>
                  <w:tcBorders>
                    <w:tl2br w:val="nil"/>
                    <w:tr2bl w:val="nil"/>
                  </w:tcBorders>
                  <w:vAlign w:val="center"/>
                </w:tcPr>
                <w:p w14:paraId="33B209DF">
                  <w:pPr>
                    <w:pStyle w:val="26"/>
                    <w:shd w:val="clear"/>
                    <w:ind w:left="420" w:hanging="420"/>
                    <w:jc w:val="center"/>
                    <w:rPr>
                      <w:rFonts w:hint="default"/>
                      <w:color w:val="auto"/>
                      <w:szCs w:val="21"/>
                      <w:highlight w:val="none"/>
                      <w:lang w:val="en-US"/>
                    </w:rPr>
                  </w:pPr>
                  <w:r>
                    <w:rPr>
                      <w:rFonts w:hint="eastAsia"/>
                      <w:color w:val="auto"/>
                      <w:szCs w:val="21"/>
                      <w:highlight w:val="none"/>
                      <w:lang w:val="en-US" w:eastAsia="zh-CN"/>
                    </w:rPr>
                    <w:t>5</w:t>
                  </w:r>
                  <w:r>
                    <w:rPr>
                      <w:color w:val="auto"/>
                      <w:szCs w:val="21"/>
                      <w:highlight w:val="none"/>
                    </w:rPr>
                    <w:t>0~</w:t>
                  </w:r>
                  <w:r>
                    <w:rPr>
                      <w:rFonts w:hint="eastAsia"/>
                      <w:color w:val="auto"/>
                      <w:szCs w:val="21"/>
                      <w:highlight w:val="none"/>
                      <w:lang w:val="en-US" w:eastAsia="zh-CN"/>
                    </w:rPr>
                    <w:t>60</w:t>
                  </w:r>
                </w:p>
              </w:tc>
              <w:tc>
                <w:tcPr>
                  <w:tcW w:w="747" w:type="pct"/>
                  <w:vMerge w:val="restart"/>
                  <w:tcBorders>
                    <w:tl2br w:val="nil"/>
                    <w:tr2bl w:val="nil"/>
                  </w:tcBorders>
                  <w:vAlign w:val="center"/>
                </w:tcPr>
                <w:p w14:paraId="0B94CD2C">
                  <w:pPr>
                    <w:pStyle w:val="26"/>
                    <w:shd w:val="clear"/>
                    <w:ind w:left="420" w:hanging="420"/>
                    <w:jc w:val="center"/>
                    <w:rPr>
                      <w:color w:val="auto"/>
                      <w:szCs w:val="21"/>
                      <w:highlight w:val="none"/>
                    </w:rPr>
                  </w:pPr>
                  <w:r>
                    <w:rPr>
                      <w:rFonts w:hint="eastAsia" w:ascii="Times New Roman" w:hAnsi="Times New Roman"/>
                      <w:color w:val="auto"/>
                      <w:sz w:val="21"/>
                      <w:szCs w:val="21"/>
                      <w:highlight w:val="none"/>
                      <w:lang w:val="en-US" w:eastAsia="zh-CN"/>
                    </w:rPr>
                    <w:t>9</w:t>
                  </w:r>
                  <w:r>
                    <w:rPr>
                      <w:rFonts w:ascii="Times New Roman" w:hAnsi="Times New Roman"/>
                      <w:color w:val="auto"/>
                      <w:sz w:val="21"/>
                      <w:szCs w:val="21"/>
                      <w:highlight w:val="none"/>
                    </w:rPr>
                    <w:t>:00~</w:t>
                  </w:r>
                  <w:r>
                    <w:rPr>
                      <w:rFonts w:hint="eastAsia" w:ascii="Times New Roman" w:hAnsi="Times New Roman"/>
                      <w:color w:val="auto"/>
                      <w:sz w:val="21"/>
                      <w:szCs w:val="21"/>
                      <w:highlight w:val="none"/>
                      <w:lang w:val="en-US" w:eastAsia="zh-CN"/>
                    </w:rPr>
                    <w:t>17</w:t>
                  </w:r>
                  <w:r>
                    <w:rPr>
                      <w:rFonts w:ascii="Times New Roman" w:hAnsi="Times New Roman"/>
                      <w:color w:val="auto"/>
                      <w:sz w:val="21"/>
                      <w:szCs w:val="21"/>
                      <w:highlight w:val="none"/>
                    </w:rPr>
                    <w:t>:00</w:t>
                  </w:r>
                </w:p>
              </w:tc>
            </w:tr>
            <w:tr w14:paraId="15BF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21" w:type="pct"/>
                  <w:vMerge w:val="continue"/>
                  <w:tcBorders>
                    <w:tl2br w:val="nil"/>
                    <w:tr2bl w:val="nil"/>
                  </w:tcBorders>
                  <w:vAlign w:val="center"/>
                </w:tcPr>
                <w:p w14:paraId="6B536E56">
                  <w:pPr>
                    <w:shd w:val="clear"/>
                    <w:autoSpaceDN w:val="0"/>
                    <w:jc w:val="center"/>
                    <w:textAlignment w:val="center"/>
                    <w:rPr>
                      <w:rFonts w:hint="eastAsia"/>
                      <w:color w:val="auto"/>
                      <w:szCs w:val="21"/>
                      <w:highlight w:val="none"/>
                      <w:lang w:val="en-US" w:eastAsia="zh-CN"/>
                    </w:rPr>
                  </w:pPr>
                </w:p>
              </w:tc>
              <w:tc>
                <w:tcPr>
                  <w:tcW w:w="1115" w:type="pct"/>
                  <w:tcBorders>
                    <w:tl2br w:val="nil"/>
                    <w:tr2bl w:val="nil"/>
                  </w:tcBorders>
                  <w:vAlign w:val="center"/>
                </w:tcPr>
                <w:p w14:paraId="5CBBF6A2">
                  <w:pPr>
                    <w:shd w:val="clear"/>
                    <w:autoSpaceDN w:val="0"/>
                    <w:jc w:val="center"/>
                    <w:textAlignment w:val="center"/>
                    <w:rPr>
                      <w:rFonts w:hint="default"/>
                      <w:color w:val="auto"/>
                      <w:szCs w:val="21"/>
                      <w:highlight w:val="none"/>
                      <w:lang w:val="en-US" w:eastAsia="zh-CN"/>
                    </w:rPr>
                  </w:pPr>
                  <w:r>
                    <w:rPr>
                      <w:rFonts w:hint="eastAsia"/>
                      <w:color w:val="auto"/>
                      <w:szCs w:val="21"/>
                      <w:highlight w:val="none"/>
                      <w:lang w:val="en-US" w:eastAsia="zh-CN"/>
                    </w:rPr>
                    <w:t>粉碎机</w:t>
                  </w:r>
                </w:p>
              </w:tc>
              <w:tc>
                <w:tcPr>
                  <w:tcW w:w="923" w:type="pct"/>
                  <w:tcBorders>
                    <w:tl2br w:val="nil"/>
                    <w:tr2bl w:val="nil"/>
                  </w:tcBorders>
                  <w:vAlign w:val="center"/>
                </w:tcPr>
                <w:p w14:paraId="26BC72DF">
                  <w:pPr>
                    <w:pStyle w:val="26"/>
                    <w:shd w:val="clear"/>
                    <w:ind w:left="420" w:hanging="420"/>
                    <w:jc w:val="center"/>
                    <w:rPr>
                      <w:rFonts w:hint="default"/>
                      <w:color w:val="auto"/>
                      <w:szCs w:val="21"/>
                      <w:highlight w:val="none"/>
                      <w:lang w:val="en-US" w:eastAsia="zh-CN"/>
                    </w:rPr>
                  </w:pPr>
                  <w:r>
                    <w:rPr>
                      <w:rFonts w:hint="eastAsia"/>
                      <w:color w:val="auto"/>
                      <w:szCs w:val="21"/>
                      <w:highlight w:val="none"/>
                      <w:lang w:val="en-US" w:eastAsia="zh-CN"/>
                    </w:rPr>
                    <w:t>80</w:t>
                  </w:r>
                  <w:r>
                    <w:rPr>
                      <w:color w:val="auto"/>
                      <w:szCs w:val="21"/>
                      <w:highlight w:val="none"/>
                    </w:rPr>
                    <w:t>~85</w:t>
                  </w:r>
                </w:p>
              </w:tc>
              <w:tc>
                <w:tcPr>
                  <w:tcW w:w="794" w:type="pct"/>
                  <w:vMerge w:val="continue"/>
                  <w:tcBorders>
                    <w:tl2br w:val="nil"/>
                    <w:tr2bl w:val="nil"/>
                  </w:tcBorders>
                  <w:vAlign w:val="center"/>
                </w:tcPr>
                <w:p w14:paraId="0F6EB050">
                  <w:pPr>
                    <w:pStyle w:val="19"/>
                    <w:shd w:val="clear"/>
                    <w:adjustRightInd w:val="0"/>
                    <w:snapToGrid w:val="0"/>
                    <w:jc w:val="center"/>
                    <w:rPr>
                      <w:rFonts w:ascii="Times New Roman" w:hAnsi="Times New Roman" w:cs="Times New Roman"/>
                      <w:color w:val="auto"/>
                      <w:highlight w:val="none"/>
                    </w:rPr>
                  </w:pPr>
                </w:p>
              </w:tc>
              <w:tc>
                <w:tcPr>
                  <w:tcW w:w="898" w:type="pct"/>
                  <w:tcBorders>
                    <w:tl2br w:val="nil"/>
                    <w:tr2bl w:val="nil"/>
                  </w:tcBorders>
                  <w:vAlign w:val="center"/>
                </w:tcPr>
                <w:p w14:paraId="7498CFC9">
                  <w:pPr>
                    <w:pStyle w:val="26"/>
                    <w:shd w:val="clear"/>
                    <w:ind w:left="420" w:hanging="420"/>
                    <w:jc w:val="center"/>
                    <w:rPr>
                      <w:rFonts w:hint="default"/>
                      <w:color w:val="auto"/>
                      <w:szCs w:val="21"/>
                      <w:highlight w:val="none"/>
                      <w:lang w:val="en-US" w:eastAsia="zh-CN"/>
                    </w:rPr>
                  </w:pPr>
                  <w:r>
                    <w:rPr>
                      <w:rFonts w:hint="eastAsia"/>
                      <w:color w:val="auto"/>
                      <w:szCs w:val="21"/>
                      <w:highlight w:val="none"/>
                      <w:lang w:val="en-US" w:eastAsia="zh-CN"/>
                    </w:rPr>
                    <w:t>60~65</w:t>
                  </w:r>
                </w:p>
              </w:tc>
              <w:tc>
                <w:tcPr>
                  <w:tcW w:w="747" w:type="pct"/>
                  <w:vMerge w:val="continue"/>
                  <w:tcBorders>
                    <w:tl2br w:val="nil"/>
                    <w:tr2bl w:val="nil"/>
                  </w:tcBorders>
                  <w:vAlign w:val="center"/>
                </w:tcPr>
                <w:p w14:paraId="71DCAB94">
                  <w:pPr>
                    <w:pStyle w:val="26"/>
                    <w:shd w:val="clear"/>
                    <w:ind w:left="420" w:hanging="420"/>
                    <w:jc w:val="center"/>
                    <w:rPr>
                      <w:rFonts w:hint="eastAsia" w:ascii="Times New Roman" w:hAnsi="Times New Roman"/>
                      <w:color w:val="auto"/>
                      <w:sz w:val="21"/>
                      <w:szCs w:val="21"/>
                      <w:highlight w:val="none"/>
                      <w:lang w:val="en-US" w:eastAsia="zh-CN"/>
                    </w:rPr>
                  </w:pPr>
                </w:p>
              </w:tc>
            </w:tr>
            <w:tr w14:paraId="0EDA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21" w:type="pct"/>
                  <w:vMerge w:val="continue"/>
                  <w:tcBorders>
                    <w:tl2br w:val="nil"/>
                    <w:tr2bl w:val="nil"/>
                  </w:tcBorders>
                  <w:vAlign w:val="center"/>
                </w:tcPr>
                <w:p w14:paraId="7FDE6980">
                  <w:pPr>
                    <w:shd w:val="clear"/>
                    <w:autoSpaceDN w:val="0"/>
                    <w:jc w:val="center"/>
                    <w:textAlignment w:val="center"/>
                    <w:rPr>
                      <w:color w:val="auto"/>
                      <w:szCs w:val="21"/>
                      <w:highlight w:val="none"/>
                    </w:rPr>
                  </w:pPr>
                </w:p>
              </w:tc>
              <w:tc>
                <w:tcPr>
                  <w:tcW w:w="1115" w:type="pct"/>
                  <w:tcBorders>
                    <w:tl2br w:val="nil"/>
                    <w:tr2bl w:val="nil"/>
                  </w:tcBorders>
                  <w:vAlign w:val="center"/>
                </w:tcPr>
                <w:p w14:paraId="7783925A">
                  <w:pPr>
                    <w:shd w:val="clear"/>
                    <w:autoSpaceDN w:val="0"/>
                    <w:jc w:val="center"/>
                    <w:textAlignment w:val="center"/>
                    <w:rPr>
                      <w:rFonts w:hint="eastAsia" w:eastAsia="宋体"/>
                      <w:color w:val="auto"/>
                      <w:szCs w:val="21"/>
                      <w:highlight w:val="none"/>
                      <w:lang w:eastAsia="zh-CN"/>
                    </w:rPr>
                  </w:pPr>
                  <w:r>
                    <w:rPr>
                      <w:rFonts w:hint="eastAsia"/>
                      <w:color w:val="auto"/>
                      <w:szCs w:val="21"/>
                      <w:highlight w:val="none"/>
                      <w:lang w:val="en-US" w:eastAsia="zh-CN"/>
                    </w:rPr>
                    <w:t>烘干机</w:t>
                  </w:r>
                </w:p>
              </w:tc>
              <w:tc>
                <w:tcPr>
                  <w:tcW w:w="923" w:type="pct"/>
                  <w:tcBorders>
                    <w:tl2br w:val="nil"/>
                    <w:tr2bl w:val="nil"/>
                  </w:tcBorders>
                  <w:vAlign w:val="center"/>
                </w:tcPr>
                <w:p w14:paraId="54CE59DF">
                  <w:pPr>
                    <w:pStyle w:val="26"/>
                    <w:shd w:val="clear"/>
                    <w:ind w:left="420" w:hanging="420"/>
                    <w:jc w:val="center"/>
                    <w:rPr>
                      <w:rFonts w:hint="eastAsia" w:eastAsia="宋体"/>
                      <w:color w:val="auto"/>
                      <w:szCs w:val="21"/>
                      <w:highlight w:val="none"/>
                      <w:lang w:val="en-US" w:eastAsia="zh-CN"/>
                    </w:rPr>
                  </w:pPr>
                  <w:r>
                    <w:rPr>
                      <w:rFonts w:hint="eastAsia"/>
                      <w:color w:val="auto"/>
                      <w:szCs w:val="21"/>
                      <w:highlight w:val="none"/>
                      <w:lang w:val="en-US" w:eastAsia="zh-CN"/>
                    </w:rPr>
                    <w:t>75</w:t>
                  </w:r>
                  <w:r>
                    <w:rPr>
                      <w:color w:val="auto"/>
                      <w:szCs w:val="21"/>
                      <w:highlight w:val="none"/>
                    </w:rPr>
                    <w:t>~8</w:t>
                  </w:r>
                  <w:r>
                    <w:rPr>
                      <w:rFonts w:hint="eastAsia"/>
                      <w:color w:val="auto"/>
                      <w:szCs w:val="21"/>
                      <w:highlight w:val="none"/>
                      <w:lang w:val="en-US" w:eastAsia="zh-CN"/>
                    </w:rPr>
                    <w:t>0</w:t>
                  </w:r>
                </w:p>
              </w:tc>
              <w:tc>
                <w:tcPr>
                  <w:tcW w:w="794" w:type="pct"/>
                  <w:vMerge w:val="continue"/>
                  <w:tcBorders>
                    <w:tl2br w:val="nil"/>
                    <w:tr2bl w:val="nil"/>
                  </w:tcBorders>
                  <w:vAlign w:val="center"/>
                </w:tcPr>
                <w:p w14:paraId="5D7E2846">
                  <w:pPr>
                    <w:pStyle w:val="19"/>
                    <w:shd w:val="clear"/>
                    <w:adjustRightInd w:val="0"/>
                    <w:snapToGrid w:val="0"/>
                    <w:jc w:val="center"/>
                    <w:rPr>
                      <w:rFonts w:ascii="Times New Roman" w:hAnsi="Times New Roman" w:cs="Times New Roman"/>
                      <w:color w:val="auto"/>
                      <w:highlight w:val="none"/>
                    </w:rPr>
                  </w:pPr>
                </w:p>
              </w:tc>
              <w:tc>
                <w:tcPr>
                  <w:tcW w:w="898" w:type="pct"/>
                  <w:tcBorders>
                    <w:tl2br w:val="nil"/>
                    <w:tr2bl w:val="nil"/>
                  </w:tcBorders>
                  <w:vAlign w:val="center"/>
                </w:tcPr>
                <w:p w14:paraId="6E434CDF">
                  <w:pPr>
                    <w:pStyle w:val="26"/>
                    <w:shd w:val="clear"/>
                    <w:ind w:left="420" w:hanging="420"/>
                    <w:jc w:val="center"/>
                    <w:rPr>
                      <w:rFonts w:hint="default"/>
                      <w:color w:val="auto"/>
                      <w:szCs w:val="21"/>
                      <w:highlight w:val="none"/>
                      <w:lang w:val="en-US"/>
                    </w:rPr>
                  </w:pPr>
                  <w:r>
                    <w:rPr>
                      <w:rFonts w:hint="eastAsia"/>
                      <w:color w:val="auto"/>
                      <w:szCs w:val="21"/>
                      <w:highlight w:val="none"/>
                      <w:lang w:val="en-US" w:eastAsia="zh-CN"/>
                    </w:rPr>
                    <w:t>55</w:t>
                  </w:r>
                  <w:r>
                    <w:rPr>
                      <w:color w:val="auto"/>
                      <w:szCs w:val="21"/>
                      <w:highlight w:val="none"/>
                    </w:rPr>
                    <w:t>~</w:t>
                  </w:r>
                  <w:r>
                    <w:rPr>
                      <w:rFonts w:hint="eastAsia"/>
                      <w:color w:val="auto"/>
                      <w:szCs w:val="21"/>
                      <w:highlight w:val="none"/>
                      <w:lang w:val="en-US" w:eastAsia="zh-CN"/>
                    </w:rPr>
                    <w:t>60</w:t>
                  </w:r>
                </w:p>
              </w:tc>
              <w:tc>
                <w:tcPr>
                  <w:tcW w:w="747" w:type="pct"/>
                  <w:vMerge w:val="continue"/>
                  <w:tcBorders>
                    <w:tl2br w:val="nil"/>
                    <w:tr2bl w:val="nil"/>
                  </w:tcBorders>
                  <w:vAlign w:val="center"/>
                </w:tcPr>
                <w:p w14:paraId="59412005">
                  <w:pPr>
                    <w:pStyle w:val="26"/>
                    <w:shd w:val="clear"/>
                    <w:ind w:left="420" w:hanging="420"/>
                    <w:jc w:val="center"/>
                    <w:rPr>
                      <w:color w:val="auto"/>
                      <w:szCs w:val="21"/>
                      <w:highlight w:val="none"/>
                    </w:rPr>
                  </w:pPr>
                </w:p>
              </w:tc>
            </w:tr>
            <w:tr w14:paraId="7AA2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21" w:type="pct"/>
                  <w:vMerge w:val="continue"/>
                  <w:tcBorders>
                    <w:tl2br w:val="nil"/>
                    <w:tr2bl w:val="nil"/>
                  </w:tcBorders>
                  <w:vAlign w:val="center"/>
                </w:tcPr>
                <w:p w14:paraId="47EA34A9">
                  <w:pPr>
                    <w:shd w:val="clear"/>
                    <w:autoSpaceDN w:val="0"/>
                    <w:jc w:val="center"/>
                    <w:textAlignment w:val="center"/>
                    <w:rPr>
                      <w:rFonts w:hint="eastAsia"/>
                      <w:color w:val="auto"/>
                      <w:szCs w:val="21"/>
                      <w:highlight w:val="none"/>
                    </w:rPr>
                  </w:pPr>
                </w:p>
              </w:tc>
              <w:tc>
                <w:tcPr>
                  <w:tcW w:w="1115" w:type="pct"/>
                  <w:tcBorders>
                    <w:tl2br w:val="nil"/>
                    <w:tr2bl w:val="nil"/>
                  </w:tcBorders>
                  <w:vAlign w:val="center"/>
                </w:tcPr>
                <w:p w14:paraId="42D034B3">
                  <w:pPr>
                    <w:shd w:val="clear"/>
                    <w:autoSpaceDN w:val="0"/>
                    <w:jc w:val="center"/>
                    <w:textAlignment w:val="center"/>
                    <w:rPr>
                      <w:rFonts w:hint="default"/>
                      <w:color w:val="auto"/>
                      <w:szCs w:val="21"/>
                      <w:highlight w:val="none"/>
                      <w:lang w:val="en-US"/>
                    </w:rPr>
                  </w:pPr>
                  <w:r>
                    <w:rPr>
                      <w:rFonts w:hint="eastAsia"/>
                      <w:color w:val="auto"/>
                      <w:szCs w:val="21"/>
                      <w:highlight w:val="none"/>
                      <w:lang w:val="en-US" w:eastAsia="zh-CN"/>
                    </w:rPr>
                    <w:t>制棒机</w:t>
                  </w:r>
                </w:p>
              </w:tc>
              <w:tc>
                <w:tcPr>
                  <w:tcW w:w="923" w:type="pct"/>
                  <w:tcBorders>
                    <w:tl2br w:val="nil"/>
                    <w:tr2bl w:val="nil"/>
                  </w:tcBorders>
                  <w:vAlign w:val="center"/>
                </w:tcPr>
                <w:p w14:paraId="45012C2D">
                  <w:pPr>
                    <w:pStyle w:val="26"/>
                    <w:shd w:val="clear"/>
                    <w:ind w:left="420" w:hanging="420"/>
                    <w:jc w:val="center"/>
                    <w:rPr>
                      <w:rFonts w:hint="default" w:eastAsia="宋体"/>
                      <w:color w:val="auto"/>
                      <w:szCs w:val="21"/>
                      <w:highlight w:val="none"/>
                      <w:lang w:val="en-US" w:eastAsia="zh-CN"/>
                    </w:rPr>
                  </w:pPr>
                  <w:r>
                    <w:rPr>
                      <w:color w:val="auto"/>
                      <w:szCs w:val="21"/>
                      <w:highlight w:val="none"/>
                    </w:rPr>
                    <w:t>80~</w:t>
                  </w:r>
                  <w:r>
                    <w:rPr>
                      <w:rFonts w:hint="eastAsia"/>
                      <w:color w:val="auto"/>
                      <w:szCs w:val="21"/>
                      <w:highlight w:val="none"/>
                      <w:lang w:val="en-US" w:eastAsia="zh-CN"/>
                    </w:rPr>
                    <w:t>85</w:t>
                  </w:r>
                </w:p>
              </w:tc>
              <w:tc>
                <w:tcPr>
                  <w:tcW w:w="794" w:type="pct"/>
                  <w:vMerge w:val="continue"/>
                  <w:tcBorders>
                    <w:tl2br w:val="nil"/>
                    <w:tr2bl w:val="nil"/>
                  </w:tcBorders>
                  <w:vAlign w:val="center"/>
                </w:tcPr>
                <w:p w14:paraId="051953B4">
                  <w:pPr>
                    <w:pStyle w:val="19"/>
                    <w:shd w:val="clear"/>
                    <w:adjustRightInd w:val="0"/>
                    <w:snapToGrid w:val="0"/>
                    <w:jc w:val="center"/>
                    <w:rPr>
                      <w:rFonts w:ascii="Times New Roman" w:hAnsi="Times New Roman" w:cs="Times New Roman"/>
                      <w:color w:val="auto"/>
                      <w:highlight w:val="none"/>
                    </w:rPr>
                  </w:pPr>
                </w:p>
              </w:tc>
              <w:tc>
                <w:tcPr>
                  <w:tcW w:w="898" w:type="pct"/>
                  <w:tcBorders>
                    <w:tl2br w:val="nil"/>
                    <w:tr2bl w:val="nil"/>
                  </w:tcBorders>
                  <w:vAlign w:val="center"/>
                </w:tcPr>
                <w:p w14:paraId="308E270C">
                  <w:pPr>
                    <w:pStyle w:val="26"/>
                    <w:shd w:val="clear"/>
                    <w:ind w:left="420" w:hanging="420"/>
                    <w:jc w:val="center"/>
                    <w:rPr>
                      <w:rFonts w:hint="default"/>
                      <w:color w:val="auto"/>
                      <w:szCs w:val="21"/>
                      <w:highlight w:val="none"/>
                      <w:lang w:val="en-US"/>
                    </w:rPr>
                  </w:pPr>
                  <w:r>
                    <w:rPr>
                      <w:rFonts w:hint="eastAsia"/>
                      <w:color w:val="auto"/>
                      <w:szCs w:val="21"/>
                      <w:highlight w:val="none"/>
                      <w:lang w:val="en-US" w:eastAsia="zh-CN"/>
                    </w:rPr>
                    <w:t>60</w:t>
                  </w:r>
                  <w:r>
                    <w:rPr>
                      <w:color w:val="auto"/>
                      <w:szCs w:val="21"/>
                      <w:highlight w:val="none"/>
                    </w:rPr>
                    <w:t>~</w:t>
                  </w:r>
                  <w:r>
                    <w:rPr>
                      <w:rFonts w:hint="eastAsia"/>
                      <w:color w:val="auto"/>
                      <w:szCs w:val="21"/>
                      <w:highlight w:val="none"/>
                      <w:lang w:val="en-US" w:eastAsia="zh-CN"/>
                    </w:rPr>
                    <w:t>65</w:t>
                  </w:r>
                </w:p>
              </w:tc>
              <w:tc>
                <w:tcPr>
                  <w:tcW w:w="747" w:type="pct"/>
                  <w:vMerge w:val="continue"/>
                  <w:tcBorders>
                    <w:tl2br w:val="nil"/>
                    <w:tr2bl w:val="nil"/>
                  </w:tcBorders>
                  <w:vAlign w:val="center"/>
                </w:tcPr>
                <w:p w14:paraId="742180F1">
                  <w:pPr>
                    <w:pStyle w:val="26"/>
                    <w:shd w:val="clear"/>
                    <w:ind w:left="420" w:hanging="420"/>
                    <w:jc w:val="center"/>
                    <w:rPr>
                      <w:rFonts w:hint="eastAsia"/>
                      <w:color w:val="auto"/>
                      <w:szCs w:val="21"/>
                      <w:highlight w:val="none"/>
                    </w:rPr>
                  </w:pPr>
                </w:p>
              </w:tc>
            </w:tr>
            <w:tr w14:paraId="4619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21" w:type="pct"/>
                  <w:vMerge w:val="continue"/>
                  <w:tcBorders>
                    <w:tl2br w:val="nil"/>
                    <w:tr2bl w:val="nil"/>
                  </w:tcBorders>
                  <w:vAlign w:val="center"/>
                </w:tcPr>
                <w:p w14:paraId="1B14E363">
                  <w:pPr>
                    <w:shd w:val="clear"/>
                    <w:autoSpaceDN w:val="0"/>
                    <w:jc w:val="center"/>
                    <w:textAlignment w:val="center"/>
                    <w:rPr>
                      <w:rFonts w:hint="eastAsia"/>
                      <w:color w:val="auto"/>
                      <w:szCs w:val="21"/>
                      <w:highlight w:val="none"/>
                    </w:rPr>
                  </w:pPr>
                </w:p>
              </w:tc>
              <w:tc>
                <w:tcPr>
                  <w:tcW w:w="1115" w:type="pct"/>
                  <w:tcBorders>
                    <w:tl2br w:val="nil"/>
                    <w:tr2bl w:val="nil"/>
                  </w:tcBorders>
                  <w:vAlign w:val="center"/>
                </w:tcPr>
                <w:p w14:paraId="0F4EB0A7">
                  <w:pPr>
                    <w:shd w:val="clear"/>
                    <w:autoSpaceDN w:val="0"/>
                    <w:jc w:val="center"/>
                    <w:textAlignment w:val="center"/>
                    <w:rPr>
                      <w:rFonts w:hint="default"/>
                      <w:color w:val="auto"/>
                      <w:szCs w:val="21"/>
                      <w:highlight w:val="none"/>
                      <w:lang w:val="en-US" w:eastAsia="zh-CN"/>
                    </w:rPr>
                  </w:pPr>
                  <w:r>
                    <w:rPr>
                      <w:rFonts w:hint="eastAsia"/>
                      <w:color w:val="auto"/>
                      <w:szCs w:val="21"/>
                      <w:highlight w:val="none"/>
                      <w:lang w:val="en-US" w:eastAsia="zh-CN"/>
                    </w:rPr>
                    <w:t>新型环保炭化窑</w:t>
                  </w:r>
                </w:p>
              </w:tc>
              <w:tc>
                <w:tcPr>
                  <w:tcW w:w="923" w:type="pct"/>
                  <w:tcBorders>
                    <w:tl2br w:val="nil"/>
                    <w:tr2bl w:val="nil"/>
                  </w:tcBorders>
                  <w:vAlign w:val="center"/>
                </w:tcPr>
                <w:p w14:paraId="0946A5F8">
                  <w:pPr>
                    <w:pStyle w:val="26"/>
                    <w:shd w:val="clear"/>
                    <w:ind w:left="420" w:hanging="420"/>
                    <w:jc w:val="center"/>
                    <w:rPr>
                      <w:color w:val="auto"/>
                      <w:szCs w:val="21"/>
                      <w:highlight w:val="none"/>
                    </w:rPr>
                  </w:pPr>
                  <w:r>
                    <w:rPr>
                      <w:rFonts w:hint="eastAsia"/>
                      <w:color w:val="auto"/>
                      <w:szCs w:val="21"/>
                      <w:highlight w:val="none"/>
                      <w:lang w:val="en-US" w:eastAsia="zh-CN"/>
                    </w:rPr>
                    <w:t>70</w:t>
                  </w:r>
                  <w:r>
                    <w:rPr>
                      <w:color w:val="auto"/>
                      <w:szCs w:val="21"/>
                      <w:highlight w:val="none"/>
                    </w:rPr>
                    <w:t>~</w:t>
                  </w:r>
                  <w:r>
                    <w:rPr>
                      <w:rFonts w:hint="eastAsia"/>
                      <w:color w:val="auto"/>
                      <w:szCs w:val="21"/>
                      <w:highlight w:val="none"/>
                      <w:lang w:val="en-US" w:eastAsia="zh-CN"/>
                    </w:rPr>
                    <w:t>8</w:t>
                  </w:r>
                  <w:r>
                    <w:rPr>
                      <w:rFonts w:hint="eastAsia"/>
                      <w:color w:val="auto"/>
                      <w:szCs w:val="21"/>
                      <w:highlight w:val="none"/>
                    </w:rPr>
                    <w:t>0</w:t>
                  </w:r>
                </w:p>
              </w:tc>
              <w:tc>
                <w:tcPr>
                  <w:tcW w:w="794" w:type="pct"/>
                  <w:vMerge w:val="continue"/>
                  <w:tcBorders>
                    <w:tl2br w:val="nil"/>
                    <w:tr2bl w:val="nil"/>
                  </w:tcBorders>
                  <w:vAlign w:val="center"/>
                </w:tcPr>
                <w:p w14:paraId="737CDC16">
                  <w:pPr>
                    <w:pStyle w:val="19"/>
                    <w:shd w:val="clear"/>
                    <w:adjustRightInd w:val="0"/>
                    <w:snapToGrid w:val="0"/>
                    <w:jc w:val="center"/>
                    <w:rPr>
                      <w:rFonts w:ascii="Times New Roman" w:hAnsi="Times New Roman" w:cs="Times New Roman"/>
                      <w:color w:val="auto"/>
                      <w:highlight w:val="none"/>
                    </w:rPr>
                  </w:pPr>
                </w:p>
              </w:tc>
              <w:tc>
                <w:tcPr>
                  <w:tcW w:w="898" w:type="pct"/>
                  <w:tcBorders>
                    <w:tl2br w:val="nil"/>
                    <w:tr2bl w:val="nil"/>
                  </w:tcBorders>
                  <w:vAlign w:val="center"/>
                </w:tcPr>
                <w:p w14:paraId="45F13B64">
                  <w:pPr>
                    <w:pStyle w:val="26"/>
                    <w:shd w:val="clear"/>
                    <w:ind w:left="420" w:hanging="420"/>
                    <w:jc w:val="center"/>
                    <w:rPr>
                      <w:rFonts w:hint="default"/>
                      <w:color w:val="auto"/>
                      <w:szCs w:val="21"/>
                      <w:highlight w:val="none"/>
                      <w:lang w:val="en-US" w:eastAsia="zh-CN"/>
                    </w:rPr>
                  </w:pPr>
                  <w:r>
                    <w:rPr>
                      <w:rFonts w:hint="eastAsia"/>
                      <w:color w:val="auto"/>
                      <w:szCs w:val="21"/>
                      <w:highlight w:val="none"/>
                      <w:lang w:val="en-US" w:eastAsia="zh-CN"/>
                    </w:rPr>
                    <w:t>50</w:t>
                  </w:r>
                  <w:r>
                    <w:rPr>
                      <w:color w:val="auto"/>
                      <w:szCs w:val="21"/>
                      <w:highlight w:val="none"/>
                    </w:rPr>
                    <w:t>~</w:t>
                  </w:r>
                  <w:r>
                    <w:rPr>
                      <w:rFonts w:hint="eastAsia"/>
                      <w:color w:val="auto"/>
                      <w:szCs w:val="21"/>
                      <w:highlight w:val="none"/>
                      <w:lang w:val="en-US" w:eastAsia="zh-CN"/>
                    </w:rPr>
                    <w:t>60</w:t>
                  </w:r>
                </w:p>
              </w:tc>
              <w:tc>
                <w:tcPr>
                  <w:tcW w:w="747" w:type="pct"/>
                  <w:vMerge w:val="continue"/>
                  <w:tcBorders>
                    <w:tl2br w:val="nil"/>
                    <w:tr2bl w:val="nil"/>
                  </w:tcBorders>
                  <w:vAlign w:val="center"/>
                </w:tcPr>
                <w:p w14:paraId="504F822C">
                  <w:pPr>
                    <w:pStyle w:val="26"/>
                    <w:shd w:val="clear"/>
                    <w:ind w:left="420" w:hanging="420"/>
                    <w:jc w:val="center"/>
                    <w:rPr>
                      <w:rFonts w:hint="eastAsia"/>
                      <w:color w:val="auto"/>
                      <w:szCs w:val="21"/>
                      <w:highlight w:val="none"/>
                    </w:rPr>
                  </w:pPr>
                </w:p>
              </w:tc>
            </w:tr>
          </w:tbl>
          <w:p w14:paraId="4AD414D2">
            <w:pPr>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firstLine="480" w:firstLineChars="200"/>
              <w:textAlignment w:val="auto"/>
              <w:rPr>
                <w:color w:val="auto"/>
                <w:sz w:val="24"/>
                <w:highlight w:val="none"/>
              </w:rPr>
            </w:pPr>
            <w:r>
              <w:rPr>
                <w:rFonts w:hint="eastAsia"/>
                <w:color w:val="auto"/>
                <w:sz w:val="24"/>
                <w:highlight w:val="none"/>
              </w:rPr>
              <w:t>建设单位拟采用以下噪声防治措施：</w:t>
            </w:r>
          </w:p>
          <w:p w14:paraId="79416CC9">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①尽量选用低噪声设备，同时加强保养和维护；</w:t>
            </w:r>
          </w:p>
          <w:p w14:paraId="1D49046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②尽负责对操作工人进行培训，严格按操作规范使用各类机械设备；</w:t>
            </w:r>
          </w:p>
          <w:p w14:paraId="2B90F094">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③对设备运行时振动产生的噪声，设计时将采取减振基础；</w:t>
            </w:r>
          </w:p>
          <w:p w14:paraId="49DE0F7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color w:val="auto"/>
                <w:sz w:val="24"/>
                <w:szCs w:val="24"/>
                <w:highlight w:val="none"/>
              </w:rPr>
            </w:pPr>
            <w:r>
              <w:rPr>
                <w:rFonts w:hint="eastAsia"/>
                <w:color w:val="auto"/>
                <w:sz w:val="24"/>
                <w:szCs w:val="24"/>
                <w:highlight w:val="none"/>
              </w:rPr>
              <w:t>④合理进行厂区平面布置，尽量将高噪声生产设备布置在远离居民的一侧，同时加强厂区绿化，有效阻隔和降低噪声传播。</w:t>
            </w:r>
          </w:p>
          <w:p w14:paraId="1EEFDA6B">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color w:val="auto"/>
                <w:sz w:val="24"/>
                <w:highlight w:val="none"/>
              </w:rPr>
            </w:pPr>
            <w:r>
              <w:rPr>
                <w:rFonts w:hint="eastAsia"/>
                <w:color w:val="auto"/>
                <w:sz w:val="24"/>
                <w:highlight w:val="none"/>
              </w:rPr>
              <w:t>⑤加强厂区绿化，也可以在一定程度上起到降低噪音的效果。上述防治措施经济投资小，技术上简单可行，最终降噪效果可达</w:t>
            </w:r>
            <w:r>
              <w:rPr>
                <w:rFonts w:hint="eastAsia"/>
                <w:color w:val="auto"/>
                <w:sz w:val="24"/>
                <w:highlight w:val="none"/>
                <w:lang w:val="en-US" w:eastAsia="zh-CN"/>
              </w:rPr>
              <w:t>20</w:t>
            </w:r>
            <w:r>
              <w:rPr>
                <w:rFonts w:hint="eastAsia"/>
                <w:color w:val="auto"/>
                <w:sz w:val="24"/>
                <w:highlight w:val="none"/>
              </w:rPr>
              <w:t>~</w:t>
            </w:r>
            <w:r>
              <w:rPr>
                <w:rFonts w:hint="eastAsia"/>
                <w:color w:val="auto"/>
                <w:sz w:val="24"/>
                <w:highlight w:val="none"/>
                <w:lang w:val="en-US" w:eastAsia="zh-CN"/>
              </w:rPr>
              <w:t>25</w:t>
            </w:r>
            <w:r>
              <w:rPr>
                <w:rFonts w:hint="eastAsia"/>
                <w:color w:val="auto"/>
                <w:sz w:val="24"/>
                <w:highlight w:val="none"/>
              </w:rPr>
              <w:t>dB（A），可使厂界噪声达标排放，防治措施是可行的。</w:t>
            </w:r>
          </w:p>
          <w:p w14:paraId="6925CB6C">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highlight w:val="none"/>
              </w:rPr>
            </w:pPr>
            <w:r>
              <w:rPr>
                <w:rFonts w:hint="eastAsia" w:hAnsi="宋体"/>
                <w:color w:val="auto"/>
                <w:sz w:val="24"/>
                <w:highlight w:val="none"/>
              </w:rPr>
              <w:t>本项目建设布局合理，噪声防治措施经济、技术可行。</w:t>
            </w:r>
            <w:r>
              <w:rPr>
                <w:rFonts w:hAnsi="宋体"/>
                <w:color w:val="auto"/>
                <w:sz w:val="24"/>
                <w:highlight w:val="none"/>
              </w:rPr>
              <w:t>本项目</w:t>
            </w:r>
            <w:r>
              <w:rPr>
                <w:rFonts w:hint="eastAsia" w:hAnsi="宋体"/>
                <w:color w:val="auto"/>
                <w:sz w:val="24"/>
                <w:highlight w:val="none"/>
              </w:rPr>
              <w:t>厂界50m范围内无声环境保护目标，厂界</w:t>
            </w:r>
            <w:r>
              <w:rPr>
                <w:rFonts w:hAnsi="宋体"/>
                <w:color w:val="auto"/>
                <w:sz w:val="24"/>
                <w:highlight w:val="none"/>
              </w:rPr>
              <w:t>噪声</w:t>
            </w:r>
            <w:r>
              <w:rPr>
                <w:rFonts w:hint="eastAsia" w:hAnsi="宋体"/>
                <w:color w:val="auto"/>
                <w:sz w:val="24"/>
                <w:highlight w:val="none"/>
              </w:rPr>
              <w:t>排放可达到</w:t>
            </w:r>
            <w:r>
              <w:rPr>
                <w:rFonts w:hAnsi="宋体"/>
                <w:color w:val="auto"/>
                <w:sz w:val="24"/>
                <w:highlight w:val="none"/>
              </w:rPr>
              <w:t>《工业企业厂界</w:t>
            </w:r>
            <w:r>
              <w:rPr>
                <w:rFonts w:hint="eastAsia" w:hAnsi="宋体"/>
                <w:color w:val="auto"/>
                <w:sz w:val="24"/>
                <w:highlight w:val="none"/>
              </w:rPr>
              <w:t>环境噪声排放</w:t>
            </w:r>
            <w:r>
              <w:rPr>
                <w:rFonts w:hAnsi="宋体"/>
                <w:color w:val="auto"/>
                <w:sz w:val="24"/>
                <w:highlight w:val="none"/>
              </w:rPr>
              <w:t>标准》（</w:t>
            </w:r>
            <w:r>
              <w:rPr>
                <w:color w:val="auto"/>
                <w:sz w:val="24"/>
                <w:highlight w:val="none"/>
              </w:rPr>
              <w:t>GB12348-2008</w:t>
            </w:r>
            <w:r>
              <w:rPr>
                <w:rFonts w:hAnsi="宋体"/>
                <w:color w:val="auto"/>
                <w:sz w:val="24"/>
                <w:highlight w:val="none"/>
              </w:rPr>
              <w:t>）</w:t>
            </w:r>
            <w:r>
              <w:rPr>
                <w:rFonts w:hint="eastAsia"/>
                <w:color w:val="auto"/>
                <w:sz w:val="24"/>
                <w:highlight w:val="none"/>
                <w:lang w:val="en-US" w:eastAsia="zh-CN"/>
              </w:rPr>
              <w:t>2</w:t>
            </w:r>
            <w:r>
              <w:rPr>
                <w:rFonts w:hint="eastAsia" w:hAnsi="宋体"/>
                <w:color w:val="auto"/>
                <w:sz w:val="24"/>
                <w:highlight w:val="none"/>
              </w:rPr>
              <w:t>类</w:t>
            </w:r>
            <w:r>
              <w:rPr>
                <w:rFonts w:hAnsi="宋体"/>
                <w:color w:val="auto"/>
                <w:sz w:val="24"/>
                <w:highlight w:val="none"/>
              </w:rPr>
              <w:t>标准</w:t>
            </w:r>
            <w:r>
              <w:rPr>
                <w:rFonts w:hint="eastAsia" w:hAnsi="宋体"/>
                <w:color w:val="auto"/>
                <w:sz w:val="24"/>
                <w:highlight w:val="none"/>
              </w:rPr>
              <w:t>要求，</w:t>
            </w:r>
            <w:r>
              <w:rPr>
                <w:rFonts w:hAnsi="宋体"/>
                <w:color w:val="auto"/>
                <w:sz w:val="24"/>
                <w:highlight w:val="none"/>
              </w:rPr>
              <w:t>对周围声环境</w:t>
            </w:r>
            <w:r>
              <w:rPr>
                <w:rFonts w:hint="eastAsia" w:hAnsi="宋体"/>
                <w:color w:val="auto"/>
                <w:sz w:val="24"/>
                <w:highlight w:val="none"/>
              </w:rPr>
              <w:t>的影响在可接受范围内</w:t>
            </w:r>
            <w:r>
              <w:rPr>
                <w:rFonts w:ascii="Times New Roman" w:hAnsi="Times New Roman" w:eastAsia="宋体" w:cs="Times New Roman"/>
                <w:sz w:val="24"/>
                <w:highlight w:val="none"/>
              </w:rPr>
              <w:t>。</w:t>
            </w:r>
          </w:p>
          <w:p w14:paraId="6ABFC124">
            <w:pPr>
              <w:adjustRightInd w:val="0"/>
              <w:snapToGrid w:val="0"/>
              <w:spacing w:line="360" w:lineRule="auto"/>
              <w:ind w:firstLine="482" w:firstLineChars="200"/>
              <w:rPr>
                <w:b/>
                <w:sz w:val="24"/>
                <w:highlight w:val="none"/>
              </w:rPr>
            </w:pPr>
            <w:r>
              <w:rPr>
                <w:b/>
                <w:sz w:val="24"/>
                <w:highlight w:val="none"/>
              </w:rPr>
              <w:t>4.固体废物</w:t>
            </w:r>
          </w:p>
          <w:p w14:paraId="5DEC0940">
            <w:pPr>
              <w:spacing w:before="60" w:beforeLines="25" w:line="360" w:lineRule="auto"/>
              <w:ind w:firstLine="480" w:firstLineChars="200"/>
              <w:jc w:val="left"/>
              <w:rPr>
                <w:rFonts w:hint="eastAsia" w:cs="Times New Roman"/>
                <w:kern w:val="0"/>
                <w:sz w:val="24"/>
                <w:szCs w:val="22"/>
                <w:highlight w:val="none"/>
                <w:lang w:val="en-GB" w:eastAsia="zh-CN"/>
              </w:rPr>
            </w:pPr>
            <w:r>
              <w:rPr>
                <w:rFonts w:hint="eastAsia" w:ascii="Times New Roman" w:hAnsi="Times New Roman" w:cs="Times New Roman"/>
                <w:kern w:val="0"/>
                <w:sz w:val="24"/>
                <w:szCs w:val="22"/>
                <w:highlight w:val="none"/>
                <w:lang w:val="en-GB"/>
              </w:rPr>
              <w:t>根据《建设项目危险废物环境影响评价指南》（环保部公告[2017]43号）、《危险废物鉴别标准通则》(GB5085.7-2019)、《固体废物鉴别标准通则》（GB34330-2017）</w:t>
            </w:r>
            <w:r>
              <w:rPr>
                <w:rFonts w:hint="eastAsia" w:ascii="Times New Roman" w:hAnsi="Times New Roman" w:cs="Times New Roman"/>
                <w:kern w:val="0"/>
                <w:sz w:val="24"/>
                <w:szCs w:val="22"/>
                <w:highlight w:val="none"/>
                <w:lang w:val="en-GB" w:eastAsia="zh-CN"/>
              </w:rPr>
              <w:t>、</w:t>
            </w:r>
            <w:r>
              <w:rPr>
                <w:rFonts w:hint="eastAsia" w:ascii="Times New Roman" w:hAnsi="Times New Roman" w:cs="Times New Roman"/>
                <w:kern w:val="0"/>
                <w:sz w:val="24"/>
                <w:szCs w:val="22"/>
                <w:highlight w:val="none"/>
                <w:lang w:val="en-GB"/>
              </w:rPr>
              <w:t>《一般固体废物分类与代码》（GB/T 39198-2020），结合项目主辅工程的原辅材料使用情况及工艺，分析各固废产生环节、主要成分及其产生量。本项目主要固体废物为</w:t>
            </w:r>
            <w:r>
              <w:rPr>
                <w:rFonts w:hint="eastAsia" w:cs="Times New Roman"/>
                <w:kern w:val="0"/>
                <w:sz w:val="24"/>
                <w:szCs w:val="22"/>
                <w:highlight w:val="none"/>
                <w:lang w:val="en-US" w:eastAsia="zh-CN"/>
              </w:rPr>
              <w:t>不合格产品、</w:t>
            </w:r>
            <w:r>
              <w:rPr>
                <w:rFonts w:hint="eastAsia" w:ascii="Times New Roman" w:hAnsi="Times New Roman" w:cs="Times New Roman"/>
                <w:kern w:val="0"/>
                <w:sz w:val="24"/>
                <w:szCs w:val="22"/>
                <w:highlight w:val="none"/>
                <w:lang w:val="en-US" w:eastAsia="zh-CN"/>
              </w:rPr>
              <w:t>燃料</w:t>
            </w:r>
            <w:r>
              <w:rPr>
                <w:rFonts w:hint="eastAsia" w:cs="Times New Roman"/>
                <w:kern w:val="0"/>
                <w:sz w:val="24"/>
                <w:szCs w:val="22"/>
                <w:highlight w:val="none"/>
                <w:lang w:val="en-US" w:eastAsia="zh-CN"/>
              </w:rPr>
              <w:t>炉</w:t>
            </w:r>
            <w:r>
              <w:rPr>
                <w:rFonts w:hint="eastAsia" w:ascii="Times New Roman" w:hAnsi="Times New Roman" w:cs="Times New Roman"/>
                <w:kern w:val="0"/>
                <w:sz w:val="24"/>
                <w:szCs w:val="22"/>
                <w:highlight w:val="none"/>
                <w:lang w:val="en-US" w:eastAsia="zh-CN"/>
              </w:rPr>
              <w:t>灰渣、</w:t>
            </w:r>
            <w:r>
              <w:rPr>
                <w:rFonts w:hint="eastAsia" w:ascii="宋体" w:hAnsi="宋体"/>
                <w:color w:val="000000"/>
                <w:kern w:val="0"/>
                <w:sz w:val="24"/>
                <w:highlight w:val="none"/>
                <w:lang w:val="en-US" w:eastAsia="zh-CN"/>
              </w:rPr>
              <w:t>喷淋除尘脱硫塔</w:t>
            </w:r>
            <w:r>
              <w:rPr>
                <w:rFonts w:hint="eastAsia" w:cs="Times New Roman"/>
                <w:kern w:val="0"/>
                <w:sz w:val="24"/>
                <w:szCs w:val="22"/>
                <w:highlight w:val="none"/>
                <w:lang w:val="en-US" w:eastAsia="zh-CN"/>
              </w:rPr>
              <w:t>沉渣</w:t>
            </w:r>
            <w:r>
              <w:rPr>
                <w:rFonts w:hint="eastAsia" w:ascii="Times New Roman" w:hAnsi="Times New Roman" w:cs="Times New Roman"/>
                <w:kern w:val="0"/>
                <w:sz w:val="24"/>
                <w:szCs w:val="22"/>
                <w:highlight w:val="none"/>
                <w:lang w:val="en-US" w:eastAsia="zh-CN"/>
              </w:rPr>
              <w:t>和</w:t>
            </w:r>
            <w:r>
              <w:rPr>
                <w:rFonts w:hint="eastAsia" w:ascii="Times New Roman" w:hAnsi="Times New Roman" w:cs="Times New Roman"/>
                <w:kern w:val="0"/>
                <w:sz w:val="24"/>
                <w:szCs w:val="22"/>
                <w:highlight w:val="none"/>
                <w:lang w:val="en-GB"/>
              </w:rPr>
              <w:t>生活垃圾</w:t>
            </w:r>
            <w:r>
              <w:rPr>
                <w:rFonts w:hint="eastAsia" w:cs="Times New Roman"/>
                <w:kern w:val="0"/>
                <w:sz w:val="24"/>
                <w:szCs w:val="22"/>
                <w:highlight w:val="none"/>
                <w:lang w:val="en-GB" w:eastAsia="zh-CN"/>
              </w:rPr>
              <w:t>。</w:t>
            </w:r>
          </w:p>
          <w:p w14:paraId="031DF0B2">
            <w:pPr>
              <w:pStyle w:val="44"/>
              <w:rPr>
                <w:rFonts w:hint="eastAsia" w:cs="Times New Roman"/>
                <w:kern w:val="0"/>
                <w:sz w:val="24"/>
                <w:szCs w:val="22"/>
                <w:highlight w:val="none"/>
                <w:lang w:val="en-GB" w:eastAsia="zh-CN"/>
              </w:rPr>
            </w:pPr>
          </w:p>
          <w:p w14:paraId="03DF2421">
            <w:pPr>
              <w:pStyle w:val="44"/>
              <w:rPr>
                <w:rFonts w:hint="eastAsia" w:cs="Times New Roman"/>
                <w:kern w:val="0"/>
                <w:sz w:val="24"/>
                <w:szCs w:val="22"/>
                <w:highlight w:val="none"/>
                <w:lang w:val="en-US" w:eastAsia="zh-CN"/>
              </w:rPr>
            </w:pPr>
          </w:p>
          <w:p w14:paraId="42ECA40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kern w:val="0"/>
                <w:sz w:val="24"/>
                <w:szCs w:val="22"/>
                <w:highlight w:val="none"/>
                <w:lang w:val="en-US" w:eastAsia="zh-CN"/>
              </w:rPr>
            </w:pPr>
            <w:r>
              <w:rPr>
                <w:rFonts w:hint="eastAsia" w:cs="Times New Roman"/>
                <w:kern w:val="0"/>
                <w:sz w:val="24"/>
                <w:szCs w:val="24"/>
                <w:highlight w:val="none"/>
                <w:lang w:val="en-US" w:eastAsia="zh-CN"/>
              </w:rPr>
              <w:t>（1）</w:t>
            </w:r>
            <w:r>
              <w:rPr>
                <w:rFonts w:hint="eastAsia" w:eastAsia="宋体"/>
                <w:sz w:val="24"/>
                <w:szCs w:val="24"/>
                <w:highlight w:val="none"/>
                <w:lang w:val="en-US" w:eastAsia="zh-CN"/>
              </w:rPr>
              <w:t>碳化</w:t>
            </w:r>
            <w:r>
              <w:rPr>
                <w:sz w:val="24"/>
                <w:szCs w:val="24"/>
                <w:highlight w:val="none"/>
              </w:rPr>
              <w:t>渣</w:t>
            </w:r>
            <w:r>
              <w:rPr>
                <w:rFonts w:hint="eastAsia"/>
                <w:sz w:val="24"/>
                <w:szCs w:val="24"/>
                <w:highlight w:val="none"/>
                <w:lang w:eastAsia="zh-CN"/>
              </w:rPr>
              <w:t>：</w:t>
            </w:r>
            <w:r>
              <w:rPr>
                <w:rFonts w:hint="eastAsia" w:ascii="Times New Roman" w:hAnsi="Times New Roman" w:cs="Times New Roman"/>
                <w:kern w:val="0"/>
                <w:sz w:val="24"/>
                <w:szCs w:val="22"/>
                <w:highlight w:val="none"/>
                <w:lang w:val="en-US" w:eastAsia="zh-CN"/>
              </w:rPr>
              <w:t>生产炭化过程中，部分原木未完全炭化，形成炭化残渣，如炭头、炭渣，根据物料平衡可知碳化渣产生量为</w:t>
            </w:r>
            <w:r>
              <w:rPr>
                <w:rFonts w:hint="eastAsia" w:cs="Times New Roman"/>
                <w:kern w:val="0"/>
                <w:sz w:val="24"/>
                <w:szCs w:val="22"/>
                <w:highlight w:val="none"/>
                <w:lang w:val="en-US" w:eastAsia="zh-CN"/>
              </w:rPr>
              <w:t>26.</w:t>
            </w:r>
            <w:r>
              <w:rPr>
                <w:rFonts w:hint="eastAsia" w:ascii="Times New Roman" w:hAnsi="Times New Roman" w:cs="Times New Roman"/>
                <w:kern w:val="0"/>
                <w:sz w:val="24"/>
                <w:szCs w:val="22"/>
                <w:highlight w:val="none"/>
                <w:lang w:val="en-US" w:eastAsia="zh-CN"/>
              </w:rPr>
              <w:t>26t/a，收集后可作为炭化窑点火引燃材料。</w:t>
            </w:r>
          </w:p>
          <w:p w14:paraId="6D974EAD">
            <w:pPr>
              <w:spacing w:line="360" w:lineRule="auto"/>
              <w:ind w:firstLine="480" w:firstLineChars="200"/>
              <w:rPr>
                <w:sz w:val="24"/>
                <w:highlight w:val="none"/>
              </w:rPr>
            </w:pPr>
            <w:r>
              <w:rPr>
                <w:rFonts w:hint="eastAsia" w:ascii="Times New Roman" w:hAnsi="Times New Roman" w:cs="Times New Roman"/>
                <w:kern w:val="0"/>
                <w:sz w:val="24"/>
                <w:szCs w:val="22"/>
                <w:highlight w:val="none"/>
                <w:lang w:val="en-US" w:eastAsia="zh-CN"/>
              </w:rPr>
              <w:t>（2）</w:t>
            </w:r>
            <w:r>
              <w:rPr>
                <w:rFonts w:hint="eastAsia" w:ascii="Times New Roman" w:hAnsi="Times New Roman" w:eastAsia="宋体" w:cs="Times New Roman"/>
                <w:kern w:val="0"/>
                <w:sz w:val="24"/>
                <w:szCs w:val="22"/>
                <w:highlight w:val="none"/>
                <w:lang w:val="en-US" w:eastAsia="zh-CN"/>
              </w:rPr>
              <w:t>燃料炉灰渣：</w:t>
            </w:r>
            <w:r>
              <w:rPr>
                <w:rFonts w:hint="eastAsia" w:ascii="宋体" w:hAnsi="宋体"/>
                <w:sz w:val="24"/>
                <w:highlight w:val="none"/>
              </w:rPr>
              <w:t>燃料灰渣主要为烘干工序中使用外购</w:t>
            </w:r>
            <w:r>
              <w:rPr>
                <w:rFonts w:hint="eastAsia" w:ascii="宋体" w:hAnsi="宋体"/>
                <w:sz w:val="24"/>
                <w:highlight w:val="none"/>
                <w:lang w:val="en-US" w:eastAsia="zh-CN"/>
              </w:rPr>
              <w:t>生物质成型燃料</w:t>
            </w:r>
            <w:r>
              <w:rPr>
                <w:rFonts w:hint="eastAsia" w:ascii="宋体" w:hAnsi="宋体"/>
                <w:sz w:val="24"/>
                <w:highlight w:val="none"/>
              </w:rPr>
              <w:t>燃烧后的产物，燃料用量为</w:t>
            </w:r>
            <w:r>
              <w:rPr>
                <w:rFonts w:hint="eastAsia"/>
                <w:sz w:val="24"/>
                <w:highlight w:val="none"/>
                <w:lang w:val="en-US" w:eastAsia="zh-CN"/>
              </w:rPr>
              <w:t>300</w:t>
            </w:r>
            <w:r>
              <w:rPr>
                <w:rFonts w:hint="eastAsia"/>
                <w:sz w:val="24"/>
                <w:highlight w:val="none"/>
              </w:rPr>
              <w:t>t</w:t>
            </w:r>
            <w:r>
              <w:rPr>
                <w:sz w:val="24"/>
                <w:highlight w:val="none"/>
              </w:rPr>
              <w:t>/</w:t>
            </w:r>
            <w:r>
              <w:rPr>
                <w:rFonts w:hint="eastAsia"/>
                <w:sz w:val="24"/>
                <w:highlight w:val="none"/>
              </w:rPr>
              <w:t>a</w:t>
            </w:r>
            <w:r>
              <w:rPr>
                <w:rFonts w:hint="eastAsia" w:ascii="宋体" w:hAnsi="宋体"/>
                <w:sz w:val="24"/>
                <w:highlight w:val="none"/>
              </w:rPr>
              <w:t>，根据同类型企业生产经验，燃料灰渣量约占原料的</w:t>
            </w:r>
            <w:r>
              <w:rPr>
                <w:rFonts w:hint="eastAsia"/>
                <w:sz w:val="24"/>
                <w:highlight w:val="none"/>
              </w:rPr>
              <w:t>8%</w:t>
            </w:r>
            <w:r>
              <w:rPr>
                <w:rFonts w:hint="eastAsia" w:ascii="宋体" w:hAnsi="宋体"/>
                <w:sz w:val="24"/>
                <w:highlight w:val="none"/>
              </w:rPr>
              <w:t>，则项目燃料灰渣产生量约为</w:t>
            </w:r>
            <w:r>
              <w:rPr>
                <w:rFonts w:hint="eastAsia"/>
                <w:sz w:val="24"/>
                <w:highlight w:val="none"/>
                <w:lang w:val="en-US" w:eastAsia="zh-CN"/>
              </w:rPr>
              <w:t>24</w:t>
            </w:r>
            <w:r>
              <w:rPr>
                <w:sz w:val="24"/>
                <w:highlight w:val="none"/>
              </w:rPr>
              <w:t xml:space="preserve"> </w:t>
            </w:r>
            <w:r>
              <w:rPr>
                <w:rFonts w:hint="eastAsia"/>
                <w:sz w:val="24"/>
                <w:highlight w:val="none"/>
              </w:rPr>
              <w:t>t</w:t>
            </w:r>
            <w:r>
              <w:rPr>
                <w:sz w:val="24"/>
                <w:highlight w:val="none"/>
              </w:rPr>
              <w:t>/</w:t>
            </w:r>
            <w:r>
              <w:rPr>
                <w:rFonts w:hint="eastAsia"/>
                <w:sz w:val="24"/>
                <w:highlight w:val="none"/>
              </w:rPr>
              <w:t>a</w:t>
            </w:r>
            <w:r>
              <w:rPr>
                <w:rFonts w:hint="eastAsia" w:ascii="Times New Roman" w:hAnsi="Times New Roman" w:eastAsia="宋体" w:cs="Times New Roman"/>
                <w:kern w:val="0"/>
                <w:sz w:val="24"/>
                <w:szCs w:val="22"/>
                <w:highlight w:val="none"/>
                <w:lang w:val="en-US" w:eastAsia="zh-CN"/>
              </w:rPr>
              <w:t>，收集后用作周边农田农肥</w:t>
            </w:r>
            <w:r>
              <w:rPr>
                <w:rFonts w:ascii="宋体" w:hAnsi="宋体"/>
                <w:sz w:val="24"/>
                <w:highlight w:val="none"/>
              </w:rPr>
              <w:t>。</w:t>
            </w:r>
          </w:p>
          <w:p w14:paraId="55B30C52">
            <w:pPr>
              <w:spacing w:before="60" w:beforeLines="25" w:line="360" w:lineRule="auto"/>
              <w:ind w:firstLine="480" w:firstLineChars="200"/>
              <w:jc w:val="left"/>
              <w:rPr>
                <w:rFonts w:hint="eastAsia" w:ascii="Times New Roman" w:hAnsi="Times New Roman" w:cs="Times New Roman"/>
                <w:kern w:val="0"/>
                <w:sz w:val="24"/>
                <w:szCs w:val="22"/>
                <w:highlight w:val="none"/>
              </w:rPr>
            </w:pPr>
            <w:r>
              <w:rPr>
                <w:rFonts w:hint="eastAsia" w:ascii="Times New Roman" w:hAnsi="Times New Roman" w:cs="Times New Roman"/>
                <w:kern w:val="0"/>
                <w:sz w:val="24"/>
                <w:szCs w:val="22"/>
                <w:highlight w:val="none"/>
              </w:rPr>
              <w:t>（3）</w:t>
            </w:r>
            <w:r>
              <w:rPr>
                <w:rFonts w:hint="eastAsia" w:cs="Times New Roman"/>
                <w:kern w:val="0"/>
                <w:sz w:val="24"/>
                <w:szCs w:val="22"/>
                <w:highlight w:val="none"/>
                <w:lang w:val="en-US" w:eastAsia="zh-CN"/>
              </w:rPr>
              <w:t>除尘器粉尘、</w:t>
            </w:r>
            <w:r>
              <w:rPr>
                <w:rFonts w:hint="eastAsia" w:ascii="宋体" w:hAnsi="宋体"/>
                <w:color w:val="000000"/>
                <w:kern w:val="0"/>
                <w:sz w:val="24"/>
                <w:highlight w:val="none"/>
                <w:lang w:val="en-US" w:eastAsia="zh-CN"/>
              </w:rPr>
              <w:t>喷淋除尘脱硫塔</w:t>
            </w:r>
            <w:r>
              <w:rPr>
                <w:rFonts w:hint="eastAsia" w:ascii="Times New Roman" w:hAnsi="Times New Roman" w:cs="Times New Roman"/>
                <w:kern w:val="0"/>
                <w:sz w:val="24"/>
                <w:szCs w:val="22"/>
                <w:highlight w:val="none"/>
              </w:rPr>
              <w:t>沉渣：</w:t>
            </w:r>
            <w:r>
              <w:rPr>
                <w:rFonts w:hint="eastAsia" w:ascii="Times New Roman" w:hAnsi="Times New Roman" w:eastAsia="宋体" w:cs="Times New Roman"/>
                <w:kern w:val="0"/>
                <w:sz w:val="24"/>
                <w:szCs w:val="22"/>
                <w:highlight w:val="none"/>
              </w:rPr>
              <w:t>项目制棒工序</w:t>
            </w:r>
            <w:r>
              <w:rPr>
                <w:rFonts w:hint="eastAsia" w:cs="Times New Roman"/>
                <w:kern w:val="0"/>
                <w:sz w:val="24"/>
                <w:szCs w:val="22"/>
                <w:highlight w:val="none"/>
                <w:lang w:eastAsia="zh-CN"/>
              </w:rPr>
              <w:t>、</w:t>
            </w:r>
            <w:r>
              <w:rPr>
                <w:rFonts w:hint="eastAsia" w:cs="Times New Roman"/>
                <w:kern w:val="0"/>
                <w:sz w:val="24"/>
                <w:szCs w:val="22"/>
                <w:highlight w:val="none"/>
                <w:lang w:val="en-US" w:eastAsia="zh-CN"/>
              </w:rPr>
              <w:t>烘干机粉尘、炭化工序</w:t>
            </w:r>
            <w:r>
              <w:rPr>
                <w:rFonts w:hint="eastAsia" w:ascii="Times New Roman" w:hAnsi="Times New Roman" w:eastAsia="宋体" w:cs="Times New Roman"/>
                <w:kern w:val="0"/>
                <w:sz w:val="24"/>
                <w:szCs w:val="22"/>
                <w:highlight w:val="none"/>
              </w:rPr>
              <w:t>及生物质</w:t>
            </w:r>
            <w:r>
              <w:rPr>
                <w:rFonts w:hint="eastAsia" w:cs="Times New Roman"/>
                <w:kern w:val="0"/>
                <w:sz w:val="24"/>
                <w:szCs w:val="22"/>
                <w:highlight w:val="none"/>
                <w:lang w:eastAsia="zh-CN"/>
              </w:rPr>
              <w:t>成型</w:t>
            </w:r>
            <w:r>
              <w:rPr>
                <w:rFonts w:hint="eastAsia" w:ascii="Times New Roman" w:hAnsi="Times New Roman" w:eastAsia="宋体" w:cs="Times New Roman"/>
                <w:kern w:val="0"/>
                <w:sz w:val="24"/>
                <w:szCs w:val="22"/>
                <w:highlight w:val="none"/>
              </w:rPr>
              <w:t>燃料燃烧过程会产生一定量的烟尘，建设单位拟将</w:t>
            </w:r>
            <w:r>
              <w:rPr>
                <w:rFonts w:hint="eastAsia" w:cs="Times New Roman"/>
                <w:kern w:val="0"/>
                <w:sz w:val="24"/>
                <w:szCs w:val="22"/>
                <w:highlight w:val="none"/>
                <w:lang w:val="en-US" w:eastAsia="zh-CN"/>
              </w:rPr>
              <w:t>粉碎粉尘收集至袋式除尘器处理，</w:t>
            </w:r>
            <w:r>
              <w:rPr>
                <w:rFonts w:hint="eastAsia" w:ascii="Times New Roman" w:hAnsi="Times New Roman" w:eastAsia="宋体" w:cs="Times New Roman"/>
                <w:kern w:val="0"/>
                <w:sz w:val="24"/>
                <w:szCs w:val="22"/>
                <w:highlight w:val="none"/>
              </w:rPr>
              <w:t>制棒</w:t>
            </w:r>
            <w:r>
              <w:rPr>
                <w:rFonts w:hint="eastAsia" w:cs="Times New Roman"/>
                <w:kern w:val="0"/>
                <w:sz w:val="24"/>
                <w:szCs w:val="22"/>
                <w:highlight w:val="none"/>
                <w:lang w:val="en-US" w:eastAsia="zh-CN"/>
              </w:rPr>
              <w:t>废气</w:t>
            </w:r>
            <w:r>
              <w:rPr>
                <w:rFonts w:hint="eastAsia" w:cs="Times New Roman"/>
                <w:kern w:val="0"/>
                <w:sz w:val="24"/>
                <w:szCs w:val="22"/>
                <w:highlight w:val="none"/>
                <w:lang w:eastAsia="zh-CN"/>
              </w:rPr>
              <w:t>、</w:t>
            </w:r>
            <w:r>
              <w:rPr>
                <w:rFonts w:hint="eastAsia" w:cs="Times New Roman"/>
                <w:kern w:val="0"/>
                <w:sz w:val="24"/>
                <w:szCs w:val="22"/>
                <w:highlight w:val="none"/>
                <w:lang w:val="en-US" w:eastAsia="zh-CN"/>
              </w:rPr>
              <w:t>烘干机粉尘</w:t>
            </w:r>
            <w:r>
              <w:rPr>
                <w:rFonts w:hint="eastAsia" w:ascii="Times New Roman" w:hAnsi="Times New Roman" w:eastAsia="宋体" w:cs="Times New Roman"/>
                <w:kern w:val="0"/>
                <w:sz w:val="24"/>
                <w:szCs w:val="22"/>
                <w:highlight w:val="none"/>
              </w:rPr>
              <w:t>、</w:t>
            </w:r>
            <w:r>
              <w:rPr>
                <w:rFonts w:hint="eastAsia" w:cs="Times New Roman"/>
                <w:kern w:val="0"/>
                <w:sz w:val="24"/>
                <w:szCs w:val="22"/>
                <w:highlight w:val="none"/>
                <w:lang w:val="en-US" w:eastAsia="zh-CN"/>
              </w:rPr>
              <w:t>炭化废气及</w:t>
            </w:r>
            <w:r>
              <w:rPr>
                <w:rFonts w:hint="eastAsia" w:ascii="Times New Roman" w:hAnsi="Times New Roman" w:eastAsia="宋体" w:cs="Times New Roman"/>
                <w:kern w:val="0"/>
                <w:sz w:val="24"/>
                <w:szCs w:val="22"/>
                <w:highlight w:val="none"/>
              </w:rPr>
              <w:t>生物质</w:t>
            </w:r>
            <w:r>
              <w:rPr>
                <w:rFonts w:hint="eastAsia" w:cs="Times New Roman"/>
                <w:kern w:val="0"/>
                <w:sz w:val="24"/>
                <w:szCs w:val="22"/>
                <w:highlight w:val="none"/>
                <w:lang w:eastAsia="zh-CN"/>
              </w:rPr>
              <w:t>成型燃料</w:t>
            </w:r>
            <w:r>
              <w:rPr>
                <w:rFonts w:hint="eastAsia" w:ascii="Times New Roman" w:hAnsi="Times New Roman" w:eastAsia="宋体" w:cs="Times New Roman"/>
                <w:kern w:val="0"/>
                <w:sz w:val="24"/>
                <w:szCs w:val="22"/>
                <w:highlight w:val="none"/>
              </w:rPr>
              <w:t>燃烧废气</w:t>
            </w:r>
            <w:r>
              <w:rPr>
                <w:rFonts w:hint="eastAsia" w:cs="Times New Roman"/>
                <w:kern w:val="0"/>
                <w:sz w:val="24"/>
                <w:szCs w:val="22"/>
                <w:highlight w:val="none"/>
                <w:lang w:val="en-US" w:eastAsia="zh-CN"/>
              </w:rPr>
              <w:t>经燃烧炉燃烧后</w:t>
            </w:r>
            <w:r>
              <w:rPr>
                <w:rFonts w:hint="eastAsia" w:ascii="Times New Roman" w:hAnsi="Times New Roman" w:eastAsia="宋体" w:cs="Times New Roman"/>
                <w:kern w:val="0"/>
                <w:sz w:val="24"/>
                <w:szCs w:val="22"/>
                <w:highlight w:val="none"/>
              </w:rPr>
              <w:t>收集至</w:t>
            </w:r>
            <w:r>
              <w:rPr>
                <w:rFonts w:hint="eastAsia" w:cs="Times New Roman"/>
                <w:kern w:val="0"/>
                <w:sz w:val="24"/>
                <w:szCs w:val="22"/>
                <w:highlight w:val="none"/>
                <w:lang w:val="en-US" w:eastAsia="zh-CN"/>
              </w:rPr>
              <w:t>旋风+</w:t>
            </w:r>
            <w:r>
              <w:rPr>
                <w:rFonts w:hint="eastAsia" w:ascii="宋体" w:hAnsi="宋体"/>
                <w:color w:val="000000"/>
                <w:kern w:val="0"/>
                <w:sz w:val="24"/>
                <w:highlight w:val="none"/>
                <w:lang w:val="en-US" w:eastAsia="zh-CN"/>
              </w:rPr>
              <w:t>喷淋除尘脱硫塔</w:t>
            </w:r>
            <w:r>
              <w:rPr>
                <w:rFonts w:hint="eastAsia" w:ascii="Times New Roman" w:hAnsi="Times New Roman" w:eastAsia="宋体" w:cs="Times New Roman"/>
                <w:kern w:val="0"/>
                <w:sz w:val="24"/>
                <w:szCs w:val="22"/>
                <w:highlight w:val="none"/>
              </w:rPr>
              <w:t>进行处理。</w:t>
            </w:r>
            <w:r>
              <w:rPr>
                <w:rFonts w:hint="eastAsia" w:cs="Times New Roman"/>
                <w:kern w:val="0"/>
                <w:sz w:val="24"/>
                <w:szCs w:val="22"/>
                <w:highlight w:val="none"/>
                <w:lang w:val="en-US" w:eastAsia="zh-CN"/>
              </w:rPr>
              <w:t>其中旋风除尘器收集的粉尘量为54.503t/a，喷淋除尘脱硫塔收集的粉尘量为2.869t/a（干重，90%含水率重28.69t）。旋风除尘器收集的粉尘回用于生产，喷淋除尘脱硫塔收集的粉尘（沉渣）</w:t>
            </w:r>
            <w:r>
              <w:rPr>
                <w:rFonts w:hint="eastAsia" w:ascii="宋体" w:hAnsi="宋体"/>
                <w:sz w:val="24"/>
                <w:highlight w:val="none"/>
              </w:rPr>
              <w:t>沉渣</w:t>
            </w:r>
            <w:r>
              <w:rPr>
                <w:rFonts w:hint="eastAsia" w:ascii="宋体" w:hAnsi="宋体"/>
                <w:sz w:val="24"/>
                <w:highlight w:val="none"/>
                <w:lang w:val="en-US" w:eastAsia="zh-CN"/>
              </w:rPr>
              <w:t>经收</w:t>
            </w:r>
            <w:r>
              <w:rPr>
                <w:rFonts w:hint="eastAsia" w:ascii="宋体" w:hAnsi="宋体"/>
                <w:sz w:val="24"/>
                <w:highlight w:val="none"/>
              </w:rPr>
              <w:t>集后</w:t>
            </w:r>
            <w:r>
              <w:rPr>
                <w:rFonts w:hint="eastAsia" w:ascii="宋体" w:hAnsi="宋体"/>
                <w:sz w:val="24"/>
                <w:highlight w:val="none"/>
                <w:lang w:val="en-US" w:eastAsia="zh-CN"/>
              </w:rPr>
              <w:t>由</w:t>
            </w:r>
            <w:r>
              <w:rPr>
                <w:rFonts w:hint="eastAsia"/>
                <w:color w:val="auto"/>
                <w:sz w:val="24"/>
                <w:highlight w:val="none"/>
                <w:lang w:val="en-US" w:eastAsia="zh-CN"/>
              </w:rPr>
              <w:t>当地</w:t>
            </w:r>
            <w:r>
              <w:rPr>
                <w:color w:val="auto"/>
                <w:sz w:val="24"/>
                <w:highlight w:val="none"/>
              </w:rPr>
              <w:t>环卫部门清运处理。</w:t>
            </w:r>
          </w:p>
          <w:p w14:paraId="3DC63E89">
            <w:pPr>
              <w:spacing w:before="60" w:beforeLines="25" w:line="360" w:lineRule="auto"/>
              <w:ind w:firstLine="480" w:firstLineChars="200"/>
              <w:jc w:val="left"/>
              <w:rPr>
                <w:rFonts w:hint="eastAsia" w:ascii="Times New Roman" w:hAnsi="Times New Roman" w:cs="Times New Roman"/>
                <w:kern w:val="0"/>
                <w:sz w:val="24"/>
                <w:szCs w:val="22"/>
                <w:highlight w:val="none"/>
                <w:lang w:val="en-US" w:eastAsia="zh-CN"/>
              </w:rPr>
            </w:pPr>
            <w:r>
              <w:rPr>
                <w:rFonts w:hint="eastAsia" w:ascii="Times New Roman" w:hAnsi="Times New Roman" w:cs="Times New Roman"/>
                <w:kern w:val="0"/>
                <w:sz w:val="24"/>
                <w:szCs w:val="22"/>
                <w:highlight w:val="none"/>
                <w:lang w:val="en-US" w:eastAsia="zh-CN"/>
              </w:rPr>
              <w:t>（</w:t>
            </w:r>
            <w:r>
              <w:rPr>
                <w:rFonts w:hint="eastAsia" w:cs="Times New Roman"/>
                <w:kern w:val="0"/>
                <w:sz w:val="24"/>
                <w:szCs w:val="22"/>
                <w:highlight w:val="none"/>
                <w:lang w:val="en-US" w:eastAsia="zh-CN"/>
              </w:rPr>
              <w:t>4</w:t>
            </w:r>
            <w:r>
              <w:rPr>
                <w:rFonts w:hint="eastAsia" w:ascii="Times New Roman" w:hAnsi="Times New Roman" w:cs="Times New Roman"/>
                <w:kern w:val="0"/>
                <w:sz w:val="24"/>
                <w:szCs w:val="22"/>
                <w:highlight w:val="none"/>
                <w:lang w:val="en-US" w:eastAsia="zh-CN"/>
              </w:rPr>
              <w:t>）生活垃圾：</w:t>
            </w:r>
            <w:r>
              <w:rPr>
                <w:rFonts w:hint="eastAsia" w:ascii="宋体" w:hAnsi="宋体"/>
                <w:sz w:val="24"/>
                <w:highlight w:val="none"/>
              </w:rPr>
              <w:t>项目员工</w:t>
            </w:r>
            <w:r>
              <w:rPr>
                <w:sz w:val="24"/>
                <w:highlight w:val="none"/>
              </w:rPr>
              <w:t>1</w:t>
            </w:r>
            <w:r>
              <w:rPr>
                <w:rFonts w:hint="eastAsia"/>
                <w:sz w:val="24"/>
                <w:highlight w:val="none"/>
                <w:lang w:val="en-US" w:eastAsia="zh-CN"/>
              </w:rPr>
              <w:t>0</w:t>
            </w:r>
            <w:r>
              <w:rPr>
                <w:rFonts w:hint="eastAsia" w:ascii="宋体" w:hAnsi="宋体"/>
                <w:sz w:val="24"/>
                <w:highlight w:val="none"/>
              </w:rPr>
              <w:t>人，每人产生量为</w:t>
            </w:r>
            <w:r>
              <w:rPr>
                <w:rFonts w:hint="eastAsia"/>
                <w:sz w:val="24"/>
                <w:highlight w:val="none"/>
              </w:rPr>
              <w:t>0.5kg/</w:t>
            </w:r>
            <w:r>
              <w:rPr>
                <w:rFonts w:hint="eastAsia" w:ascii="宋体" w:hAnsi="宋体"/>
                <w:sz w:val="24"/>
                <w:highlight w:val="none"/>
              </w:rPr>
              <w:t>（</w:t>
            </w:r>
            <w:r>
              <w:rPr>
                <w:rFonts w:hint="eastAsia"/>
                <w:sz w:val="24"/>
                <w:highlight w:val="none"/>
              </w:rPr>
              <w:t>d</w:t>
            </w:r>
            <w:r>
              <w:rPr>
                <w:sz w:val="24"/>
                <w:highlight w:val="none"/>
              </w:rPr>
              <w:t>·</w:t>
            </w:r>
            <w:r>
              <w:rPr>
                <w:rFonts w:hint="eastAsia" w:ascii="宋体" w:hAnsi="宋体"/>
                <w:sz w:val="24"/>
                <w:highlight w:val="none"/>
              </w:rPr>
              <w:t>人），则本项目生活垃圾产生量</w:t>
            </w:r>
            <w:r>
              <w:rPr>
                <w:rFonts w:hint="eastAsia"/>
                <w:sz w:val="24"/>
                <w:highlight w:val="none"/>
                <w:lang w:val="en-US" w:eastAsia="zh-CN"/>
              </w:rPr>
              <w:t>1.5</w:t>
            </w:r>
            <w:r>
              <w:rPr>
                <w:sz w:val="24"/>
                <w:highlight w:val="none"/>
              </w:rPr>
              <w:t>t/a</w:t>
            </w:r>
            <w:r>
              <w:rPr>
                <w:rFonts w:hint="eastAsia" w:ascii="宋体" w:hAnsi="宋体"/>
                <w:sz w:val="24"/>
                <w:highlight w:val="none"/>
              </w:rPr>
              <w:t>。生活垃圾集中收集，由当地环卫部门定期上门清运处理</w:t>
            </w:r>
            <w:r>
              <w:rPr>
                <w:rFonts w:hint="eastAsia" w:ascii="Times New Roman" w:hAnsi="Times New Roman" w:cs="Times New Roman"/>
                <w:kern w:val="0"/>
                <w:sz w:val="24"/>
                <w:szCs w:val="22"/>
                <w:highlight w:val="none"/>
                <w:lang w:val="en-US" w:eastAsia="zh-CN"/>
              </w:rPr>
              <w:t>。</w:t>
            </w:r>
          </w:p>
          <w:p w14:paraId="22F6A2A1">
            <w:pPr>
              <w:spacing w:line="360" w:lineRule="auto"/>
              <w:ind w:firstLine="480" w:firstLineChars="200"/>
              <w:rPr>
                <w:rFonts w:hint="default" w:eastAsia="宋体"/>
                <w:highlight w:val="none"/>
                <w:lang w:val="en-US" w:eastAsia="zh-CN"/>
              </w:rPr>
            </w:pPr>
            <w:r>
              <w:rPr>
                <w:rFonts w:hint="eastAsia"/>
                <w:sz w:val="24"/>
                <w:szCs w:val="24"/>
                <w:highlight w:val="none"/>
                <w:lang w:val="en-US" w:eastAsia="zh-CN"/>
              </w:rPr>
              <w:t>本项目固体废物信息见表4-14。</w:t>
            </w:r>
          </w:p>
        </w:tc>
      </w:tr>
    </w:tbl>
    <w:p w14:paraId="6911CB68">
      <w:pPr>
        <w:pStyle w:val="29"/>
        <w:jc w:val="center"/>
        <w:outlineLvl w:val="0"/>
        <w:rPr>
          <w:rFonts w:hint="default" w:ascii="Times New Roman" w:hAnsi="Times New Roman" w:eastAsia="黑体"/>
          <w:snapToGrid w:val="0"/>
          <w:sz w:val="30"/>
          <w:szCs w:val="30"/>
          <w:highlight w:val="none"/>
          <w:lang w:val="en-US" w:eastAsia="zh-CN"/>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2"/>
      </w:tblGrid>
      <w:tr w14:paraId="7825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6" w:type="dxa"/>
          </w:tcPr>
          <w:p w14:paraId="396A9332">
            <w:pPr>
              <w:adjustRightInd w:val="0"/>
              <w:snapToGrid w:val="0"/>
              <w:spacing w:line="360" w:lineRule="auto"/>
              <w:jc w:val="center"/>
              <w:rPr>
                <w:b/>
                <w:bCs/>
                <w:sz w:val="24"/>
                <w:highlight w:val="none"/>
              </w:rPr>
            </w:pPr>
            <w:r>
              <w:rPr>
                <w:b/>
                <w:bCs/>
                <w:sz w:val="24"/>
                <w:highlight w:val="none"/>
              </w:rPr>
              <w:t>表4-1</w:t>
            </w:r>
            <w:r>
              <w:rPr>
                <w:rFonts w:hint="eastAsia"/>
                <w:b/>
                <w:bCs/>
                <w:sz w:val="24"/>
                <w:highlight w:val="none"/>
                <w:lang w:val="en-US" w:eastAsia="zh-CN"/>
              </w:rPr>
              <w:t xml:space="preserve">4  </w:t>
            </w:r>
            <w:r>
              <w:rPr>
                <w:b/>
                <w:bCs/>
                <w:sz w:val="24"/>
                <w:highlight w:val="none"/>
              </w:rPr>
              <w:t>本项目固体废物信息表</w:t>
            </w:r>
          </w:p>
          <w:tbl>
            <w:tblPr>
              <w:tblStyle w:val="34"/>
              <w:tblW w:w="132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8"/>
              <w:gridCol w:w="1436"/>
              <w:gridCol w:w="1139"/>
              <w:gridCol w:w="1174"/>
              <w:gridCol w:w="1607"/>
              <w:gridCol w:w="820"/>
              <w:gridCol w:w="1381"/>
              <w:gridCol w:w="824"/>
              <w:gridCol w:w="1781"/>
              <w:gridCol w:w="1312"/>
              <w:gridCol w:w="1228"/>
            </w:tblGrid>
            <w:tr w14:paraId="35AA1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shd w:val="clear" w:color="auto" w:fill="auto"/>
                  <w:vAlign w:val="center"/>
                </w:tcPr>
                <w:p w14:paraId="41A287A1">
                  <w:pPr>
                    <w:widowControl/>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序号</w:t>
                  </w:r>
                </w:p>
              </w:tc>
              <w:tc>
                <w:tcPr>
                  <w:tcW w:w="1436" w:type="dxa"/>
                  <w:shd w:val="clear" w:color="auto" w:fill="auto"/>
                  <w:vAlign w:val="center"/>
                </w:tcPr>
                <w:p w14:paraId="740EB201">
                  <w:pPr>
                    <w:widowControl/>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产生环节</w:t>
                  </w:r>
                </w:p>
              </w:tc>
              <w:tc>
                <w:tcPr>
                  <w:tcW w:w="1139" w:type="dxa"/>
                  <w:shd w:val="clear" w:color="auto" w:fill="auto"/>
                  <w:vAlign w:val="center"/>
                </w:tcPr>
                <w:p w14:paraId="06B404F4">
                  <w:pPr>
                    <w:widowControl/>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固废名称</w:t>
                  </w:r>
                </w:p>
              </w:tc>
              <w:tc>
                <w:tcPr>
                  <w:tcW w:w="1174" w:type="dxa"/>
                  <w:shd w:val="clear" w:color="auto" w:fill="auto"/>
                  <w:vAlign w:val="center"/>
                </w:tcPr>
                <w:p w14:paraId="3AA785F1">
                  <w:pPr>
                    <w:widowControl/>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属性</w:t>
                  </w:r>
                </w:p>
              </w:tc>
              <w:tc>
                <w:tcPr>
                  <w:tcW w:w="0" w:type="auto"/>
                  <w:shd w:val="clear" w:color="auto" w:fill="auto"/>
                  <w:vAlign w:val="center"/>
                </w:tcPr>
                <w:p w14:paraId="50A8770D">
                  <w:pPr>
                    <w:widowControl/>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主要有毒有害物质名称</w:t>
                  </w:r>
                </w:p>
              </w:tc>
              <w:tc>
                <w:tcPr>
                  <w:tcW w:w="0" w:type="auto"/>
                  <w:shd w:val="clear" w:color="auto" w:fill="auto"/>
                  <w:vAlign w:val="center"/>
                </w:tcPr>
                <w:p w14:paraId="33C7827D">
                  <w:pPr>
                    <w:widowControl/>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物理性状</w:t>
                  </w:r>
                </w:p>
              </w:tc>
              <w:tc>
                <w:tcPr>
                  <w:tcW w:w="0" w:type="auto"/>
                  <w:shd w:val="clear" w:color="auto" w:fill="auto"/>
                  <w:vAlign w:val="center"/>
                </w:tcPr>
                <w:p w14:paraId="4444B5C3">
                  <w:pPr>
                    <w:widowControl/>
                    <w:jc w:val="center"/>
                    <w:textAlignment w:val="center"/>
                    <w:rPr>
                      <w:rFonts w:hint="default" w:eastAsia="宋体"/>
                      <w:b/>
                      <w:bCs/>
                      <w:color w:val="000000" w:themeColor="text1"/>
                      <w:szCs w:val="21"/>
                      <w:highlight w:val="none"/>
                      <w:lang w:val="en-US" w:eastAsia="zh-CN"/>
                      <w14:textFill>
                        <w14:solidFill>
                          <w14:schemeClr w14:val="tx1"/>
                        </w14:solidFill>
                      </w14:textFill>
                    </w:rPr>
                  </w:pPr>
                  <w:r>
                    <w:rPr>
                      <w:b/>
                      <w:bCs/>
                      <w:color w:val="000000" w:themeColor="text1"/>
                      <w:kern w:val="0"/>
                      <w:szCs w:val="21"/>
                      <w:highlight w:val="none"/>
                      <w:lang w:bidi="ar"/>
                      <w14:textFill>
                        <w14:solidFill>
                          <w14:schemeClr w14:val="tx1"/>
                        </w14:solidFill>
                      </w14:textFill>
                    </w:rPr>
                    <w:t>环境危险特性</w:t>
                  </w:r>
                  <w:r>
                    <w:rPr>
                      <w:rFonts w:hint="eastAsia"/>
                      <w:b/>
                      <w:bCs/>
                      <w:color w:val="000000" w:themeColor="text1"/>
                      <w:kern w:val="0"/>
                      <w:szCs w:val="21"/>
                      <w:highlight w:val="none"/>
                      <w:lang w:val="en-US" w:eastAsia="zh-CN" w:bidi="ar"/>
                      <w14:textFill>
                        <w14:solidFill>
                          <w14:schemeClr w14:val="tx1"/>
                        </w14:solidFill>
                      </w14:textFill>
                    </w:rPr>
                    <w:t>/代码</w:t>
                  </w:r>
                </w:p>
              </w:tc>
              <w:tc>
                <w:tcPr>
                  <w:tcW w:w="824" w:type="dxa"/>
                  <w:shd w:val="clear" w:color="auto" w:fill="auto"/>
                  <w:vAlign w:val="center"/>
                </w:tcPr>
                <w:p w14:paraId="1A8FE92E">
                  <w:pPr>
                    <w:widowControl/>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产生量t/a</w:t>
                  </w:r>
                </w:p>
              </w:tc>
              <w:tc>
                <w:tcPr>
                  <w:tcW w:w="1781" w:type="dxa"/>
                  <w:shd w:val="clear" w:color="auto" w:fill="auto"/>
                  <w:vAlign w:val="center"/>
                </w:tcPr>
                <w:p w14:paraId="14C34367">
                  <w:pPr>
                    <w:widowControl/>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贮存方式</w:t>
                  </w:r>
                </w:p>
              </w:tc>
              <w:tc>
                <w:tcPr>
                  <w:tcW w:w="1312" w:type="dxa"/>
                  <w:shd w:val="clear" w:color="auto" w:fill="auto"/>
                  <w:vAlign w:val="center"/>
                </w:tcPr>
                <w:p w14:paraId="6E5B936B">
                  <w:pPr>
                    <w:widowControl/>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利用或处置方式</w:t>
                  </w:r>
                </w:p>
              </w:tc>
              <w:tc>
                <w:tcPr>
                  <w:tcW w:w="1228" w:type="dxa"/>
                  <w:shd w:val="clear" w:color="auto" w:fill="auto"/>
                  <w:vAlign w:val="center"/>
                </w:tcPr>
                <w:p w14:paraId="3838F541">
                  <w:pPr>
                    <w:widowControl/>
                    <w:jc w:val="center"/>
                    <w:textAlignment w:val="center"/>
                    <w:rPr>
                      <w:b/>
                      <w:bCs/>
                      <w:color w:val="000000" w:themeColor="text1"/>
                      <w:szCs w:val="21"/>
                      <w:highlight w:val="none"/>
                      <w14:textFill>
                        <w14:solidFill>
                          <w14:schemeClr w14:val="tx1"/>
                        </w14:solidFill>
                      </w14:textFill>
                    </w:rPr>
                  </w:pPr>
                  <w:r>
                    <w:rPr>
                      <w:b/>
                      <w:bCs/>
                      <w:color w:val="000000" w:themeColor="text1"/>
                      <w:kern w:val="0"/>
                      <w:szCs w:val="21"/>
                      <w:highlight w:val="none"/>
                      <w:lang w:bidi="ar"/>
                      <w14:textFill>
                        <w14:solidFill>
                          <w14:schemeClr w14:val="tx1"/>
                        </w14:solidFill>
                      </w14:textFill>
                    </w:rPr>
                    <w:t>利用或处置量t/a</w:t>
                  </w:r>
                </w:p>
              </w:tc>
            </w:tr>
            <w:tr w14:paraId="798CC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shd w:val="clear" w:color="auto" w:fill="auto"/>
                  <w:vAlign w:val="center"/>
                </w:tcPr>
                <w:p w14:paraId="48E7D3AF">
                  <w:pPr>
                    <w:widowControl/>
                    <w:jc w:val="center"/>
                    <w:textAlignment w:val="center"/>
                    <w:rPr>
                      <w:rFonts w:hint="eastAsia"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1</w:t>
                  </w:r>
                </w:p>
              </w:tc>
              <w:tc>
                <w:tcPr>
                  <w:tcW w:w="1436" w:type="dxa"/>
                  <w:shd w:val="clear" w:color="auto" w:fill="auto"/>
                  <w:vAlign w:val="center"/>
                </w:tcPr>
                <w:p w14:paraId="053A9482">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碳化工序</w:t>
                  </w:r>
                </w:p>
              </w:tc>
              <w:tc>
                <w:tcPr>
                  <w:tcW w:w="1139" w:type="dxa"/>
                  <w:shd w:val="clear" w:color="auto" w:fill="auto"/>
                  <w:vAlign w:val="center"/>
                </w:tcPr>
                <w:p w14:paraId="21E0DACB">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碳化渣</w:t>
                  </w:r>
                </w:p>
              </w:tc>
              <w:tc>
                <w:tcPr>
                  <w:tcW w:w="1174" w:type="dxa"/>
                  <w:shd w:val="clear" w:color="auto" w:fill="auto"/>
                  <w:vAlign w:val="center"/>
                </w:tcPr>
                <w:p w14:paraId="0DEF4EAB">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一般固废</w:t>
                  </w:r>
                </w:p>
              </w:tc>
              <w:tc>
                <w:tcPr>
                  <w:tcW w:w="0" w:type="auto"/>
                  <w:shd w:val="clear" w:color="auto" w:fill="auto"/>
                  <w:vAlign w:val="center"/>
                </w:tcPr>
                <w:p w14:paraId="4C0CBCDF">
                  <w:pPr>
                    <w:widowControl/>
                    <w:jc w:val="center"/>
                    <w:textAlignment w:val="center"/>
                    <w:rPr>
                      <w:rFonts w:hint="eastAsia"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无</w:t>
                  </w:r>
                </w:p>
              </w:tc>
              <w:tc>
                <w:tcPr>
                  <w:tcW w:w="0" w:type="auto"/>
                  <w:shd w:val="clear" w:color="auto" w:fill="auto"/>
                  <w:vAlign w:val="center"/>
                </w:tcPr>
                <w:p w14:paraId="4608DC99">
                  <w:pPr>
                    <w:widowControl/>
                    <w:jc w:val="center"/>
                    <w:textAlignment w:val="center"/>
                    <w:rPr>
                      <w:rFonts w:hint="eastAsia"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固体</w:t>
                  </w:r>
                </w:p>
              </w:tc>
              <w:tc>
                <w:tcPr>
                  <w:tcW w:w="0" w:type="auto"/>
                  <w:shd w:val="clear" w:color="auto" w:fill="auto"/>
                  <w:vAlign w:val="center"/>
                </w:tcPr>
                <w:p w14:paraId="09198D4E">
                  <w:pPr>
                    <w:widowControl/>
                    <w:jc w:val="center"/>
                    <w:textAlignment w:val="center"/>
                    <w:rPr>
                      <w:rFonts w:hint="eastAsia"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无</w:t>
                  </w:r>
                </w:p>
              </w:tc>
              <w:tc>
                <w:tcPr>
                  <w:tcW w:w="824" w:type="dxa"/>
                  <w:shd w:val="clear" w:color="auto" w:fill="auto"/>
                  <w:vAlign w:val="center"/>
                </w:tcPr>
                <w:p w14:paraId="31767E2A">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26.26</w:t>
                  </w:r>
                </w:p>
              </w:tc>
              <w:tc>
                <w:tcPr>
                  <w:tcW w:w="1781" w:type="dxa"/>
                  <w:shd w:val="clear" w:color="auto" w:fill="auto"/>
                  <w:vAlign w:val="center"/>
                </w:tcPr>
                <w:p w14:paraId="62C11384">
                  <w:pPr>
                    <w:widowControl/>
                    <w:jc w:val="center"/>
                    <w:textAlignment w:val="center"/>
                    <w:rPr>
                      <w:color w:val="000000" w:themeColor="text1"/>
                      <w:kern w:val="0"/>
                      <w:szCs w:val="21"/>
                      <w:highlight w:val="none"/>
                      <w:lang w:bidi="ar"/>
                      <w14:textFill>
                        <w14:solidFill>
                          <w14:schemeClr w14:val="tx1"/>
                        </w14:solidFill>
                      </w14:textFill>
                    </w:rPr>
                  </w:pPr>
                  <w:r>
                    <w:rPr>
                      <w:rFonts w:hint="eastAsia" w:ascii="宋体" w:hAnsi="宋体"/>
                      <w:color w:val="000000"/>
                      <w:kern w:val="0"/>
                      <w:highlight w:val="none"/>
                    </w:rPr>
                    <w:t>一般固废储存</w:t>
                  </w:r>
                </w:p>
              </w:tc>
              <w:tc>
                <w:tcPr>
                  <w:tcW w:w="1312" w:type="dxa"/>
                  <w:shd w:val="clear" w:color="auto" w:fill="auto"/>
                  <w:vAlign w:val="center"/>
                </w:tcPr>
                <w:p w14:paraId="1992B4F4">
                  <w:pPr>
                    <w:widowControl/>
                    <w:jc w:val="center"/>
                    <w:textAlignment w:val="center"/>
                    <w:rPr>
                      <w:rFonts w:hint="eastAsia" w:eastAsia="宋体"/>
                      <w:color w:val="000000" w:themeColor="text1"/>
                      <w:kern w:val="0"/>
                      <w:szCs w:val="21"/>
                      <w:highlight w:val="none"/>
                      <w:lang w:val="en-US" w:eastAsia="zh-CN" w:bidi="ar"/>
                      <w14:textFill>
                        <w14:solidFill>
                          <w14:schemeClr w14:val="tx1"/>
                        </w14:solidFill>
                      </w14:textFill>
                    </w:rPr>
                  </w:pPr>
                  <w:r>
                    <w:rPr>
                      <w:rFonts w:hint="eastAsia" w:ascii="Times New Roman" w:hAnsi="Times New Roman"/>
                      <w:color w:val="auto"/>
                      <w:highlight w:val="none"/>
                    </w:rPr>
                    <w:t>作炭化窑点火引燃材料</w:t>
                  </w:r>
                  <w:r>
                    <w:rPr>
                      <w:rFonts w:hint="eastAsia" w:ascii="Times New Roman" w:hAnsi="Times New Roman"/>
                      <w:color w:val="auto"/>
                      <w:highlight w:val="none"/>
                      <w:lang w:val="en-US" w:eastAsia="zh-CN"/>
                    </w:rPr>
                    <w:t>用</w:t>
                  </w:r>
                </w:p>
              </w:tc>
              <w:tc>
                <w:tcPr>
                  <w:tcW w:w="1228" w:type="dxa"/>
                  <w:shd w:val="clear" w:color="auto" w:fill="auto"/>
                  <w:vAlign w:val="center"/>
                </w:tcPr>
                <w:p w14:paraId="1E073883">
                  <w:pPr>
                    <w:widowControl/>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26.26</w:t>
                  </w:r>
                </w:p>
              </w:tc>
            </w:tr>
            <w:tr w14:paraId="2CDF3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shd w:val="clear" w:color="auto" w:fill="auto"/>
                  <w:vAlign w:val="center"/>
                </w:tcPr>
                <w:p w14:paraId="6F21F9EB">
                  <w:pPr>
                    <w:widowControl/>
                    <w:jc w:val="center"/>
                    <w:textAlignment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2</w:t>
                  </w:r>
                </w:p>
              </w:tc>
              <w:tc>
                <w:tcPr>
                  <w:tcW w:w="1436" w:type="dxa"/>
                  <w:shd w:val="clear" w:color="auto" w:fill="auto"/>
                  <w:vAlign w:val="center"/>
                </w:tcPr>
                <w:p w14:paraId="7D20795F">
                  <w:pPr>
                    <w:widowControl/>
                    <w:jc w:val="center"/>
                    <w:textAlignment w:val="center"/>
                    <w:rPr>
                      <w:rFonts w:hint="default"/>
                      <w:color w:val="000000" w:themeColor="text1"/>
                      <w:kern w:val="0"/>
                      <w:szCs w:val="21"/>
                      <w:highlight w:val="none"/>
                      <w:lang w:val="en-US"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燃烧炉燃烧</w:t>
                  </w:r>
                </w:p>
              </w:tc>
              <w:tc>
                <w:tcPr>
                  <w:tcW w:w="1139" w:type="dxa"/>
                  <w:shd w:val="clear" w:color="auto" w:fill="auto"/>
                  <w:vAlign w:val="center"/>
                </w:tcPr>
                <w:p w14:paraId="40669FEE">
                  <w:pPr>
                    <w:widowControl/>
                    <w:jc w:val="center"/>
                    <w:textAlignment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燃料灰渣</w:t>
                  </w:r>
                </w:p>
              </w:tc>
              <w:tc>
                <w:tcPr>
                  <w:tcW w:w="1174" w:type="dxa"/>
                  <w:shd w:val="clear" w:color="auto" w:fill="auto"/>
                  <w:vAlign w:val="center"/>
                </w:tcPr>
                <w:p w14:paraId="39EE7C2C">
                  <w:pPr>
                    <w:widowControl/>
                    <w:jc w:val="center"/>
                    <w:textAlignment w:val="center"/>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一般固废</w:t>
                  </w:r>
                </w:p>
              </w:tc>
              <w:tc>
                <w:tcPr>
                  <w:tcW w:w="0" w:type="auto"/>
                  <w:shd w:val="clear" w:color="auto" w:fill="auto"/>
                  <w:vAlign w:val="center"/>
                </w:tcPr>
                <w:p w14:paraId="413CC615">
                  <w:pPr>
                    <w:widowControl/>
                    <w:jc w:val="center"/>
                    <w:textAlignment w:val="center"/>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无</w:t>
                  </w:r>
                </w:p>
              </w:tc>
              <w:tc>
                <w:tcPr>
                  <w:tcW w:w="0" w:type="auto"/>
                  <w:shd w:val="clear" w:color="auto" w:fill="auto"/>
                  <w:vAlign w:val="center"/>
                </w:tcPr>
                <w:p w14:paraId="5C377687">
                  <w:pPr>
                    <w:widowControl/>
                    <w:jc w:val="center"/>
                    <w:textAlignment w:val="center"/>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固体</w:t>
                  </w:r>
                </w:p>
              </w:tc>
              <w:tc>
                <w:tcPr>
                  <w:tcW w:w="0" w:type="auto"/>
                  <w:shd w:val="clear" w:color="auto" w:fill="auto"/>
                  <w:vAlign w:val="center"/>
                </w:tcPr>
                <w:p w14:paraId="0D3F6F0D">
                  <w:pPr>
                    <w:widowControl/>
                    <w:jc w:val="center"/>
                    <w:textAlignment w:val="center"/>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无</w:t>
                  </w:r>
                </w:p>
              </w:tc>
              <w:tc>
                <w:tcPr>
                  <w:tcW w:w="824" w:type="dxa"/>
                  <w:shd w:val="clear" w:color="auto" w:fill="auto"/>
                  <w:vAlign w:val="center"/>
                </w:tcPr>
                <w:p w14:paraId="5D7616C1">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24</w:t>
                  </w:r>
                </w:p>
              </w:tc>
              <w:tc>
                <w:tcPr>
                  <w:tcW w:w="1781" w:type="dxa"/>
                  <w:tcBorders>
                    <w:top w:val="single" w:color="000000" w:sz="4" w:space="0"/>
                    <w:left w:val="single" w:color="000000" w:sz="4" w:space="0"/>
                    <w:bottom w:val="single" w:color="000000" w:sz="4" w:space="0"/>
                    <w:right w:val="single" w:color="000000" w:sz="4" w:space="0"/>
                  </w:tcBorders>
                  <w:vAlign w:val="center"/>
                </w:tcPr>
                <w:p w14:paraId="1F771999">
                  <w:pPr>
                    <w:widowControl/>
                    <w:jc w:val="center"/>
                    <w:textAlignment w:val="center"/>
                    <w:rPr>
                      <w:color w:val="000000"/>
                      <w:kern w:val="0"/>
                      <w:szCs w:val="21"/>
                      <w:highlight w:val="none"/>
                    </w:rPr>
                  </w:pPr>
                  <w:r>
                    <w:rPr>
                      <w:rFonts w:hint="eastAsia" w:ascii="宋体" w:hAnsi="宋体"/>
                      <w:color w:val="000000"/>
                      <w:kern w:val="0"/>
                      <w:highlight w:val="none"/>
                    </w:rPr>
                    <w:t>一般固废储存</w:t>
                  </w:r>
                </w:p>
              </w:tc>
              <w:tc>
                <w:tcPr>
                  <w:tcW w:w="1312" w:type="dxa"/>
                  <w:shd w:val="clear" w:color="auto" w:fill="auto"/>
                  <w:vAlign w:val="center"/>
                </w:tcPr>
                <w:p w14:paraId="5FF65584">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用作肥料</w:t>
                  </w:r>
                </w:p>
              </w:tc>
              <w:tc>
                <w:tcPr>
                  <w:tcW w:w="1228" w:type="dxa"/>
                  <w:shd w:val="clear" w:color="auto" w:fill="auto"/>
                  <w:vAlign w:val="center"/>
                </w:tcPr>
                <w:p w14:paraId="72D24FF3">
                  <w:pPr>
                    <w:widowControl/>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24</w:t>
                  </w:r>
                </w:p>
              </w:tc>
            </w:tr>
            <w:tr w14:paraId="6A989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shd w:val="clear" w:color="auto" w:fill="auto"/>
                  <w:vAlign w:val="center"/>
                </w:tcPr>
                <w:p w14:paraId="4DD007F8">
                  <w:pPr>
                    <w:widowControl/>
                    <w:jc w:val="center"/>
                    <w:textAlignment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3</w:t>
                  </w:r>
                </w:p>
              </w:tc>
              <w:tc>
                <w:tcPr>
                  <w:tcW w:w="1436" w:type="dxa"/>
                  <w:shd w:val="clear" w:color="auto" w:fill="auto"/>
                  <w:vAlign w:val="center"/>
                </w:tcPr>
                <w:p w14:paraId="0C6A1FFE">
                  <w:pPr>
                    <w:widowControl/>
                    <w:jc w:val="center"/>
                    <w:textAlignment w:val="center"/>
                    <w:rPr>
                      <w:rFonts w:hint="default"/>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旋风除尘器</w:t>
                  </w:r>
                </w:p>
              </w:tc>
              <w:tc>
                <w:tcPr>
                  <w:tcW w:w="1139" w:type="dxa"/>
                  <w:shd w:val="clear" w:color="auto" w:fill="auto"/>
                  <w:vAlign w:val="center"/>
                </w:tcPr>
                <w:p w14:paraId="732076DE">
                  <w:pPr>
                    <w:widowControl/>
                    <w:jc w:val="center"/>
                    <w:textAlignment w:val="center"/>
                    <w:rPr>
                      <w:rFonts w:hint="eastAsia"/>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除尘器粉尘</w:t>
                  </w:r>
                </w:p>
              </w:tc>
              <w:tc>
                <w:tcPr>
                  <w:tcW w:w="1174" w:type="dxa"/>
                  <w:shd w:val="clear" w:color="auto" w:fill="auto"/>
                  <w:vAlign w:val="center"/>
                </w:tcPr>
                <w:p w14:paraId="21CC1AEE">
                  <w:pPr>
                    <w:widowControl/>
                    <w:jc w:val="center"/>
                    <w:textAlignment w:val="center"/>
                    <w:rPr>
                      <w:rFonts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一般固废</w:t>
                  </w:r>
                </w:p>
              </w:tc>
              <w:tc>
                <w:tcPr>
                  <w:tcW w:w="0" w:type="auto"/>
                  <w:shd w:val="clear" w:color="auto" w:fill="auto"/>
                  <w:vAlign w:val="center"/>
                </w:tcPr>
                <w:p w14:paraId="1CD8C4D2">
                  <w:pPr>
                    <w:widowControl/>
                    <w:jc w:val="center"/>
                    <w:textAlignment w:val="center"/>
                    <w:rPr>
                      <w:rFonts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无</w:t>
                  </w:r>
                </w:p>
              </w:tc>
              <w:tc>
                <w:tcPr>
                  <w:tcW w:w="0" w:type="auto"/>
                  <w:shd w:val="clear" w:color="auto" w:fill="auto"/>
                  <w:vAlign w:val="center"/>
                </w:tcPr>
                <w:p w14:paraId="7882DABE">
                  <w:pPr>
                    <w:widowControl/>
                    <w:jc w:val="center"/>
                    <w:textAlignment w:val="center"/>
                    <w:rPr>
                      <w:rFonts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固体</w:t>
                  </w:r>
                </w:p>
              </w:tc>
              <w:tc>
                <w:tcPr>
                  <w:tcW w:w="0" w:type="auto"/>
                  <w:shd w:val="clear" w:color="auto" w:fill="auto"/>
                  <w:vAlign w:val="center"/>
                </w:tcPr>
                <w:p w14:paraId="190E8031">
                  <w:pPr>
                    <w:widowControl/>
                    <w:jc w:val="center"/>
                    <w:textAlignment w:val="center"/>
                    <w:rPr>
                      <w:rFonts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无</w:t>
                  </w:r>
                </w:p>
              </w:tc>
              <w:tc>
                <w:tcPr>
                  <w:tcW w:w="824" w:type="dxa"/>
                  <w:shd w:val="clear" w:color="auto" w:fill="auto"/>
                  <w:vAlign w:val="center"/>
                </w:tcPr>
                <w:p w14:paraId="63C14315">
                  <w:pPr>
                    <w:widowControl/>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54.503</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7995">
                  <w:pPr>
                    <w:widowControl/>
                    <w:jc w:val="center"/>
                    <w:textAlignment w:val="center"/>
                    <w:rPr>
                      <w:rFonts w:hint="eastAsia" w:ascii="Times New Roman" w:hAnsi="Times New Roman" w:eastAsia="宋体" w:cs="Times New Roman"/>
                      <w:color w:val="000000"/>
                      <w:kern w:val="0"/>
                      <w:sz w:val="21"/>
                      <w:szCs w:val="21"/>
                      <w:highlight w:val="none"/>
                      <w:lang w:val="en-US" w:eastAsia="zh-CN" w:bidi="ar-SA"/>
                    </w:rPr>
                  </w:pPr>
                  <w:r>
                    <w:rPr>
                      <w:rFonts w:hint="eastAsia" w:ascii="宋体" w:hAnsi="宋体"/>
                      <w:color w:val="000000"/>
                      <w:kern w:val="0"/>
                      <w:highlight w:val="none"/>
                    </w:rPr>
                    <w:t>一般固废储存</w:t>
                  </w:r>
                </w:p>
              </w:tc>
              <w:tc>
                <w:tcPr>
                  <w:tcW w:w="1312" w:type="dxa"/>
                  <w:shd w:val="clear" w:color="auto" w:fill="auto"/>
                  <w:vAlign w:val="center"/>
                </w:tcPr>
                <w:p w14:paraId="719476BE">
                  <w:pPr>
                    <w:widowControl/>
                    <w:jc w:val="center"/>
                    <w:textAlignment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回用于生产</w:t>
                  </w:r>
                </w:p>
              </w:tc>
              <w:tc>
                <w:tcPr>
                  <w:tcW w:w="1228" w:type="dxa"/>
                  <w:shd w:val="clear" w:color="auto" w:fill="auto"/>
                  <w:vAlign w:val="center"/>
                </w:tcPr>
                <w:p w14:paraId="0D981F62">
                  <w:pPr>
                    <w:widowControl/>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54.503</w:t>
                  </w:r>
                </w:p>
              </w:tc>
            </w:tr>
            <w:tr w14:paraId="34065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shd w:val="clear" w:color="auto" w:fill="auto"/>
                  <w:vAlign w:val="center"/>
                </w:tcPr>
                <w:p w14:paraId="4ED4F59C">
                  <w:pPr>
                    <w:widowControl/>
                    <w:jc w:val="center"/>
                    <w:textAlignment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4</w:t>
                  </w:r>
                </w:p>
              </w:tc>
              <w:tc>
                <w:tcPr>
                  <w:tcW w:w="1436" w:type="dxa"/>
                  <w:shd w:val="clear" w:color="auto" w:fill="auto"/>
                  <w:vAlign w:val="center"/>
                </w:tcPr>
                <w:p w14:paraId="040EDBFD">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cs="Times New Roman"/>
                      <w:color w:val="000000" w:themeColor="text1"/>
                      <w:kern w:val="0"/>
                      <w:szCs w:val="21"/>
                      <w:highlight w:val="none"/>
                      <w:lang w:val="en-US" w:eastAsia="zh-CN" w:bidi="ar"/>
                      <w14:textFill>
                        <w14:solidFill>
                          <w14:schemeClr w14:val="tx1"/>
                        </w14:solidFill>
                      </w14:textFill>
                    </w:rPr>
                    <w:t>喷淋除尘脱硫塔</w:t>
                  </w:r>
                </w:p>
              </w:tc>
              <w:tc>
                <w:tcPr>
                  <w:tcW w:w="1139" w:type="dxa"/>
                  <w:shd w:val="clear" w:color="auto" w:fill="auto"/>
                  <w:vAlign w:val="center"/>
                </w:tcPr>
                <w:p w14:paraId="5358C30C">
                  <w:pPr>
                    <w:widowControl/>
                    <w:jc w:val="center"/>
                    <w:textAlignment w:val="center"/>
                    <w:rPr>
                      <w:color w:val="000000" w:themeColor="text1"/>
                      <w:kern w:val="0"/>
                      <w:szCs w:val="21"/>
                      <w:highlight w:val="none"/>
                      <w:lang w:bidi="ar"/>
                      <w14:textFill>
                        <w14:solidFill>
                          <w14:schemeClr w14:val="tx1"/>
                        </w14:solidFill>
                      </w14:textFill>
                    </w:rPr>
                  </w:pPr>
                  <w:r>
                    <w:rPr>
                      <w:rFonts w:hint="eastAsia"/>
                      <w:color w:val="000000" w:themeColor="text1"/>
                      <w:kern w:val="0"/>
                      <w:szCs w:val="21"/>
                      <w:highlight w:val="none"/>
                      <w:lang w:bidi="ar"/>
                      <w14:textFill>
                        <w14:solidFill>
                          <w14:schemeClr w14:val="tx1"/>
                        </w14:solidFill>
                      </w14:textFill>
                    </w:rPr>
                    <w:t>沉渣</w:t>
                  </w:r>
                </w:p>
              </w:tc>
              <w:tc>
                <w:tcPr>
                  <w:tcW w:w="1174" w:type="dxa"/>
                  <w:shd w:val="clear" w:color="auto" w:fill="auto"/>
                  <w:vAlign w:val="center"/>
                </w:tcPr>
                <w:p w14:paraId="24CD7739">
                  <w:pPr>
                    <w:widowControl/>
                    <w:jc w:val="center"/>
                    <w:textAlignment w:val="center"/>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一般固废</w:t>
                  </w:r>
                </w:p>
              </w:tc>
              <w:tc>
                <w:tcPr>
                  <w:tcW w:w="0" w:type="auto"/>
                  <w:shd w:val="clear" w:color="auto" w:fill="auto"/>
                  <w:vAlign w:val="center"/>
                </w:tcPr>
                <w:p w14:paraId="0D589F6B">
                  <w:pPr>
                    <w:widowControl/>
                    <w:jc w:val="center"/>
                    <w:textAlignment w:val="center"/>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无</w:t>
                  </w:r>
                </w:p>
              </w:tc>
              <w:tc>
                <w:tcPr>
                  <w:tcW w:w="0" w:type="auto"/>
                  <w:shd w:val="clear" w:color="auto" w:fill="auto"/>
                  <w:vAlign w:val="center"/>
                </w:tcPr>
                <w:p w14:paraId="068BA940">
                  <w:pPr>
                    <w:widowControl/>
                    <w:jc w:val="center"/>
                    <w:textAlignment w:val="center"/>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固体</w:t>
                  </w:r>
                </w:p>
              </w:tc>
              <w:tc>
                <w:tcPr>
                  <w:tcW w:w="0" w:type="auto"/>
                  <w:shd w:val="clear" w:color="auto" w:fill="auto"/>
                  <w:vAlign w:val="center"/>
                </w:tcPr>
                <w:p w14:paraId="62064C7B">
                  <w:pPr>
                    <w:widowControl/>
                    <w:jc w:val="center"/>
                    <w:textAlignment w:val="center"/>
                    <w:rPr>
                      <w:color w:val="000000" w:themeColor="text1"/>
                      <w:kern w:val="0"/>
                      <w:szCs w:val="21"/>
                      <w:highlight w:val="none"/>
                      <w:lang w:bidi="ar"/>
                      <w14:textFill>
                        <w14:solidFill>
                          <w14:schemeClr w14:val="tx1"/>
                        </w14:solidFill>
                      </w14:textFill>
                    </w:rPr>
                  </w:pPr>
                  <w:r>
                    <w:rPr>
                      <w:color w:val="000000" w:themeColor="text1"/>
                      <w:kern w:val="0"/>
                      <w:szCs w:val="21"/>
                      <w:highlight w:val="none"/>
                      <w:lang w:bidi="ar"/>
                      <w14:textFill>
                        <w14:solidFill>
                          <w14:schemeClr w14:val="tx1"/>
                        </w14:solidFill>
                      </w14:textFill>
                    </w:rPr>
                    <w:t>无</w:t>
                  </w:r>
                </w:p>
              </w:tc>
              <w:tc>
                <w:tcPr>
                  <w:tcW w:w="824" w:type="dxa"/>
                  <w:shd w:val="clear" w:color="auto" w:fill="auto"/>
                  <w:vAlign w:val="center"/>
                </w:tcPr>
                <w:p w14:paraId="4EFC766A">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28.69</w:t>
                  </w:r>
                </w:p>
              </w:tc>
              <w:tc>
                <w:tcPr>
                  <w:tcW w:w="1781" w:type="dxa"/>
                  <w:tcBorders>
                    <w:top w:val="single" w:color="000000" w:sz="4" w:space="0"/>
                    <w:left w:val="single" w:color="000000" w:sz="4" w:space="0"/>
                    <w:bottom w:val="single" w:color="000000" w:sz="4" w:space="0"/>
                    <w:right w:val="single" w:color="000000" w:sz="4" w:space="0"/>
                  </w:tcBorders>
                  <w:vAlign w:val="center"/>
                </w:tcPr>
                <w:p w14:paraId="13C01636">
                  <w:pPr>
                    <w:widowControl/>
                    <w:jc w:val="center"/>
                    <w:textAlignment w:val="center"/>
                    <w:rPr>
                      <w:color w:val="000000"/>
                      <w:kern w:val="0"/>
                      <w:szCs w:val="21"/>
                      <w:highlight w:val="none"/>
                    </w:rPr>
                  </w:pPr>
                  <w:r>
                    <w:rPr>
                      <w:rFonts w:hint="eastAsia" w:ascii="宋体" w:hAnsi="宋体"/>
                      <w:color w:val="000000"/>
                      <w:kern w:val="0"/>
                      <w:highlight w:val="none"/>
                    </w:rPr>
                    <w:t>一般固废储存</w:t>
                  </w:r>
                </w:p>
              </w:tc>
              <w:tc>
                <w:tcPr>
                  <w:tcW w:w="1312" w:type="dxa"/>
                  <w:shd w:val="clear" w:color="auto" w:fill="auto"/>
                  <w:vAlign w:val="center"/>
                </w:tcPr>
                <w:p w14:paraId="287314C2">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环卫部门清运处理</w:t>
                  </w:r>
                </w:p>
              </w:tc>
              <w:tc>
                <w:tcPr>
                  <w:tcW w:w="1228" w:type="dxa"/>
                  <w:shd w:val="clear" w:color="auto" w:fill="auto"/>
                  <w:vAlign w:val="center"/>
                </w:tcPr>
                <w:p w14:paraId="1CE709EE">
                  <w:pPr>
                    <w:widowControl/>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28.69</w:t>
                  </w:r>
                </w:p>
              </w:tc>
            </w:tr>
            <w:tr w14:paraId="04590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shd w:val="clear" w:color="auto" w:fill="auto"/>
                  <w:vAlign w:val="center"/>
                </w:tcPr>
                <w:p w14:paraId="5AFB281F">
                  <w:pPr>
                    <w:widowControl/>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color w:val="000000" w:themeColor="text1"/>
                      <w:kern w:val="0"/>
                      <w:szCs w:val="21"/>
                      <w:highlight w:val="none"/>
                      <w:lang w:val="en-US" w:eastAsia="zh-CN" w:bidi="ar"/>
                      <w14:textFill>
                        <w14:solidFill>
                          <w14:schemeClr w14:val="tx1"/>
                        </w14:solidFill>
                      </w14:textFill>
                    </w:rPr>
                    <w:t>5</w:t>
                  </w:r>
                </w:p>
              </w:tc>
              <w:tc>
                <w:tcPr>
                  <w:tcW w:w="1436" w:type="dxa"/>
                  <w:shd w:val="clear" w:color="auto" w:fill="auto"/>
                  <w:vAlign w:val="center"/>
                </w:tcPr>
                <w:p w14:paraId="41E82DA5">
                  <w:pPr>
                    <w:widowControl/>
                    <w:jc w:val="center"/>
                    <w:textAlignment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员工工作、生活</w:t>
                  </w:r>
                </w:p>
              </w:tc>
              <w:tc>
                <w:tcPr>
                  <w:tcW w:w="1139" w:type="dxa"/>
                  <w:shd w:val="clear" w:color="auto" w:fill="auto"/>
                  <w:vAlign w:val="center"/>
                </w:tcPr>
                <w:p w14:paraId="4799DAEC">
                  <w:pPr>
                    <w:widowControl/>
                    <w:jc w:val="center"/>
                    <w:textAlignment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生活垃圾</w:t>
                  </w:r>
                </w:p>
              </w:tc>
              <w:tc>
                <w:tcPr>
                  <w:tcW w:w="1174" w:type="dxa"/>
                  <w:shd w:val="clear" w:color="auto" w:fill="auto"/>
                  <w:vAlign w:val="center"/>
                </w:tcPr>
                <w:p w14:paraId="54ECD385">
                  <w:pPr>
                    <w:widowControl/>
                    <w:jc w:val="center"/>
                    <w:textAlignment w:val="center"/>
                    <w:rPr>
                      <w:rFonts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一般固废</w:t>
                  </w:r>
                </w:p>
              </w:tc>
              <w:tc>
                <w:tcPr>
                  <w:tcW w:w="0" w:type="auto"/>
                  <w:shd w:val="clear" w:color="auto" w:fill="auto"/>
                  <w:vAlign w:val="center"/>
                </w:tcPr>
                <w:p w14:paraId="43CC7471">
                  <w:pPr>
                    <w:widowControl/>
                    <w:jc w:val="center"/>
                    <w:textAlignment w:val="center"/>
                    <w:rPr>
                      <w:rFonts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无</w:t>
                  </w:r>
                </w:p>
              </w:tc>
              <w:tc>
                <w:tcPr>
                  <w:tcW w:w="0" w:type="auto"/>
                  <w:shd w:val="clear" w:color="auto" w:fill="auto"/>
                  <w:vAlign w:val="center"/>
                </w:tcPr>
                <w:p w14:paraId="1FE1DB64">
                  <w:pPr>
                    <w:widowControl/>
                    <w:jc w:val="center"/>
                    <w:textAlignment w:val="center"/>
                    <w:rPr>
                      <w:rFonts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固体</w:t>
                  </w:r>
                </w:p>
              </w:tc>
              <w:tc>
                <w:tcPr>
                  <w:tcW w:w="0" w:type="auto"/>
                  <w:shd w:val="clear" w:color="auto" w:fill="auto"/>
                  <w:vAlign w:val="center"/>
                </w:tcPr>
                <w:p w14:paraId="7B78BA0B">
                  <w:pPr>
                    <w:widowControl/>
                    <w:jc w:val="center"/>
                    <w:textAlignment w:val="center"/>
                    <w:rPr>
                      <w:rFonts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无</w:t>
                  </w:r>
                </w:p>
              </w:tc>
              <w:tc>
                <w:tcPr>
                  <w:tcW w:w="824" w:type="dxa"/>
                  <w:shd w:val="clear" w:color="auto" w:fill="auto"/>
                  <w:vAlign w:val="center"/>
                </w:tcPr>
                <w:p w14:paraId="3E227EE9">
                  <w:pPr>
                    <w:widowControl/>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1.5</w:t>
                  </w:r>
                </w:p>
              </w:tc>
              <w:tc>
                <w:tcPr>
                  <w:tcW w:w="1781" w:type="dxa"/>
                  <w:tcBorders>
                    <w:top w:val="single" w:color="000000" w:sz="4" w:space="0"/>
                    <w:left w:val="single" w:color="000000" w:sz="4" w:space="0"/>
                    <w:bottom w:val="single" w:color="000000" w:sz="4" w:space="0"/>
                    <w:right w:val="single" w:color="000000" w:sz="4" w:space="0"/>
                  </w:tcBorders>
                  <w:vAlign w:val="center"/>
                </w:tcPr>
                <w:p w14:paraId="2565C87E">
                  <w:pPr>
                    <w:widowControl/>
                    <w:jc w:val="center"/>
                    <w:textAlignment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生活垃圾收集点</w:t>
                  </w:r>
                </w:p>
              </w:tc>
              <w:tc>
                <w:tcPr>
                  <w:tcW w:w="1312" w:type="dxa"/>
                  <w:shd w:val="clear" w:color="auto" w:fill="auto"/>
                  <w:vAlign w:val="center"/>
                </w:tcPr>
                <w:p w14:paraId="462F51B0">
                  <w:pPr>
                    <w:widowControl/>
                    <w:jc w:val="center"/>
                    <w:textAlignment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color w:val="000000" w:themeColor="text1"/>
                      <w:kern w:val="0"/>
                      <w:szCs w:val="21"/>
                      <w:highlight w:val="none"/>
                      <w:lang w:bidi="ar"/>
                      <w14:textFill>
                        <w14:solidFill>
                          <w14:schemeClr w14:val="tx1"/>
                        </w14:solidFill>
                      </w14:textFill>
                    </w:rPr>
                    <w:t>环卫部门清运处理</w:t>
                  </w:r>
                </w:p>
              </w:tc>
              <w:tc>
                <w:tcPr>
                  <w:tcW w:w="1228" w:type="dxa"/>
                  <w:shd w:val="clear" w:color="auto" w:fill="auto"/>
                  <w:vAlign w:val="center"/>
                </w:tcPr>
                <w:p w14:paraId="59774776">
                  <w:pPr>
                    <w:widowControl/>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1.5</w:t>
                  </w:r>
                </w:p>
              </w:tc>
            </w:tr>
          </w:tbl>
          <w:p w14:paraId="68AA4EB8">
            <w:pPr>
              <w:adjustRightInd w:val="0"/>
              <w:snapToGrid w:val="0"/>
              <w:spacing w:line="360" w:lineRule="auto"/>
              <w:rPr>
                <w:highlight w:val="none"/>
              </w:rPr>
            </w:pPr>
          </w:p>
          <w:p w14:paraId="53A7F7AB">
            <w:pPr>
              <w:pStyle w:val="32"/>
              <w:ind w:firstLine="0" w:firstLineChars="0"/>
              <w:rPr>
                <w:highlight w:val="none"/>
              </w:rPr>
            </w:pPr>
          </w:p>
          <w:p w14:paraId="30713E02">
            <w:pPr>
              <w:pStyle w:val="32"/>
              <w:ind w:firstLine="0" w:firstLineChars="0"/>
              <w:rPr>
                <w:highlight w:val="none"/>
              </w:rPr>
            </w:pPr>
          </w:p>
          <w:p w14:paraId="21BDAF57">
            <w:pPr>
              <w:pStyle w:val="32"/>
              <w:ind w:firstLine="0" w:firstLineChars="0"/>
              <w:rPr>
                <w:highlight w:val="none"/>
              </w:rPr>
            </w:pPr>
          </w:p>
          <w:p w14:paraId="31555307">
            <w:pPr>
              <w:pStyle w:val="32"/>
              <w:ind w:firstLine="0" w:firstLineChars="0"/>
              <w:rPr>
                <w:highlight w:val="none"/>
              </w:rPr>
            </w:pPr>
          </w:p>
          <w:p w14:paraId="1D356CDB">
            <w:pPr>
              <w:pStyle w:val="32"/>
              <w:ind w:firstLine="0" w:firstLineChars="0"/>
              <w:rPr>
                <w:highlight w:val="none"/>
              </w:rPr>
            </w:pPr>
          </w:p>
          <w:p w14:paraId="5D250A03">
            <w:pPr>
              <w:pStyle w:val="32"/>
              <w:ind w:firstLine="0" w:firstLineChars="0"/>
              <w:rPr>
                <w:highlight w:val="none"/>
              </w:rPr>
            </w:pPr>
          </w:p>
          <w:p w14:paraId="671A9089">
            <w:pPr>
              <w:pStyle w:val="32"/>
              <w:ind w:firstLine="0" w:firstLineChars="0"/>
              <w:rPr>
                <w:highlight w:val="none"/>
              </w:rPr>
            </w:pPr>
          </w:p>
        </w:tc>
      </w:tr>
    </w:tbl>
    <w:p w14:paraId="73A368EE">
      <w:pPr>
        <w:rPr>
          <w:snapToGrid w:val="0"/>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4"/>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600"/>
      </w:tblGrid>
      <w:tr w14:paraId="60689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12" w:hRule="atLeast"/>
          <w:jc w:val="center"/>
        </w:trPr>
        <w:tc>
          <w:tcPr>
            <w:tcW w:w="746" w:type="dxa"/>
            <w:tcMar>
              <w:left w:w="28" w:type="dxa"/>
              <w:right w:w="28" w:type="dxa"/>
            </w:tcMar>
            <w:vAlign w:val="center"/>
          </w:tcPr>
          <w:p w14:paraId="75405CC6">
            <w:pPr>
              <w:adjustRightInd w:val="0"/>
              <w:snapToGrid w:val="0"/>
              <w:jc w:val="center"/>
              <w:rPr>
                <w:bCs/>
                <w:sz w:val="24"/>
                <w:szCs w:val="24"/>
                <w:highlight w:val="none"/>
              </w:rPr>
            </w:pPr>
            <w:r>
              <w:rPr>
                <w:bCs/>
                <w:sz w:val="24"/>
                <w:szCs w:val="24"/>
                <w:highlight w:val="none"/>
              </w:rPr>
              <w:t>运营</w:t>
            </w:r>
          </w:p>
          <w:p w14:paraId="0942D29E">
            <w:pPr>
              <w:adjustRightInd w:val="0"/>
              <w:snapToGrid w:val="0"/>
              <w:jc w:val="center"/>
              <w:rPr>
                <w:bCs/>
                <w:sz w:val="24"/>
                <w:szCs w:val="24"/>
                <w:highlight w:val="none"/>
              </w:rPr>
            </w:pPr>
            <w:r>
              <w:rPr>
                <w:bCs/>
                <w:sz w:val="24"/>
                <w:szCs w:val="24"/>
                <w:highlight w:val="none"/>
              </w:rPr>
              <w:t>期环</w:t>
            </w:r>
          </w:p>
          <w:p w14:paraId="4FA8EC28">
            <w:pPr>
              <w:adjustRightInd w:val="0"/>
              <w:snapToGrid w:val="0"/>
              <w:jc w:val="center"/>
              <w:rPr>
                <w:bCs/>
                <w:sz w:val="24"/>
                <w:szCs w:val="24"/>
                <w:highlight w:val="none"/>
              </w:rPr>
            </w:pPr>
            <w:r>
              <w:rPr>
                <w:bCs/>
                <w:sz w:val="24"/>
                <w:szCs w:val="24"/>
                <w:highlight w:val="none"/>
              </w:rPr>
              <w:t>境影</w:t>
            </w:r>
          </w:p>
          <w:p w14:paraId="27EB23F0">
            <w:pPr>
              <w:adjustRightInd w:val="0"/>
              <w:snapToGrid w:val="0"/>
              <w:jc w:val="center"/>
              <w:rPr>
                <w:bCs/>
                <w:sz w:val="24"/>
                <w:szCs w:val="24"/>
                <w:highlight w:val="none"/>
              </w:rPr>
            </w:pPr>
            <w:r>
              <w:rPr>
                <w:bCs/>
                <w:sz w:val="24"/>
                <w:szCs w:val="24"/>
                <w:highlight w:val="none"/>
              </w:rPr>
              <w:t>响和</w:t>
            </w:r>
          </w:p>
          <w:p w14:paraId="532833BB">
            <w:pPr>
              <w:adjustRightInd w:val="0"/>
              <w:snapToGrid w:val="0"/>
              <w:jc w:val="center"/>
              <w:rPr>
                <w:bCs/>
                <w:sz w:val="24"/>
                <w:szCs w:val="24"/>
                <w:highlight w:val="none"/>
              </w:rPr>
            </w:pPr>
            <w:r>
              <w:rPr>
                <w:bCs/>
                <w:sz w:val="24"/>
                <w:szCs w:val="24"/>
                <w:highlight w:val="none"/>
              </w:rPr>
              <w:t>保护</w:t>
            </w:r>
          </w:p>
          <w:p w14:paraId="30E1EEFD">
            <w:pPr>
              <w:adjustRightInd w:val="0"/>
              <w:snapToGrid w:val="0"/>
              <w:jc w:val="center"/>
              <w:rPr>
                <w:bCs/>
                <w:szCs w:val="21"/>
                <w:highlight w:val="none"/>
              </w:rPr>
            </w:pPr>
            <w:r>
              <w:rPr>
                <w:bCs/>
                <w:sz w:val="24"/>
                <w:szCs w:val="24"/>
                <w:highlight w:val="none"/>
              </w:rPr>
              <w:t>措施</w:t>
            </w:r>
          </w:p>
        </w:tc>
        <w:tc>
          <w:tcPr>
            <w:tcW w:w="8600" w:type="dxa"/>
            <w:vAlign w:val="center"/>
          </w:tcPr>
          <w:p w14:paraId="1E96503B">
            <w:pPr>
              <w:adjustRightInd w:val="0"/>
              <w:snapToGrid w:val="0"/>
              <w:spacing w:line="360" w:lineRule="auto"/>
              <w:ind w:firstLine="482" w:firstLineChars="200"/>
              <w:rPr>
                <w:b/>
                <w:sz w:val="24"/>
                <w:szCs w:val="21"/>
                <w:highlight w:val="none"/>
              </w:rPr>
            </w:pPr>
            <w:r>
              <w:rPr>
                <w:b/>
                <w:sz w:val="24"/>
                <w:szCs w:val="21"/>
                <w:highlight w:val="none"/>
              </w:rPr>
              <w:t>5.地下水</w:t>
            </w:r>
          </w:p>
          <w:p w14:paraId="429DF269">
            <w:pPr>
              <w:adjustRightInd w:val="0"/>
              <w:snapToGrid w:val="0"/>
              <w:spacing w:line="360" w:lineRule="auto"/>
              <w:ind w:firstLine="480" w:firstLineChars="200"/>
              <w:rPr>
                <w:sz w:val="24"/>
                <w:highlight w:val="none"/>
              </w:rPr>
            </w:pPr>
            <w:r>
              <w:rPr>
                <w:sz w:val="24"/>
                <w:highlight w:val="none"/>
              </w:rPr>
              <w:t>本项目生产车间均硬底化及防渗处理，不与土壤直接接触。生产过程中对废气、废水等污染源能做到</w:t>
            </w:r>
            <w:r>
              <w:rPr>
                <w:kern w:val="0"/>
                <w:sz w:val="24"/>
                <w:highlight w:val="none"/>
              </w:rPr>
              <w:t>防扬撒、防流失、防渗漏</w:t>
            </w:r>
            <w:r>
              <w:rPr>
                <w:sz w:val="24"/>
                <w:highlight w:val="none"/>
              </w:rPr>
              <w:t>。采取相应的防渗措施并加强管理、定期检测防渗设施的基础上，本项目有效切断了地下水污染途径，对地下水环境影响轻微，可以接受。</w:t>
            </w:r>
          </w:p>
          <w:p w14:paraId="011D6B26">
            <w:pPr>
              <w:adjustRightInd w:val="0"/>
              <w:snapToGrid w:val="0"/>
              <w:spacing w:line="360" w:lineRule="auto"/>
              <w:ind w:firstLine="482" w:firstLineChars="200"/>
              <w:rPr>
                <w:b/>
                <w:sz w:val="24"/>
                <w:szCs w:val="21"/>
                <w:highlight w:val="none"/>
              </w:rPr>
            </w:pPr>
            <w:r>
              <w:rPr>
                <w:b/>
                <w:sz w:val="24"/>
                <w:szCs w:val="21"/>
                <w:highlight w:val="none"/>
              </w:rPr>
              <w:t>6.土壤</w:t>
            </w:r>
          </w:p>
          <w:p w14:paraId="79E2818F">
            <w:pPr>
              <w:adjustRightInd w:val="0"/>
              <w:snapToGrid w:val="0"/>
              <w:spacing w:line="360" w:lineRule="auto"/>
              <w:ind w:firstLine="480" w:firstLineChars="200"/>
              <w:rPr>
                <w:sz w:val="24"/>
                <w:highlight w:val="none"/>
              </w:rPr>
            </w:pPr>
            <w:r>
              <w:rPr>
                <w:rFonts w:hint="eastAsia"/>
                <w:sz w:val="24"/>
                <w:highlight w:val="none"/>
              </w:rPr>
              <w:t>本项目不存在土壤污染因素及污染途径，</w:t>
            </w:r>
            <w:r>
              <w:rPr>
                <w:sz w:val="24"/>
                <w:highlight w:val="none"/>
              </w:rPr>
              <w:t>对土壤环境</w:t>
            </w:r>
            <w:r>
              <w:rPr>
                <w:rFonts w:hint="eastAsia"/>
                <w:sz w:val="24"/>
                <w:highlight w:val="none"/>
              </w:rPr>
              <w:t>无不利</w:t>
            </w:r>
            <w:r>
              <w:rPr>
                <w:sz w:val="24"/>
                <w:highlight w:val="none"/>
              </w:rPr>
              <w:t>影响，可以接受。</w:t>
            </w:r>
          </w:p>
          <w:p w14:paraId="0FF38933">
            <w:pPr>
              <w:adjustRightInd w:val="0"/>
              <w:snapToGrid w:val="0"/>
              <w:spacing w:line="360" w:lineRule="auto"/>
              <w:ind w:firstLine="482" w:firstLineChars="200"/>
              <w:rPr>
                <w:b/>
                <w:sz w:val="24"/>
                <w:szCs w:val="21"/>
                <w:highlight w:val="none"/>
              </w:rPr>
            </w:pPr>
            <w:r>
              <w:rPr>
                <w:b/>
                <w:sz w:val="24"/>
                <w:szCs w:val="21"/>
                <w:highlight w:val="none"/>
              </w:rPr>
              <w:t>7.生态</w:t>
            </w:r>
          </w:p>
          <w:p w14:paraId="1DF57D74">
            <w:pPr>
              <w:pStyle w:val="19"/>
              <w:spacing w:line="360" w:lineRule="auto"/>
              <w:ind w:firstLine="480" w:firstLineChars="200"/>
              <w:rPr>
                <w:rFonts w:ascii="Times New Roman" w:hAnsi="Times New Roman" w:cs="Times New Roman"/>
                <w:sz w:val="24"/>
                <w:szCs w:val="24"/>
                <w:highlight w:val="none"/>
              </w:rPr>
            </w:pPr>
            <w:r>
              <w:rPr>
                <w:rFonts w:ascii="Times New Roman" w:hAnsi="Times New Roman" w:cs="Times New Roman"/>
                <w:color w:val="000000" w:themeColor="text1"/>
                <w:sz w:val="24"/>
                <w:highlight w:val="none"/>
                <w14:textFill>
                  <w14:solidFill>
                    <w14:schemeClr w14:val="tx1"/>
                  </w14:solidFill>
                </w14:textFill>
              </w:rPr>
              <w:t>本项目位于</w:t>
            </w:r>
            <w:r>
              <w:rPr>
                <w:rFonts w:hint="eastAsia"/>
                <w:sz w:val="24"/>
                <w:highlight w:val="none"/>
                <w:lang w:eastAsia="zh-CN"/>
              </w:rPr>
              <w:t>乐昌市乐城街道西联村老虎头（原乐舜电力发展有限公司内）</w:t>
            </w:r>
            <w:r>
              <w:rPr>
                <w:rFonts w:ascii="Times New Roman" w:hAnsi="Times New Roman" w:cs="Times New Roman"/>
                <w:color w:val="000000" w:themeColor="text1"/>
                <w:sz w:val="24"/>
                <w:highlight w:val="none"/>
                <w14:textFill>
                  <w14:solidFill>
                    <w14:schemeClr w14:val="tx1"/>
                  </w14:solidFill>
                </w14:textFill>
              </w:rPr>
              <w:t>，用地范围内不含生态环境保护目标</w:t>
            </w:r>
            <w:r>
              <w:rPr>
                <w:rFonts w:ascii="Times New Roman" w:hAnsi="Times New Roman" w:cs="Times New Roman"/>
                <w:sz w:val="24"/>
                <w:szCs w:val="24"/>
                <w:highlight w:val="none"/>
              </w:rPr>
              <w:t>。</w:t>
            </w:r>
          </w:p>
          <w:p w14:paraId="5B813B46">
            <w:pPr>
              <w:adjustRightInd w:val="0"/>
              <w:snapToGrid w:val="0"/>
              <w:spacing w:line="360" w:lineRule="auto"/>
              <w:ind w:firstLine="482" w:firstLineChars="200"/>
              <w:rPr>
                <w:b/>
                <w:sz w:val="24"/>
                <w:szCs w:val="21"/>
                <w:highlight w:val="none"/>
              </w:rPr>
            </w:pPr>
            <w:r>
              <w:rPr>
                <w:b/>
                <w:sz w:val="24"/>
                <w:szCs w:val="21"/>
                <w:highlight w:val="none"/>
              </w:rPr>
              <w:t>8.环境风险</w:t>
            </w:r>
          </w:p>
          <w:p w14:paraId="3B57B374">
            <w:pPr>
              <w:adjustRightInd w:val="0"/>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根据《建设项目环境风险评价技术导则》（HJ169-2018）的相关要求，应对可能产生环境污染事故隐患进行环境风险评价。</w:t>
            </w:r>
            <w:r>
              <w:rPr>
                <w:kern w:val="0"/>
                <w:sz w:val="24"/>
                <w:highlight w:val="none"/>
              </w:rPr>
              <w:t>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14:paraId="59B96B8B">
            <w:pPr>
              <w:snapToGrid w:val="0"/>
              <w:spacing w:line="360" w:lineRule="auto"/>
              <w:ind w:firstLine="482" w:firstLineChars="200"/>
              <w:rPr>
                <w:b/>
                <w:bCs/>
                <w:kern w:val="0"/>
                <w:sz w:val="24"/>
                <w:highlight w:val="none"/>
              </w:rPr>
            </w:pPr>
            <w:r>
              <w:rPr>
                <w:b/>
                <w:bCs/>
                <w:kern w:val="0"/>
                <w:sz w:val="24"/>
                <w:highlight w:val="none"/>
              </w:rPr>
              <w:t>（1）环境风险潜势判断</w:t>
            </w:r>
          </w:p>
          <w:p w14:paraId="76BFCEE4">
            <w:pPr>
              <w:snapToGrid w:val="0"/>
              <w:spacing w:line="360" w:lineRule="auto"/>
              <w:ind w:firstLine="480" w:firstLineChars="200"/>
              <w:rPr>
                <w:kern w:val="0"/>
                <w:sz w:val="24"/>
                <w:highlight w:val="none"/>
              </w:rPr>
            </w:pPr>
            <w:r>
              <w:rPr>
                <w:sz w:val="24"/>
                <w:highlight w:val="none"/>
              </w:rPr>
              <w:t>根据《建设项目环境风险评价技术导则》（HJ 169-2018）（附录 B，表 B.1 突发环境事件风险物质及临界量），对本项目涉及的化学品进行排查及筛选识别。</w:t>
            </w:r>
            <w:r>
              <w:rPr>
                <w:kern w:val="0"/>
                <w:sz w:val="24"/>
                <w:highlight w:val="none"/>
              </w:rPr>
              <w:t>本项目原料中并不涉及环境风险物质，项目运营期并无产生的危险废物故Q=qn/Qn值为0，Q＜1，该项目环境风险潜势为Ⅰ。评价工作等级为简单分析。</w:t>
            </w:r>
          </w:p>
          <w:p w14:paraId="6DF15316">
            <w:pPr>
              <w:spacing w:line="360" w:lineRule="auto"/>
              <w:ind w:firstLine="482" w:firstLineChars="200"/>
              <w:rPr>
                <w:b/>
                <w:bCs/>
                <w:sz w:val="24"/>
                <w:highlight w:val="none"/>
              </w:rPr>
            </w:pPr>
            <w:r>
              <w:rPr>
                <w:b/>
                <w:bCs/>
                <w:sz w:val="24"/>
                <w:highlight w:val="none"/>
              </w:rPr>
              <w:t>（2）环境风险分析与评价</w:t>
            </w:r>
          </w:p>
          <w:p w14:paraId="603D2D4E">
            <w:pPr>
              <w:spacing w:line="360" w:lineRule="auto"/>
              <w:ind w:firstLine="480" w:firstLineChars="200"/>
              <w:rPr>
                <w:sz w:val="24"/>
                <w:highlight w:val="none"/>
              </w:rPr>
            </w:pPr>
            <w:r>
              <w:rPr>
                <w:sz w:val="24"/>
                <w:highlight w:val="none"/>
              </w:rPr>
              <w:t>本项目环境风险简单分析内容如表4-1</w:t>
            </w:r>
            <w:r>
              <w:rPr>
                <w:rFonts w:hint="eastAsia"/>
                <w:sz w:val="24"/>
                <w:highlight w:val="none"/>
                <w:lang w:val="en-US" w:eastAsia="zh-CN"/>
              </w:rPr>
              <w:t>5</w:t>
            </w:r>
            <w:r>
              <w:rPr>
                <w:sz w:val="24"/>
                <w:highlight w:val="none"/>
              </w:rPr>
              <w:t>所示。</w:t>
            </w:r>
          </w:p>
          <w:p w14:paraId="1615214A">
            <w:pPr>
              <w:pStyle w:val="44"/>
              <w:rPr>
                <w:sz w:val="24"/>
                <w:highlight w:val="none"/>
              </w:rPr>
            </w:pPr>
          </w:p>
          <w:p w14:paraId="36A9BEA1">
            <w:pPr>
              <w:pStyle w:val="44"/>
              <w:rPr>
                <w:sz w:val="24"/>
                <w:highlight w:val="none"/>
              </w:rPr>
            </w:pPr>
          </w:p>
          <w:p w14:paraId="0A6AED43">
            <w:pPr>
              <w:pStyle w:val="44"/>
              <w:rPr>
                <w:sz w:val="24"/>
                <w:highlight w:val="none"/>
              </w:rPr>
            </w:pPr>
          </w:p>
          <w:p w14:paraId="210CD6AD">
            <w:pPr>
              <w:pStyle w:val="44"/>
              <w:rPr>
                <w:sz w:val="24"/>
                <w:highlight w:val="none"/>
              </w:rPr>
            </w:pPr>
          </w:p>
          <w:p w14:paraId="0130BF56">
            <w:pPr>
              <w:pStyle w:val="44"/>
              <w:rPr>
                <w:sz w:val="24"/>
                <w:highlight w:val="none"/>
              </w:rPr>
            </w:pPr>
          </w:p>
          <w:p w14:paraId="0DD4B5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highlight w:val="none"/>
              </w:rPr>
            </w:pPr>
            <w:r>
              <w:rPr>
                <w:b/>
                <w:sz w:val="24"/>
                <w:highlight w:val="none"/>
              </w:rPr>
              <w:t>表4-1</w:t>
            </w:r>
            <w:r>
              <w:rPr>
                <w:rFonts w:hint="eastAsia"/>
                <w:b/>
                <w:sz w:val="24"/>
                <w:highlight w:val="none"/>
                <w:lang w:val="en-US" w:eastAsia="zh-CN"/>
              </w:rPr>
              <w:t xml:space="preserve">5   </w:t>
            </w:r>
            <w:r>
              <w:rPr>
                <w:b/>
                <w:sz w:val="24"/>
                <w:highlight w:val="none"/>
              </w:rPr>
              <w:t xml:space="preserve"> 建设项目环境风险简单分析内容表</w:t>
            </w:r>
          </w:p>
          <w:tbl>
            <w:tblPr>
              <w:tblStyle w:val="34"/>
              <w:tblW w:w="84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1"/>
              <w:gridCol w:w="1646"/>
              <w:gridCol w:w="2015"/>
              <w:gridCol w:w="806"/>
              <w:gridCol w:w="2429"/>
            </w:tblGrid>
            <w:tr w14:paraId="10012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918" w:type="pct"/>
                  <w:tcBorders>
                    <w:tl2br w:val="nil"/>
                    <w:tr2bl w:val="nil"/>
                  </w:tcBorders>
                  <w:vAlign w:val="center"/>
                </w:tcPr>
                <w:p w14:paraId="5095D96B">
                  <w:pPr>
                    <w:jc w:val="center"/>
                    <w:rPr>
                      <w:highlight w:val="none"/>
                    </w:rPr>
                  </w:pPr>
                  <w:r>
                    <w:rPr>
                      <w:highlight w:val="none"/>
                    </w:rPr>
                    <w:t xml:space="preserve">建设项目名称 </w:t>
                  </w:r>
                </w:p>
              </w:tc>
              <w:tc>
                <w:tcPr>
                  <w:tcW w:w="4081" w:type="pct"/>
                  <w:gridSpan w:val="4"/>
                  <w:tcBorders>
                    <w:tl2br w:val="nil"/>
                    <w:tr2bl w:val="nil"/>
                  </w:tcBorders>
                  <w:vAlign w:val="center"/>
                </w:tcPr>
                <w:p w14:paraId="4EBA0B59">
                  <w:pPr>
                    <w:adjustRightInd w:val="0"/>
                    <w:snapToGrid w:val="0"/>
                    <w:jc w:val="center"/>
                    <w:rPr>
                      <w:szCs w:val="21"/>
                      <w:highlight w:val="none"/>
                    </w:rPr>
                  </w:pPr>
                  <w:r>
                    <w:rPr>
                      <w:rFonts w:hint="eastAsia" w:cs="Times New Roman"/>
                      <w:highlight w:val="none"/>
                      <w:lang w:eastAsia="zh-CN"/>
                    </w:rPr>
                    <w:t>乐昌市恒烨木炭加工厂建设项目</w:t>
                  </w:r>
                </w:p>
              </w:tc>
            </w:tr>
            <w:tr w14:paraId="16331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918" w:type="pct"/>
                  <w:tcBorders>
                    <w:tl2br w:val="nil"/>
                    <w:tr2bl w:val="nil"/>
                  </w:tcBorders>
                  <w:vAlign w:val="center"/>
                </w:tcPr>
                <w:p w14:paraId="004AC07B">
                  <w:pPr>
                    <w:jc w:val="center"/>
                    <w:rPr>
                      <w:highlight w:val="none"/>
                    </w:rPr>
                  </w:pPr>
                  <w:r>
                    <w:rPr>
                      <w:highlight w:val="none"/>
                    </w:rPr>
                    <w:t xml:space="preserve">建设地点 </w:t>
                  </w:r>
                </w:p>
              </w:tc>
              <w:tc>
                <w:tcPr>
                  <w:tcW w:w="4081" w:type="pct"/>
                  <w:gridSpan w:val="4"/>
                  <w:tcBorders>
                    <w:tl2br w:val="nil"/>
                    <w:tr2bl w:val="nil"/>
                  </w:tcBorders>
                  <w:vAlign w:val="center"/>
                </w:tcPr>
                <w:p w14:paraId="773878AC">
                  <w:pPr>
                    <w:adjustRightInd w:val="0"/>
                    <w:snapToGrid w:val="0"/>
                    <w:jc w:val="center"/>
                    <w:rPr>
                      <w:highlight w:val="none"/>
                    </w:rPr>
                  </w:pPr>
                  <w:r>
                    <w:rPr>
                      <w:rFonts w:hint="eastAsia" w:ascii="Times New Roman" w:hAnsi="Times New Roman" w:eastAsia="宋体" w:cs="Times New Roman"/>
                      <w:highlight w:val="none"/>
                      <w:lang w:eastAsia="zh-CN"/>
                    </w:rPr>
                    <w:t>乐昌市乐城街道西联村老虎头（原乐舜电力发展有限公司内）</w:t>
                  </w:r>
                </w:p>
              </w:tc>
            </w:tr>
            <w:tr w14:paraId="40257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8" w:type="pct"/>
                  <w:tcBorders>
                    <w:tl2br w:val="nil"/>
                    <w:tr2bl w:val="nil"/>
                  </w:tcBorders>
                  <w:vAlign w:val="center"/>
                </w:tcPr>
                <w:p w14:paraId="213D4748">
                  <w:pPr>
                    <w:jc w:val="center"/>
                    <w:rPr>
                      <w:highlight w:val="none"/>
                    </w:rPr>
                  </w:pPr>
                  <w:r>
                    <w:rPr>
                      <w:highlight w:val="none"/>
                    </w:rPr>
                    <w:t xml:space="preserve">地理坐标 </w:t>
                  </w:r>
                </w:p>
              </w:tc>
              <w:tc>
                <w:tcPr>
                  <w:tcW w:w="974" w:type="pct"/>
                  <w:tcBorders>
                    <w:tl2br w:val="nil"/>
                    <w:tr2bl w:val="nil"/>
                  </w:tcBorders>
                  <w:vAlign w:val="center"/>
                </w:tcPr>
                <w:p w14:paraId="4B1BF063">
                  <w:pPr>
                    <w:jc w:val="center"/>
                    <w:rPr>
                      <w:highlight w:val="none"/>
                    </w:rPr>
                  </w:pPr>
                  <w:r>
                    <w:rPr>
                      <w:highlight w:val="none"/>
                    </w:rPr>
                    <w:t>经度</w:t>
                  </w:r>
                </w:p>
              </w:tc>
              <w:tc>
                <w:tcPr>
                  <w:tcW w:w="1192" w:type="pct"/>
                  <w:tcBorders>
                    <w:tl2br w:val="nil"/>
                    <w:tr2bl w:val="nil"/>
                  </w:tcBorders>
                  <w:vAlign w:val="center"/>
                </w:tcPr>
                <w:p w14:paraId="0A9CF7DE">
                  <w:pPr>
                    <w:jc w:val="center"/>
                    <w:rPr>
                      <w:highlight w:val="none"/>
                    </w:rPr>
                  </w:pPr>
                  <w:r>
                    <w:rPr>
                      <w:highlight w:val="none"/>
                    </w:rPr>
                    <w:t>E11</w:t>
                  </w:r>
                  <w:r>
                    <w:rPr>
                      <w:rFonts w:hint="eastAsia"/>
                      <w:highlight w:val="none"/>
                      <w:lang w:val="en-US" w:eastAsia="zh-CN"/>
                    </w:rPr>
                    <w:t>3</w:t>
                  </w:r>
                  <w:r>
                    <w:rPr>
                      <w:highlight w:val="none"/>
                    </w:rPr>
                    <w:t>°</w:t>
                  </w:r>
                  <w:r>
                    <w:rPr>
                      <w:rFonts w:hint="eastAsia"/>
                      <w:highlight w:val="none"/>
                      <w:lang w:val="en-US" w:eastAsia="zh-CN"/>
                    </w:rPr>
                    <w:t>19</w:t>
                  </w:r>
                  <w:r>
                    <w:rPr>
                      <w:highlight w:val="none"/>
                    </w:rPr>
                    <w:t>′</w:t>
                  </w:r>
                  <w:r>
                    <w:rPr>
                      <w:rFonts w:hint="eastAsia"/>
                      <w:highlight w:val="none"/>
                      <w:lang w:val="en-US" w:eastAsia="zh-CN"/>
                    </w:rPr>
                    <w:t>29.094</w:t>
                  </w:r>
                  <w:r>
                    <w:rPr>
                      <w:highlight w:val="none"/>
                    </w:rPr>
                    <w:t>″</w:t>
                  </w:r>
                </w:p>
              </w:tc>
              <w:tc>
                <w:tcPr>
                  <w:tcW w:w="477" w:type="pct"/>
                  <w:tcBorders>
                    <w:tl2br w:val="nil"/>
                    <w:tr2bl w:val="nil"/>
                  </w:tcBorders>
                  <w:vAlign w:val="center"/>
                </w:tcPr>
                <w:p w14:paraId="1129AC7A">
                  <w:pPr>
                    <w:jc w:val="center"/>
                    <w:rPr>
                      <w:highlight w:val="none"/>
                    </w:rPr>
                  </w:pPr>
                  <w:r>
                    <w:rPr>
                      <w:highlight w:val="none"/>
                    </w:rPr>
                    <w:t>纬度</w:t>
                  </w:r>
                </w:p>
              </w:tc>
              <w:tc>
                <w:tcPr>
                  <w:tcW w:w="1437" w:type="pct"/>
                  <w:tcBorders>
                    <w:tl2br w:val="nil"/>
                    <w:tr2bl w:val="nil"/>
                  </w:tcBorders>
                  <w:vAlign w:val="center"/>
                </w:tcPr>
                <w:p w14:paraId="1DF01F09">
                  <w:pPr>
                    <w:jc w:val="center"/>
                    <w:rPr>
                      <w:highlight w:val="none"/>
                    </w:rPr>
                  </w:pPr>
                  <w:r>
                    <w:rPr>
                      <w:highlight w:val="none"/>
                    </w:rPr>
                    <w:t>N25°</w:t>
                  </w:r>
                  <w:r>
                    <w:rPr>
                      <w:rFonts w:hint="eastAsia"/>
                      <w:highlight w:val="none"/>
                      <w:lang w:val="en-US" w:eastAsia="zh-CN"/>
                    </w:rPr>
                    <w:t>08</w:t>
                  </w:r>
                  <w:r>
                    <w:rPr>
                      <w:highlight w:val="none"/>
                    </w:rPr>
                    <w:t>′</w:t>
                  </w:r>
                  <w:r>
                    <w:rPr>
                      <w:rFonts w:hint="eastAsia"/>
                      <w:highlight w:val="none"/>
                      <w:lang w:val="en-US" w:eastAsia="zh-CN"/>
                    </w:rPr>
                    <w:t>27.553</w:t>
                  </w:r>
                  <w:r>
                    <w:rPr>
                      <w:highlight w:val="none"/>
                    </w:rPr>
                    <w:t>″</w:t>
                  </w:r>
                </w:p>
              </w:tc>
            </w:tr>
            <w:tr w14:paraId="45BC2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18" w:type="pct"/>
                  <w:tcBorders>
                    <w:tl2br w:val="nil"/>
                    <w:tr2bl w:val="nil"/>
                  </w:tcBorders>
                  <w:vAlign w:val="center"/>
                </w:tcPr>
                <w:p w14:paraId="7ABCBDB4">
                  <w:pPr>
                    <w:jc w:val="center"/>
                    <w:rPr>
                      <w:highlight w:val="none"/>
                    </w:rPr>
                  </w:pPr>
                  <w:r>
                    <w:rPr>
                      <w:highlight w:val="none"/>
                    </w:rPr>
                    <w:t>主要危险物质及分布</w:t>
                  </w:r>
                </w:p>
              </w:tc>
              <w:tc>
                <w:tcPr>
                  <w:tcW w:w="4081" w:type="pct"/>
                  <w:gridSpan w:val="4"/>
                  <w:tcBorders>
                    <w:tl2br w:val="nil"/>
                    <w:tr2bl w:val="nil"/>
                  </w:tcBorders>
                  <w:vAlign w:val="center"/>
                </w:tcPr>
                <w:p w14:paraId="334B7357">
                  <w:pPr>
                    <w:jc w:val="both"/>
                    <w:rPr>
                      <w:highlight w:val="none"/>
                    </w:rPr>
                  </w:pPr>
                  <w:r>
                    <w:rPr>
                      <w:rFonts w:hint="eastAsia"/>
                      <w:szCs w:val="21"/>
                      <w:highlight w:val="none"/>
                    </w:rPr>
                    <w:t>无危险废物</w:t>
                  </w:r>
                </w:p>
              </w:tc>
            </w:tr>
            <w:tr w14:paraId="34F2D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18" w:type="pct"/>
                  <w:tcBorders>
                    <w:tl2br w:val="nil"/>
                    <w:tr2bl w:val="nil"/>
                  </w:tcBorders>
                  <w:vAlign w:val="center"/>
                </w:tcPr>
                <w:p w14:paraId="24010FB1">
                  <w:pPr>
                    <w:jc w:val="center"/>
                    <w:rPr>
                      <w:highlight w:val="none"/>
                    </w:rPr>
                  </w:pPr>
                  <w:r>
                    <w:rPr>
                      <w:highlight w:val="none"/>
                    </w:rPr>
                    <w:t>环境影响途径及危害后果</w:t>
                  </w:r>
                </w:p>
                <w:p w14:paraId="3617EBEC">
                  <w:pPr>
                    <w:jc w:val="center"/>
                    <w:rPr>
                      <w:highlight w:val="none"/>
                    </w:rPr>
                  </w:pPr>
                  <w:r>
                    <w:rPr>
                      <w:highlight w:val="none"/>
                    </w:rPr>
                    <w:t>（大气、地表水、地下水等）</w:t>
                  </w:r>
                </w:p>
              </w:tc>
              <w:tc>
                <w:tcPr>
                  <w:tcW w:w="4081" w:type="pct"/>
                  <w:gridSpan w:val="4"/>
                  <w:tcBorders>
                    <w:tl2br w:val="nil"/>
                    <w:tr2bl w:val="nil"/>
                  </w:tcBorders>
                </w:tcPr>
                <w:p w14:paraId="3B3E71B9">
                  <w:pPr>
                    <w:rPr>
                      <w:highlight w:val="none"/>
                    </w:rPr>
                  </w:pPr>
                  <w:r>
                    <w:rPr>
                      <w:highlight w:val="none"/>
                    </w:rPr>
                    <w:t>本项目不涉及危险生产工艺，正常情况下不存在地下水和土壤污染途径。</w:t>
                  </w:r>
                </w:p>
                <w:p w14:paraId="5EE3C070">
                  <w:pPr>
                    <w:rPr>
                      <w:highlight w:val="none"/>
                    </w:rPr>
                  </w:pPr>
                  <w:r>
                    <w:rPr>
                      <w:rFonts w:hint="eastAsia"/>
                      <w:highlight w:val="none"/>
                    </w:rPr>
                    <w:t>本项目生活污水量很少，</w:t>
                  </w:r>
                  <w:r>
                    <w:rPr>
                      <w:highlight w:val="none"/>
                    </w:rPr>
                    <w:t>运营期可能发生的对环境影响较大的情形是废气治理设施故障导致废气事故排放。由于本项目废气中不含《有毒有害大气污染物名录》及二噁英、苯并[a]芘、氰化物、氯气等有毒有害大气污染物，在发生事故排放后，通过及时排查和修复废气治理设施，一般情况下不会造成污染事故。</w:t>
                  </w:r>
                </w:p>
                <w:p w14:paraId="79DC0333">
                  <w:pPr>
                    <w:rPr>
                      <w:highlight w:val="none"/>
                    </w:rPr>
                  </w:pPr>
                  <w:r>
                    <w:rPr>
                      <w:rFonts w:hint="eastAsia"/>
                      <w:highlight w:val="none"/>
                    </w:rPr>
                    <w:t>本项目炭化</w:t>
                  </w:r>
                  <w:r>
                    <w:rPr>
                      <w:rFonts w:hint="eastAsia" w:ascii="Times New Roman" w:hAnsi="Times New Roman" w:eastAsia="宋体" w:cs="Times New Roman"/>
                      <w:highlight w:val="none"/>
                    </w:rPr>
                    <w:t>炉废气中的可燃气体全部返回烘干系统的</w:t>
                  </w:r>
                  <w:r>
                    <w:rPr>
                      <w:rFonts w:hint="eastAsia" w:ascii="Times New Roman" w:hAnsi="Times New Roman" w:eastAsia="宋体" w:cs="Times New Roman"/>
                      <w:highlight w:val="none"/>
                      <w:lang w:val="en-US" w:eastAsia="zh-CN"/>
                    </w:rPr>
                    <w:t>燃</w:t>
                  </w:r>
                  <w:r>
                    <w:rPr>
                      <w:rFonts w:hint="eastAsia" w:ascii="Times New Roman" w:hAnsi="Times New Roman" w:eastAsia="宋体" w:cs="Times New Roman"/>
                      <w:highlight w:val="none"/>
                    </w:rPr>
                    <w:t>烧炉燃烧后通过</w:t>
                  </w:r>
                  <w:r>
                    <w:rPr>
                      <w:rFonts w:hint="eastAsia" w:cs="Times New Roman"/>
                      <w:highlight w:val="none"/>
                      <w:lang w:val="en-US" w:eastAsia="zh-CN"/>
                    </w:rPr>
                    <w:t>喷淋除尘脱硫塔</w:t>
                  </w:r>
                  <w:r>
                    <w:rPr>
                      <w:rFonts w:hint="eastAsia"/>
                      <w:highlight w:val="none"/>
                    </w:rPr>
                    <w:t>处理，若非正常工况下导致</w:t>
                  </w:r>
                  <w:r>
                    <w:rPr>
                      <w:rFonts w:hint="eastAsia"/>
                      <w:highlight w:val="none"/>
                      <w:lang w:val="en-US" w:eastAsia="zh-CN"/>
                    </w:rPr>
                    <w:t>循环水泵等设备</w:t>
                  </w:r>
                  <w:r>
                    <w:rPr>
                      <w:rFonts w:hint="eastAsia"/>
                      <w:highlight w:val="none"/>
                    </w:rPr>
                    <w:t>无法正常工作，进入</w:t>
                  </w:r>
                  <w:r>
                    <w:rPr>
                      <w:rFonts w:hint="eastAsia"/>
                      <w:highlight w:val="none"/>
                      <w:lang w:val="en-US" w:eastAsia="zh-CN"/>
                    </w:rPr>
                    <w:t>燃</w:t>
                  </w:r>
                  <w:r>
                    <w:rPr>
                      <w:rFonts w:hint="eastAsia"/>
                      <w:highlight w:val="none"/>
                    </w:rPr>
                    <w:t>烧炉内含可燃气体的炭化废气燃烧后持续积热无法正常排放，存在一定风险。</w:t>
                  </w:r>
                </w:p>
              </w:tc>
            </w:tr>
            <w:tr w14:paraId="1CEF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18" w:type="pct"/>
                  <w:tcBorders>
                    <w:tl2br w:val="nil"/>
                    <w:tr2bl w:val="nil"/>
                  </w:tcBorders>
                  <w:vAlign w:val="center"/>
                </w:tcPr>
                <w:p w14:paraId="7A44DBCD">
                  <w:pPr>
                    <w:jc w:val="center"/>
                    <w:rPr>
                      <w:highlight w:val="none"/>
                    </w:rPr>
                  </w:pPr>
                  <w:r>
                    <w:rPr>
                      <w:highlight w:val="none"/>
                    </w:rPr>
                    <w:t>风险防范措施要求</w:t>
                  </w:r>
                </w:p>
              </w:tc>
              <w:tc>
                <w:tcPr>
                  <w:tcW w:w="4081" w:type="pct"/>
                  <w:gridSpan w:val="4"/>
                  <w:tcBorders>
                    <w:tl2br w:val="nil"/>
                    <w:tr2bl w:val="nil"/>
                  </w:tcBorders>
                </w:tcPr>
                <w:p w14:paraId="1A082D5C">
                  <w:pPr>
                    <w:rPr>
                      <w:highlight w:val="none"/>
                    </w:rPr>
                  </w:pPr>
                  <w:r>
                    <w:rPr>
                      <w:highlight w:val="none"/>
                    </w:rPr>
                    <w:t>a、设计中严格执行国家、行业有关劳动安全、卫生的法规和标准规范。</w:t>
                  </w:r>
                </w:p>
                <w:p w14:paraId="080D0D20">
                  <w:pPr>
                    <w:rPr>
                      <w:highlight w:val="none"/>
                    </w:rPr>
                  </w:pPr>
                  <w:r>
                    <w:rPr>
                      <w:highlight w:val="none"/>
                    </w:rPr>
                    <w:t>b、尽量采用技术先进和安全可靠的设备。</w:t>
                  </w:r>
                </w:p>
                <w:p w14:paraId="2B0FCB5E">
                  <w:pPr>
                    <w:rPr>
                      <w:highlight w:val="none"/>
                    </w:rPr>
                  </w:pPr>
                  <w:r>
                    <w:rPr>
                      <w:highlight w:val="none"/>
                    </w:rPr>
                    <w:t>c、在生产岗位设置事故柜和急救器材、救生器防护面罩、护目镜、胶皮手套等防护、急救用具、用品。</w:t>
                  </w:r>
                </w:p>
                <w:p w14:paraId="15A60EED">
                  <w:pPr>
                    <w:rPr>
                      <w:highlight w:val="none"/>
                    </w:rPr>
                  </w:pPr>
                  <w:r>
                    <w:rPr>
                      <w:highlight w:val="none"/>
                    </w:rPr>
                    <w:t>d、</w:t>
                  </w:r>
                  <w:r>
                    <w:rPr>
                      <w:highlight w:val="none"/>
                      <w:lang w:val="zh-CN"/>
                    </w:rPr>
                    <w:t>企业需设置专人负责</w:t>
                  </w:r>
                  <w:r>
                    <w:rPr>
                      <w:highlight w:val="none"/>
                    </w:rPr>
                    <w:t>企业日常的环保管理工作。加强废水、废气等环保设施的管理，确保各污染物长期稳定达标排放。</w:t>
                  </w:r>
                </w:p>
                <w:p w14:paraId="51D923B4">
                  <w:pPr>
                    <w:pStyle w:val="176"/>
                    <w:rPr>
                      <w:rFonts w:ascii="Times New Roman" w:hAnsi="Times New Roman" w:cs="Times New Roman"/>
                      <w:highlight w:val="none"/>
                    </w:rPr>
                  </w:pPr>
                  <w:r>
                    <w:rPr>
                      <w:rFonts w:ascii="Times New Roman" w:hAnsi="Times New Roman" w:cs="Times New Roman"/>
                      <w:highlight w:val="none"/>
                    </w:rPr>
                    <w:t>e、建设单位此必须加强管理和监督，对操作人员加强安全教育，生产人员经过设备供应商技术部门技术培训并在日常生产过程中严格按操作规程进行，并保证操作环境安全，原料堆放区禁止烟火。</w:t>
                  </w:r>
                </w:p>
                <w:p w14:paraId="1184B7E0">
                  <w:pPr>
                    <w:pStyle w:val="176"/>
                    <w:rPr>
                      <w:highlight w:val="none"/>
                    </w:rPr>
                  </w:pPr>
                  <w:r>
                    <w:rPr>
                      <w:rFonts w:ascii="Times New Roman" w:hAnsi="Times New Roman" w:cs="Times New Roman"/>
                      <w:highlight w:val="none"/>
                    </w:rPr>
                    <w:t>f、为避免引起炭化废气事故性排放引起的爆炸风险，建设单位拟在炭化窑区设置一个炭化废气事故应急排放通道，该通道日常生产中通过开关控制不与炭化窑相通，仅在停电、风机故障等原因导致炭化废气无法正常外排情况下，才通过开关控制将炭化废气进入应急排放通道经烟囱排放。此外，应制定好炭化废气事故排放的应急启动、事故处理措施和规程。</w:t>
                  </w:r>
                </w:p>
              </w:tc>
            </w:tr>
            <w:tr w14:paraId="2C8E7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tcPr>
                <w:p w14:paraId="49E61D77">
                  <w:pPr>
                    <w:rPr>
                      <w:highlight w:val="none"/>
                    </w:rPr>
                  </w:pPr>
                  <w:r>
                    <w:rPr>
                      <w:highlight w:val="none"/>
                    </w:rPr>
                    <w:t>本项目不涉及危险生产工艺，防渗防漏措施有效保障。正常情况下不存在地下水和土壤污染途径。由于本项目废气中不含《有毒有害大气污染物名录》及二噁英、苯并[a]芘、氰化物、氯气等有毒有害大气污染物，在发生事故排放后，通过及时排查和修复废气治理设施，一般情况下不会造成明显的污染事故。总体来说，在建设单位切实落实安全主管部门及本报告提出的各项风险防范的前提下，本项目环境风险在可接受范围内。</w:t>
                  </w:r>
                </w:p>
              </w:tc>
            </w:tr>
          </w:tbl>
          <w:p w14:paraId="437E9E61">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sz w:val="24"/>
                <w:highlight w:val="none"/>
              </w:rPr>
            </w:pPr>
            <w:r>
              <w:rPr>
                <w:sz w:val="24"/>
                <w:highlight w:val="none"/>
              </w:rPr>
              <w:t>本项目环境风险事故主要表现在</w:t>
            </w:r>
            <w:r>
              <w:rPr>
                <w:rFonts w:hint="eastAsia"/>
                <w:sz w:val="24"/>
                <w:highlight w:val="none"/>
              </w:rPr>
              <w:t>炉内可燃气体引发爆炸火灾事故</w:t>
            </w:r>
            <w:r>
              <w:rPr>
                <w:sz w:val="24"/>
                <w:highlight w:val="none"/>
              </w:rPr>
              <w:t>。如果发生风险事故则可能对周围的大气环境及工厂、人员等造成一定的危害，因此建设单位必须根据有关规定和要求做好防范措施，并加强管理，落实承诺的事故防范措施，杜绝各项环境风险事故的发生。如：</w:t>
            </w:r>
          </w:p>
          <w:p w14:paraId="09182175">
            <w:pPr>
              <w:spacing w:line="360" w:lineRule="auto"/>
              <w:ind w:firstLine="480"/>
              <w:rPr>
                <w:sz w:val="24"/>
                <w:highlight w:val="none"/>
              </w:rPr>
            </w:pPr>
            <w:r>
              <w:rPr>
                <w:sz w:val="24"/>
                <w:highlight w:val="none"/>
              </w:rPr>
              <w:t>1）</w:t>
            </w:r>
            <w:r>
              <w:rPr>
                <w:rFonts w:hint="eastAsia"/>
                <w:sz w:val="24"/>
                <w:highlight w:val="none"/>
              </w:rPr>
              <w:t>设置一个炭化废气事故应急排放通道，该通道日常生产中通过开关控制不与炭化窑相通，仅在停电、风机故障等原因导致炭化废气无法正常外排情况下，才通过开关控制将炭化废气进入应急排放通道经烟囱排放。此外，应制定好炭化废气事故排放的应急启动、事故处理措施和规程。</w:t>
            </w:r>
          </w:p>
          <w:p w14:paraId="7792865D">
            <w:pPr>
              <w:spacing w:line="360" w:lineRule="auto"/>
              <w:ind w:firstLine="480"/>
              <w:rPr>
                <w:sz w:val="24"/>
                <w:highlight w:val="none"/>
              </w:rPr>
            </w:pPr>
            <w:r>
              <w:rPr>
                <w:sz w:val="24"/>
                <w:highlight w:val="none"/>
              </w:rPr>
              <w:t>2）严格执行我国有关劳动安全、环保与卫生的规范和标准，工程在设计、施工和运行过程中必须针对可能存在的不安全、不卫生因素采取相应的安全防护措施，消除事故隐患。</w:t>
            </w:r>
          </w:p>
          <w:p w14:paraId="7AA13CB3">
            <w:pPr>
              <w:spacing w:line="360" w:lineRule="auto"/>
              <w:ind w:firstLine="480"/>
              <w:rPr>
                <w:sz w:val="24"/>
                <w:highlight w:val="none"/>
              </w:rPr>
            </w:pPr>
            <w:r>
              <w:rPr>
                <w:sz w:val="24"/>
                <w:highlight w:val="none"/>
              </w:rPr>
              <w:t>3）加强设备，包括各种安全仪表的维修、保养，杜绝由于设备劳损、折旧带来的事故隐患。</w:t>
            </w:r>
          </w:p>
          <w:p w14:paraId="33755C9B">
            <w:pPr>
              <w:spacing w:line="360" w:lineRule="auto"/>
              <w:ind w:firstLine="480"/>
              <w:rPr>
                <w:sz w:val="24"/>
                <w:highlight w:val="none"/>
              </w:rPr>
            </w:pPr>
            <w:r>
              <w:rPr>
                <w:sz w:val="24"/>
                <w:highlight w:val="none"/>
              </w:rPr>
              <w:t>4）加强对工厂职工的教育和培训，实行上岗证制度，增强职工风险意识，提高事故自救能力，制定和强化各种安全管理、安全生产的规程，减少人为风险事故（如误操作）的发生。</w:t>
            </w:r>
          </w:p>
          <w:p w14:paraId="6898E187">
            <w:pPr>
              <w:spacing w:line="360" w:lineRule="auto"/>
              <w:ind w:firstLine="480"/>
              <w:rPr>
                <w:sz w:val="24"/>
                <w:highlight w:val="none"/>
              </w:rPr>
            </w:pPr>
            <w:r>
              <w:rPr>
                <w:sz w:val="24"/>
                <w:highlight w:val="none"/>
              </w:rPr>
              <w:t>5）对全厂的安全生产给予足够的重视，提高风险防范和环境风险管理意识，充分重视才能将环境风险事故发生概率降到最低程度，而且一旦发生事故，也可使事故危害程度大大降低。</w:t>
            </w:r>
          </w:p>
          <w:p w14:paraId="2B9ECC80">
            <w:pPr>
              <w:spacing w:line="360" w:lineRule="auto"/>
              <w:ind w:firstLine="480"/>
              <w:rPr>
                <w:sz w:val="24"/>
                <w:highlight w:val="none"/>
              </w:rPr>
            </w:pPr>
            <w:r>
              <w:rPr>
                <w:sz w:val="24"/>
                <w:highlight w:val="none"/>
              </w:rPr>
              <w:t>6）加强对废气处理系统的日常监管，设专人管理，降低发生突发环境事件对周边环境的影响。</w:t>
            </w:r>
          </w:p>
          <w:p w14:paraId="1FC99347">
            <w:pPr>
              <w:spacing w:line="360" w:lineRule="auto"/>
              <w:ind w:firstLine="480"/>
              <w:rPr>
                <w:sz w:val="24"/>
                <w:highlight w:val="none"/>
              </w:rPr>
            </w:pPr>
            <w:r>
              <w:rPr>
                <w:rFonts w:hint="eastAsia"/>
                <w:sz w:val="24"/>
                <w:highlight w:val="none"/>
              </w:rPr>
              <w:t>7）原料堆放区禁止烟火，加强厂区内安全管理。</w:t>
            </w:r>
          </w:p>
          <w:p w14:paraId="17A4966F">
            <w:pPr>
              <w:spacing w:line="360" w:lineRule="auto"/>
              <w:ind w:firstLine="480"/>
              <w:rPr>
                <w:sz w:val="24"/>
                <w:highlight w:val="none"/>
              </w:rPr>
            </w:pPr>
            <w:r>
              <w:rPr>
                <w:sz w:val="24"/>
                <w:highlight w:val="none"/>
              </w:rPr>
              <w:t>综上所述，只要建设单位做好各项风险防范措施，并建立生产安全事故应急救援预案及突发环境事故应急救援预案，可以把环境风险控制在最低范围，不对周围敏感点及水体、土壤等造成明显危害，环境风险程度可以接受。</w:t>
            </w:r>
          </w:p>
          <w:p w14:paraId="2836674A">
            <w:pPr>
              <w:adjustRightInd w:val="0"/>
              <w:snapToGrid w:val="0"/>
              <w:spacing w:line="360" w:lineRule="auto"/>
              <w:ind w:firstLine="482" w:firstLineChars="200"/>
              <w:rPr>
                <w:b/>
                <w:sz w:val="24"/>
                <w:szCs w:val="21"/>
                <w:highlight w:val="none"/>
              </w:rPr>
            </w:pPr>
            <w:r>
              <w:rPr>
                <w:b/>
                <w:sz w:val="24"/>
                <w:szCs w:val="21"/>
                <w:highlight w:val="none"/>
              </w:rPr>
              <w:t>9.电磁辐射</w:t>
            </w:r>
          </w:p>
          <w:p w14:paraId="09789AAB">
            <w:pPr>
              <w:adjustRightInd w:val="0"/>
              <w:snapToGrid w:val="0"/>
              <w:spacing w:line="360" w:lineRule="auto"/>
              <w:ind w:firstLine="480" w:firstLineChars="200"/>
              <w:rPr>
                <w:sz w:val="24"/>
                <w:szCs w:val="21"/>
                <w:highlight w:val="none"/>
              </w:rPr>
            </w:pPr>
            <w:r>
              <w:rPr>
                <w:sz w:val="24"/>
                <w:szCs w:val="21"/>
                <w:highlight w:val="none"/>
              </w:rPr>
              <w:t>本项目不涉及电磁辐射。</w:t>
            </w:r>
          </w:p>
          <w:p w14:paraId="6DCD1098">
            <w:pPr>
              <w:spacing w:line="360" w:lineRule="auto"/>
              <w:ind w:firstLine="480"/>
              <w:rPr>
                <w:b/>
                <w:sz w:val="24"/>
                <w:highlight w:val="none"/>
              </w:rPr>
            </w:pPr>
            <w:r>
              <w:rPr>
                <w:b/>
                <w:sz w:val="24"/>
                <w:szCs w:val="21"/>
                <w:highlight w:val="none"/>
              </w:rPr>
              <w:t>10.</w:t>
            </w:r>
            <w:r>
              <w:rPr>
                <w:b/>
                <w:sz w:val="24"/>
                <w:highlight w:val="none"/>
              </w:rPr>
              <w:t xml:space="preserve"> 环境管理及环境监测计划</w:t>
            </w:r>
          </w:p>
          <w:p w14:paraId="2B37656C">
            <w:pPr>
              <w:pStyle w:val="47"/>
              <w:ind w:firstLine="480"/>
              <w:rPr>
                <w:highlight w:val="none"/>
              </w:rPr>
            </w:pPr>
            <w:r>
              <w:rPr>
                <w:highlight w:val="none"/>
              </w:rPr>
              <w:t>（1）环境管理</w:t>
            </w:r>
          </w:p>
          <w:p w14:paraId="6330F0DA">
            <w:pPr>
              <w:pStyle w:val="47"/>
              <w:ind w:firstLine="480"/>
              <w:rPr>
                <w:highlight w:val="none"/>
              </w:rPr>
            </w:pPr>
            <w:r>
              <w:rPr>
                <w:highlight w:val="none"/>
              </w:rPr>
              <w:t>1）企业需设置专人负责企业日常的环保管理工作。其具体职责为：贯彻执行国家和上级有关部门及地方生态环境主管部门的方针政策和法规，负责对职工进行经常性的环保教育，按时向有关部门上报有关技术数据，负责组织、落实和监督公司的环境保护工作。</w:t>
            </w:r>
          </w:p>
          <w:p w14:paraId="685F7192">
            <w:pPr>
              <w:pStyle w:val="47"/>
              <w:ind w:firstLine="480"/>
              <w:rPr>
                <w:highlight w:val="none"/>
              </w:rPr>
            </w:pPr>
            <w:r>
              <w:rPr>
                <w:highlight w:val="none"/>
              </w:rPr>
              <w:t>2）做好环保设施的运行、检查、维护等工作，制定环保设施运转与监督制度。</w:t>
            </w:r>
          </w:p>
          <w:p w14:paraId="588A5EFB">
            <w:pPr>
              <w:pStyle w:val="47"/>
              <w:ind w:firstLine="480"/>
              <w:rPr>
                <w:highlight w:val="none"/>
              </w:rPr>
            </w:pPr>
            <w:r>
              <w:rPr>
                <w:highlight w:val="none"/>
              </w:rPr>
              <w:t>3）定期对污染源进行监测，通过设置监测制度，及时反映企业排污状况，根据监测结果及时调整环保管理计划，为改善环保措施提供依据。</w:t>
            </w:r>
          </w:p>
          <w:p w14:paraId="0843D4A0">
            <w:pPr>
              <w:pStyle w:val="47"/>
              <w:ind w:firstLine="480"/>
              <w:rPr>
                <w:highlight w:val="none"/>
              </w:rPr>
            </w:pPr>
            <w:r>
              <w:rPr>
                <w:highlight w:val="none"/>
              </w:rPr>
              <w:t>4）制定和实施环境保护奖惩制度。</w:t>
            </w:r>
          </w:p>
          <w:p w14:paraId="22896651">
            <w:pPr>
              <w:pStyle w:val="47"/>
              <w:ind w:firstLine="480"/>
              <w:rPr>
                <w:highlight w:val="none"/>
              </w:rPr>
            </w:pPr>
            <w:r>
              <w:rPr>
                <w:highlight w:val="none"/>
              </w:rPr>
              <w:t>（2）排污口规范化</w:t>
            </w:r>
          </w:p>
          <w:p w14:paraId="35A86C72">
            <w:pPr>
              <w:pStyle w:val="47"/>
              <w:ind w:firstLine="480"/>
              <w:jc w:val="both"/>
              <w:rPr>
                <w:highlight w:val="none"/>
              </w:rPr>
            </w:pPr>
            <w:r>
              <w:rPr>
                <w:highlight w:val="none"/>
              </w:rPr>
              <w:t>根据国家标准《环境保护图形——排放口（源）》（GB15562.1-1995）和《环境保护图形标志固体废物贮存（处置）场》（GB15562.2-1995）</w:t>
            </w:r>
            <w:r>
              <w:rPr>
                <w:rFonts w:hint="eastAsia"/>
                <w:highlight w:val="none"/>
                <w:lang w:val="en-US" w:eastAsia="zh-CN"/>
              </w:rPr>
              <w:t>及其修改单</w:t>
            </w:r>
            <w:r>
              <w:rPr>
                <w:highlight w:val="none"/>
              </w:rPr>
              <w:t>的技术要求，企业所有排放口（包括水、气等）必须按照“便于采样、便于计量监测、便于日常现场监督检查”的原则和规范化要求，设置与之相适应的环境保护图形标志牌，绘制企业排污口分布图，排污口的规范化要符合环境管理部门的相关要求。</w:t>
            </w:r>
          </w:p>
          <w:p w14:paraId="1D946E4E">
            <w:pPr>
              <w:pStyle w:val="47"/>
              <w:ind w:firstLine="480"/>
              <w:rPr>
                <w:highlight w:val="none"/>
              </w:rPr>
            </w:pPr>
            <w:r>
              <w:rPr>
                <w:highlight w:val="none"/>
              </w:rPr>
              <w:t>因此，本项目应按照《环境保护图形——排放口（源）》（GB15562.1-1995）等的技术要求，设置相应的环境保护图形标志。</w:t>
            </w:r>
          </w:p>
          <w:p w14:paraId="4F375D38">
            <w:pPr>
              <w:pStyle w:val="47"/>
              <w:ind w:firstLine="480"/>
              <w:rPr>
                <w:highlight w:val="none"/>
              </w:rPr>
            </w:pPr>
            <w:r>
              <w:rPr>
                <w:highlight w:val="none"/>
              </w:rPr>
              <w:t>（3）环境监测计划</w:t>
            </w:r>
          </w:p>
          <w:p w14:paraId="3D5A791A">
            <w:pPr>
              <w:pStyle w:val="47"/>
              <w:ind w:firstLine="480"/>
              <w:rPr>
                <w:highlight w:val="none"/>
              </w:rPr>
            </w:pPr>
            <w:r>
              <w:rPr>
                <w:highlight w:val="none"/>
              </w:rPr>
              <w:t>主要对生产过程中排放的污染物进行定期监测，判断环境质量，评价环保设施及其治理效果。为防治污染提供科学依据。建设单位营运期可请当地环境监测站或有资质的检测单位协助进行日常的环境监测，若有超标排放时应及时向建设单位有关部门及领导反映，并及时采取措施，杜绝污染物超标排放。根据《排污单位自行监测技术指南 总则（HJ 819-2017）》</w:t>
            </w:r>
            <w:r>
              <w:rPr>
                <w:rFonts w:hint="eastAsia"/>
                <w:highlight w:val="none"/>
              </w:rPr>
              <w:t>、《排污许可证申请与核发技术规范 总则（HJ942-2018）》</w:t>
            </w:r>
            <w:r>
              <w:rPr>
                <w:highlight w:val="none"/>
              </w:rPr>
              <w:t>，本项目运营期污染源监测计划如表4-1</w:t>
            </w:r>
            <w:r>
              <w:rPr>
                <w:rFonts w:hint="eastAsia"/>
                <w:highlight w:val="none"/>
                <w:lang w:val="en-US" w:eastAsia="zh-CN"/>
              </w:rPr>
              <w:t>6</w:t>
            </w:r>
            <w:r>
              <w:rPr>
                <w:highlight w:val="none"/>
              </w:rPr>
              <w:t>所示。</w:t>
            </w:r>
          </w:p>
          <w:p w14:paraId="123CC2E2">
            <w:pPr>
              <w:spacing w:line="360" w:lineRule="auto"/>
              <w:jc w:val="center"/>
              <w:rPr>
                <w:b/>
                <w:sz w:val="24"/>
                <w:highlight w:val="none"/>
              </w:rPr>
            </w:pPr>
            <w:r>
              <w:rPr>
                <w:b/>
                <w:sz w:val="24"/>
                <w:highlight w:val="none"/>
              </w:rPr>
              <w:t>表4-1</w:t>
            </w:r>
            <w:r>
              <w:rPr>
                <w:rFonts w:hint="eastAsia"/>
                <w:b/>
                <w:sz w:val="24"/>
                <w:highlight w:val="none"/>
                <w:lang w:val="en-US" w:eastAsia="zh-CN"/>
              </w:rPr>
              <w:t xml:space="preserve">6   </w:t>
            </w:r>
            <w:r>
              <w:rPr>
                <w:b/>
                <w:sz w:val="24"/>
                <w:highlight w:val="none"/>
              </w:rPr>
              <w:t>本项目运营期环境监测计划</w:t>
            </w:r>
          </w:p>
          <w:tbl>
            <w:tblPr>
              <w:tblStyle w:val="34"/>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14"/>
              <w:gridCol w:w="3849"/>
              <w:gridCol w:w="1343"/>
            </w:tblGrid>
            <w:tr w14:paraId="3CF6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57" w:type="dxa"/>
                  <w:vAlign w:val="center"/>
                </w:tcPr>
                <w:p w14:paraId="43CF8E35">
                  <w:pPr>
                    <w:pStyle w:val="115"/>
                    <w:ind w:left="-2" w:leftChars="0"/>
                    <w:rPr>
                      <w:rFonts w:ascii="Times New Roman" w:hAnsi="Times New Roman"/>
                      <w:kern w:val="2"/>
                      <w:szCs w:val="21"/>
                      <w:highlight w:val="none"/>
                    </w:rPr>
                  </w:pPr>
                  <w:r>
                    <w:rPr>
                      <w:rFonts w:ascii="Times New Roman" w:hAnsi="Times New Roman"/>
                      <w:highlight w:val="none"/>
                    </w:rPr>
                    <w:t>类型</w:t>
                  </w:r>
                </w:p>
              </w:tc>
              <w:tc>
                <w:tcPr>
                  <w:tcW w:w="2114" w:type="dxa"/>
                  <w:vAlign w:val="center"/>
                </w:tcPr>
                <w:p w14:paraId="7B7570F8">
                  <w:pPr>
                    <w:pStyle w:val="115"/>
                    <w:ind w:left="-2" w:leftChars="0"/>
                    <w:rPr>
                      <w:rFonts w:ascii="Times New Roman" w:hAnsi="Times New Roman"/>
                      <w:highlight w:val="none"/>
                    </w:rPr>
                  </w:pPr>
                  <w:r>
                    <w:rPr>
                      <w:rFonts w:ascii="Times New Roman" w:hAnsi="Times New Roman"/>
                      <w:highlight w:val="none"/>
                    </w:rPr>
                    <w:t>监测点位</w:t>
                  </w:r>
                </w:p>
              </w:tc>
              <w:tc>
                <w:tcPr>
                  <w:tcW w:w="3849" w:type="dxa"/>
                  <w:vAlign w:val="center"/>
                </w:tcPr>
                <w:p w14:paraId="3BA0E0C4">
                  <w:pPr>
                    <w:pStyle w:val="115"/>
                    <w:ind w:left="-2" w:leftChars="0"/>
                    <w:rPr>
                      <w:rFonts w:ascii="Times New Roman" w:hAnsi="Times New Roman"/>
                      <w:highlight w:val="none"/>
                    </w:rPr>
                  </w:pPr>
                  <w:r>
                    <w:rPr>
                      <w:rFonts w:ascii="Times New Roman" w:hAnsi="Times New Roman"/>
                      <w:highlight w:val="none"/>
                    </w:rPr>
                    <w:t>监测项目</w:t>
                  </w:r>
                </w:p>
              </w:tc>
              <w:tc>
                <w:tcPr>
                  <w:tcW w:w="1343" w:type="dxa"/>
                  <w:vAlign w:val="center"/>
                </w:tcPr>
                <w:p w14:paraId="0AD25138">
                  <w:pPr>
                    <w:pStyle w:val="115"/>
                    <w:ind w:left="-2" w:leftChars="0"/>
                    <w:rPr>
                      <w:rFonts w:ascii="Times New Roman" w:hAnsi="Times New Roman"/>
                      <w:highlight w:val="none"/>
                    </w:rPr>
                  </w:pPr>
                  <w:r>
                    <w:rPr>
                      <w:rFonts w:ascii="Times New Roman" w:hAnsi="Times New Roman"/>
                      <w:highlight w:val="none"/>
                    </w:rPr>
                    <w:t>监测频次</w:t>
                  </w:r>
                </w:p>
              </w:tc>
            </w:tr>
            <w:tr w14:paraId="10FD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57" w:type="dxa"/>
                  <w:vMerge w:val="restart"/>
                  <w:vAlign w:val="center"/>
                </w:tcPr>
                <w:p w14:paraId="1A05DC69">
                  <w:pPr>
                    <w:pStyle w:val="115"/>
                    <w:ind w:left="-2" w:leftChars="0"/>
                    <w:rPr>
                      <w:rFonts w:ascii="Times New Roman" w:hAnsi="Times New Roman"/>
                      <w:highlight w:val="none"/>
                    </w:rPr>
                  </w:pPr>
                  <w:r>
                    <w:rPr>
                      <w:rFonts w:ascii="Times New Roman" w:hAnsi="Times New Roman"/>
                      <w:highlight w:val="none"/>
                    </w:rPr>
                    <w:t>废气</w:t>
                  </w:r>
                </w:p>
              </w:tc>
              <w:tc>
                <w:tcPr>
                  <w:tcW w:w="2114" w:type="dxa"/>
                  <w:vAlign w:val="center"/>
                </w:tcPr>
                <w:p w14:paraId="77B1637A">
                  <w:pPr>
                    <w:pStyle w:val="115"/>
                    <w:ind w:left="-2" w:leftChars="0"/>
                    <w:rPr>
                      <w:rFonts w:hint="default" w:ascii="Times New Roman" w:hAnsi="Times New Roman" w:eastAsia="宋体"/>
                      <w:highlight w:val="none"/>
                      <w:lang w:val="en-US" w:eastAsia="zh-CN"/>
                    </w:rPr>
                  </w:pPr>
                  <w:r>
                    <w:rPr>
                      <w:rFonts w:hint="eastAsia" w:ascii="Times New Roman" w:hAnsi="Times New Roman"/>
                      <w:highlight w:val="none"/>
                      <w:lang w:val="en-US" w:eastAsia="zh-CN"/>
                    </w:rPr>
                    <w:t>DA001</w:t>
                  </w:r>
                </w:p>
              </w:tc>
              <w:tc>
                <w:tcPr>
                  <w:tcW w:w="3849" w:type="dxa"/>
                  <w:vAlign w:val="center"/>
                </w:tcPr>
                <w:p w14:paraId="43BB91D6">
                  <w:pPr>
                    <w:pStyle w:val="115"/>
                    <w:ind w:left="-2" w:leftChars="0"/>
                    <w:rPr>
                      <w:rFonts w:ascii="Times New Roman" w:hAnsi="Times New Roman"/>
                      <w:highlight w:val="none"/>
                    </w:rPr>
                  </w:pPr>
                  <w:r>
                    <w:rPr>
                      <w:rFonts w:ascii="Times New Roman" w:hAnsi="Times New Roman"/>
                      <w:highlight w:val="none"/>
                    </w:rPr>
                    <w:t>废气量、颗粒物</w:t>
                  </w:r>
                </w:p>
              </w:tc>
              <w:tc>
                <w:tcPr>
                  <w:tcW w:w="1343" w:type="dxa"/>
                  <w:vAlign w:val="center"/>
                </w:tcPr>
                <w:p w14:paraId="4700947E">
                  <w:pPr>
                    <w:pStyle w:val="115"/>
                    <w:ind w:left="-2" w:leftChars="0"/>
                    <w:rPr>
                      <w:rFonts w:ascii="Times New Roman" w:hAnsi="Times New Roman"/>
                      <w:highlight w:val="none"/>
                    </w:rPr>
                  </w:pPr>
                  <w:r>
                    <w:rPr>
                      <w:rFonts w:ascii="Times New Roman" w:hAnsi="Times New Roman"/>
                      <w:highlight w:val="none"/>
                    </w:rPr>
                    <w:t>每半年1次</w:t>
                  </w:r>
                </w:p>
              </w:tc>
            </w:tr>
            <w:tr w14:paraId="4CD2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57" w:type="dxa"/>
                  <w:vMerge w:val="continue"/>
                  <w:vAlign w:val="center"/>
                </w:tcPr>
                <w:p w14:paraId="5D2F6780">
                  <w:pPr>
                    <w:pStyle w:val="115"/>
                    <w:ind w:left="-2" w:leftChars="0"/>
                    <w:rPr>
                      <w:rFonts w:ascii="Times New Roman" w:hAnsi="Times New Roman"/>
                      <w:highlight w:val="none"/>
                    </w:rPr>
                  </w:pPr>
                </w:p>
              </w:tc>
              <w:tc>
                <w:tcPr>
                  <w:tcW w:w="2114" w:type="dxa"/>
                  <w:vAlign w:val="center"/>
                </w:tcPr>
                <w:p w14:paraId="53926D87">
                  <w:pPr>
                    <w:pStyle w:val="115"/>
                    <w:ind w:left="-2" w:leftChars="0"/>
                    <w:rPr>
                      <w:rFonts w:hint="eastAsia" w:ascii="Times New Roman" w:hAnsi="Times New Roman" w:eastAsia="宋体"/>
                      <w:highlight w:val="none"/>
                      <w:lang w:eastAsia="zh-CN"/>
                    </w:rPr>
                  </w:pPr>
                  <w:r>
                    <w:rPr>
                      <w:rFonts w:hint="eastAsia" w:ascii="Times New Roman" w:hAnsi="Times New Roman"/>
                      <w:highlight w:val="none"/>
                      <w:lang w:eastAsia="zh-CN"/>
                    </w:rPr>
                    <w:t>DA002</w:t>
                  </w:r>
                </w:p>
              </w:tc>
              <w:tc>
                <w:tcPr>
                  <w:tcW w:w="3849" w:type="dxa"/>
                  <w:vAlign w:val="center"/>
                </w:tcPr>
                <w:p w14:paraId="0882EA2F">
                  <w:pPr>
                    <w:pStyle w:val="115"/>
                    <w:ind w:left="-2" w:leftChars="0"/>
                    <w:rPr>
                      <w:rFonts w:ascii="Times New Roman" w:hAnsi="Times New Roman"/>
                      <w:highlight w:val="none"/>
                    </w:rPr>
                  </w:pPr>
                  <w:r>
                    <w:rPr>
                      <w:rFonts w:ascii="Times New Roman" w:hAnsi="Times New Roman"/>
                      <w:highlight w:val="none"/>
                    </w:rPr>
                    <w:t>废气量、颗粒物、二氧化硫、氮氧化物</w:t>
                  </w:r>
                </w:p>
              </w:tc>
              <w:tc>
                <w:tcPr>
                  <w:tcW w:w="1343" w:type="dxa"/>
                  <w:vAlign w:val="center"/>
                </w:tcPr>
                <w:p w14:paraId="3B22B030">
                  <w:pPr>
                    <w:pStyle w:val="115"/>
                    <w:ind w:left="-2" w:leftChars="0"/>
                    <w:rPr>
                      <w:rFonts w:ascii="Times New Roman" w:hAnsi="Times New Roman"/>
                      <w:highlight w:val="none"/>
                    </w:rPr>
                  </w:pPr>
                  <w:r>
                    <w:rPr>
                      <w:rFonts w:ascii="Times New Roman" w:hAnsi="Times New Roman"/>
                      <w:highlight w:val="none"/>
                    </w:rPr>
                    <w:t>每半年1次</w:t>
                  </w:r>
                </w:p>
              </w:tc>
            </w:tr>
            <w:tr w14:paraId="606E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vMerge w:val="continue"/>
                  <w:vAlign w:val="center"/>
                </w:tcPr>
                <w:p w14:paraId="49AC6182">
                  <w:pPr>
                    <w:widowControl/>
                    <w:jc w:val="left"/>
                    <w:rPr>
                      <w:szCs w:val="21"/>
                      <w:highlight w:val="none"/>
                    </w:rPr>
                  </w:pPr>
                </w:p>
              </w:tc>
              <w:tc>
                <w:tcPr>
                  <w:tcW w:w="2114" w:type="dxa"/>
                  <w:vAlign w:val="center"/>
                </w:tcPr>
                <w:p w14:paraId="34AF2FE6">
                  <w:pPr>
                    <w:pStyle w:val="115"/>
                    <w:ind w:left="-2" w:leftChars="0"/>
                    <w:rPr>
                      <w:rFonts w:ascii="Times New Roman" w:hAnsi="Times New Roman"/>
                      <w:highlight w:val="none"/>
                    </w:rPr>
                  </w:pPr>
                  <w:r>
                    <w:rPr>
                      <w:rFonts w:ascii="Times New Roman" w:hAnsi="Times New Roman"/>
                      <w:highlight w:val="none"/>
                    </w:rPr>
                    <w:t>厂界无组织</w:t>
                  </w:r>
                </w:p>
              </w:tc>
              <w:tc>
                <w:tcPr>
                  <w:tcW w:w="3849" w:type="dxa"/>
                  <w:vAlign w:val="center"/>
                </w:tcPr>
                <w:p w14:paraId="62D6C0C0">
                  <w:pPr>
                    <w:pStyle w:val="115"/>
                    <w:ind w:left="-2" w:leftChars="0"/>
                    <w:rPr>
                      <w:rFonts w:ascii="Times New Roman" w:hAnsi="Times New Roman"/>
                      <w:highlight w:val="none"/>
                    </w:rPr>
                  </w:pPr>
                  <w:r>
                    <w:rPr>
                      <w:rFonts w:ascii="Times New Roman" w:hAnsi="Times New Roman"/>
                      <w:highlight w:val="none"/>
                    </w:rPr>
                    <w:t>颗粒物</w:t>
                  </w:r>
                </w:p>
              </w:tc>
              <w:tc>
                <w:tcPr>
                  <w:tcW w:w="1343" w:type="dxa"/>
                  <w:vAlign w:val="center"/>
                </w:tcPr>
                <w:p w14:paraId="0E4124F1">
                  <w:pPr>
                    <w:pStyle w:val="115"/>
                    <w:ind w:left="-2" w:leftChars="0"/>
                    <w:rPr>
                      <w:rFonts w:ascii="Times New Roman" w:hAnsi="Times New Roman"/>
                      <w:highlight w:val="none"/>
                    </w:rPr>
                  </w:pPr>
                  <w:r>
                    <w:rPr>
                      <w:rFonts w:ascii="Times New Roman" w:hAnsi="Times New Roman"/>
                      <w:highlight w:val="none"/>
                    </w:rPr>
                    <w:t>每年1次</w:t>
                  </w:r>
                </w:p>
              </w:tc>
            </w:tr>
            <w:tr w14:paraId="6C87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vAlign w:val="center"/>
                </w:tcPr>
                <w:p w14:paraId="6286C08B">
                  <w:pPr>
                    <w:widowControl/>
                    <w:jc w:val="center"/>
                    <w:rPr>
                      <w:rFonts w:hint="eastAsia" w:eastAsia="宋体"/>
                      <w:szCs w:val="21"/>
                      <w:highlight w:val="none"/>
                      <w:lang w:val="en-US" w:eastAsia="zh-CN"/>
                    </w:rPr>
                  </w:pPr>
                  <w:r>
                    <w:rPr>
                      <w:rFonts w:hint="eastAsia"/>
                      <w:szCs w:val="21"/>
                      <w:highlight w:val="none"/>
                      <w:lang w:val="en-US" w:eastAsia="zh-CN"/>
                    </w:rPr>
                    <w:t>废水</w:t>
                  </w:r>
                </w:p>
              </w:tc>
              <w:tc>
                <w:tcPr>
                  <w:tcW w:w="2114" w:type="dxa"/>
                  <w:vAlign w:val="center"/>
                </w:tcPr>
                <w:p w14:paraId="320ACC61">
                  <w:pPr>
                    <w:pStyle w:val="115"/>
                    <w:ind w:left="-2" w:leftChars="0"/>
                    <w:rPr>
                      <w:rFonts w:ascii="Times New Roman" w:hAnsi="Times New Roman"/>
                      <w:highlight w:val="none"/>
                    </w:rPr>
                  </w:pPr>
                  <w:r>
                    <w:rPr>
                      <w:rFonts w:hint="eastAsia"/>
                      <w:color w:val="auto"/>
                      <w:highlight w:val="none"/>
                      <w:lang w:val="en-US" w:eastAsia="zh-CN"/>
                    </w:rPr>
                    <w:t>生活</w:t>
                  </w:r>
                  <w:r>
                    <w:rPr>
                      <w:color w:val="auto"/>
                      <w:highlight w:val="none"/>
                    </w:rPr>
                    <w:t>污水处理设施出水口</w:t>
                  </w:r>
                </w:p>
              </w:tc>
              <w:tc>
                <w:tcPr>
                  <w:tcW w:w="3849" w:type="dxa"/>
                  <w:vAlign w:val="center"/>
                </w:tcPr>
                <w:p w14:paraId="7224701B">
                  <w:pPr>
                    <w:pStyle w:val="115"/>
                    <w:ind w:left="-2" w:leftChars="0"/>
                    <w:rPr>
                      <w:rFonts w:ascii="Times New Roman" w:hAnsi="Times New Roman"/>
                      <w:highlight w:val="none"/>
                    </w:rPr>
                  </w:pPr>
                  <w:r>
                    <w:rPr>
                      <w:rFonts w:hint="eastAsia"/>
                      <w:color w:val="auto"/>
                      <w:highlight w:val="none"/>
                    </w:rPr>
                    <w:t>流量、pH值、化学需氧量、氨氮、悬浮物、五日生化需氧量</w:t>
                  </w:r>
                </w:p>
              </w:tc>
              <w:tc>
                <w:tcPr>
                  <w:tcW w:w="1343" w:type="dxa"/>
                  <w:vAlign w:val="center"/>
                </w:tcPr>
                <w:p w14:paraId="39586510">
                  <w:pPr>
                    <w:pStyle w:val="115"/>
                    <w:ind w:left="-2" w:leftChars="0"/>
                    <w:rPr>
                      <w:rFonts w:ascii="Times New Roman" w:hAnsi="Times New Roman"/>
                      <w:highlight w:val="none"/>
                    </w:rPr>
                  </w:pPr>
                  <w:r>
                    <w:rPr>
                      <w:rFonts w:ascii="Times New Roman" w:hAnsi="Times New Roman"/>
                      <w:highlight w:val="none"/>
                    </w:rPr>
                    <w:t>每年1次</w:t>
                  </w:r>
                </w:p>
              </w:tc>
            </w:tr>
            <w:tr w14:paraId="5C9B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57" w:type="dxa"/>
                  <w:vAlign w:val="center"/>
                </w:tcPr>
                <w:p w14:paraId="260F20C9">
                  <w:pPr>
                    <w:pStyle w:val="115"/>
                    <w:ind w:left="-2" w:leftChars="0"/>
                    <w:rPr>
                      <w:rFonts w:ascii="Times New Roman" w:hAnsi="Times New Roman"/>
                      <w:highlight w:val="none"/>
                    </w:rPr>
                  </w:pPr>
                  <w:r>
                    <w:rPr>
                      <w:rFonts w:ascii="Times New Roman" w:hAnsi="Times New Roman"/>
                      <w:highlight w:val="none"/>
                    </w:rPr>
                    <w:t>噪声</w:t>
                  </w:r>
                </w:p>
              </w:tc>
              <w:tc>
                <w:tcPr>
                  <w:tcW w:w="2114" w:type="dxa"/>
                  <w:vAlign w:val="center"/>
                </w:tcPr>
                <w:p w14:paraId="0BBE86DE">
                  <w:pPr>
                    <w:pStyle w:val="115"/>
                    <w:ind w:left="-2" w:leftChars="0"/>
                    <w:rPr>
                      <w:rFonts w:ascii="Times New Roman" w:hAnsi="Times New Roman"/>
                      <w:highlight w:val="none"/>
                    </w:rPr>
                  </w:pPr>
                  <w:r>
                    <w:rPr>
                      <w:rFonts w:ascii="Times New Roman" w:hAnsi="Times New Roman"/>
                      <w:highlight w:val="none"/>
                    </w:rPr>
                    <w:t>厂界</w:t>
                  </w:r>
                </w:p>
              </w:tc>
              <w:tc>
                <w:tcPr>
                  <w:tcW w:w="3849" w:type="dxa"/>
                  <w:vAlign w:val="center"/>
                </w:tcPr>
                <w:p w14:paraId="2ADD380F">
                  <w:pPr>
                    <w:pStyle w:val="115"/>
                    <w:ind w:left="-2" w:leftChars="0"/>
                    <w:rPr>
                      <w:rFonts w:ascii="Times New Roman" w:hAnsi="Times New Roman"/>
                      <w:highlight w:val="none"/>
                    </w:rPr>
                  </w:pPr>
                  <w:r>
                    <w:rPr>
                      <w:rFonts w:ascii="Times New Roman" w:hAnsi="Times New Roman"/>
                      <w:highlight w:val="none"/>
                    </w:rPr>
                    <w:t>昼间噪声</w:t>
                  </w:r>
                </w:p>
              </w:tc>
              <w:tc>
                <w:tcPr>
                  <w:tcW w:w="1343" w:type="dxa"/>
                  <w:vAlign w:val="center"/>
                </w:tcPr>
                <w:p w14:paraId="1FCC7AF2">
                  <w:pPr>
                    <w:pStyle w:val="115"/>
                    <w:ind w:left="-2" w:leftChars="0"/>
                    <w:rPr>
                      <w:rFonts w:ascii="Times New Roman" w:hAnsi="Times New Roman"/>
                      <w:highlight w:val="none"/>
                    </w:rPr>
                  </w:pPr>
                  <w:r>
                    <w:rPr>
                      <w:rFonts w:ascii="Times New Roman" w:hAnsi="Times New Roman"/>
                      <w:highlight w:val="none"/>
                    </w:rPr>
                    <w:t>每季度1次</w:t>
                  </w:r>
                </w:p>
              </w:tc>
            </w:tr>
          </w:tbl>
          <w:p w14:paraId="32EDD1C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b/>
                <w:sz w:val="24"/>
                <w:szCs w:val="21"/>
                <w:highlight w:val="none"/>
              </w:rPr>
            </w:pPr>
            <w:r>
              <w:rPr>
                <w:b/>
                <w:sz w:val="24"/>
                <w:szCs w:val="21"/>
                <w:highlight w:val="none"/>
              </w:rPr>
              <w:t>11.</w:t>
            </w:r>
            <w:r>
              <w:rPr>
                <w:highlight w:val="none"/>
              </w:rPr>
              <w:t xml:space="preserve"> </w:t>
            </w:r>
            <w:r>
              <w:rPr>
                <w:rFonts w:hint="eastAsia"/>
                <w:b/>
                <w:sz w:val="24"/>
                <w:szCs w:val="21"/>
                <w:highlight w:val="none"/>
              </w:rPr>
              <w:t>项目</w:t>
            </w:r>
            <w:r>
              <w:rPr>
                <w:b/>
                <w:sz w:val="24"/>
                <w:szCs w:val="21"/>
                <w:highlight w:val="none"/>
              </w:rPr>
              <w:t>污染物排放清单</w:t>
            </w:r>
          </w:p>
          <w:p w14:paraId="4FD6527B">
            <w:pPr>
              <w:spacing w:line="360" w:lineRule="auto"/>
              <w:ind w:firstLine="480" w:firstLineChars="200"/>
              <w:rPr>
                <w:sz w:val="24"/>
                <w:highlight w:val="none"/>
              </w:rPr>
            </w:pPr>
            <w:r>
              <w:rPr>
                <w:rFonts w:hint="eastAsia"/>
                <w:sz w:val="24"/>
                <w:szCs w:val="21"/>
                <w:highlight w:val="none"/>
              </w:rPr>
              <w:t>项目运营期</w:t>
            </w:r>
            <w:r>
              <w:rPr>
                <w:sz w:val="24"/>
                <w:szCs w:val="21"/>
                <w:highlight w:val="none"/>
              </w:rPr>
              <w:t>污染物排放清单如表4-1</w:t>
            </w:r>
            <w:r>
              <w:rPr>
                <w:rFonts w:hint="eastAsia"/>
                <w:sz w:val="24"/>
                <w:szCs w:val="21"/>
                <w:highlight w:val="none"/>
                <w:lang w:val="en-US" w:eastAsia="zh-CN"/>
              </w:rPr>
              <w:t>7</w:t>
            </w:r>
            <w:r>
              <w:rPr>
                <w:sz w:val="24"/>
                <w:szCs w:val="21"/>
                <w:highlight w:val="none"/>
              </w:rPr>
              <w:t>所示。</w:t>
            </w:r>
          </w:p>
        </w:tc>
      </w:tr>
    </w:tbl>
    <w:p w14:paraId="749F52E1">
      <w:pPr>
        <w:pStyle w:val="29"/>
        <w:outlineLvl w:val="0"/>
        <w:rPr>
          <w:rFonts w:ascii="Times New Roman" w:hAnsi="Times New Roman" w:eastAsia="黑体"/>
          <w:snapToGrid w:val="0"/>
          <w:sz w:val="30"/>
          <w:szCs w:val="30"/>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tbl>
      <w:tblPr>
        <w:tblStyle w:val="35"/>
        <w:tblW w:w="13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8"/>
      </w:tblGrid>
      <w:tr w14:paraId="6A44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5" w:hRule="atLeast"/>
          <w:jc w:val="center"/>
        </w:trPr>
        <w:tc>
          <w:tcPr>
            <w:tcW w:w="13228" w:type="dxa"/>
          </w:tcPr>
          <w:p w14:paraId="65466070">
            <w:pPr>
              <w:adjustRightInd w:val="0"/>
              <w:snapToGrid w:val="0"/>
              <w:spacing w:line="360" w:lineRule="auto"/>
              <w:jc w:val="center"/>
              <w:rPr>
                <w:b/>
                <w:kern w:val="0"/>
                <w:sz w:val="24"/>
                <w:szCs w:val="28"/>
                <w:highlight w:val="none"/>
              </w:rPr>
            </w:pPr>
            <w:r>
              <w:rPr>
                <w:b/>
                <w:kern w:val="0"/>
                <w:sz w:val="24"/>
                <w:szCs w:val="28"/>
                <w:highlight w:val="none"/>
              </w:rPr>
              <w:t>表4-1</w:t>
            </w:r>
            <w:r>
              <w:rPr>
                <w:rFonts w:hint="eastAsia"/>
                <w:b/>
                <w:kern w:val="0"/>
                <w:sz w:val="24"/>
                <w:szCs w:val="28"/>
                <w:highlight w:val="none"/>
                <w:lang w:val="en-US" w:eastAsia="zh-CN"/>
              </w:rPr>
              <w:t xml:space="preserve">7   </w:t>
            </w:r>
            <w:r>
              <w:rPr>
                <w:b/>
                <w:kern w:val="0"/>
                <w:sz w:val="24"/>
                <w:szCs w:val="28"/>
                <w:highlight w:val="none"/>
              </w:rPr>
              <w:t xml:space="preserve"> 项目运营期污染物排放清单</w:t>
            </w:r>
          </w:p>
          <w:tbl>
            <w:tblPr>
              <w:tblStyle w:val="73"/>
              <w:tblW w:w="13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56"/>
              <w:gridCol w:w="1600"/>
              <w:gridCol w:w="674"/>
              <w:gridCol w:w="884"/>
              <w:gridCol w:w="892"/>
              <w:gridCol w:w="1208"/>
              <w:gridCol w:w="875"/>
              <w:gridCol w:w="1242"/>
              <w:gridCol w:w="1241"/>
              <w:gridCol w:w="1075"/>
              <w:gridCol w:w="2126"/>
            </w:tblGrid>
            <w:tr w14:paraId="1949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78" w:type="dxa"/>
                  <w:gridSpan w:val="2"/>
                  <w:vMerge w:val="restart"/>
                  <w:vAlign w:val="center"/>
                </w:tcPr>
                <w:p w14:paraId="2826791C">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污染源</w:t>
                  </w:r>
                </w:p>
              </w:tc>
              <w:tc>
                <w:tcPr>
                  <w:tcW w:w="1600" w:type="dxa"/>
                  <w:vMerge w:val="restart"/>
                  <w:vAlign w:val="center"/>
                </w:tcPr>
                <w:p w14:paraId="14471439">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拟采取的环保设施</w:t>
                  </w:r>
                </w:p>
              </w:tc>
              <w:tc>
                <w:tcPr>
                  <w:tcW w:w="674" w:type="dxa"/>
                  <w:vMerge w:val="restart"/>
                  <w:vAlign w:val="center"/>
                </w:tcPr>
                <w:p w14:paraId="4EBA17C3">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排放去向</w:t>
                  </w:r>
                </w:p>
              </w:tc>
              <w:tc>
                <w:tcPr>
                  <w:tcW w:w="884" w:type="dxa"/>
                  <w:vMerge w:val="restart"/>
                  <w:vAlign w:val="center"/>
                </w:tcPr>
                <w:p w14:paraId="20F8B468">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污染物</w:t>
                  </w:r>
                </w:p>
              </w:tc>
              <w:tc>
                <w:tcPr>
                  <w:tcW w:w="892" w:type="dxa"/>
                  <w:vMerge w:val="restart"/>
                  <w:vAlign w:val="center"/>
                </w:tcPr>
                <w:p w14:paraId="1FADC075">
                  <w:pPr>
                    <w:widowControl/>
                    <w:jc w:val="center"/>
                    <w:textAlignment w:val="center"/>
                    <w:rPr>
                      <w:rFonts w:hint="default" w:eastAsia="宋体"/>
                      <w:spacing w:val="-2"/>
                      <w:kern w:val="0"/>
                      <w:szCs w:val="21"/>
                      <w:highlight w:val="none"/>
                      <w:lang w:val="en-US" w:eastAsia="zh-CN" w:bidi="ar"/>
                    </w:rPr>
                  </w:pPr>
                  <w:r>
                    <w:rPr>
                      <w:rFonts w:hint="eastAsia" w:eastAsia="宋体"/>
                      <w:spacing w:val="-2"/>
                      <w:kern w:val="0"/>
                      <w:szCs w:val="21"/>
                      <w:highlight w:val="none"/>
                      <w:lang w:val="en-US" w:eastAsia="zh-CN" w:bidi="ar"/>
                    </w:rPr>
                    <w:t>产生量</w:t>
                  </w:r>
                  <w:r>
                    <w:rPr>
                      <w:rFonts w:eastAsia="Times New Roman"/>
                      <w:spacing w:val="-2"/>
                      <w:kern w:val="0"/>
                      <w:szCs w:val="21"/>
                      <w:highlight w:val="none"/>
                      <w:lang w:bidi="ar"/>
                    </w:rPr>
                    <w:t>（t/a）</w:t>
                  </w:r>
                </w:p>
              </w:tc>
              <w:tc>
                <w:tcPr>
                  <w:tcW w:w="1208" w:type="dxa"/>
                  <w:vMerge w:val="restart"/>
                  <w:vAlign w:val="center"/>
                </w:tcPr>
                <w:p w14:paraId="1FEC351D">
                  <w:pPr>
                    <w:widowControl/>
                    <w:jc w:val="center"/>
                    <w:textAlignment w:val="center"/>
                    <w:rPr>
                      <w:rFonts w:eastAsia="Times New Roman"/>
                      <w:spacing w:val="-2"/>
                      <w:kern w:val="0"/>
                      <w:szCs w:val="21"/>
                      <w:highlight w:val="none"/>
                      <w:lang w:bidi="ar"/>
                    </w:rPr>
                  </w:pPr>
                  <w:r>
                    <w:rPr>
                      <w:rFonts w:hint="eastAsia" w:eastAsia="宋体"/>
                      <w:spacing w:val="-2"/>
                      <w:kern w:val="0"/>
                      <w:szCs w:val="21"/>
                      <w:highlight w:val="none"/>
                      <w:lang w:val="en-US" w:eastAsia="zh-CN" w:bidi="ar"/>
                    </w:rPr>
                    <w:t>产生</w:t>
                  </w:r>
                  <w:r>
                    <w:rPr>
                      <w:rFonts w:eastAsia="Times New Roman"/>
                      <w:spacing w:val="-2"/>
                      <w:kern w:val="0"/>
                      <w:szCs w:val="21"/>
                      <w:highlight w:val="none"/>
                      <w:lang w:bidi="ar"/>
                    </w:rPr>
                    <w:t>浓度（mg/m</w:t>
                  </w:r>
                  <w:r>
                    <w:rPr>
                      <w:rFonts w:eastAsia="Times New Roman"/>
                      <w:spacing w:val="-2"/>
                      <w:kern w:val="0"/>
                      <w:szCs w:val="21"/>
                      <w:highlight w:val="none"/>
                      <w:vertAlign w:val="superscript"/>
                      <w:lang w:bidi="ar"/>
                    </w:rPr>
                    <w:t>3</w:t>
                  </w:r>
                  <w:r>
                    <w:rPr>
                      <w:rFonts w:eastAsia="Times New Roman"/>
                      <w:spacing w:val="-2"/>
                      <w:kern w:val="0"/>
                      <w:szCs w:val="21"/>
                      <w:highlight w:val="none"/>
                      <w:lang w:bidi="ar"/>
                    </w:rPr>
                    <w:t>）</w:t>
                  </w:r>
                </w:p>
              </w:tc>
              <w:tc>
                <w:tcPr>
                  <w:tcW w:w="875" w:type="dxa"/>
                  <w:vMerge w:val="restart"/>
                  <w:vAlign w:val="center"/>
                </w:tcPr>
                <w:p w14:paraId="5B087C63">
                  <w:pPr>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最终排放量（t/a）</w:t>
                  </w:r>
                </w:p>
              </w:tc>
              <w:tc>
                <w:tcPr>
                  <w:tcW w:w="1242" w:type="dxa"/>
                  <w:vMerge w:val="restart"/>
                  <w:vAlign w:val="center"/>
                </w:tcPr>
                <w:p w14:paraId="61938765">
                  <w:pPr>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最终排放</w:t>
                  </w:r>
                  <w:r>
                    <w:rPr>
                      <w:rFonts w:hint="eastAsia" w:eastAsia="宋体"/>
                      <w:spacing w:val="-2"/>
                      <w:kern w:val="0"/>
                      <w:szCs w:val="21"/>
                      <w:highlight w:val="none"/>
                      <w:lang w:val="en-US" w:eastAsia="zh-CN" w:bidi="ar"/>
                    </w:rPr>
                    <w:t>浓度</w:t>
                  </w:r>
                  <w:r>
                    <w:rPr>
                      <w:rFonts w:eastAsia="Times New Roman"/>
                      <w:spacing w:val="-2"/>
                      <w:kern w:val="0"/>
                      <w:szCs w:val="21"/>
                      <w:highlight w:val="none"/>
                      <w:lang w:bidi="ar"/>
                    </w:rPr>
                    <w:t>（mg/m</w:t>
                  </w:r>
                  <w:r>
                    <w:rPr>
                      <w:rFonts w:eastAsia="Times New Roman"/>
                      <w:spacing w:val="-2"/>
                      <w:kern w:val="0"/>
                      <w:szCs w:val="21"/>
                      <w:highlight w:val="none"/>
                      <w:vertAlign w:val="superscript"/>
                      <w:lang w:bidi="ar"/>
                    </w:rPr>
                    <w:t>3</w:t>
                  </w:r>
                  <w:r>
                    <w:rPr>
                      <w:rFonts w:eastAsia="Times New Roman"/>
                      <w:spacing w:val="-2"/>
                      <w:kern w:val="0"/>
                      <w:szCs w:val="21"/>
                      <w:highlight w:val="none"/>
                      <w:lang w:bidi="ar"/>
                    </w:rPr>
                    <w:t>）</w:t>
                  </w:r>
                </w:p>
              </w:tc>
              <w:tc>
                <w:tcPr>
                  <w:tcW w:w="4442" w:type="dxa"/>
                  <w:gridSpan w:val="3"/>
                  <w:vAlign w:val="center"/>
                </w:tcPr>
                <w:p w14:paraId="1F657B39">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执行标准</w:t>
                  </w:r>
                </w:p>
              </w:tc>
            </w:tr>
            <w:tr w14:paraId="34A0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278" w:type="dxa"/>
                  <w:gridSpan w:val="2"/>
                  <w:vMerge w:val="continue"/>
                  <w:vAlign w:val="center"/>
                </w:tcPr>
                <w:p w14:paraId="5305BADB">
                  <w:pPr>
                    <w:jc w:val="center"/>
                    <w:rPr>
                      <w:rFonts w:eastAsia="Times New Roman"/>
                      <w:spacing w:val="-2"/>
                      <w:kern w:val="0"/>
                      <w:szCs w:val="21"/>
                      <w:highlight w:val="none"/>
                    </w:rPr>
                  </w:pPr>
                </w:p>
              </w:tc>
              <w:tc>
                <w:tcPr>
                  <w:tcW w:w="1600" w:type="dxa"/>
                  <w:vMerge w:val="continue"/>
                  <w:vAlign w:val="center"/>
                </w:tcPr>
                <w:p w14:paraId="71E877A3">
                  <w:pPr>
                    <w:jc w:val="center"/>
                    <w:rPr>
                      <w:rFonts w:eastAsia="Times New Roman"/>
                      <w:spacing w:val="-2"/>
                      <w:kern w:val="0"/>
                      <w:szCs w:val="21"/>
                      <w:highlight w:val="none"/>
                    </w:rPr>
                  </w:pPr>
                </w:p>
              </w:tc>
              <w:tc>
                <w:tcPr>
                  <w:tcW w:w="674" w:type="dxa"/>
                  <w:vMerge w:val="continue"/>
                  <w:vAlign w:val="center"/>
                </w:tcPr>
                <w:p w14:paraId="79F69D6E">
                  <w:pPr>
                    <w:jc w:val="center"/>
                    <w:rPr>
                      <w:rFonts w:eastAsia="Times New Roman"/>
                      <w:spacing w:val="-2"/>
                      <w:kern w:val="0"/>
                      <w:szCs w:val="21"/>
                      <w:highlight w:val="none"/>
                    </w:rPr>
                  </w:pPr>
                </w:p>
              </w:tc>
              <w:tc>
                <w:tcPr>
                  <w:tcW w:w="884" w:type="dxa"/>
                  <w:vMerge w:val="continue"/>
                  <w:vAlign w:val="center"/>
                </w:tcPr>
                <w:p w14:paraId="5F02C5C1">
                  <w:pPr>
                    <w:widowControl/>
                    <w:jc w:val="center"/>
                    <w:textAlignment w:val="center"/>
                    <w:rPr>
                      <w:rFonts w:eastAsia="Times New Roman"/>
                      <w:spacing w:val="-2"/>
                      <w:kern w:val="0"/>
                      <w:szCs w:val="21"/>
                      <w:highlight w:val="none"/>
                      <w:lang w:bidi="ar"/>
                    </w:rPr>
                  </w:pPr>
                </w:p>
              </w:tc>
              <w:tc>
                <w:tcPr>
                  <w:tcW w:w="892" w:type="dxa"/>
                  <w:vMerge w:val="continue"/>
                  <w:vAlign w:val="center"/>
                </w:tcPr>
                <w:p w14:paraId="57727273">
                  <w:pPr>
                    <w:widowControl/>
                    <w:jc w:val="center"/>
                    <w:textAlignment w:val="center"/>
                    <w:rPr>
                      <w:rFonts w:eastAsia="Times New Roman"/>
                      <w:spacing w:val="-2"/>
                      <w:kern w:val="0"/>
                      <w:szCs w:val="21"/>
                      <w:highlight w:val="none"/>
                      <w:lang w:bidi="ar"/>
                    </w:rPr>
                  </w:pPr>
                </w:p>
              </w:tc>
              <w:tc>
                <w:tcPr>
                  <w:tcW w:w="1208" w:type="dxa"/>
                  <w:vMerge w:val="continue"/>
                  <w:vAlign w:val="center"/>
                </w:tcPr>
                <w:p w14:paraId="6CA4278A">
                  <w:pPr>
                    <w:widowControl/>
                    <w:jc w:val="center"/>
                    <w:textAlignment w:val="center"/>
                    <w:rPr>
                      <w:rFonts w:eastAsia="Times New Roman"/>
                      <w:spacing w:val="-2"/>
                      <w:kern w:val="0"/>
                      <w:szCs w:val="21"/>
                      <w:highlight w:val="none"/>
                      <w:lang w:bidi="ar"/>
                    </w:rPr>
                  </w:pPr>
                </w:p>
              </w:tc>
              <w:tc>
                <w:tcPr>
                  <w:tcW w:w="875" w:type="dxa"/>
                  <w:vMerge w:val="continue"/>
                  <w:vAlign w:val="center"/>
                </w:tcPr>
                <w:p w14:paraId="28D19F51">
                  <w:pPr>
                    <w:widowControl/>
                    <w:jc w:val="center"/>
                    <w:textAlignment w:val="center"/>
                    <w:rPr>
                      <w:rFonts w:eastAsia="Times New Roman"/>
                      <w:spacing w:val="-2"/>
                      <w:kern w:val="0"/>
                      <w:szCs w:val="21"/>
                      <w:highlight w:val="none"/>
                      <w:lang w:bidi="ar"/>
                    </w:rPr>
                  </w:pPr>
                </w:p>
              </w:tc>
              <w:tc>
                <w:tcPr>
                  <w:tcW w:w="1242" w:type="dxa"/>
                  <w:vMerge w:val="continue"/>
                  <w:vAlign w:val="center"/>
                </w:tcPr>
                <w:p w14:paraId="15A538C4">
                  <w:pPr>
                    <w:widowControl/>
                    <w:jc w:val="center"/>
                    <w:textAlignment w:val="center"/>
                    <w:rPr>
                      <w:rFonts w:eastAsia="Times New Roman"/>
                      <w:spacing w:val="-2"/>
                      <w:kern w:val="0"/>
                      <w:szCs w:val="21"/>
                      <w:highlight w:val="none"/>
                      <w:lang w:bidi="ar"/>
                    </w:rPr>
                  </w:pPr>
                </w:p>
              </w:tc>
              <w:tc>
                <w:tcPr>
                  <w:tcW w:w="1241" w:type="dxa"/>
                  <w:vAlign w:val="center"/>
                </w:tcPr>
                <w:p w14:paraId="1C50DE61">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排放浓度（mg/m</w:t>
                  </w:r>
                  <w:r>
                    <w:rPr>
                      <w:rFonts w:eastAsia="Times New Roman"/>
                      <w:spacing w:val="-2"/>
                      <w:kern w:val="0"/>
                      <w:szCs w:val="21"/>
                      <w:highlight w:val="none"/>
                      <w:vertAlign w:val="superscript"/>
                      <w:lang w:bidi="ar"/>
                    </w:rPr>
                    <w:t>3</w:t>
                  </w:r>
                  <w:r>
                    <w:rPr>
                      <w:rFonts w:eastAsia="Times New Roman"/>
                      <w:spacing w:val="-2"/>
                      <w:kern w:val="0"/>
                      <w:szCs w:val="21"/>
                      <w:highlight w:val="none"/>
                      <w:lang w:bidi="ar"/>
                    </w:rPr>
                    <w:t>）</w:t>
                  </w:r>
                </w:p>
              </w:tc>
              <w:tc>
                <w:tcPr>
                  <w:tcW w:w="1075" w:type="dxa"/>
                  <w:vAlign w:val="center"/>
                </w:tcPr>
                <w:p w14:paraId="013872AB">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排放速率（kg/h）</w:t>
                  </w:r>
                </w:p>
              </w:tc>
              <w:tc>
                <w:tcPr>
                  <w:tcW w:w="2126" w:type="dxa"/>
                  <w:vAlign w:val="center"/>
                </w:tcPr>
                <w:p w14:paraId="56791197">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标准</w:t>
                  </w:r>
                </w:p>
                <w:p w14:paraId="7E1DE840">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来源</w:t>
                  </w:r>
                </w:p>
              </w:tc>
            </w:tr>
            <w:tr w14:paraId="0F44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22" w:type="dxa"/>
                  <w:vMerge w:val="restart"/>
                  <w:vAlign w:val="center"/>
                </w:tcPr>
                <w:p w14:paraId="35B3AC4B">
                  <w:pPr>
                    <w:widowControl/>
                    <w:jc w:val="center"/>
                    <w:textAlignment w:val="center"/>
                    <w:rPr>
                      <w:rFonts w:eastAsia="Times New Roman"/>
                      <w:color w:val="000000" w:themeColor="text1"/>
                      <w:spacing w:val="-2"/>
                      <w:kern w:val="0"/>
                      <w:szCs w:val="21"/>
                      <w:highlight w:val="none"/>
                      <w14:textFill>
                        <w14:solidFill>
                          <w14:schemeClr w14:val="tx1"/>
                        </w14:solidFill>
                      </w14:textFill>
                    </w:rPr>
                  </w:pPr>
                  <w:r>
                    <w:rPr>
                      <w:rFonts w:eastAsia="Times New Roman"/>
                      <w:color w:val="000000" w:themeColor="text1"/>
                      <w:spacing w:val="-2"/>
                      <w:kern w:val="0"/>
                      <w:szCs w:val="21"/>
                      <w:highlight w:val="none"/>
                      <w:lang w:bidi="ar"/>
                      <w14:textFill>
                        <w14:solidFill>
                          <w14:schemeClr w14:val="tx1"/>
                        </w14:solidFill>
                      </w14:textFill>
                    </w:rPr>
                    <w:t>废气</w:t>
                  </w:r>
                </w:p>
              </w:tc>
              <w:tc>
                <w:tcPr>
                  <w:tcW w:w="856" w:type="dxa"/>
                  <w:shd w:val="clear" w:color="auto" w:fill="auto"/>
                  <w:vAlign w:val="center"/>
                </w:tcPr>
                <w:p w14:paraId="70AC65E4">
                  <w:pPr>
                    <w:widowControl/>
                    <w:jc w:val="center"/>
                    <w:textAlignment w:val="center"/>
                    <w:rPr>
                      <w:rFonts w:eastAsia="Times New Roman"/>
                      <w:color w:val="000000" w:themeColor="text1"/>
                      <w:kern w:val="0"/>
                      <w:szCs w:val="21"/>
                      <w:highlight w:val="none"/>
                      <w:lang w:bidi="ar"/>
                      <w14:textFill>
                        <w14:solidFill>
                          <w14:schemeClr w14:val="tx1"/>
                        </w14:solidFill>
                      </w14:textFill>
                    </w:rPr>
                  </w:pPr>
                  <w:r>
                    <w:rPr>
                      <w:rFonts w:hint="eastAsia" w:ascii="宋体" w:hAnsi="宋体" w:eastAsia="Times New Roman" w:cs="宋体"/>
                      <w:color w:val="000000" w:themeColor="text1"/>
                      <w:kern w:val="0"/>
                      <w:szCs w:val="21"/>
                      <w:highlight w:val="none"/>
                      <w:lang w:bidi="ar"/>
                      <w14:textFill>
                        <w14:solidFill>
                          <w14:schemeClr w14:val="tx1"/>
                        </w14:solidFill>
                      </w14:textFill>
                    </w:rPr>
                    <w:t>排放口</w:t>
                  </w:r>
                </w:p>
                <w:p w14:paraId="071273E3">
                  <w:pPr>
                    <w:widowControl/>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eastAsia="宋体"/>
                      <w:color w:val="000000" w:themeColor="text1"/>
                      <w:kern w:val="0"/>
                      <w:szCs w:val="21"/>
                      <w:highlight w:val="none"/>
                      <w:lang w:eastAsia="zh-CN" w:bidi="ar"/>
                      <w14:textFill>
                        <w14:solidFill>
                          <w14:schemeClr w14:val="tx1"/>
                        </w14:solidFill>
                      </w14:textFill>
                    </w:rPr>
                    <w:t>DA00</w:t>
                  </w:r>
                  <w:r>
                    <w:rPr>
                      <w:rFonts w:hint="eastAsia" w:eastAsia="宋体"/>
                      <w:color w:val="000000" w:themeColor="text1"/>
                      <w:kern w:val="0"/>
                      <w:szCs w:val="21"/>
                      <w:highlight w:val="none"/>
                      <w:lang w:val="en-US" w:eastAsia="zh-CN" w:bidi="ar"/>
                      <w14:textFill>
                        <w14:solidFill>
                          <w14:schemeClr w14:val="tx1"/>
                        </w14:solidFill>
                      </w14:textFill>
                    </w:rPr>
                    <w:t>1</w:t>
                  </w:r>
                </w:p>
              </w:tc>
              <w:tc>
                <w:tcPr>
                  <w:tcW w:w="1600" w:type="dxa"/>
                  <w:shd w:val="clear" w:color="auto" w:fill="auto"/>
                  <w:vAlign w:val="center"/>
                </w:tcPr>
                <w:p w14:paraId="5647F4D7">
                  <w:pPr>
                    <w:widowControl/>
                    <w:jc w:val="center"/>
                    <w:textAlignment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bidi="ar"/>
                      <w14:textFill>
                        <w14:solidFill>
                          <w14:schemeClr w14:val="tx1"/>
                        </w14:solidFill>
                      </w14:textFill>
                    </w:rPr>
                    <w:t>粉碎粉尘</w:t>
                  </w:r>
                  <w:r>
                    <w:rPr>
                      <w:rFonts w:hint="eastAsia" w:ascii="Times New Roman" w:hAnsi="Times New Roman" w:eastAsia="宋体" w:cs="Times New Roman"/>
                      <w:color w:val="000000" w:themeColor="text1"/>
                      <w:kern w:val="0"/>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通过</w:t>
                  </w:r>
                  <w:r>
                    <w:rPr>
                      <w:rFonts w:hint="eastAsia" w:ascii="Times New Roman" w:hAnsi="Times New Roman" w:eastAsia="宋体" w:cs="Times New Roman"/>
                      <w:color w:val="000000" w:themeColor="text1"/>
                      <w:kern w:val="0"/>
                      <w:szCs w:val="21"/>
                      <w:highlight w:val="none"/>
                      <w:lang w:val="en-US" w:eastAsia="zh-CN" w:bidi="ar"/>
                      <w14:textFill>
                        <w14:solidFill>
                          <w14:schemeClr w14:val="tx1"/>
                        </w14:solidFill>
                      </w14:textFill>
                    </w:rPr>
                    <w:t>集气罩</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收集引至</w:t>
                  </w:r>
                  <w:r>
                    <w:rPr>
                      <w:rFonts w:hint="eastAsia" w:ascii="Times New Roman" w:hAnsi="Times New Roman" w:eastAsia="宋体" w:cs="Times New Roman"/>
                      <w:color w:val="000000" w:themeColor="text1"/>
                      <w:kern w:val="0"/>
                      <w:szCs w:val="21"/>
                      <w:highlight w:val="none"/>
                      <w:lang w:val="en-US" w:eastAsia="zh-CN" w:bidi="ar"/>
                      <w14:textFill>
                        <w14:solidFill>
                          <w14:schemeClr w14:val="tx1"/>
                        </w14:solidFill>
                      </w14:textFill>
                    </w:rPr>
                    <w:t>袋式除尘器</w:t>
                  </w:r>
                </w:p>
              </w:tc>
              <w:tc>
                <w:tcPr>
                  <w:tcW w:w="674" w:type="dxa"/>
                  <w:shd w:val="clear" w:color="auto" w:fill="auto"/>
                  <w:vAlign w:val="center"/>
                </w:tcPr>
                <w:p w14:paraId="19EBFACD">
                  <w:pPr>
                    <w:widowControl/>
                    <w:jc w:val="center"/>
                    <w:textAlignment w:val="center"/>
                    <w:rPr>
                      <w:rFonts w:ascii="Times New Roman" w:hAnsi="Times New Roman" w:eastAsia="Times New Roman" w:cs="Times New Roman"/>
                      <w:spacing w:val="-2"/>
                      <w:kern w:val="0"/>
                      <w:sz w:val="21"/>
                      <w:szCs w:val="21"/>
                      <w:highlight w:val="none"/>
                      <w:lang w:val="en-US" w:eastAsia="zh-CN" w:bidi="ar"/>
                    </w:rPr>
                  </w:pPr>
                  <w:r>
                    <w:rPr>
                      <w:rFonts w:eastAsia="Times New Roman"/>
                      <w:color w:val="000000" w:themeColor="text1"/>
                      <w:kern w:val="0"/>
                      <w:szCs w:val="21"/>
                      <w:highlight w:val="none"/>
                      <w:lang w:bidi="ar"/>
                      <w14:textFill>
                        <w14:solidFill>
                          <w14:schemeClr w14:val="tx1"/>
                        </w14:solidFill>
                      </w14:textFill>
                    </w:rPr>
                    <w:t>1</w:t>
                  </w:r>
                  <w:r>
                    <w:rPr>
                      <w:rFonts w:hint="eastAsia" w:eastAsia="宋体"/>
                      <w:color w:val="000000" w:themeColor="text1"/>
                      <w:kern w:val="0"/>
                      <w:szCs w:val="21"/>
                      <w:highlight w:val="none"/>
                      <w:lang w:val="en-US" w:eastAsia="zh-CN" w:bidi="ar"/>
                      <w14:textFill>
                        <w14:solidFill>
                          <w14:schemeClr w14:val="tx1"/>
                        </w14:solidFill>
                      </w14:textFill>
                    </w:rPr>
                    <w:t>5</w:t>
                  </w:r>
                  <w:r>
                    <w:rPr>
                      <w:rFonts w:eastAsia="Times New Roman"/>
                      <w:color w:val="000000" w:themeColor="text1"/>
                      <w:kern w:val="0"/>
                      <w:szCs w:val="21"/>
                      <w:highlight w:val="none"/>
                      <w:lang w:bidi="ar"/>
                      <w14:textFill>
                        <w14:solidFill>
                          <w14:schemeClr w14:val="tx1"/>
                        </w14:solidFill>
                      </w14:textFill>
                    </w:rPr>
                    <w:t>m高排气筒排放</w:t>
                  </w:r>
                </w:p>
              </w:tc>
              <w:tc>
                <w:tcPr>
                  <w:tcW w:w="884" w:type="dxa"/>
                  <w:shd w:val="clear" w:color="auto" w:fill="auto"/>
                  <w:vAlign w:val="center"/>
                </w:tcPr>
                <w:p w14:paraId="3F1D9E10">
                  <w:pPr>
                    <w:widowControl/>
                    <w:jc w:val="center"/>
                    <w:textAlignment w:val="center"/>
                    <w:rPr>
                      <w:rFonts w:hint="eastAsia" w:ascii="Times New Roman" w:hAnsi="Times New Roman" w:eastAsia="宋体" w:cs="Times New Roman"/>
                      <w:spacing w:val="-2"/>
                      <w:kern w:val="0"/>
                      <w:sz w:val="21"/>
                      <w:szCs w:val="21"/>
                      <w:highlight w:val="none"/>
                      <w:lang w:val="en-US" w:eastAsia="zh-CN" w:bidi="ar"/>
                    </w:rPr>
                  </w:pPr>
                  <w:r>
                    <w:rPr>
                      <w:rFonts w:eastAsia="Times New Roman"/>
                      <w:spacing w:val="-2"/>
                      <w:kern w:val="0"/>
                      <w:szCs w:val="21"/>
                      <w:highlight w:val="none"/>
                      <w:lang w:bidi="ar"/>
                    </w:rPr>
                    <w:t>颗粒物</w:t>
                  </w:r>
                </w:p>
              </w:tc>
              <w:tc>
                <w:tcPr>
                  <w:tcW w:w="892" w:type="dxa"/>
                  <w:shd w:val="clear" w:color="auto" w:fill="auto"/>
                  <w:vAlign w:val="center"/>
                </w:tcPr>
                <w:p w14:paraId="08B7E13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10.12</w:t>
                  </w:r>
                </w:p>
              </w:tc>
              <w:tc>
                <w:tcPr>
                  <w:tcW w:w="1208" w:type="dxa"/>
                  <w:shd w:val="clear" w:color="auto" w:fill="auto"/>
                  <w:vAlign w:val="center"/>
                </w:tcPr>
                <w:p w14:paraId="5361B719">
                  <w:pPr>
                    <w:widowControl/>
                    <w:jc w:val="center"/>
                    <w:rPr>
                      <w:rFonts w:hint="default" w:ascii="Times New Roman" w:hAnsi="Times New Roman" w:eastAsia="宋体" w:cs="Times New Roman"/>
                      <w:kern w:val="2"/>
                      <w:sz w:val="21"/>
                      <w:szCs w:val="21"/>
                      <w:highlight w:val="none"/>
                      <w:lang w:val="en-US" w:eastAsia="zh-CN" w:bidi="ar-SA"/>
                    </w:rPr>
                  </w:pPr>
                  <w:r>
                    <w:rPr>
                      <w:rFonts w:hint="eastAsia" w:cs="Times New Roman"/>
                      <w:color w:val="000000"/>
                      <w:kern w:val="0"/>
                      <w:szCs w:val="21"/>
                      <w:highlight w:val="none"/>
                      <w:lang w:val="en-US" w:eastAsia="zh-CN"/>
                    </w:rPr>
                    <w:t>843.33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AE75">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0.51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3E1B">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42.5</w:t>
                  </w:r>
                </w:p>
              </w:tc>
              <w:tc>
                <w:tcPr>
                  <w:tcW w:w="1241" w:type="dxa"/>
                  <w:shd w:val="clear" w:color="auto" w:fill="auto"/>
                  <w:vAlign w:val="center"/>
                </w:tcPr>
                <w:p w14:paraId="029CA90B">
                  <w:pPr>
                    <w:jc w:val="center"/>
                    <w:textAlignment w:val="center"/>
                    <w:rPr>
                      <w:rFonts w:hint="default" w:ascii="Times New Roman" w:hAnsi="Times New Roman" w:eastAsia="宋体" w:cs="Times New Roman"/>
                      <w:spacing w:val="-2"/>
                      <w:kern w:val="0"/>
                      <w:sz w:val="21"/>
                      <w:szCs w:val="21"/>
                      <w:highlight w:val="none"/>
                      <w:lang w:val="en-US" w:eastAsia="zh-CN" w:bidi="ar"/>
                    </w:rPr>
                  </w:pPr>
                  <w:r>
                    <w:rPr>
                      <w:rFonts w:hint="eastAsia" w:eastAsia="宋体"/>
                      <w:spacing w:val="-2"/>
                      <w:kern w:val="0"/>
                      <w:szCs w:val="21"/>
                      <w:highlight w:val="none"/>
                      <w:lang w:val="en-US" w:eastAsia="zh-CN" w:bidi="ar"/>
                    </w:rPr>
                    <w:t>120</w:t>
                  </w:r>
                </w:p>
              </w:tc>
              <w:tc>
                <w:tcPr>
                  <w:tcW w:w="1075" w:type="dxa"/>
                  <w:shd w:val="clear" w:color="auto" w:fill="auto"/>
                  <w:vAlign w:val="center"/>
                </w:tcPr>
                <w:p w14:paraId="515636B9">
                  <w:pPr>
                    <w:widowControl/>
                    <w:jc w:val="center"/>
                    <w:textAlignment w:val="center"/>
                    <w:rPr>
                      <w:rFonts w:hint="default" w:ascii="Times New Roman" w:hAnsi="Times New Roman" w:eastAsia="宋体" w:cs="Times New Roman"/>
                      <w:spacing w:val="-2"/>
                      <w:kern w:val="0"/>
                      <w:sz w:val="21"/>
                      <w:szCs w:val="21"/>
                      <w:highlight w:val="none"/>
                      <w:lang w:val="en-US" w:eastAsia="zh-CN" w:bidi="ar"/>
                    </w:rPr>
                  </w:pPr>
                  <w:r>
                    <w:rPr>
                      <w:rFonts w:hint="eastAsia" w:eastAsia="宋体"/>
                      <w:spacing w:val="-2"/>
                      <w:kern w:val="0"/>
                      <w:szCs w:val="21"/>
                      <w:highlight w:val="none"/>
                      <w:lang w:val="en-US" w:eastAsia="zh-CN" w:bidi="ar"/>
                    </w:rPr>
                    <w:t>2.9</w:t>
                  </w:r>
                </w:p>
              </w:tc>
              <w:tc>
                <w:tcPr>
                  <w:tcW w:w="2126" w:type="dxa"/>
                  <w:vAlign w:val="center"/>
                </w:tcPr>
                <w:p w14:paraId="67114D2C">
                  <w:pPr>
                    <w:jc w:val="center"/>
                    <w:textAlignment w:val="center"/>
                    <w:rPr>
                      <w:rFonts w:eastAsia="Times New Roman"/>
                      <w:spacing w:val="-2"/>
                      <w:kern w:val="0"/>
                      <w:szCs w:val="21"/>
                      <w:highlight w:val="none"/>
                      <w:lang w:bidi="ar"/>
                    </w:rPr>
                  </w:pPr>
                  <w:r>
                    <w:rPr>
                      <w:rFonts w:hint="eastAsia" w:eastAsiaTheme="minorEastAsia"/>
                      <w:color w:val="000000" w:themeColor="text1"/>
                      <w:sz w:val="21"/>
                      <w:szCs w:val="21"/>
                      <w:highlight w:val="none"/>
                      <w14:textFill>
                        <w14:solidFill>
                          <w14:schemeClr w14:val="tx1"/>
                        </w14:solidFill>
                      </w14:textFill>
                    </w:rPr>
                    <w:t>广东省地方标准《大气污染物排放限值》（DB44/27-2001）</w:t>
                  </w:r>
                  <w:r>
                    <w:rPr>
                      <w:rFonts w:eastAsiaTheme="minorEastAsia"/>
                      <w:color w:val="000000" w:themeColor="text1"/>
                      <w:sz w:val="21"/>
                      <w:szCs w:val="21"/>
                      <w:highlight w:val="none"/>
                      <w14:textFill>
                        <w14:solidFill>
                          <w14:schemeClr w14:val="tx1"/>
                        </w14:solidFill>
                      </w14:textFill>
                    </w:rPr>
                    <w:t>中表2</w:t>
                  </w:r>
                  <w:r>
                    <w:rPr>
                      <w:rFonts w:hint="eastAsia" w:eastAsiaTheme="minorEastAsia"/>
                      <w:color w:val="000000" w:themeColor="text1"/>
                      <w:sz w:val="21"/>
                      <w:szCs w:val="21"/>
                      <w:highlight w:val="none"/>
                      <w14:textFill>
                        <w14:solidFill>
                          <w14:schemeClr w14:val="tx1"/>
                        </w14:solidFill>
                      </w14:textFill>
                    </w:rPr>
                    <w:t>第二时段</w:t>
                  </w:r>
                  <w:r>
                    <w:rPr>
                      <w:rFonts w:eastAsiaTheme="minorEastAsia"/>
                      <w:color w:val="000000" w:themeColor="text1"/>
                      <w:sz w:val="21"/>
                      <w:szCs w:val="21"/>
                      <w:highlight w:val="none"/>
                      <w14:textFill>
                        <w14:solidFill>
                          <w14:schemeClr w14:val="tx1"/>
                        </w14:solidFill>
                      </w14:textFill>
                    </w:rPr>
                    <w:t>的二级标准</w:t>
                  </w:r>
                </w:p>
              </w:tc>
            </w:tr>
            <w:tr w14:paraId="4EA6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422" w:type="dxa"/>
                  <w:vMerge w:val="continue"/>
                  <w:vAlign w:val="center"/>
                </w:tcPr>
                <w:p w14:paraId="7E26FCBE">
                  <w:pPr>
                    <w:widowControl/>
                    <w:jc w:val="center"/>
                    <w:textAlignment w:val="center"/>
                    <w:rPr>
                      <w:rFonts w:eastAsia="Times New Roman"/>
                      <w:color w:val="000000" w:themeColor="text1"/>
                      <w:spacing w:val="-2"/>
                      <w:kern w:val="0"/>
                      <w:szCs w:val="21"/>
                      <w:highlight w:val="none"/>
                      <w:lang w:bidi="ar"/>
                      <w14:textFill>
                        <w14:solidFill>
                          <w14:schemeClr w14:val="tx1"/>
                        </w14:solidFill>
                      </w14:textFill>
                    </w:rPr>
                  </w:pPr>
                </w:p>
              </w:tc>
              <w:tc>
                <w:tcPr>
                  <w:tcW w:w="856" w:type="dxa"/>
                  <w:vMerge w:val="restart"/>
                  <w:shd w:val="clear" w:color="auto" w:fill="auto"/>
                  <w:vAlign w:val="center"/>
                </w:tcPr>
                <w:p w14:paraId="107D01CA">
                  <w:pPr>
                    <w:widowControl/>
                    <w:jc w:val="center"/>
                    <w:textAlignment w:val="center"/>
                    <w:rPr>
                      <w:rFonts w:eastAsia="Times New Roman"/>
                      <w:color w:val="000000" w:themeColor="text1"/>
                      <w:kern w:val="0"/>
                      <w:szCs w:val="21"/>
                      <w:highlight w:val="none"/>
                      <w:lang w:bidi="ar"/>
                      <w14:textFill>
                        <w14:solidFill>
                          <w14:schemeClr w14:val="tx1"/>
                        </w14:solidFill>
                      </w14:textFill>
                    </w:rPr>
                  </w:pPr>
                  <w:r>
                    <w:rPr>
                      <w:rFonts w:hint="eastAsia" w:ascii="宋体" w:hAnsi="宋体" w:eastAsia="Times New Roman" w:cs="宋体"/>
                      <w:color w:val="000000" w:themeColor="text1"/>
                      <w:kern w:val="0"/>
                      <w:szCs w:val="21"/>
                      <w:highlight w:val="none"/>
                      <w:lang w:bidi="ar"/>
                      <w14:textFill>
                        <w14:solidFill>
                          <w14:schemeClr w14:val="tx1"/>
                        </w14:solidFill>
                      </w14:textFill>
                    </w:rPr>
                    <w:t>排放口</w:t>
                  </w:r>
                </w:p>
                <w:p w14:paraId="0EEC8FA7">
                  <w:pPr>
                    <w:widowControl/>
                    <w:jc w:val="center"/>
                    <w:textAlignment w:val="cente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eastAsia" w:eastAsia="宋体"/>
                      <w:color w:val="000000" w:themeColor="text1"/>
                      <w:kern w:val="0"/>
                      <w:szCs w:val="21"/>
                      <w:highlight w:val="none"/>
                      <w:lang w:eastAsia="zh-CN" w:bidi="ar"/>
                      <w14:textFill>
                        <w14:solidFill>
                          <w14:schemeClr w14:val="tx1"/>
                        </w14:solidFill>
                      </w14:textFill>
                    </w:rPr>
                    <w:t>DA002</w:t>
                  </w:r>
                </w:p>
              </w:tc>
              <w:tc>
                <w:tcPr>
                  <w:tcW w:w="1600" w:type="dxa"/>
                  <w:vMerge w:val="restart"/>
                  <w:shd w:val="clear" w:color="auto" w:fill="auto"/>
                  <w:vAlign w:val="center"/>
                </w:tcPr>
                <w:p w14:paraId="4BEC3851">
                  <w:pPr>
                    <w:widowControl/>
                    <w:jc w:val="center"/>
                    <w:textAlignment w:val="cente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烘干</w:t>
                  </w:r>
                  <w:r>
                    <w:rPr>
                      <w:rFonts w:hint="default" w:ascii="Times New Roman" w:hAnsi="Times New Roman" w:eastAsia="宋体" w:cs="Times New Roman"/>
                      <w:color w:val="000000" w:themeColor="text1"/>
                      <w:kern w:val="0"/>
                      <w:szCs w:val="21"/>
                      <w:highlight w:val="none"/>
                      <w:lang w:val="en-US" w:eastAsia="zh-CN" w:bidi="ar"/>
                      <w14:textFill>
                        <w14:solidFill>
                          <w14:schemeClr w14:val="tx1"/>
                        </w14:solidFill>
                      </w14:textFill>
                    </w:rPr>
                    <w:t>系统</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废气（包含燃烧后的制棒废气、炭化废气，烘干工序产生的</w:t>
                  </w:r>
                  <w:r>
                    <w:rPr>
                      <w:rFonts w:hint="eastAsia" w:cs="Times New Roman"/>
                      <w:color w:val="000000" w:themeColor="text1"/>
                      <w:kern w:val="0"/>
                      <w:szCs w:val="21"/>
                      <w:highlight w:val="none"/>
                      <w:lang w:val="en-US" w:eastAsia="zh-CN" w:bidi="ar"/>
                      <w14:textFill>
                        <w14:solidFill>
                          <w14:schemeClr w14:val="tx1"/>
                        </w14:solidFill>
                      </w14:textFill>
                    </w:rPr>
                    <w:t>烘干机粉尘、</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燃料燃烧废气）</w:t>
                  </w:r>
                  <w:r>
                    <w:rPr>
                      <w:rFonts w:hint="eastAsia" w:ascii="Times New Roman" w:hAnsi="Times New Roman" w:eastAsia="宋体" w:cs="Times New Roman"/>
                      <w:color w:val="000000" w:themeColor="text1"/>
                      <w:kern w:val="0"/>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kern w:val="0"/>
                      <w:szCs w:val="21"/>
                      <w:highlight w:val="none"/>
                      <w:lang w:bidi="ar"/>
                      <w14:textFill>
                        <w14:solidFill>
                          <w14:schemeClr w14:val="tx1"/>
                        </w14:solidFill>
                      </w14:textFill>
                    </w:rPr>
                    <w:t>通过管道收集引至</w:t>
                  </w:r>
                  <w:r>
                    <w:rPr>
                      <w:rFonts w:hint="eastAsia" w:cs="Times New Roman"/>
                      <w:color w:val="000000" w:themeColor="text1"/>
                      <w:kern w:val="0"/>
                      <w:szCs w:val="21"/>
                      <w:highlight w:val="none"/>
                      <w:lang w:val="en-US" w:eastAsia="zh-CN" w:bidi="ar"/>
                      <w14:textFill>
                        <w14:solidFill>
                          <w14:schemeClr w14:val="tx1"/>
                        </w14:solidFill>
                      </w14:textFill>
                    </w:rPr>
                    <w:t>旋风除尘器+喷淋除尘脱硫塔</w:t>
                  </w:r>
                </w:p>
              </w:tc>
              <w:tc>
                <w:tcPr>
                  <w:tcW w:w="674" w:type="dxa"/>
                  <w:vMerge w:val="restart"/>
                  <w:shd w:val="clear" w:color="auto" w:fill="auto"/>
                  <w:vAlign w:val="center"/>
                </w:tcPr>
                <w:p w14:paraId="36EA855A">
                  <w:pPr>
                    <w:widowControl/>
                    <w:jc w:val="center"/>
                    <w:textAlignment w:val="center"/>
                    <w:rPr>
                      <w:rFonts w:ascii="Times New Roman" w:hAnsi="Times New Roman" w:eastAsia="Times New Roman" w:cs="Times New Roman"/>
                      <w:spacing w:val="-2"/>
                      <w:kern w:val="0"/>
                      <w:sz w:val="21"/>
                      <w:szCs w:val="21"/>
                      <w:highlight w:val="none"/>
                      <w:lang w:val="en-US" w:eastAsia="zh-CN" w:bidi="ar"/>
                    </w:rPr>
                  </w:pPr>
                  <w:r>
                    <w:rPr>
                      <w:rFonts w:eastAsia="Times New Roman"/>
                      <w:color w:val="000000" w:themeColor="text1"/>
                      <w:kern w:val="0"/>
                      <w:szCs w:val="21"/>
                      <w:highlight w:val="none"/>
                      <w:lang w:bidi="ar"/>
                      <w14:textFill>
                        <w14:solidFill>
                          <w14:schemeClr w14:val="tx1"/>
                        </w14:solidFill>
                      </w14:textFill>
                    </w:rPr>
                    <w:t>1</w:t>
                  </w:r>
                  <w:r>
                    <w:rPr>
                      <w:rFonts w:hint="eastAsia" w:eastAsia="宋体"/>
                      <w:color w:val="000000" w:themeColor="text1"/>
                      <w:kern w:val="0"/>
                      <w:szCs w:val="21"/>
                      <w:highlight w:val="none"/>
                      <w:lang w:val="en-US" w:eastAsia="zh-CN" w:bidi="ar"/>
                      <w14:textFill>
                        <w14:solidFill>
                          <w14:schemeClr w14:val="tx1"/>
                        </w14:solidFill>
                      </w14:textFill>
                    </w:rPr>
                    <w:t>5</w:t>
                  </w:r>
                  <w:r>
                    <w:rPr>
                      <w:rFonts w:eastAsia="Times New Roman"/>
                      <w:color w:val="000000" w:themeColor="text1"/>
                      <w:kern w:val="0"/>
                      <w:szCs w:val="21"/>
                      <w:highlight w:val="none"/>
                      <w:lang w:bidi="ar"/>
                      <w14:textFill>
                        <w14:solidFill>
                          <w14:schemeClr w14:val="tx1"/>
                        </w14:solidFill>
                      </w14:textFill>
                    </w:rPr>
                    <w:t>m高排气筒排放</w:t>
                  </w:r>
                </w:p>
              </w:tc>
              <w:tc>
                <w:tcPr>
                  <w:tcW w:w="884" w:type="dxa"/>
                  <w:shd w:val="clear" w:color="auto" w:fill="auto"/>
                  <w:vAlign w:val="center"/>
                </w:tcPr>
                <w:p w14:paraId="4330D516">
                  <w:pPr>
                    <w:widowControl/>
                    <w:jc w:val="center"/>
                    <w:textAlignment w:val="center"/>
                    <w:rPr>
                      <w:rFonts w:hint="eastAsia" w:ascii="Times New Roman" w:hAnsi="Times New Roman" w:eastAsia="宋体" w:cs="Times New Roman"/>
                      <w:spacing w:val="-2"/>
                      <w:kern w:val="0"/>
                      <w:sz w:val="21"/>
                      <w:szCs w:val="21"/>
                      <w:highlight w:val="none"/>
                      <w:lang w:val="en-US" w:eastAsia="zh-CN" w:bidi="ar"/>
                    </w:rPr>
                  </w:pPr>
                  <w:r>
                    <w:rPr>
                      <w:rFonts w:eastAsia="Times New Roman"/>
                      <w:spacing w:val="-2"/>
                      <w:kern w:val="0"/>
                      <w:szCs w:val="21"/>
                      <w:highlight w:val="none"/>
                      <w:lang w:bidi="ar"/>
                    </w:rPr>
                    <w:t>颗粒物</w:t>
                  </w:r>
                </w:p>
              </w:tc>
              <w:tc>
                <w:tcPr>
                  <w:tcW w:w="892" w:type="dxa"/>
                  <w:shd w:val="clear" w:color="auto" w:fill="auto"/>
                  <w:vAlign w:val="center"/>
                </w:tcPr>
                <w:p w14:paraId="3268FFD4">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50.29</w:t>
                  </w:r>
                </w:p>
              </w:tc>
              <w:tc>
                <w:tcPr>
                  <w:tcW w:w="1208" w:type="dxa"/>
                  <w:shd w:val="clear" w:color="auto" w:fill="auto"/>
                  <w:vAlign w:val="center"/>
                </w:tcPr>
                <w:p w14:paraId="30E4E385">
                  <w:pPr>
                    <w:widowControl/>
                    <w:jc w:val="center"/>
                    <w:rPr>
                      <w:rFonts w:hint="default" w:ascii="Times New Roman" w:hAnsi="Times New Roman" w:eastAsia="宋体" w:cs="Times New Roman"/>
                      <w:kern w:val="2"/>
                      <w:sz w:val="21"/>
                      <w:szCs w:val="21"/>
                      <w:highlight w:val="none"/>
                      <w:lang w:val="en-US" w:eastAsia="zh-CN" w:bidi="ar-SA"/>
                    </w:rPr>
                  </w:pPr>
                  <w:r>
                    <w:rPr>
                      <w:rFonts w:hint="eastAsia" w:cs="Times New Roman"/>
                      <w:color w:val="000000"/>
                      <w:kern w:val="0"/>
                      <w:szCs w:val="21"/>
                      <w:highlight w:val="none"/>
                      <w:lang w:val="en-US" w:eastAsia="zh-CN"/>
                    </w:rPr>
                    <w:t>427.73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AB13">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2.528</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8412">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21.50</w:t>
                  </w:r>
                </w:p>
              </w:tc>
              <w:tc>
                <w:tcPr>
                  <w:tcW w:w="1241" w:type="dxa"/>
                  <w:shd w:val="clear" w:color="auto" w:fill="auto"/>
                  <w:vAlign w:val="center"/>
                </w:tcPr>
                <w:p w14:paraId="6F93E1D3">
                  <w:pPr>
                    <w:jc w:val="center"/>
                    <w:textAlignment w:val="center"/>
                    <w:rPr>
                      <w:rFonts w:ascii="Times New Roman" w:hAnsi="Times New Roman" w:eastAsia="Times New Roman" w:cs="Times New Roman"/>
                      <w:spacing w:val="-2"/>
                      <w:kern w:val="0"/>
                      <w:sz w:val="21"/>
                      <w:szCs w:val="21"/>
                      <w:highlight w:val="none"/>
                      <w:lang w:val="en-US" w:eastAsia="zh-CN" w:bidi="ar"/>
                    </w:rPr>
                  </w:pPr>
                  <w:r>
                    <w:rPr>
                      <w:rFonts w:eastAsia="Times New Roman"/>
                      <w:spacing w:val="-2"/>
                      <w:kern w:val="0"/>
                      <w:szCs w:val="21"/>
                      <w:highlight w:val="none"/>
                      <w:lang w:bidi="ar"/>
                    </w:rPr>
                    <w:t>30</w:t>
                  </w:r>
                </w:p>
              </w:tc>
              <w:tc>
                <w:tcPr>
                  <w:tcW w:w="1075" w:type="dxa"/>
                  <w:shd w:val="clear" w:color="auto" w:fill="auto"/>
                  <w:vAlign w:val="center"/>
                </w:tcPr>
                <w:p w14:paraId="4EB20457">
                  <w:pPr>
                    <w:widowControl/>
                    <w:jc w:val="center"/>
                    <w:textAlignment w:val="center"/>
                    <w:rPr>
                      <w:rFonts w:hint="eastAsia" w:ascii="Times New Roman" w:hAnsi="Times New Roman" w:eastAsia="宋体" w:cs="Times New Roman"/>
                      <w:spacing w:val="-2"/>
                      <w:kern w:val="0"/>
                      <w:sz w:val="21"/>
                      <w:szCs w:val="21"/>
                      <w:highlight w:val="none"/>
                      <w:lang w:val="en-US" w:eastAsia="zh-CN" w:bidi="ar"/>
                    </w:rPr>
                  </w:pPr>
                  <w:r>
                    <w:rPr>
                      <w:rFonts w:hint="eastAsia" w:eastAsia="宋体"/>
                      <w:spacing w:val="-2"/>
                      <w:kern w:val="0"/>
                      <w:szCs w:val="21"/>
                      <w:highlight w:val="none"/>
                      <w:lang w:val="en-US" w:eastAsia="zh-CN" w:bidi="ar"/>
                    </w:rPr>
                    <w:t>2.9</w:t>
                  </w:r>
                </w:p>
              </w:tc>
              <w:tc>
                <w:tcPr>
                  <w:tcW w:w="2126" w:type="dxa"/>
                  <w:shd w:val="clear" w:color="auto" w:fill="auto"/>
                  <w:vAlign w:val="center"/>
                </w:tcPr>
                <w:p w14:paraId="1686CCA1">
                  <w:pPr>
                    <w:jc w:val="center"/>
                    <w:textAlignment w:val="center"/>
                    <w:rPr>
                      <w:rFonts w:hint="eastAsia" w:ascii="Times New Roman" w:hAnsi="Times New Roman" w:eastAsia="Times New Roman" w:cs="Times New Roman"/>
                      <w:spacing w:val="-2"/>
                      <w:kern w:val="0"/>
                      <w:sz w:val="21"/>
                      <w:szCs w:val="21"/>
                      <w:highlight w:val="none"/>
                      <w:lang w:val="en-US" w:eastAsia="zh-CN" w:bidi="ar"/>
                    </w:rPr>
                  </w:pPr>
                  <w:r>
                    <w:rPr>
                      <w:rFonts w:hint="eastAsia" w:eastAsiaTheme="minorEastAsia"/>
                      <w:color w:val="000000" w:themeColor="text1"/>
                      <w:sz w:val="21"/>
                      <w:szCs w:val="21"/>
                      <w:highlight w:val="none"/>
                      <w14:textFill>
                        <w14:solidFill>
                          <w14:schemeClr w14:val="tx1"/>
                        </w14:solidFill>
                      </w14:textFill>
                    </w:rPr>
                    <w:t>广东省地方标准《大气污染物排放限值》（DB44/27-2001）</w:t>
                  </w:r>
                  <w:r>
                    <w:rPr>
                      <w:rFonts w:eastAsiaTheme="minorEastAsia"/>
                      <w:color w:val="000000" w:themeColor="text1"/>
                      <w:sz w:val="21"/>
                      <w:szCs w:val="21"/>
                      <w:highlight w:val="none"/>
                      <w14:textFill>
                        <w14:solidFill>
                          <w14:schemeClr w14:val="tx1"/>
                        </w14:solidFill>
                      </w14:textFill>
                    </w:rPr>
                    <w:t>中表2</w:t>
                  </w:r>
                  <w:r>
                    <w:rPr>
                      <w:rFonts w:hint="eastAsia" w:eastAsiaTheme="minorEastAsia"/>
                      <w:color w:val="000000" w:themeColor="text1"/>
                      <w:sz w:val="21"/>
                      <w:szCs w:val="21"/>
                      <w:highlight w:val="none"/>
                      <w14:textFill>
                        <w14:solidFill>
                          <w14:schemeClr w14:val="tx1"/>
                        </w14:solidFill>
                      </w14:textFill>
                    </w:rPr>
                    <w:t>第二时段</w:t>
                  </w:r>
                  <w:r>
                    <w:rPr>
                      <w:rFonts w:eastAsiaTheme="minorEastAsia"/>
                      <w:color w:val="000000" w:themeColor="text1"/>
                      <w:sz w:val="21"/>
                      <w:szCs w:val="21"/>
                      <w:highlight w:val="none"/>
                      <w14:textFill>
                        <w14:solidFill>
                          <w14:schemeClr w14:val="tx1"/>
                        </w14:solidFill>
                      </w14:textFill>
                    </w:rPr>
                    <w:t>的二级标准</w:t>
                  </w:r>
                  <w:r>
                    <w:rPr>
                      <w:rFonts w:hint="eastAsia" w:eastAsiaTheme="minorEastAsia"/>
                      <w:color w:val="000000" w:themeColor="text1"/>
                      <w:sz w:val="21"/>
                      <w:szCs w:val="21"/>
                      <w:highlight w:val="none"/>
                      <w:lang w:val="en-US" w:eastAsia="zh-CN"/>
                      <w14:textFill>
                        <w14:solidFill>
                          <w14:schemeClr w14:val="tx1"/>
                        </w14:solidFill>
                      </w14:textFill>
                    </w:rPr>
                    <w:t>和</w:t>
                  </w:r>
                  <w:r>
                    <w:rPr>
                      <w:rFonts w:hint="eastAsia" w:eastAsiaTheme="minorEastAsia"/>
                      <w:color w:val="000000" w:themeColor="text1"/>
                      <w:sz w:val="21"/>
                      <w:szCs w:val="21"/>
                      <w:highlight w:val="none"/>
                      <w:lang w:eastAsia="zh-CN"/>
                      <w14:textFill>
                        <w14:solidFill>
                          <w14:schemeClr w14:val="tx1"/>
                        </w14:solidFill>
                      </w14:textFill>
                    </w:rPr>
                    <w:t>“</w:t>
                  </w:r>
                  <w:r>
                    <w:rPr>
                      <w:rFonts w:eastAsiaTheme="minorEastAsia"/>
                      <w:color w:val="000000" w:themeColor="text1"/>
                      <w:sz w:val="21"/>
                      <w:szCs w:val="21"/>
                      <w:highlight w:val="none"/>
                      <w14:textFill>
                        <w14:solidFill>
                          <w14:schemeClr w14:val="tx1"/>
                        </w14:solidFill>
                      </w14:textFill>
                    </w:rPr>
                    <w:t>关于印发《工业炉窑大气污染综合治理方案》的通知环大气[2019]56号</w:t>
                  </w:r>
                  <w:r>
                    <w:rPr>
                      <w:rFonts w:hint="eastAsia" w:eastAsiaTheme="minorEastAsia"/>
                      <w:color w:val="000000" w:themeColor="text1"/>
                      <w:sz w:val="21"/>
                      <w:szCs w:val="21"/>
                      <w:highlight w:val="none"/>
                      <w:lang w:eastAsia="zh-CN"/>
                      <w14:textFill>
                        <w14:solidFill>
                          <w14:schemeClr w14:val="tx1"/>
                        </w14:solidFill>
                      </w14:textFill>
                    </w:rPr>
                    <w:t>”</w:t>
                  </w:r>
                  <w:r>
                    <w:rPr>
                      <w:rFonts w:eastAsiaTheme="minorEastAsia"/>
                      <w:color w:val="000000" w:themeColor="text1"/>
                      <w:sz w:val="21"/>
                      <w:szCs w:val="21"/>
                      <w:highlight w:val="none"/>
                      <w14:textFill>
                        <w14:solidFill>
                          <w14:schemeClr w14:val="tx1"/>
                        </w14:solidFill>
                      </w14:textFill>
                    </w:rPr>
                    <w:t>文中提及的</w:t>
                  </w:r>
                  <w:r>
                    <w:rPr>
                      <w:rFonts w:eastAsiaTheme="minorEastAsia"/>
                      <w:color w:val="000000" w:themeColor="text1"/>
                      <w:sz w:val="21"/>
                      <w:szCs w:val="21"/>
                      <w:highlight w:val="none"/>
                      <w:shd w:val="clear" w:color="auto" w:fill="FFFFFF"/>
                      <w14:textFill>
                        <w14:solidFill>
                          <w14:schemeClr w14:val="tx1"/>
                        </w14:solidFill>
                      </w14:textFill>
                    </w:rPr>
                    <w:t>重点区域原则上按照颗粒物、二氧化硫、氮氧化物排放限值分别不高于30、200、300毫克/立方米的</w:t>
                  </w:r>
                  <w:r>
                    <w:rPr>
                      <w:rFonts w:hint="eastAsia" w:eastAsiaTheme="minorEastAsia"/>
                      <w:color w:val="000000" w:themeColor="text1"/>
                      <w:sz w:val="21"/>
                      <w:szCs w:val="21"/>
                      <w:highlight w:val="none"/>
                      <w:shd w:val="clear" w:color="auto" w:fill="FFFFFF"/>
                      <w:lang w:val="en-US" w:eastAsia="zh-CN"/>
                      <w14:textFill>
                        <w14:solidFill>
                          <w14:schemeClr w14:val="tx1"/>
                        </w14:solidFill>
                      </w14:textFill>
                    </w:rPr>
                    <w:t>严者</w:t>
                  </w:r>
                </w:p>
              </w:tc>
            </w:tr>
            <w:tr w14:paraId="35A7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422" w:type="dxa"/>
                  <w:vMerge w:val="continue"/>
                  <w:vAlign w:val="center"/>
                </w:tcPr>
                <w:p w14:paraId="19B562B6">
                  <w:pPr>
                    <w:widowControl/>
                    <w:jc w:val="center"/>
                    <w:textAlignment w:val="center"/>
                    <w:rPr>
                      <w:rFonts w:eastAsia="Times New Roman"/>
                      <w:color w:val="000000" w:themeColor="text1"/>
                      <w:spacing w:val="-2"/>
                      <w:kern w:val="0"/>
                      <w:szCs w:val="21"/>
                      <w:highlight w:val="none"/>
                      <w:lang w:bidi="ar"/>
                      <w14:textFill>
                        <w14:solidFill>
                          <w14:schemeClr w14:val="tx1"/>
                        </w14:solidFill>
                      </w14:textFill>
                    </w:rPr>
                  </w:pPr>
                </w:p>
              </w:tc>
              <w:tc>
                <w:tcPr>
                  <w:tcW w:w="856" w:type="dxa"/>
                  <w:vMerge w:val="continue"/>
                  <w:vAlign w:val="center"/>
                </w:tcPr>
                <w:p w14:paraId="098E4939">
                  <w:pPr>
                    <w:widowControl/>
                    <w:jc w:val="center"/>
                    <w:textAlignment w:val="center"/>
                    <w:rPr>
                      <w:rFonts w:eastAsia="Times New Roman"/>
                      <w:szCs w:val="21"/>
                      <w:highlight w:val="none"/>
                    </w:rPr>
                  </w:pPr>
                </w:p>
              </w:tc>
              <w:tc>
                <w:tcPr>
                  <w:tcW w:w="1600" w:type="dxa"/>
                  <w:vMerge w:val="continue"/>
                  <w:vAlign w:val="center"/>
                </w:tcPr>
                <w:p w14:paraId="5153A1ED">
                  <w:pPr>
                    <w:jc w:val="center"/>
                    <w:textAlignment w:val="center"/>
                    <w:rPr>
                      <w:rFonts w:eastAsia="Times New Roman"/>
                      <w:color w:val="000000" w:themeColor="text1"/>
                      <w:kern w:val="0"/>
                      <w:szCs w:val="21"/>
                      <w:highlight w:val="none"/>
                      <w:lang w:bidi="ar"/>
                      <w14:textFill>
                        <w14:solidFill>
                          <w14:schemeClr w14:val="tx1"/>
                        </w14:solidFill>
                      </w14:textFill>
                    </w:rPr>
                  </w:pPr>
                </w:p>
              </w:tc>
              <w:tc>
                <w:tcPr>
                  <w:tcW w:w="674" w:type="dxa"/>
                  <w:vMerge w:val="continue"/>
                  <w:vAlign w:val="center"/>
                </w:tcPr>
                <w:p w14:paraId="6EE3E6A6">
                  <w:pPr>
                    <w:widowControl/>
                    <w:jc w:val="center"/>
                    <w:textAlignment w:val="center"/>
                    <w:rPr>
                      <w:rFonts w:eastAsia="Times New Roman"/>
                      <w:color w:val="000000" w:themeColor="text1"/>
                      <w:kern w:val="0"/>
                      <w:szCs w:val="21"/>
                      <w:highlight w:val="none"/>
                      <w:lang w:bidi="ar"/>
                      <w14:textFill>
                        <w14:solidFill>
                          <w14:schemeClr w14:val="tx1"/>
                        </w14:solidFill>
                      </w14:textFill>
                    </w:rPr>
                  </w:pPr>
                </w:p>
              </w:tc>
              <w:tc>
                <w:tcPr>
                  <w:tcW w:w="884" w:type="dxa"/>
                  <w:shd w:val="clear" w:color="auto" w:fill="auto"/>
                  <w:vAlign w:val="center"/>
                </w:tcPr>
                <w:p w14:paraId="7BA79438">
                  <w:pPr>
                    <w:widowControl/>
                    <w:jc w:val="center"/>
                    <w:rPr>
                      <w:rFonts w:eastAsia="Times New Roman"/>
                      <w:color w:val="000000"/>
                      <w:kern w:val="0"/>
                      <w:szCs w:val="21"/>
                      <w:highlight w:val="none"/>
                    </w:rPr>
                  </w:pPr>
                  <w:r>
                    <w:rPr>
                      <w:rFonts w:eastAsia="Times New Roman"/>
                      <w:color w:val="000000"/>
                      <w:szCs w:val="21"/>
                      <w:highlight w:val="none"/>
                    </w:rPr>
                    <w:t>SO</w:t>
                  </w:r>
                  <w:r>
                    <w:rPr>
                      <w:rStyle w:val="174"/>
                      <w:rFonts w:eastAsia="Times New Roman"/>
                      <w:highlight w:val="none"/>
                      <w:vertAlign w:val="subscript"/>
                    </w:rPr>
                    <w:t>2</w:t>
                  </w:r>
                </w:p>
              </w:tc>
              <w:tc>
                <w:tcPr>
                  <w:tcW w:w="892" w:type="dxa"/>
                  <w:vAlign w:val="center"/>
                </w:tcPr>
                <w:p w14:paraId="71B459DC">
                  <w:pPr>
                    <w:keepNext w:val="0"/>
                    <w:keepLines w:val="0"/>
                    <w:widowControl/>
                    <w:suppressLineNumbers w:val="0"/>
                    <w:jc w:val="center"/>
                    <w:textAlignment w:val="center"/>
                    <w:rPr>
                      <w:rFonts w:hint="default" w:eastAsia="宋体"/>
                      <w:color w:val="000000"/>
                      <w:szCs w:val="21"/>
                      <w:highlight w:val="none"/>
                      <w:lang w:val="en-US" w:eastAsia="zh-CN"/>
                    </w:rPr>
                  </w:pPr>
                  <w:r>
                    <w:rPr>
                      <w:rFonts w:hint="eastAsia" w:cs="Times New Roman"/>
                      <w:i w:val="0"/>
                      <w:iCs w:val="0"/>
                      <w:color w:val="000000"/>
                      <w:kern w:val="0"/>
                      <w:sz w:val="21"/>
                      <w:szCs w:val="21"/>
                      <w:highlight w:val="none"/>
                      <w:u w:val="none"/>
                      <w:lang w:val="en-US" w:eastAsia="zh-CN" w:bidi="ar"/>
                    </w:rPr>
                    <w:t>18.4</w:t>
                  </w:r>
                </w:p>
              </w:tc>
              <w:tc>
                <w:tcPr>
                  <w:tcW w:w="1208" w:type="dxa"/>
                  <w:vAlign w:val="center"/>
                </w:tcPr>
                <w:p w14:paraId="4A7AB7B2">
                  <w:pPr>
                    <w:keepNext w:val="0"/>
                    <w:keepLines w:val="0"/>
                    <w:pageBreakBefore w:val="0"/>
                    <w:widowControl w:val="0"/>
                    <w:tabs>
                      <w:tab w:val="left" w:pos="693"/>
                    </w:tabs>
                    <w:kinsoku/>
                    <w:wordWrap/>
                    <w:overflowPunct/>
                    <w:topLinePunct w:val="0"/>
                    <w:autoSpaceDE/>
                    <w:autoSpaceDN/>
                    <w:bidi w:val="0"/>
                    <w:adjustRightInd w:val="0"/>
                    <w:snapToGrid w:val="0"/>
                    <w:jc w:val="center"/>
                    <w:textAlignment w:val="auto"/>
                    <w:rPr>
                      <w:rFonts w:hint="default" w:eastAsia="宋体"/>
                      <w:color w:val="000000"/>
                      <w:szCs w:val="21"/>
                      <w:highlight w:val="none"/>
                      <w:lang w:val="en-US" w:eastAsia="zh-CN"/>
                    </w:rPr>
                  </w:pPr>
                  <w:r>
                    <w:rPr>
                      <w:rFonts w:hint="eastAsia" w:cs="Times New Roman"/>
                      <w:bCs/>
                      <w:color w:val="auto"/>
                      <w:szCs w:val="21"/>
                      <w:highlight w:val="none"/>
                      <w:lang w:val="en-US" w:eastAsia="zh-CN" w:bidi="ar"/>
                    </w:rPr>
                    <w:t>129.97</w:t>
                  </w:r>
                </w:p>
              </w:tc>
              <w:tc>
                <w:tcPr>
                  <w:tcW w:w="875" w:type="dxa"/>
                  <w:vAlign w:val="center"/>
                </w:tcPr>
                <w:p w14:paraId="179F31A9">
                  <w:pPr>
                    <w:keepNext w:val="0"/>
                    <w:keepLines w:val="0"/>
                    <w:widowControl/>
                    <w:suppressLineNumbers w:val="0"/>
                    <w:jc w:val="center"/>
                    <w:textAlignment w:val="center"/>
                    <w:rPr>
                      <w:rFonts w:hint="default" w:ascii="Times New Roman" w:hAnsi="Times New Roman" w:eastAsia="Times New Roman" w:cs="Times New Roman"/>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9.2</w:t>
                  </w:r>
                </w:p>
              </w:tc>
              <w:tc>
                <w:tcPr>
                  <w:tcW w:w="1242" w:type="dxa"/>
                  <w:vAlign w:val="center"/>
                </w:tcPr>
                <w:p w14:paraId="4C2E7179">
                  <w:pPr>
                    <w:keepNext w:val="0"/>
                    <w:keepLines w:val="0"/>
                    <w:widowControl/>
                    <w:suppressLineNumbers w:val="0"/>
                    <w:jc w:val="center"/>
                    <w:textAlignment w:val="center"/>
                    <w:rPr>
                      <w:rFonts w:hint="default" w:eastAsia="宋体"/>
                      <w:szCs w:val="21"/>
                      <w:highlight w:val="none"/>
                      <w:lang w:val="en-US" w:eastAsia="zh-CN"/>
                    </w:rPr>
                  </w:pPr>
                  <w:r>
                    <w:rPr>
                      <w:rFonts w:hint="eastAsia" w:cs="Times New Roman"/>
                      <w:i w:val="0"/>
                      <w:iCs w:val="0"/>
                      <w:color w:val="000000"/>
                      <w:kern w:val="0"/>
                      <w:sz w:val="21"/>
                      <w:szCs w:val="21"/>
                      <w:highlight w:val="none"/>
                      <w:u w:val="none"/>
                      <w:lang w:val="en-US" w:eastAsia="zh-CN" w:bidi="ar"/>
                    </w:rPr>
                    <w:t>64.98</w:t>
                  </w:r>
                </w:p>
              </w:tc>
              <w:tc>
                <w:tcPr>
                  <w:tcW w:w="1241" w:type="dxa"/>
                  <w:vAlign w:val="center"/>
                </w:tcPr>
                <w:p w14:paraId="7CDBD5B2">
                  <w:pPr>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200</w:t>
                  </w:r>
                </w:p>
              </w:tc>
              <w:tc>
                <w:tcPr>
                  <w:tcW w:w="1075" w:type="dxa"/>
                  <w:vAlign w:val="center"/>
                </w:tcPr>
                <w:p w14:paraId="569D2231">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w:t>
                  </w:r>
                </w:p>
              </w:tc>
              <w:tc>
                <w:tcPr>
                  <w:tcW w:w="2126" w:type="dxa"/>
                  <w:vMerge w:val="restart"/>
                  <w:vAlign w:val="center"/>
                </w:tcPr>
                <w:p w14:paraId="6623C164">
                  <w:pPr>
                    <w:jc w:val="left"/>
                    <w:textAlignment w:val="center"/>
                    <w:rPr>
                      <w:rFonts w:eastAsia="Times New Roman"/>
                      <w:kern w:val="0"/>
                      <w:szCs w:val="21"/>
                      <w:highlight w:val="none"/>
                      <w:lang w:bidi="ar"/>
                    </w:rPr>
                  </w:pPr>
                  <w:r>
                    <w:rPr>
                      <w:rFonts w:hint="eastAsia" w:eastAsiaTheme="minorEastAsia"/>
                      <w:sz w:val="21"/>
                      <w:szCs w:val="21"/>
                      <w:highlight w:val="none"/>
                      <w:shd w:val="clear" w:color="auto" w:fill="FFFFFF"/>
                      <w:lang w:eastAsia="zh-CN"/>
                    </w:rPr>
                    <w:t>“</w:t>
                  </w:r>
                  <w:r>
                    <w:rPr>
                      <w:rFonts w:eastAsiaTheme="minorEastAsia"/>
                      <w:sz w:val="21"/>
                      <w:szCs w:val="21"/>
                      <w:highlight w:val="none"/>
                      <w:shd w:val="clear" w:color="auto" w:fill="FFFFFF"/>
                    </w:rPr>
                    <w:t>关于印发《工业炉窑大气污染综合治理方案》的通知环大气[2019]56号</w:t>
                  </w:r>
                  <w:r>
                    <w:rPr>
                      <w:rFonts w:hint="eastAsia" w:eastAsiaTheme="minorEastAsia"/>
                      <w:sz w:val="21"/>
                      <w:szCs w:val="21"/>
                      <w:highlight w:val="none"/>
                      <w:shd w:val="clear" w:color="auto" w:fill="FFFFFF"/>
                      <w:lang w:eastAsia="zh-CN"/>
                    </w:rPr>
                    <w:t>”</w:t>
                  </w:r>
                  <w:r>
                    <w:rPr>
                      <w:rFonts w:eastAsiaTheme="minorEastAsia"/>
                      <w:sz w:val="21"/>
                      <w:szCs w:val="21"/>
                      <w:highlight w:val="none"/>
                      <w:shd w:val="clear" w:color="auto" w:fill="FFFFFF"/>
                    </w:rPr>
                    <w:t>文中提及的重点区域原则上按照颗粒物、二氧化硫、氮氧化物排放限值分别不高于30、200、300毫克/立方米的</w:t>
                  </w:r>
                  <w:r>
                    <w:rPr>
                      <w:rFonts w:hint="eastAsia" w:eastAsiaTheme="minorEastAsia"/>
                      <w:sz w:val="21"/>
                      <w:szCs w:val="21"/>
                      <w:highlight w:val="none"/>
                      <w:shd w:val="clear" w:color="auto" w:fill="FFFFFF"/>
                      <w:lang w:val="en-US" w:eastAsia="zh-CN"/>
                    </w:rPr>
                    <w:t>要求</w:t>
                  </w:r>
                </w:p>
              </w:tc>
            </w:tr>
            <w:tr w14:paraId="681E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continue"/>
                  <w:vAlign w:val="center"/>
                </w:tcPr>
                <w:p w14:paraId="11079AAB">
                  <w:pPr>
                    <w:widowControl/>
                    <w:jc w:val="center"/>
                    <w:textAlignment w:val="center"/>
                    <w:rPr>
                      <w:rFonts w:eastAsia="Times New Roman"/>
                      <w:color w:val="000000" w:themeColor="text1"/>
                      <w:spacing w:val="-2"/>
                      <w:kern w:val="0"/>
                      <w:szCs w:val="21"/>
                      <w:highlight w:val="none"/>
                      <w:lang w:bidi="ar"/>
                      <w14:textFill>
                        <w14:solidFill>
                          <w14:schemeClr w14:val="tx1"/>
                        </w14:solidFill>
                      </w14:textFill>
                    </w:rPr>
                  </w:pPr>
                </w:p>
              </w:tc>
              <w:tc>
                <w:tcPr>
                  <w:tcW w:w="856" w:type="dxa"/>
                  <w:vMerge w:val="continue"/>
                  <w:vAlign w:val="center"/>
                </w:tcPr>
                <w:p w14:paraId="760789D9">
                  <w:pPr>
                    <w:widowControl/>
                    <w:jc w:val="center"/>
                    <w:textAlignment w:val="center"/>
                    <w:rPr>
                      <w:rFonts w:eastAsia="Times New Roman"/>
                      <w:szCs w:val="21"/>
                      <w:highlight w:val="none"/>
                    </w:rPr>
                  </w:pPr>
                </w:p>
              </w:tc>
              <w:tc>
                <w:tcPr>
                  <w:tcW w:w="1600" w:type="dxa"/>
                  <w:vMerge w:val="continue"/>
                  <w:vAlign w:val="center"/>
                </w:tcPr>
                <w:p w14:paraId="095AB307">
                  <w:pPr>
                    <w:jc w:val="center"/>
                    <w:textAlignment w:val="center"/>
                    <w:rPr>
                      <w:rFonts w:eastAsia="Times New Roman"/>
                      <w:color w:val="000000" w:themeColor="text1"/>
                      <w:kern w:val="0"/>
                      <w:szCs w:val="21"/>
                      <w:highlight w:val="none"/>
                      <w:lang w:bidi="ar"/>
                      <w14:textFill>
                        <w14:solidFill>
                          <w14:schemeClr w14:val="tx1"/>
                        </w14:solidFill>
                      </w14:textFill>
                    </w:rPr>
                  </w:pPr>
                </w:p>
              </w:tc>
              <w:tc>
                <w:tcPr>
                  <w:tcW w:w="674" w:type="dxa"/>
                  <w:vMerge w:val="continue"/>
                  <w:vAlign w:val="center"/>
                </w:tcPr>
                <w:p w14:paraId="70AD625C">
                  <w:pPr>
                    <w:widowControl/>
                    <w:jc w:val="center"/>
                    <w:textAlignment w:val="center"/>
                    <w:rPr>
                      <w:rFonts w:eastAsia="Times New Roman"/>
                      <w:color w:val="000000" w:themeColor="text1"/>
                      <w:kern w:val="0"/>
                      <w:szCs w:val="21"/>
                      <w:highlight w:val="none"/>
                      <w:lang w:bidi="ar"/>
                      <w14:textFill>
                        <w14:solidFill>
                          <w14:schemeClr w14:val="tx1"/>
                        </w14:solidFill>
                      </w14:textFill>
                    </w:rPr>
                  </w:pPr>
                </w:p>
              </w:tc>
              <w:tc>
                <w:tcPr>
                  <w:tcW w:w="884" w:type="dxa"/>
                  <w:shd w:val="clear" w:color="auto" w:fill="auto"/>
                  <w:vAlign w:val="center"/>
                </w:tcPr>
                <w:p w14:paraId="7D7C46E1">
                  <w:pPr>
                    <w:jc w:val="center"/>
                    <w:rPr>
                      <w:rFonts w:eastAsia="Times New Roman"/>
                      <w:color w:val="000000"/>
                      <w:szCs w:val="21"/>
                      <w:highlight w:val="none"/>
                    </w:rPr>
                  </w:pPr>
                  <w:r>
                    <w:rPr>
                      <w:rFonts w:eastAsia="Times New Roman"/>
                      <w:color w:val="000000"/>
                      <w:szCs w:val="21"/>
                      <w:highlight w:val="none"/>
                    </w:rPr>
                    <w:t>NOx</w:t>
                  </w:r>
                </w:p>
              </w:tc>
              <w:tc>
                <w:tcPr>
                  <w:tcW w:w="892" w:type="dxa"/>
                  <w:vAlign w:val="center"/>
                </w:tcPr>
                <w:p w14:paraId="447195DA">
                  <w:pPr>
                    <w:keepNext w:val="0"/>
                    <w:keepLines w:val="0"/>
                    <w:widowControl/>
                    <w:suppressLineNumbers w:val="0"/>
                    <w:jc w:val="center"/>
                    <w:textAlignment w:val="center"/>
                    <w:rPr>
                      <w:rFonts w:hint="default" w:eastAsia="宋体"/>
                      <w:color w:val="000000"/>
                      <w:szCs w:val="21"/>
                      <w:highlight w:val="none"/>
                      <w:lang w:val="en-US" w:eastAsia="zh-CN"/>
                    </w:rPr>
                  </w:pPr>
                  <w:r>
                    <w:rPr>
                      <w:rFonts w:hint="eastAsia" w:cs="Times New Roman"/>
                      <w:i w:val="0"/>
                      <w:iCs w:val="0"/>
                      <w:color w:val="000000"/>
                      <w:kern w:val="0"/>
                      <w:sz w:val="21"/>
                      <w:szCs w:val="21"/>
                      <w:highlight w:val="none"/>
                      <w:u w:val="none"/>
                      <w:lang w:val="en-US" w:eastAsia="zh-CN" w:bidi="ar"/>
                    </w:rPr>
                    <w:t>10.79</w:t>
                  </w:r>
                </w:p>
              </w:tc>
              <w:tc>
                <w:tcPr>
                  <w:tcW w:w="1208" w:type="dxa"/>
                  <w:vAlign w:val="center"/>
                </w:tcPr>
                <w:p w14:paraId="0273E7DF">
                  <w:pPr>
                    <w:keepNext w:val="0"/>
                    <w:keepLines w:val="0"/>
                    <w:pageBreakBefore w:val="0"/>
                    <w:widowControl w:val="0"/>
                    <w:tabs>
                      <w:tab w:val="left" w:pos="693"/>
                    </w:tabs>
                    <w:kinsoku/>
                    <w:wordWrap/>
                    <w:overflowPunct/>
                    <w:topLinePunct w:val="0"/>
                    <w:autoSpaceDE/>
                    <w:autoSpaceDN/>
                    <w:bidi w:val="0"/>
                    <w:adjustRightInd w:val="0"/>
                    <w:snapToGrid w:val="0"/>
                    <w:jc w:val="center"/>
                    <w:textAlignment w:val="auto"/>
                    <w:rPr>
                      <w:rFonts w:hint="default" w:eastAsia="宋体"/>
                      <w:color w:val="000000"/>
                      <w:szCs w:val="21"/>
                      <w:highlight w:val="none"/>
                      <w:lang w:val="en-US" w:eastAsia="zh-CN"/>
                    </w:rPr>
                  </w:pPr>
                  <w:r>
                    <w:rPr>
                      <w:rFonts w:hint="eastAsia" w:cs="Times New Roman"/>
                      <w:bCs/>
                      <w:color w:val="auto"/>
                      <w:szCs w:val="21"/>
                      <w:highlight w:val="none"/>
                      <w:lang w:val="en-US" w:eastAsia="zh-CN" w:bidi="ar"/>
                    </w:rPr>
                    <w:t>76.22</w:t>
                  </w:r>
                </w:p>
              </w:tc>
              <w:tc>
                <w:tcPr>
                  <w:tcW w:w="875" w:type="dxa"/>
                  <w:vAlign w:val="center"/>
                </w:tcPr>
                <w:p w14:paraId="42AACB6C">
                  <w:pPr>
                    <w:keepNext w:val="0"/>
                    <w:keepLines w:val="0"/>
                    <w:widowControl/>
                    <w:suppressLineNumbers w:val="0"/>
                    <w:jc w:val="center"/>
                    <w:textAlignment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10.79</w:t>
                  </w:r>
                </w:p>
              </w:tc>
              <w:tc>
                <w:tcPr>
                  <w:tcW w:w="1242" w:type="dxa"/>
                  <w:vAlign w:val="center"/>
                </w:tcPr>
                <w:p w14:paraId="4C03BA46">
                  <w:pPr>
                    <w:keepNext w:val="0"/>
                    <w:keepLines w:val="0"/>
                    <w:widowControl/>
                    <w:suppressLineNumbers w:val="0"/>
                    <w:jc w:val="center"/>
                    <w:textAlignment w:val="center"/>
                    <w:rPr>
                      <w:rFonts w:hint="default" w:cs="Times New Roman"/>
                      <w:color w:val="000000"/>
                      <w:kern w:val="2"/>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76.22</w:t>
                  </w:r>
                </w:p>
              </w:tc>
              <w:tc>
                <w:tcPr>
                  <w:tcW w:w="1241" w:type="dxa"/>
                  <w:vAlign w:val="center"/>
                </w:tcPr>
                <w:p w14:paraId="575AEB8F">
                  <w:pPr>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300</w:t>
                  </w:r>
                </w:p>
              </w:tc>
              <w:tc>
                <w:tcPr>
                  <w:tcW w:w="1075" w:type="dxa"/>
                  <w:vAlign w:val="center"/>
                </w:tcPr>
                <w:p w14:paraId="4FDB0E3F">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w:t>
                  </w:r>
                </w:p>
              </w:tc>
              <w:tc>
                <w:tcPr>
                  <w:tcW w:w="2126" w:type="dxa"/>
                  <w:vMerge w:val="continue"/>
                  <w:vAlign w:val="center"/>
                </w:tcPr>
                <w:p w14:paraId="396998B6">
                  <w:pPr>
                    <w:jc w:val="center"/>
                    <w:textAlignment w:val="center"/>
                    <w:rPr>
                      <w:rFonts w:eastAsia="Times New Roman"/>
                      <w:kern w:val="0"/>
                      <w:szCs w:val="21"/>
                      <w:highlight w:val="none"/>
                      <w:lang w:bidi="ar"/>
                    </w:rPr>
                  </w:pPr>
                </w:p>
              </w:tc>
            </w:tr>
            <w:tr w14:paraId="610D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422" w:type="dxa"/>
                  <w:vMerge w:val="continue"/>
                  <w:vAlign w:val="center"/>
                </w:tcPr>
                <w:p w14:paraId="67142E0F">
                  <w:pPr>
                    <w:widowControl/>
                    <w:jc w:val="center"/>
                    <w:textAlignment w:val="center"/>
                    <w:rPr>
                      <w:rFonts w:eastAsia="Times New Roman"/>
                      <w:color w:val="000000" w:themeColor="text1"/>
                      <w:spacing w:val="-2"/>
                      <w:kern w:val="0"/>
                      <w:szCs w:val="21"/>
                      <w:highlight w:val="none"/>
                      <w:lang w:bidi="ar"/>
                      <w14:textFill>
                        <w14:solidFill>
                          <w14:schemeClr w14:val="tx1"/>
                        </w14:solidFill>
                      </w14:textFill>
                    </w:rPr>
                  </w:pPr>
                </w:p>
              </w:tc>
              <w:tc>
                <w:tcPr>
                  <w:tcW w:w="856" w:type="dxa"/>
                  <w:vAlign w:val="center"/>
                </w:tcPr>
                <w:p w14:paraId="03AF61E9">
                  <w:pPr>
                    <w:jc w:val="center"/>
                    <w:rPr>
                      <w:rFonts w:eastAsia="Times New Roman"/>
                      <w:color w:val="000000" w:themeColor="text1"/>
                      <w:kern w:val="0"/>
                      <w:szCs w:val="21"/>
                      <w:highlight w:val="none"/>
                      <w:lang w:bidi="ar"/>
                      <w14:textFill>
                        <w14:solidFill>
                          <w14:schemeClr w14:val="tx1"/>
                        </w14:solidFill>
                      </w14:textFill>
                    </w:rPr>
                  </w:pPr>
                  <w:r>
                    <w:rPr>
                      <w:rFonts w:hint="eastAsia" w:ascii="宋体" w:hAnsi="宋体" w:eastAsia="Times New Roman" w:cs="宋体"/>
                      <w:color w:val="000000" w:themeColor="text1"/>
                      <w:kern w:val="0"/>
                      <w:szCs w:val="21"/>
                      <w:highlight w:val="none"/>
                      <w:lang w:bidi="ar"/>
                      <w14:textFill>
                        <w14:solidFill>
                          <w14:schemeClr w14:val="tx1"/>
                        </w14:solidFill>
                      </w14:textFill>
                    </w:rPr>
                    <w:t>无组织废气</w:t>
                  </w:r>
                </w:p>
              </w:tc>
              <w:tc>
                <w:tcPr>
                  <w:tcW w:w="1600" w:type="dxa"/>
                  <w:vAlign w:val="center"/>
                </w:tcPr>
                <w:p w14:paraId="400F3294">
                  <w:pPr>
                    <w:jc w:val="center"/>
                    <w:rPr>
                      <w:rFonts w:eastAsia="Times New Roman"/>
                      <w:szCs w:val="21"/>
                      <w:highlight w:val="none"/>
                    </w:rPr>
                  </w:pPr>
                  <w:r>
                    <w:rPr>
                      <w:rFonts w:hint="eastAsia" w:ascii="宋体" w:hAnsi="宋体" w:eastAsia="Times New Roman" w:cs="宋体"/>
                      <w:spacing w:val="-2"/>
                      <w:kern w:val="0"/>
                      <w:szCs w:val="21"/>
                      <w:highlight w:val="none"/>
                    </w:rPr>
                    <w:t>加强管理，采取及时清扫洒落的散料、进出料口加装软性布袋口、密封运输等措施</w:t>
                  </w:r>
                </w:p>
              </w:tc>
              <w:tc>
                <w:tcPr>
                  <w:tcW w:w="674" w:type="dxa"/>
                  <w:vAlign w:val="center"/>
                </w:tcPr>
                <w:p w14:paraId="61C0B33C">
                  <w:pPr>
                    <w:jc w:val="center"/>
                    <w:textAlignment w:val="center"/>
                    <w:rPr>
                      <w:rFonts w:eastAsia="Times New Roman"/>
                      <w:color w:val="000000" w:themeColor="text1"/>
                      <w:kern w:val="0"/>
                      <w:szCs w:val="21"/>
                      <w:highlight w:val="none"/>
                      <w:lang w:bidi="ar"/>
                      <w14:textFill>
                        <w14:solidFill>
                          <w14:schemeClr w14:val="tx1"/>
                        </w14:solidFill>
                      </w14:textFill>
                    </w:rPr>
                  </w:pPr>
                  <w:r>
                    <w:rPr>
                      <w:rFonts w:eastAsia="Times New Roman"/>
                      <w:color w:val="000000" w:themeColor="text1"/>
                      <w:kern w:val="0"/>
                      <w:szCs w:val="21"/>
                      <w:highlight w:val="none"/>
                      <w:lang w:bidi="ar"/>
                      <w14:textFill>
                        <w14:solidFill>
                          <w14:schemeClr w14:val="tx1"/>
                        </w14:solidFill>
                      </w14:textFill>
                    </w:rPr>
                    <w:t>/</w:t>
                  </w:r>
                </w:p>
              </w:tc>
              <w:tc>
                <w:tcPr>
                  <w:tcW w:w="884" w:type="dxa"/>
                  <w:vAlign w:val="center"/>
                </w:tcPr>
                <w:p w14:paraId="6264985D">
                  <w:pPr>
                    <w:jc w:val="center"/>
                    <w:textAlignment w:val="center"/>
                    <w:rPr>
                      <w:rFonts w:eastAsia="Times New Roman"/>
                      <w:color w:val="000000" w:themeColor="text1"/>
                      <w:kern w:val="0"/>
                      <w:szCs w:val="21"/>
                      <w:highlight w:val="none"/>
                      <w:lang w:bidi="ar"/>
                      <w14:textFill>
                        <w14:solidFill>
                          <w14:schemeClr w14:val="tx1"/>
                        </w14:solidFill>
                      </w14:textFill>
                    </w:rPr>
                  </w:pPr>
                  <w:r>
                    <w:rPr>
                      <w:rFonts w:hint="eastAsia" w:ascii="宋体" w:hAnsi="宋体" w:eastAsia="Times New Roman" w:cs="宋体"/>
                      <w:color w:val="000000" w:themeColor="text1"/>
                      <w:kern w:val="0"/>
                      <w:szCs w:val="21"/>
                      <w:highlight w:val="none"/>
                      <w:lang w:bidi="ar"/>
                      <w14:textFill>
                        <w14:solidFill>
                          <w14:schemeClr w14:val="tx1"/>
                        </w14:solidFill>
                      </w14:textFill>
                    </w:rPr>
                    <w:t>颗粒物</w:t>
                  </w:r>
                </w:p>
              </w:tc>
              <w:tc>
                <w:tcPr>
                  <w:tcW w:w="892" w:type="dxa"/>
                  <w:vAlign w:val="center"/>
                </w:tcPr>
                <w:p w14:paraId="6A553471">
                  <w:pPr>
                    <w:jc w:val="center"/>
                    <w:rPr>
                      <w:rFonts w:hint="default" w:eastAsia="宋体"/>
                      <w:spacing w:val="-2"/>
                      <w:kern w:val="0"/>
                      <w:szCs w:val="21"/>
                      <w:highlight w:val="none"/>
                      <w:lang w:val="en-US" w:eastAsia="zh-CN" w:bidi="ar"/>
                    </w:rPr>
                  </w:pPr>
                  <w:r>
                    <w:rPr>
                      <w:rFonts w:hint="eastAsia"/>
                      <w:spacing w:val="-2"/>
                      <w:kern w:val="0"/>
                      <w:szCs w:val="21"/>
                      <w:highlight w:val="none"/>
                      <w:lang w:val="en-US" w:eastAsia="zh-CN" w:bidi="ar"/>
                    </w:rPr>
                    <w:t>11.65</w:t>
                  </w:r>
                </w:p>
              </w:tc>
              <w:tc>
                <w:tcPr>
                  <w:tcW w:w="1208" w:type="dxa"/>
                  <w:vAlign w:val="center"/>
                </w:tcPr>
                <w:p w14:paraId="2710EF22">
                  <w:pPr>
                    <w:jc w:val="center"/>
                    <w:rPr>
                      <w:rFonts w:hint="eastAsia" w:eastAsia="宋体"/>
                      <w:szCs w:val="21"/>
                      <w:highlight w:val="none"/>
                      <w:lang w:val="en-US" w:eastAsia="zh-CN"/>
                    </w:rPr>
                  </w:pPr>
                  <w:r>
                    <w:rPr>
                      <w:rFonts w:hint="eastAsia" w:eastAsia="宋体"/>
                      <w:szCs w:val="21"/>
                      <w:highlight w:val="none"/>
                      <w:lang w:val="en-US" w:eastAsia="zh-CN"/>
                    </w:rPr>
                    <w:t>/</w:t>
                  </w:r>
                </w:p>
              </w:tc>
              <w:tc>
                <w:tcPr>
                  <w:tcW w:w="875" w:type="dxa"/>
                  <w:vAlign w:val="center"/>
                </w:tcPr>
                <w:p w14:paraId="13D48514">
                  <w:pPr>
                    <w:jc w:val="center"/>
                    <w:textAlignment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4.66</w:t>
                  </w:r>
                </w:p>
              </w:tc>
              <w:tc>
                <w:tcPr>
                  <w:tcW w:w="1242" w:type="dxa"/>
                  <w:vAlign w:val="center"/>
                </w:tcPr>
                <w:p w14:paraId="6F8231F7">
                  <w:pPr>
                    <w:jc w:val="center"/>
                    <w:textAlignment w:val="center"/>
                    <w:rPr>
                      <w:rFonts w:hint="default" w:eastAsia="宋体"/>
                      <w:color w:val="000000"/>
                      <w:szCs w:val="21"/>
                      <w:highlight w:val="none"/>
                      <w:lang w:val="en-US" w:eastAsia="zh-CN"/>
                    </w:rPr>
                  </w:pPr>
                  <w:r>
                    <w:rPr>
                      <w:rFonts w:hint="eastAsia" w:eastAsia="宋体"/>
                      <w:color w:val="000000"/>
                      <w:szCs w:val="21"/>
                      <w:highlight w:val="none"/>
                      <w:lang w:val="en-US" w:eastAsia="zh-CN"/>
                    </w:rPr>
                    <w:t>/</w:t>
                  </w:r>
                </w:p>
              </w:tc>
              <w:tc>
                <w:tcPr>
                  <w:tcW w:w="1241" w:type="dxa"/>
                  <w:vAlign w:val="center"/>
                </w:tcPr>
                <w:p w14:paraId="2B16CDE2">
                  <w:pPr>
                    <w:jc w:val="center"/>
                    <w:textAlignment w:val="center"/>
                    <w:rPr>
                      <w:rFonts w:hint="default" w:eastAsia="宋体"/>
                      <w:color w:val="000000" w:themeColor="text1"/>
                      <w:kern w:val="0"/>
                      <w:szCs w:val="21"/>
                      <w:highlight w:val="none"/>
                      <w:lang w:val="en-US" w:eastAsia="zh-CN" w:bidi="ar"/>
                      <w14:textFill>
                        <w14:solidFill>
                          <w14:schemeClr w14:val="tx1"/>
                        </w14:solidFill>
                      </w14:textFill>
                    </w:rPr>
                  </w:pPr>
                  <w:r>
                    <w:rPr>
                      <w:rFonts w:hint="eastAsia" w:eastAsia="宋体"/>
                      <w:color w:val="000000" w:themeColor="text1"/>
                      <w:kern w:val="0"/>
                      <w:szCs w:val="21"/>
                      <w:highlight w:val="none"/>
                      <w:lang w:val="en-US" w:eastAsia="zh-CN" w:bidi="ar"/>
                      <w14:textFill>
                        <w14:solidFill>
                          <w14:schemeClr w14:val="tx1"/>
                        </w14:solidFill>
                      </w14:textFill>
                    </w:rPr>
                    <w:t>1.0</w:t>
                  </w:r>
                </w:p>
              </w:tc>
              <w:tc>
                <w:tcPr>
                  <w:tcW w:w="1075" w:type="dxa"/>
                  <w:vAlign w:val="center"/>
                </w:tcPr>
                <w:p w14:paraId="34FB7D4D">
                  <w:pPr>
                    <w:jc w:val="center"/>
                    <w:rPr>
                      <w:rFonts w:eastAsia="Times New Roman"/>
                      <w:szCs w:val="21"/>
                      <w:highlight w:val="none"/>
                    </w:rPr>
                  </w:pPr>
                  <w:r>
                    <w:rPr>
                      <w:rFonts w:eastAsia="Times New Roman"/>
                      <w:spacing w:val="-2"/>
                      <w:kern w:val="0"/>
                      <w:szCs w:val="21"/>
                      <w:highlight w:val="none"/>
                      <w:lang w:bidi="ar"/>
                    </w:rPr>
                    <w:t>/</w:t>
                  </w:r>
                </w:p>
              </w:tc>
              <w:tc>
                <w:tcPr>
                  <w:tcW w:w="2126" w:type="dxa"/>
                  <w:vAlign w:val="center"/>
                </w:tcPr>
                <w:p w14:paraId="169BA37E">
                  <w:pPr>
                    <w:jc w:val="left"/>
                    <w:rPr>
                      <w:rFonts w:eastAsia="Times New Roman"/>
                      <w:color w:val="000000" w:themeColor="text1"/>
                      <w:kern w:val="0"/>
                      <w:szCs w:val="21"/>
                      <w:highlight w:val="none"/>
                      <w:lang w:bidi="ar"/>
                      <w14:textFill>
                        <w14:solidFill>
                          <w14:schemeClr w14:val="tx1"/>
                        </w14:solidFill>
                      </w14:textFill>
                    </w:rPr>
                  </w:pPr>
                  <w:r>
                    <w:rPr>
                      <w:rFonts w:hint="eastAsia" w:ascii="宋体" w:hAnsi="宋体" w:eastAsia="Times New Roman" w:cs="宋体"/>
                      <w:kern w:val="0"/>
                      <w:szCs w:val="21"/>
                      <w:highlight w:val="none"/>
                      <w:lang w:bidi="ar"/>
                    </w:rPr>
                    <w:t>广东省地方标准《大气污染物排放限值》（</w:t>
                  </w:r>
                  <w:r>
                    <w:rPr>
                      <w:rFonts w:eastAsia="Times New Roman"/>
                      <w:kern w:val="0"/>
                      <w:szCs w:val="21"/>
                      <w:highlight w:val="none"/>
                      <w:lang w:bidi="ar"/>
                    </w:rPr>
                    <w:t>DB44/27-2001</w:t>
                  </w:r>
                  <w:r>
                    <w:rPr>
                      <w:rFonts w:hint="eastAsia" w:ascii="宋体" w:hAnsi="宋体" w:eastAsia="Times New Roman" w:cs="宋体"/>
                      <w:kern w:val="0"/>
                      <w:szCs w:val="21"/>
                      <w:highlight w:val="none"/>
                      <w:lang w:bidi="ar"/>
                    </w:rPr>
                    <w:t>）中</w:t>
                  </w:r>
                  <w:r>
                    <w:rPr>
                      <w:rFonts w:hint="eastAsia" w:ascii="宋体" w:hAnsi="宋体" w:eastAsia="Times New Roman" w:cs="宋体"/>
                      <w:szCs w:val="21"/>
                      <w:highlight w:val="none"/>
                    </w:rPr>
                    <w:t>第二时段无组织排放监控浓度限值</w:t>
                  </w:r>
                </w:p>
              </w:tc>
            </w:tr>
            <w:tr w14:paraId="046A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22" w:type="dxa"/>
                  <w:vMerge w:val="restart"/>
                  <w:vAlign w:val="center"/>
                </w:tcPr>
                <w:p w14:paraId="4D8DC367">
                  <w:pPr>
                    <w:widowControl/>
                    <w:jc w:val="center"/>
                    <w:textAlignment w:val="center"/>
                    <w:rPr>
                      <w:rFonts w:eastAsia="Times New Roman"/>
                      <w:spacing w:val="-2"/>
                      <w:kern w:val="0"/>
                      <w:szCs w:val="21"/>
                      <w:highlight w:val="none"/>
                      <w:lang w:bidi="ar"/>
                    </w:rPr>
                  </w:pPr>
                  <w:r>
                    <w:rPr>
                      <w:rFonts w:hint="eastAsia" w:ascii="宋体" w:hAnsi="宋体" w:eastAsia="Times New Roman" w:cs="宋体"/>
                      <w:spacing w:val="-2"/>
                      <w:kern w:val="0"/>
                      <w:szCs w:val="21"/>
                      <w:highlight w:val="none"/>
                      <w:lang w:bidi="ar"/>
                    </w:rPr>
                    <w:t>废水</w:t>
                  </w:r>
                </w:p>
              </w:tc>
              <w:tc>
                <w:tcPr>
                  <w:tcW w:w="856" w:type="dxa"/>
                  <w:vMerge w:val="restart"/>
                  <w:vAlign w:val="center"/>
                </w:tcPr>
                <w:p w14:paraId="41E38D27">
                  <w:pPr>
                    <w:widowControl/>
                    <w:jc w:val="center"/>
                    <w:textAlignment w:val="center"/>
                    <w:rPr>
                      <w:rFonts w:eastAsia="Times New Roman"/>
                      <w:spacing w:val="-2"/>
                      <w:kern w:val="0"/>
                      <w:szCs w:val="21"/>
                      <w:highlight w:val="none"/>
                      <w:lang w:bidi="ar"/>
                    </w:rPr>
                  </w:pPr>
                  <w:r>
                    <w:rPr>
                      <w:rFonts w:hint="eastAsia" w:ascii="宋体" w:hAnsi="宋体" w:eastAsia="Times New Roman" w:cs="宋体"/>
                      <w:spacing w:val="-2"/>
                      <w:kern w:val="0"/>
                      <w:szCs w:val="21"/>
                      <w:highlight w:val="none"/>
                      <w:lang w:bidi="ar"/>
                    </w:rPr>
                    <w:t>生活污水</w:t>
                  </w:r>
                </w:p>
                <w:p w14:paraId="1DB36CDE">
                  <w:pPr>
                    <w:pStyle w:val="44"/>
                    <w:jc w:val="center"/>
                    <w:rPr>
                      <w:rFonts w:ascii="Times New Roman" w:hAnsi="Times New Roman" w:eastAsia="Times New Roman" w:cs="Times New Roman"/>
                      <w:sz w:val="21"/>
                      <w:szCs w:val="21"/>
                      <w:highlight w:val="none"/>
                      <w:lang w:bidi="ar"/>
                    </w:rPr>
                  </w:pPr>
                </w:p>
              </w:tc>
              <w:tc>
                <w:tcPr>
                  <w:tcW w:w="1600" w:type="dxa"/>
                  <w:vMerge w:val="restart"/>
                  <w:vAlign w:val="center"/>
                </w:tcPr>
                <w:p w14:paraId="69945789">
                  <w:pPr>
                    <w:widowControl/>
                    <w:jc w:val="center"/>
                    <w:textAlignment w:val="center"/>
                    <w:rPr>
                      <w:rFonts w:eastAsia="Times New Roman"/>
                      <w:spacing w:val="-2"/>
                      <w:kern w:val="0"/>
                      <w:szCs w:val="21"/>
                      <w:highlight w:val="none"/>
                      <w:lang w:bidi="ar"/>
                    </w:rPr>
                  </w:pPr>
                  <w:r>
                    <w:rPr>
                      <w:rFonts w:hint="eastAsia" w:ascii="宋体" w:hAnsi="宋体" w:eastAsia="Times New Roman" w:cs="宋体"/>
                      <w:spacing w:val="-2"/>
                      <w:kern w:val="0"/>
                      <w:szCs w:val="21"/>
                      <w:highlight w:val="none"/>
                      <w:lang w:bidi="ar"/>
                    </w:rPr>
                    <w:t>三级化粪池</w:t>
                  </w:r>
                </w:p>
              </w:tc>
              <w:tc>
                <w:tcPr>
                  <w:tcW w:w="674" w:type="dxa"/>
                  <w:vMerge w:val="restart"/>
                  <w:vAlign w:val="center"/>
                </w:tcPr>
                <w:p w14:paraId="2C28602A">
                  <w:pPr>
                    <w:widowControl/>
                    <w:jc w:val="center"/>
                    <w:textAlignment w:val="center"/>
                    <w:rPr>
                      <w:rFonts w:eastAsia="Times New Roman"/>
                      <w:spacing w:val="-2"/>
                      <w:kern w:val="0"/>
                      <w:szCs w:val="21"/>
                      <w:highlight w:val="none"/>
                      <w:lang w:bidi="ar"/>
                    </w:rPr>
                  </w:pPr>
                  <w:r>
                    <w:rPr>
                      <w:rFonts w:hint="eastAsia" w:ascii="宋体" w:hAnsi="宋体" w:eastAsia="Times New Roman" w:cs="宋体"/>
                      <w:spacing w:val="-2"/>
                      <w:kern w:val="0"/>
                      <w:szCs w:val="21"/>
                      <w:highlight w:val="none"/>
                      <w:lang w:bidi="ar"/>
                    </w:rPr>
                    <w:t>林地灌溉</w:t>
                  </w:r>
                </w:p>
              </w:tc>
              <w:tc>
                <w:tcPr>
                  <w:tcW w:w="884" w:type="dxa"/>
                  <w:vAlign w:val="center"/>
                </w:tcPr>
                <w:p w14:paraId="5E0B22CD">
                  <w:pPr>
                    <w:pStyle w:val="145"/>
                    <w:adjustRightInd w:val="0"/>
                    <w:jc w:val="center"/>
                    <w:rPr>
                      <w:rFonts w:hint="eastAsia" w:eastAsia="宋体"/>
                      <w:szCs w:val="21"/>
                      <w:highlight w:val="none"/>
                      <w:lang w:eastAsia="zh-CN"/>
                    </w:rPr>
                  </w:pPr>
                  <w:r>
                    <w:rPr>
                      <w:rFonts w:eastAsia="Times New Roman"/>
                      <w:spacing w:val="-2"/>
                      <w:kern w:val="0"/>
                      <w:szCs w:val="21"/>
                      <w:highlight w:val="none"/>
                    </w:rPr>
                    <w:t>COD</w:t>
                  </w:r>
                  <w:r>
                    <w:rPr>
                      <w:rFonts w:eastAsia="Times New Roman"/>
                      <w:spacing w:val="-2"/>
                      <w:kern w:val="0"/>
                      <w:szCs w:val="21"/>
                      <w:highlight w:val="none"/>
                      <w:vertAlign w:val="subscript"/>
                    </w:rPr>
                    <w:t>Cr</w:t>
                  </w:r>
                  <w:r>
                    <w:rPr>
                      <w:rFonts w:hint="eastAsia" w:eastAsia="宋体"/>
                      <w:spacing w:val="-2"/>
                      <w:kern w:val="0"/>
                      <w:szCs w:val="21"/>
                      <w:highlight w:val="none"/>
                      <w:vertAlign w:val="baseline"/>
                      <w:lang w:eastAsia="zh-CN"/>
                    </w:rPr>
                    <w:t>（</w:t>
                  </w:r>
                  <w:r>
                    <w:rPr>
                      <w:rFonts w:hint="eastAsia" w:eastAsia="宋体"/>
                      <w:spacing w:val="-2"/>
                      <w:kern w:val="0"/>
                      <w:szCs w:val="21"/>
                      <w:highlight w:val="none"/>
                      <w:vertAlign w:val="baseline"/>
                      <w:lang w:val="en-US" w:eastAsia="zh-CN"/>
                    </w:rPr>
                    <w:t>mg/L</w:t>
                  </w:r>
                  <w:r>
                    <w:rPr>
                      <w:rFonts w:hint="eastAsia" w:eastAsia="宋体"/>
                      <w:spacing w:val="-2"/>
                      <w:kern w:val="0"/>
                      <w:szCs w:val="21"/>
                      <w:highlight w:val="none"/>
                      <w:vertAlign w:val="baseline"/>
                      <w:lang w:eastAsia="zh-CN"/>
                    </w:rPr>
                    <w:t>）</w:t>
                  </w:r>
                </w:p>
              </w:tc>
              <w:tc>
                <w:tcPr>
                  <w:tcW w:w="892" w:type="dxa"/>
                  <w:vAlign w:val="center"/>
                </w:tcPr>
                <w:p w14:paraId="26892FC4">
                  <w:pPr>
                    <w:jc w:val="center"/>
                    <w:rPr>
                      <w:rFonts w:hint="default" w:eastAsia="宋体"/>
                      <w:spacing w:val="-2"/>
                      <w:kern w:val="0"/>
                      <w:szCs w:val="21"/>
                      <w:highlight w:val="none"/>
                      <w:lang w:val="en-US" w:eastAsia="zh-CN" w:bidi="ar"/>
                    </w:rPr>
                  </w:pPr>
                  <w:r>
                    <w:rPr>
                      <w:rFonts w:hint="eastAsia"/>
                      <w:spacing w:val="-2"/>
                      <w:kern w:val="0"/>
                      <w:szCs w:val="21"/>
                      <w:highlight w:val="none"/>
                      <w:lang w:val="en-US" w:eastAsia="zh-CN" w:bidi="ar"/>
                    </w:rPr>
                    <w:t>0.063</w:t>
                  </w:r>
                </w:p>
              </w:tc>
              <w:tc>
                <w:tcPr>
                  <w:tcW w:w="1208" w:type="dxa"/>
                  <w:vAlign w:val="center"/>
                </w:tcPr>
                <w:p w14:paraId="548CB5E5">
                  <w:pPr>
                    <w:jc w:val="center"/>
                    <w:rPr>
                      <w:rFonts w:hint="default" w:ascii="Times New Roman" w:hAnsi="Times New Roman" w:eastAsia="宋体" w:cs="Times New Roman"/>
                      <w:spacing w:val="-2"/>
                      <w:kern w:val="0"/>
                      <w:sz w:val="21"/>
                      <w:szCs w:val="21"/>
                      <w:highlight w:val="none"/>
                      <w:lang w:val="en-US" w:eastAsia="zh-CN" w:bidi="ar"/>
                    </w:rPr>
                  </w:pPr>
                  <w:r>
                    <w:rPr>
                      <w:rFonts w:hint="eastAsia" w:eastAsia="宋体"/>
                      <w:spacing w:val="-2"/>
                      <w:kern w:val="0"/>
                      <w:szCs w:val="21"/>
                      <w:highlight w:val="none"/>
                      <w:lang w:val="en-US" w:eastAsia="zh-CN" w:bidi="ar"/>
                    </w:rPr>
                    <w:t>250</w:t>
                  </w:r>
                </w:p>
              </w:tc>
              <w:tc>
                <w:tcPr>
                  <w:tcW w:w="875" w:type="dxa"/>
                  <w:vAlign w:val="center"/>
                </w:tcPr>
                <w:p w14:paraId="37C8F673">
                  <w:pPr>
                    <w:jc w:val="cente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0.038</w:t>
                  </w:r>
                </w:p>
              </w:tc>
              <w:tc>
                <w:tcPr>
                  <w:tcW w:w="1242" w:type="dxa"/>
                  <w:vAlign w:val="center"/>
                </w:tcPr>
                <w:p w14:paraId="0937CA68">
                  <w:pPr>
                    <w:jc w:val="center"/>
                    <w:rPr>
                      <w:rFonts w:hint="default" w:eastAsia="宋体"/>
                      <w:szCs w:val="21"/>
                      <w:highlight w:val="none"/>
                      <w:lang w:val="en-US" w:eastAsia="zh-CN"/>
                    </w:rPr>
                  </w:pPr>
                  <w:r>
                    <w:rPr>
                      <w:rFonts w:hint="eastAsia" w:eastAsia="宋体"/>
                      <w:szCs w:val="21"/>
                      <w:highlight w:val="none"/>
                      <w:lang w:val="en-US" w:eastAsia="zh-CN"/>
                    </w:rPr>
                    <w:t>150</w:t>
                  </w:r>
                </w:p>
              </w:tc>
              <w:tc>
                <w:tcPr>
                  <w:tcW w:w="1241" w:type="dxa"/>
                  <w:vAlign w:val="center"/>
                </w:tcPr>
                <w:p w14:paraId="219B1CC9">
                  <w:pPr>
                    <w:pStyle w:val="145"/>
                    <w:adjustRightInd w:val="0"/>
                    <w:jc w:val="center"/>
                    <w:rPr>
                      <w:rFonts w:eastAsia="Times New Roman"/>
                      <w:szCs w:val="21"/>
                      <w:highlight w:val="none"/>
                    </w:rPr>
                  </w:pPr>
                  <w:r>
                    <w:rPr>
                      <w:rFonts w:eastAsia="Times New Roman"/>
                      <w:szCs w:val="21"/>
                      <w:highlight w:val="none"/>
                    </w:rPr>
                    <w:t>200</w:t>
                  </w:r>
                </w:p>
              </w:tc>
              <w:tc>
                <w:tcPr>
                  <w:tcW w:w="1075" w:type="dxa"/>
                  <w:vAlign w:val="center"/>
                </w:tcPr>
                <w:p w14:paraId="0C729CA6">
                  <w:pPr>
                    <w:jc w:val="center"/>
                    <w:rPr>
                      <w:rFonts w:eastAsia="Times New Roman"/>
                      <w:szCs w:val="21"/>
                      <w:highlight w:val="none"/>
                    </w:rPr>
                  </w:pPr>
                  <w:r>
                    <w:rPr>
                      <w:rFonts w:eastAsia="Times New Roman"/>
                      <w:spacing w:val="-2"/>
                      <w:kern w:val="0"/>
                      <w:szCs w:val="21"/>
                      <w:highlight w:val="none"/>
                    </w:rPr>
                    <w:t>/</w:t>
                  </w:r>
                </w:p>
              </w:tc>
              <w:tc>
                <w:tcPr>
                  <w:tcW w:w="2126" w:type="dxa"/>
                  <w:vMerge w:val="restart"/>
                  <w:vAlign w:val="center"/>
                </w:tcPr>
                <w:p w14:paraId="202B086D">
                  <w:pPr>
                    <w:jc w:val="left"/>
                    <w:rPr>
                      <w:rFonts w:eastAsia="Times New Roman"/>
                      <w:szCs w:val="21"/>
                      <w:highlight w:val="none"/>
                    </w:rPr>
                  </w:pPr>
                  <w:r>
                    <w:rPr>
                      <w:rFonts w:hint="eastAsia" w:ascii="宋体" w:hAnsi="宋体" w:eastAsia="Times New Roman" w:cs="宋体"/>
                      <w:color w:val="000000" w:themeColor="text1"/>
                      <w:kern w:val="0"/>
                      <w:szCs w:val="21"/>
                      <w:highlight w:val="none"/>
                      <w:lang w:bidi="ar"/>
                      <w14:textFill>
                        <w14:solidFill>
                          <w14:schemeClr w14:val="tx1"/>
                        </w14:solidFill>
                      </w14:textFill>
                    </w:rPr>
                    <w:t>农田灌溉水质标准》（</w:t>
                  </w:r>
                  <w:r>
                    <w:rPr>
                      <w:rFonts w:eastAsia="Times New Roman"/>
                      <w:color w:val="000000" w:themeColor="text1"/>
                      <w:kern w:val="0"/>
                      <w:szCs w:val="21"/>
                      <w:highlight w:val="none"/>
                      <w:lang w:bidi="ar"/>
                      <w14:textFill>
                        <w14:solidFill>
                          <w14:schemeClr w14:val="tx1"/>
                        </w14:solidFill>
                      </w14:textFill>
                    </w:rPr>
                    <w:t>GB5084-2021</w:t>
                  </w:r>
                  <w:r>
                    <w:rPr>
                      <w:rFonts w:hint="eastAsia" w:ascii="宋体" w:hAnsi="宋体" w:eastAsia="Times New Roman" w:cs="宋体"/>
                      <w:color w:val="000000" w:themeColor="text1"/>
                      <w:kern w:val="0"/>
                      <w:szCs w:val="21"/>
                      <w:highlight w:val="none"/>
                      <w:lang w:bidi="ar"/>
                      <w14:textFill>
                        <w14:solidFill>
                          <w14:schemeClr w14:val="tx1"/>
                        </w14:solidFill>
                      </w14:textFill>
                    </w:rPr>
                    <w:t>）</w:t>
                  </w:r>
                  <w:r>
                    <w:rPr>
                      <w:rFonts w:eastAsia="Times New Roman"/>
                      <w:color w:val="000000" w:themeColor="text1"/>
                      <w:kern w:val="0"/>
                      <w:szCs w:val="21"/>
                      <w:highlight w:val="none"/>
                      <w:lang w:bidi="ar"/>
                      <w14:textFill>
                        <w14:solidFill>
                          <w14:schemeClr w14:val="tx1"/>
                        </w14:solidFill>
                      </w14:textFill>
                    </w:rPr>
                    <w:t xml:space="preserve"> </w:t>
                  </w:r>
                  <w:r>
                    <w:rPr>
                      <w:rFonts w:hint="eastAsia" w:eastAsia="Times New Roman"/>
                      <w:color w:val="000000" w:themeColor="text1"/>
                      <w:kern w:val="0"/>
                      <w:szCs w:val="21"/>
                      <w:highlight w:val="none"/>
                      <w:lang w:bidi="ar"/>
                      <w14:textFill>
                        <w14:solidFill>
                          <w14:schemeClr w14:val="tx1"/>
                        </w14:solidFill>
                      </w14:textFill>
                    </w:rPr>
                    <w:t>“</w:t>
                  </w:r>
                  <w:r>
                    <w:rPr>
                      <w:rFonts w:hint="eastAsia" w:ascii="宋体" w:hAnsi="宋体" w:eastAsia="Times New Roman" w:cs="宋体"/>
                      <w:color w:val="000000" w:themeColor="text1"/>
                      <w:kern w:val="0"/>
                      <w:szCs w:val="21"/>
                      <w:highlight w:val="none"/>
                      <w:lang w:bidi="ar"/>
                      <w14:textFill>
                        <w14:solidFill>
                          <w14:schemeClr w14:val="tx1"/>
                        </w14:solidFill>
                      </w14:textFill>
                    </w:rPr>
                    <w:t>表</w:t>
                  </w:r>
                  <w:r>
                    <w:rPr>
                      <w:rFonts w:eastAsia="Times New Roman"/>
                      <w:color w:val="000000" w:themeColor="text1"/>
                      <w:kern w:val="0"/>
                      <w:szCs w:val="21"/>
                      <w:highlight w:val="none"/>
                      <w:lang w:bidi="ar"/>
                      <w14:textFill>
                        <w14:solidFill>
                          <w14:schemeClr w14:val="tx1"/>
                        </w14:solidFill>
                      </w14:textFill>
                    </w:rPr>
                    <w:t>1</w:t>
                  </w:r>
                  <w:r>
                    <w:rPr>
                      <w:rFonts w:hint="eastAsia" w:ascii="宋体" w:hAnsi="宋体" w:eastAsia="Times New Roman" w:cs="宋体"/>
                      <w:color w:val="000000" w:themeColor="text1"/>
                      <w:kern w:val="0"/>
                      <w:szCs w:val="21"/>
                      <w:highlight w:val="none"/>
                      <w:lang w:bidi="ar"/>
                      <w14:textFill>
                        <w14:solidFill>
                          <w14:schemeClr w14:val="tx1"/>
                        </w14:solidFill>
                      </w14:textFill>
                    </w:rPr>
                    <w:t>基本控制项目限值</w:t>
                  </w:r>
                  <w:r>
                    <w:rPr>
                      <w:rFonts w:hint="eastAsia" w:eastAsia="Times New Roman"/>
                      <w:color w:val="000000" w:themeColor="text1"/>
                      <w:kern w:val="0"/>
                      <w:szCs w:val="21"/>
                      <w:highlight w:val="none"/>
                      <w:lang w:bidi="ar"/>
                      <w14:textFill>
                        <w14:solidFill>
                          <w14:schemeClr w14:val="tx1"/>
                        </w14:solidFill>
                      </w14:textFill>
                    </w:rPr>
                    <w:t>”</w:t>
                  </w:r>
                  <w:r>
                    <w:rPr>
                      <w:rFonts w:hint="eastAsia" w:ascii="宋体" w:hAnsi="宋体" w:eastAsia="Times New Roman" w:cs="宋体"/>
                      <w:color w:val="000000" w:themeColor="text1"/>
                      <w:kern w:val="0"/>
                      <w:szCs w:val="21"/>
                      <w:highlight w:val="none"/>
                      <w:lang w:bidi="ar"/>
                      <w14:textFill>
                        <w14:solidFill>
                          <w14:schemeClr w14:val="tx1"/>
                        </w14:solidFill>
                      </w14:textFill>
                    </w:rPr>
                    <w:t>旱地作物水质标准后进行林地</w:t>
                  </w:r>
                </w:p>
              </w:tc>
            </w:tr>
            <w:tr w14:paraId="5D32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22" w:type="dxa"/>
                  <w:vMerge w:val="continue"/>
                  <w:vAlign w:val="center"/>
                </w:tcPr>
                <w:p w14:paraId="10122FCA">
                  <w:pPr>
                    <w:widowControl/>
                    <w:textAlignment w:val="center"/>
                    <w:rPr>
                      <w:rFonts w:eastAsia="Times New Roman"/>
                      <w:spacing w:val="-2"/>
                      <w:kern w:val="0"/>
                      <w:szCs w:val="21"/>
                      <w:highlight w:val="none"/>
                      <w:lang w:bidi="ar"/>
                    </w:rPr>
                  </w:pPr>
                </w:p>
              </w:tc>
              <w:tc>
                <w:tcPr>
                  <w:tcW w:w="856" w:type="dxa"/>
                  <w:vMerge w:val="continue"/>
                  <w:vAlign w:val="center"/>
                </w:tcPr>
                <w:p w14:paraId="1C963DEA">
                  <w:pPr>
                    <w:widowControl/>
                    <w:textAlignment w:val="center"/>
                    <w:rPr>
                      <w:rFonts w:eastAsia="Times New Roman"/>
                      <w:spacing w:val="-2"/>
                      <w:kern w:val="0"/>
                      <w:szCs w:val="21"/>
                      <w:highlight w:val="none"/>
                      <w:lang w:bidi="ar"/>
                    </w:rPr>
                  </w:pPr>
                </w:p>
              </w:tc>
              <w:tc>
                <w:tcPr>
                  <w:tcW w:w="1600" w:type="dxa"/>
                  <w:vMerge w:val="continue"/>
                  <w:vAlign w:val="center"/>
                </w:tcPr>
                <w:p w14:paraId="33952E0C">
                  <w:pPr>
                    <w:widowControl/>
                    <w:textAlignment w:val="center"/>
                    <w:rPr>
                      <w:rFonts w:eastAsia="Times New Roman"/>
                      <w:spacing w:val="-2"/>
                      <w:kern w:val="0"/>
                      <w:szCs w:val="21"/>
                      <w:highlight w:val="none"/>
                      <w:lang w:bidi="ar"/>
                    </w:rPr>
                  </w:pPr>
                </w:p>
              </w:tc>
              <w:tc>
                <w:tcPr>
                  <w:tcW w:w="674" w:type="dxa"/>
                  <w:vMerge w:val="continue"/>
                  <w:vAlign w:val="center"/>
                </w:tcPr>
                <w:p w14:paraId="62EF1912">
                  <w:pPr>
                    <w:widowControl/>
                    <w:textAlignment w:val="center"/>
                    <w:rPr>
                      <w:rFonts w:eastAsia="Times New Roman"/>
                      <w:spacing w:val="-2"/>
                      <w:kern w:val="0"/>
                      <w:szCs w:val="21"/>
                      <w:highlight w:val="none"/>
                      <w:lang w:bidi="ar"/>
                    </w:rPr>
                  </w:pPr>
                </w:p>
              </w:tc>
              <w:tc>
                <w:tcPr>
                  <w:tcW w:w="884" w:type="dxa"/>
                  <w:vAlign w:val="center"/>
                </w:tcPr>
                <w:p w14:paraId="08A7AD17">
                  <w:pPr>
                    <w:pStyle w:val="145"/>
                    <w:adjustRightInd w:val="0"/>
                    <w:rPr>
                      <w:rFonts w:eastAsia="Times New Roman"/>
                      <w:szCs w:val="21"/>
                      <w:highlight w:val="none"/>
                      <w:lang w:eastAsia="en-US"/>
                    </w:rPr>
                  </w:pPr>
                  <w:r>
                    <w:rPr>
                      <w:rFonts w:eastAsia="Times New Roman"/>
                      <w:spacing w:val="-2"/>
                      <w:kern w:val="0"/>
                      <w:szCs w:val="21"/>
                      <w:highlight w:val="none"/>
                    </w:rPr>
                    <w:t>BOD</w:t>
                  </w:r>
                  <w:r>
                    <w:rPr>
                      <w:rFonts w:eastAsia="Times New Roman"/>
                      <w:spacing w:val="-2"/>
                      <w:kern w:val="0"/>
                      <w:szCs w:val="21"/>
                      <w:highlight w:val="none"/>
                      <w:vertAlign w:val="subscript"/>
                    </w:rPr>
                    <w:t>5</w:t>
                  </w:r>
                  <w:r>
                    <w:rPr>
                      <w:rFonts w:hint="eastAsia" w:eastAsia="宋体"/>
                      <w:spacing w:val="-2"/>
                      <w:kern w:val="0"/>
                      <w:szCs w:val="21"/>
                      <w:highlight w:val="none"/>
                      <w:vertAlign w:val="baseline"/>
                      <w:lang w:eastAsia="zh-CN"/>
                    </w:rPr>
                    <w:t>（</w:t>
                  </w:r>
                  <w:r>
                    <w:rPr>
                      <w:rFonts w:hint="eastAsia" w:eastAsia="宋体"/>
                      <w:spacing w:val="-2"/>
                      <w:kern w:val="0"/>
                      <w:szCs w:val="21"/>
                      <w:highlight w:val="none"/>
                      <w:vertAlign w:val="baseline"/>
                      <w:lang w:val="en-US" w:eastAsia="zh-CN"/>
                    </w:rPr>
                    <w:t>mg/L</w:t>
                  </w:r>
                  <w:r>
                    <w:rPr>
                      <w:rFonts w:hint="eastAsia" w:eastAsia="宋体"/>
                      <w:spacing w:val="-2"/>
                      <w:kern w:val="0"/>
                      <w:szCs w:val="21"/>
                      <w:highlight w:val="none"/>
                      <w:vertAlign w:val="baseline"/>
                      <w:lang w:eastAsia="zh-CN"/>
                    </w:rPr>
                    <w:t>）</w:t>
                  </w:r>
                </w:p>
              </w:tc>
              <w:tc>
                <w:tcPr>
                  <w:tcW w:w="892" w:type="dxa"/>
                  <w:vAlign w:val="center"/>
                </w:tcPr>
                <w:p w14:paraId="6B288A87">
                  <w:pPr>
                    <w:jc w:val="center"/>
                    <w:rPr>
                      <w:rFonts w:hint="default" w:eastAsia="宋体"/>
                      <w:spacing w:val="-2"/>
                      <w:kern w:val="0"/>
                      <w:szCs w:val="21"/>
                      <w:highlight w:val="none"/>
                      <w:lang w:val="en-US" w:eastAsia="zh-CN" w:bidi="ar"/>
                    </w:rPr>
                  </w:pPr>
                  <w:r>
                    <w:rPr>
                      <w:rFonts w:hint="eastAsia"/>
                      <w:spacing w:val="-2"/>
                      <w:kern w:val="0"/>
                      <w:szCs w:val="21"/>
                      <w:highlight w:val="none"/>
                      <w:lang w:val="en-US" w:eastAsia="zh-CN" w:bidi="ar"/>
                    </w:rPr>
                    <w:t>0.038</w:t>
                  </w:r>
                </w:p>
              </w:tc>
              <w:tc>
                <w:tcPr>
                  <w:tcW w:w="1208" w:type="dxa"/>
                  <w:vAlign w:val="center"/>
                </w:tcPr>
                <w:p w14:paraId="303C5951">
                  <w:pPr>
                    <w:jc w:val="center"/>
                    <w:rPr>
                      <w:rFonts w:hint="default" w:ascii="Times New Roman" w:hAnsi="Times New Roman" w:eastAsia="宋体" w:cs="Times New Roman"/>
                      <w:spacing w:val="-2"/>
                      <w:kern w:val="0"/>
                      <w:sz w:val="21"/>
                      <w:szCs w:val="21"/>
                      <w:highlight w:val="none"/>
                      <w:lang w:val="en-US" w:eastAsia="zh-CN" w:bidi="ar"/>
                    </w:rPr>
                  </w:pPr>
                  <w:r>
                    <w:rPr>
                      <w:rFonts w:hint="eastAsia" w:eastAsia="宋体"/>
                      <w:spacing w:val="-2"/>
                      <w:kern w:val="0"/>
                      <w:szCs w:val="21"/>
                      <w:highlight w:val="none"/>
                      <w:lang w:val="en-US" w:eastAsia="zh-CN" w:bidi="ar"/>
                    </w:rPr>
                    <w:t>150</w:t>
                  </w:r>
                </w:p>
              </w:tc>
              <w:tc>
                <w:tcPr>
                  <w:tcW w:w="875" w:type="dxa"/>
                  <w:vAlign w:val="center"/>
                </w:tcPr>
                <w:p w14:paraId="27F37C35">
                  <w:pPr>
                    <w:jc w:val="cente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0.023</w:t>
                  </w:r>
                </w:p>
              </w:tc>
              <w:tc>
                <w:tcPr>
                  <w:tcW w:w="1242" w:type="dxa"/>
                  <w:vAlign w:val="center"/>
                </w:tcPr>
                <w:p w14:paraId="39BA0D9D">
                  <w:pPr>
                    <w:jc w:val="center"/>
                    <w:rPr>
                      <w:rFonts w:hint="default" w:eastAsia="宋体"/>
                      <w:spacing w:val="-2"/>
                      <w:kern w:val="0"/>
                      <w:szCs w:val="21"/>
                      <w:highlight w:val="none"/>
                      <w:lang w:val="en-US" w:eastAsia="zh-CN" w:bidi="ar"/>
                    </w:rPr>
                  </w:pPr>
                  <w:r>
                    <w:rPr>
                      <w:rFonts w:hint="eastAsia" w:eastAsia="宋体"/>
                      <w:spacing w:val="-2"/>
                      <w:kern w:val="0"/>
                      <w:szCs w:val="21"/>
                      <w:highlight w:val="none"/>
                      <w:lang w:val="en-US" w:eastAsia="zh-CN" w:bidi="ar"/>
                    </w:rPr>
                    <w:t>90</w:t>
                  </w:r>
                </w:p>
              </w:tc>
              <w:tc>
                <w:tcPr>
                  <w:tcW w:w="1241" w:type="dxa"/>
                  <w:vAlign w:val="center"/>
                </w:tcPr>
                <w:p w14:paraId="79DFD08C">
                  <w:pPr>
                    <w:pStyle w:val="145"/>
                    <w:adjustRightInd w:val="0"/>
                    <w:jc w:val="center"/>
                    <w:rPr>
                      <w:rFonts w:eastAsia="Times New Roman"/>
                      <w:szCs w:val="21"/>
                      <w:highlight w:val="none"/>
                    </w:rPr>
                  </w:pPr>
                  <w:r>
                    <w:rPr>
                      <w:rFonts w:eastAsia="Times New Roman"/>
                      <w:szCs w:val="21"/>
                      <w:highlight w:val="none"/>
                    </w:rPr>
                    <w:t>100</w:t>
                  </w:r>
                </w:p>
              </w:tc>
              <w:tc>
                <w:tcPr>
                  <w:tcW w:w="1075" w:type="dxa"/>
                  <w:vAlign w:val="center"/>
                </w:tcPr>
                <w:p w14:paraId="7E3EC168">
                  <w:pPr>
                    <w:jc w:val="center"/>
                    <w:rPr>
                      <w:rFonts w:eastAsia="Times New Roman"/>
                      <w:szCs w:val="21"/>
                      <w:highlight w:val="none"/>
                    </w:rPr>
                  </w:pPr>
                  <w:r>
                    <w:rPr>
                      <w:rFonts w:eastAsia="Times New Roman"/>
                      <w:spacing w:val="-2"/>
                      <w:kern w:val="0"/>
                      <w:szCs w:val="21"/>
                      <w:highlight w:val="none"/>
                    </w:rPr>
                    <w:t>/</w:t>
                  </w:r>
                </w:p>
              </w:tc>
              <w:tc>
                <w:tcPr>
                  <w:tcW w:w="2126" w:type="dxa"/>
                  <w:vMerge w:val="continue"/>
                  <w:vAlign w:val="center"/>
                </w:tcPr>
                <w:p w14:paraId="29C2C113">
                  <w:pPr>
                    <w:rPr>
                      <w:rFonts w:eastAsia="Times New Roman"/>
                      <w:color w:val="000000" w:themeColor="text1"/>
                      <w:kern w:val="0"/>
                      <w:szCs w:val="21"/>
                      <w:highlight w:val="none"/>
                      <w:lang w:bidi="ar"/>
                      <w14:textFill>
                        <w14:solidFill>
                          <w14:schemeClr w14:val="tx1"/>
                        </w14:solidFill>
                      </w14:textFill>
                    </w:rPr>
                  </w:pPr>
                </w:p>
              </w:tc>
            </w:tr>
            <w:tr w14:paraId="66D3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2" w:type="dxa"/>
                  <w:vMerge w:val="continue"/>
                  <w:vAlign w:val="center"/>
                </w:tcPr>
                <w:p w14:paraId="115BAA61">
                  <w:pPr>
                    <w:widowControl/>
                    <w:textAlignment w:val="center"/>
                    <w:rPr>
                      <w:rFonts w:eastAsia="Times New Roman"/>
                      <w:spacing w:val="-2"/>
                      <w:kern w:val="0"/>
                      <w:szCs w:val="21"/>
                      <w:highlight w:val="none"/>
                      <w:lang w:bidi="ar"/>
                    </w:rPr>
                  </w:pPr>
                </w:p>
              </w:tc>
              <w:tc>
                <w:tcPr>
                  <w:tcW w:w="856" w:type="dxa"/>
                  <w:vMerge w:val="continue"/>
                  <w:vAlign w:val="center"/>
                </w:tcPr>
                <w:p w14:paraId="56249696">
                  <w:pPr>
                    <w:widowControl/>
                    <w:textAlignment w:val="center"/>
                    <w:rPr>
                      <w:rFonts w:eastAsia="Times New Roman"/>
                      <w:spacing w:val="-2"/>
                      <w:kern w:val="0"/>
                      <w:szCs w:val="21"/>
                      <w:highlight w:val="none"/>
                      <w:lang w:bidi="ar"/>
                    </w:rPr>
                  </w:pPr>
                </w:p>
              </w:tc>
              <w:tc>
                <w:tcPr>
                  <w:tcW w:w="1600" w:type="dxa"/>
                  <w:vMerge w:val="continue"/>
                  <w:vAlign w:val="center"/>
                </w:tcPr>
                <w:p w14:paraId="63E0D91D">
                  <w:pPr>
                    <w:widowControl/>
                    <w:textAlignment w:val="center"/>
                    <w:rPr>
                      <w:rFonts w:eastAsia="Times New Roman"/>
                      <w:spacing w:val="-2"/>
                      <w:kern w:val="0"/>
                      <w:szCs w:val="21"/>
                      <w:highlight w:val="none"/>
                      <w:lang w:bidi="ar"/>
                    </w:rPr>
                  </w:pPr>
                </w:p>
              </w:tc>
              <w:tc>
                <w:tcPr>
                  <w:tcW w:w="674" w:type="dxa"/>
                  <w:vMerge w:val="continue"/>
                  <w:vAlign w:val="center"/>
                </w:tcPr>
                <w:p w14:paraId="469D8125">
                  <w:pPr>
                    <w:widowControl/>
                    <w:textAlignment w:val="center"/>
                    <w:rPr>
                      <w:rFonts w:eastAsia="Times New Roman"/>
                      <w:spacing w:val="-2"/>
                      <w:kern w:val="0"/>
                      <w:szCs w:val="21"/>
                      <w:highlight w:val="none"/>
                      <w:lang w:bidi="ar"/>
                    </w:rPr>
                  </w:pPr>
                </w:p>
              </w:tc>
              <w:tc>
                <w:tcPr>
                  <w:tcW w:w="884" w:type="dxa"/>
                  <w:vAlign w:val="center"/>
                </w:tcPr>
                <w:p w14:paraId="4A375E59">
                  <w:pPr>
                    <w:pStyle w:val="145"/>
                    <w:adjustRightInd w:val="0"/>
                    <w:rPr>
                      <w:rFonts w:eastAsia="Times New Roman"/>
                      <w:szCs w:val="21"/>
                      <w:highlight w:val="none"/>
                      <w:lang w:eastAsia="en-US"/>
                    </w:rPr>
                  </w:pPr>
                  <w:r>
                    <w:rPr>
                      <w:rFonts w:eastAsia="Times New Roman"/>
                      <w:spacing w:val="-2"/>
                      <w:kern w:val="0"/>
                      <w:szCs w:val="21"/>
                      <w:highlight w:val="none"/>
                    </w:rPr>
                    <w:t>SS</w:t>
                  </w:r>
                  <w:r>
                    <w:rPr>
                      <w:rFonts w:hint="eastAsia" w:eastAsia="宋体"/>
                      <w:spacing w:val="-2"/>
                      <w:kern w:val="0"/>
                      <w:szCs w:val="21"/>
                      <w:highlight w:val="none"/>
                      <w:vertAlign w:val="baseline"/>
                      <w:lang w:eastAsia="zh-CN"/>
                    </w:rPr>
                    <w:t>（</w:t>
                  </w:r>
                  <w:r>
                    <w:rPr>
                      <w:rFonts w:hint="eastAsia" w:eastAsia="宋体"/>
                      <w:spacing w:val="-2"/>
                      <w:kern w:val="0"/>
                      <w:szCs w:val="21"/>
                      <w:highlight w:val="none"/>
                      <w:vertAlign w:val="baseline"/>
                      <w:lang w:val="en-US" w:eastAsia="zh-CN"/>
                    </w:rPr>
                    <w:t>mg/L</w:t>
                  </w:r>
                  <w:r>
                    <w:rPr>
                      <w:rFonts w:hint="eastAsia" w:eastAsia="宋体"/>
                      <w:spacing w:val="-2"/>
                      <w:kern w:val="0"/>
                      <w:szCs w:val="21"/>
                      <w:highlight w:val="none"/>
                      <w:vertAlign w:val="baseline"/>
                      <w:lang w:eastAsia="zh-CN"/>
                    </w:rPr>
                    <w:t>）</w:t>
                  </w:r>
                </w:p>
              </w:tc>
              <w:tc>
                <w:tcPr>
                  <w:tcW w:w="892" w:type="dxa"/>
                  <w:vAlign w:val="center"/>
                </w:tcPr>
                <w:p w14:paraId="0FC3A3D8">
                  <w:pPr>
                    <w:jc w:val="center"/>
                    <w:rPr>
                      <w:rFonts w:hint="default" w:eastAsia="宋体"/>
                      <w:spacing w:val="-2"/>
                      <w:kern w:val="0"/>
                      <w:szCs w:val="21"/>
                      <w:highlight w:val="none"/>
                      <w:lang w:val="en-US" w:eastAsia="zh-CN" w:bidi="ar"/>
                    </w:rPr>
                  </w:pPr>
                  <w:r>
                    <w:rPr>
                      <w:rFonts w:hint="eastAsia"/>
                      <w:spacing w:val="-2"/>
                      <w:kern w:val="0"/>
                      <w:szCs w:val="21"/>
                      <w:highlight w:val="none"/>
                      <w:lang w:val="en-US" w:eastAsia="zh-CN" w:bidi="ar"/>
                    </w:rPr>
                    <w:t>0.050</w:t>
                  </w:r>
                </w:p>
              </w:tc>
              <w:tc>
                <w:tcPr>
                  <w:tcW w:w="1208" w:type="dxa"/>
                  <w:vAlign w:val="center"/>
                </w:tcPr>
                <w:p w14:paraId="55D81CA9">
                  <w:pPr>
                    <w:jc w:val="center"/>
                    <w:rPr>
                      <w:rFonts w:hint="default" w:ascii="Times New Roman" w:hAnsi="Times New Roman" w:eastAsia="宋体" w:cs="Times New Roman"/>
                      <w:spacing w:val="-2"/>
                      <w:kern w:val="0"/>
                      <w:sz w:val="21"/>
                      <w:szCs w:val="21"/>
                      <w:highlight w:val="none"/>
                      <w:lang w:val="en-US" w:eastAsia="zh-CN" w:bidi="ar"/>
                    </w:rPr>
                  </w:pPr>
                  <w:r>
                    <w:rPr>
                      <w:rFonts w:hint="eastAsia" w:eastAsia="宋体"/>
                      <w:spacing w:val="-2"/>
                      <w:kern w:val="0"/>
                      <w:szCs w:val="21"/>
                      <w:highlight w:val="none"/>
                      <w:lang w:val="en-US" w:eastAsia="zh-CN" w:bidi="ar"/>
                    </w:rPr>
                    <w:t>200</w:t>
                  </w:r>
                </w:p>
              </w:tc>
              <w:tc>
                <w:tcPr>
                  <w:tcW w:w="875" w:type="dxa"/>
                  <w:vAlign w:val="center"/>
                </w:tcPr>
                <w:p w14:paraId="54EDA8E8">
                  <w:pPr>
                    <w:jc w:val="cente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0.023</w:t>
                  </w:r>
                </w:p>
              </w:tc>
              <w:tc>
                <w:tcPr>
                  <w:tcW w:w="1242" w:type="dxa"/>
                  <w:vAlign w:val="center"/>
                </w:tcPr>
                <w:p w14:paraId="7CC3AD0E">
                  <w:pPr>
                    <w:jc w:val="center"/>
                    <w:rPr>
                      <w:rFonts w:hint="default" w:eastAsia="宋体"/>
                      <w:spacing w:val="-2"/>
                      <w:kern w:val="0"/>
                      <w:szCs w:val="21"/>
                      <w:highlight w:val="none"/>
                      <w:lang w:val="en-US" w:eastAsia="zh-CN" w:bidi="ar"/>
                    </w:rPr>
                  </w:pPr>
                  <w:r>
                    <w:rPr>
                      <w:rFonts w:hint="eastAsia" w:eastAsia="宋体"/>
                      <w:spacing w:val="-2"/>
                      <w:kern w:val="0"/>
                      <w:szCs w:val="21"/>
                      <w:highlight w:val="none"/>
                      <w:lang w:val="en-US" w:eastAsia="zh-CN" w:bidi="ar"/>
                    </w:rPr>
                    <w:t>90</w:t>
                  </w:r>
                </w:p>
              </w:tc>
              <w:tc>
                <w:tcPr>
                  <w:tcW w:w="1241" w:type="dxa"/>
                  <w:vAlign w:val="center"/>
                </w:tcPr>
                <w:p w14:paraId="0A4CB5CA">
                  <w:pPr>
                    <w:pStyle w:val="145"/>
                    <w:adjustRightInd w:val="0"/>
                    <w:jc w:val="center"/>
                    <w:rPr>
                      <w:rFonts w:eastAsia="Times New Roman"/>
                      <w:szCs w:val="21"/>
                      <w:highlight w:val="none"/>
                    </w:rPr>
                  </w:pPr>
                  <w:r>
                    <w:rPr>
                      <w:rFonts w:eastAsia="Times New Roman"/>
                      <w:szCs w:val="21"/>
                      <w:highlight w:val="none"/>
                    </w:rPr>
                    <w:t>100</w:t>
                  </w:r>
                </w:p>
              </w:tc>
              <w:tc>
                <w:tcPr>
                  <w:tcW w:w="1075" w:type="dxa"/>
                  <w:vAlign w:val="center"/>
                </w:tcPr>
                <w:p w14:paraId="7C17122E">
                  <w:pPr>
                    <w:jc w:val="center"/>
                    <w:rPr>
                      <w:rFonts w:eastAsia="Times New Roman"/>
                      <w:szCs w:val="21"/>
                      <w:highlight w:val="none"/>
                    </w:rPr>
                  </w:pPr>
                  <w:r>
                    <w:rPr>
                      <w:rFonts w:eastAsia="Times New Roman"/>
                      <w:spacing w:val="-2"/>
                      <w:kern w:val="0"/>
                      <w:szCs w:val="21"/>
                      <w:highlight w:val="none"/>
                    </w:rPr>
                    <w:t>/</w:t>
                  </w:r>
                </w:p>
              </w:tc>
              <w:tc>
                <w:tcPr>
                  <w:tcW w:w="2126" w:type="dxa"/>
                  <w:vMerge w:val="continue"/>
                  <w:vAlign w:val="center"/>
                </w:tcPr>
                <w:p w14:paraId="06BED5FA">
                  <w:pPr>
                    <w:rPr>
                      <w:rFonts w:eastAsia="Times New Roman"/>
                      <w:color w:val="000000" w:themeColor="text1"/>
                      <w:kern w:val="0"/>
                      <w:szCs w:val="21"/>
                      <w:highlight w:val="none"/>
                      <w:lang w:bidi="ar"/>
                      <w14:textFill>
                        <w14:solidFill>
                          <w14:schemeClr w14:val="tx1"/>
                        </w14:solidFill>
                      </w14:textFill>
                    </w:rPr>
                  </w:pPr>
                </w:p>
              </w:tc>
            </w:tr>
            <w:tr w14:paraId="2E47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2" w:type="dxa"/>
                  <w:vMerge w:val="continue"/>
                  <w:vAlign w:val="center"/>
                </w:tcPr>
                <w:p w14:paraId="765F4C68">
                  <w:pPr>
                    <w:widowControl/>
                    <w:textAlignment w:val="center"/>
                    <w:rPr>
                      <w:rFonts w:eastAsia="Times New Roman"/>
                      <w:spacing w:val="-2"/>
                      <w:kern w:val="0"/>
                      <w:szCs w:val="21"/>
                      <w:highlight w:val="none"/>
                      <w:lang w:bidi="ar"/>
                    </w:rPr>
                  </w:pPr>
                </w:p>
              </w:tc>
              <w:tc>
                <w:tcPr>
                  <w:tcW w:w="856" w:type="dxa"/>
                  <w:vMerge w:val="continue"/>
                  <w:vAlign w:val="center"/>
                </w:tcPr>
                <w:p w14:paraId="67EA029F">
                  <w:pPr>
                    <w:widowControl/>
                    <w:textAlignment w:val="center"/>
                    <w:rPr>
                      <w:rFonts w:eastAsia="Times New Roman"/>
                      <w:spacing w:val="-2"/>
                      <w:kern w:val="0"/>
                      <w:szCs w:val="21"/>
                      <w:highlight w:val="none"/>
                      <w:lang w:bidi="ar"/>
                    </w:rPr>
                  </w:pPr>
                </w:p>
              </w:tc>
              <w:tc>
                <w:tcPr>
                  <w:tcW w:w="1600" w:type="dxa"/>
                  <w:vMerge w:val="continue"/>
                  <w:vAlign w:val="center"/>
                </w:tcPr>
                <w:p w14:paraId="656FE380">
                  <w:pPr>
                    <w:widowControl/>
                    <w:textAlignment w:val="center"/>
                    <w:rPr>
                      <w:rFonts w:eastAsia="Times New Roman"/>
                      <w:spacing w:val="-2"/>
                      <w:kern w:val="0"/>
                      <w:szCs w:val="21"/>
                      <w:highlight w:val="none"/>
                      <w:lang w:bidi="ar"/>
                    </w:rPr>
                  </w:pPr>
                </w:p>
              </w:tc>
              <w:tc>
                <w:tcPr>
                  <w:tcW w:w="674" w:type="dxa"/>
                  <w:vMerge w:val="continue"/>
                  <w:vAlign w:val="center"/>
                </w:tcPr>
                <w:p w14:paraId="0B620007">
                  <w:pPr>
                    <w:widowControl/>
                    <w:textAlignment w:val="center"/>
                    <w:rPr>
                      <w:rFonts w:eastAsia="Times New Roman"/>
                      <w:spacing w:val="-2"/>
                      <w:kern w:val="0"/>
                      <w:szCs w:val="21"/>
                      <w:highlight w:val="none"/>
                      <w:lang w:bidi="ar"/>
                    </w:rPr>
                  </w:pPr>
                </w:p>
              </w:tc>
              <w:tc>
                <w:tcPr>
                  <w:tcW w:w="884" w:type="dxa"/>
                  <w:vAlign w:val="center"/>
                </w:tcPr>
                <w:p w14:paraId="4B456DFD">
                  <w:pPr>
                    <w:pStyle w:val="145"/>
                    <w:adjustRightInd w:val="0"/>
                    <w:rPr>
                      <w:rFonts w:hint="eastAsia" w:eastAsia="宋体"/>
                      <w:spacing w:val="-2"/>
                      <w:kern w:val="0"/>
                      <w:szCs w:val="21"/>
                      <w:highlight w:val="none"/>
                      <w:lang w:val="en-US" w:eastAsia="zh-CN"/>
                    </w:rPr>
                  </w:pPr>
                  <w:r>
                    <w:rPr>
                      <w:rFonts w:hint="eastAsia" w:eastAsia="宋体"/>
                      <w:spacing w:val="-2"/>
                      <w:kern w:val="0"/>
                      <w:szCs w:val="21"/>
                      <w:highlight w:val="none"/>
                      <w:lang w:val="en-US" w:eastAsia="zh-CN"/>
                    </w:rPr>
                    <w:t>NH</w:t>
                  </w:r>
                  <w:r>
                    <w:rPr>
                      <w:rFonts w:hint="eastAsia" w:eastAsia="宋体"/>
                      <w:spacing w:val="-2"/>
                      <w:kern w:val="0"/>
                      <w:szCs w:val="21"/>
                      <w:highlight w:val="none"/>
                      <w:vertAlign w:val="subscript"/>
                      <w:lang w:val="en-US" w:eastAsia="zh-CN"/>
                    </w:rPr>
                    <w:t>3</w:t>
                  </w:r>
                  <w:r>
                    <w:rPr>
                      <w:rFonts w:hint="eastAsia" w:eastAsia="宋体"/>
                      <w:spacing w:val="-2"/>
                      <w:kern w:val="0"/>
                      <w:szCs w:val="21"/>
                      <w:highlight w:val="none"/>
                      <w:lang w:val="en-US" w:eastAsia="zh-CN"/>
                    </w:rPr>
                    <w:t>-N</w:t>
                  </w:r>
                  <w:r>
                    <w:rPr>
                      <w:rFonts w:hint="eastAsia" w:eastAsia="宋体"/>
                      <w:spacing w:val="-2"/>
                      <w:kern w:val="0"/>
                      <w:szCs w:val="21"/>
                      <w:highlight w:val="none"/>
                      <w:vertAlign w:val="baseline"/>
                      <w:lang w:eastAsia="zh-CN"/>
                    </w:rPr>
                    <w:t>（</w:t>
                  </w:r>
                  <w:r>
                    <w:rPr>
                      <w:rFonts w:hint="eastAsia" w:eastAsia="宋体"/>
                      <w:spacing w:val="-2"/>
                      <w:kern w:val="0"/>
                      <w:szCs w:val="21"/>
                      <w:highlight w:val="none"/>
                      <w:vertAlign w:val="baseline"/>
                      <w:lang w:val="en-US" w:eastAsia="zh-CN"/>
                    </w:rPr>
                    <w:t>mg/L</w:t>
                  </w:r>
                  <w:r>
                    <w:rPr>
                      <w:rFonts w:hint="eastAsia" w:eastAsia="宋体"/>
                      <w:spacing w:val="-2"/>
                      <w:kern w:val="0"/>
                      <w:szCs w:val="21"/>
                      <w:highlight w:val="none"/>
                      <w:vertAlign w:val="baseline"/>
                      <w:lang w:eastAsia="zh-CN"/>
                    </w:rPr>
                    <w:t>）</w:t>
                  </w:r>
                </w:p>
              </w:tc>
              <w:tc>
                <w:tcPr>
                  <w:tcW w:w="892" w:type="dxa"/>
                  <w:vAlign w:val="center"/>
                </w:tcPr>
                <w:p w14:paraId="6ED672EE">
                  <w:pPr>
                    <w:jc w:val="center"/>
                    <w:rPr>
                      <w:rFonts w:hint="default" w:eastAsia="宋体"/>
                      <w:spacing w:val="-2"/>
                      <w:kern w:val="0"/>
                      <w:szCs w:val="21"/>
                      <w:highlight w:val="none"/>
                      <w:lang w:val="en-US" w:eastAsia="zh-CN" w:bidi="ar"/>
                    </w:rPr>
                  </w:pPr>
                  <w:r>
                    <w:rPr>
                      <w:rFonts w:hint="eastAsia"/>
                      <w:spacing w:val="-2"/>
                      <w:kern w:val="0"/>
                      <w:szCs w:val="21"/>
                      <w:highlight w:val="none"/>
                      <w:lang w:val="en-US" w:eastAsia="zh-CN" w:bidi="ar"/>
                    </w:rPr>
                    <w:t>0.008</w:t>
                  </w:r>
                </w:p>
              </w:tc>
              <w:tc>
                <w:tcPr>
                  <w:tcW w:w="1208" w:type="dxa"/>
                  <w:vAlign w:val="center"/>
                </w:tcPr>
                <w:p w14:paraId="7493DA93">
                  <w:pPr>
                    <w:jc w:val="center"/>
                    <w:rPr>
                      <w:rFonts w:hint="default" w:eastAsia="宋体"/>
                      <w:spacing w:val="-2"/>
                      <w:kern w:val="0"/>
                      <w:szCs w:val="21"/>
                      <w:highlight w:val="none"/>
                      <w:lang w:val="en-US" w:eastAsia="zh-CN" w:bidi="ar"/>
                    </w:rPr>
                  </w:pPr>
                  <w:r>
                    <w:rPr>
                      <w:rFonts w:hint="eastAsia"/>
                      <w:spacing w:val="-2"/>
                      <w:kern w:val="0"/>
                      <w:szCs w:val="21"/>
                      <w:highlight w:val="none"/>
                      <w:lang w:val="en-US" w:eastAsia="zh-CN" w:bidi="ar"/>
                    </w:rPr>
                    <w:t>30</w:t>
                  </w:r>
                </w:p>
              </w:tc>
              <w:tc>
                <w:tcPr>
                  <w:tcW w:w="875" w:type="dxa"/>
                  <w:vAlign w:val="center"/>
                </w:tcPr>
                <w:p w14:paraId="38A2DE90">
                  <w:pPr>
                    <w:jc w:val="center"/>
                    <w:rPr>
                      <w:rFonts w:hint="default"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0.005</w:t>
                  </w:r>
                </w:p>
              </w:tc>
              <w:tc>
                <w:tcPr>
                  <w:tcW w:w="1242" w:type="dxa"/>
                  <w:vAlign w:val="center"/>
                </w:tcPr>
                <w:p w14:paraId="1D610C01">
                  <w:pPr>
                    <w:jc w:val="center"/>
                    <w:rPr>
                      <w:rFonts w:hint="default" w:eastAsia="宋体"/>
                      <w:spacing w:val="-2"/>
                      <w:kern w:val="0"/>
                      <w:szCs w:val="21"/>
                      <w:highlight w:val="none"/>
                      <w:lang w:val="en-US" w:eastAsia="zh-CN" w:bidi="ar"/>
                    </w:rPr>
                  </w:pPr>
                  <w:r>
                    <w:rPr>
                      <w:rFonts w:hint="eastAsia"/>
                      <w:spacing w:val="-2"/>
                      <w:kern w:val="0"/>
                      <w:szCs w:val="21"/>
                      <w:highlight w:val="none"/>
                      <w:lang w:val="en-US" w:eastAsia="zh-CN" w:bidi="ar"/>
                    </w:rPr>
                    <w:t>20</w:t>
                  </w:r>
                </w:p>
              </w:tc>
              <w:tc>
                <w:tcPr>
                  <w:tcW w:w="1241" w:type="dxa"/>
                  <w:vAlign w:val="center"/>
                </w:tcPr>
                <w:p w14:paraId="2760B5A8">
                  <w:pPr>
                    <w:pStyle w:val="145"/>
                    <w:adjustRightInd w:val="0"/>
                    <w:jc w:val="center"/>
                    <w:rPr>
                      <w:rFonts w:hint="eastAsia" w:eastAsia="宋体"/>
                      <w:szCs w:val="21"/>
                      <w:highlight w:val="none"/>
                      <w:lang w:val="en-US" w:eastAsia="zh-CN"/>
                    </w:rPr>
                  </w:pPr>
                  <w:r>
                    <w:rPr>
                      <w:rFonts w:hint="eastAsia" w:eastAsia="宋体"/>
                      <w:szCs w:val="21"/>
                      <w:highlight w:val="none"/>
                      <w:lang w:val="en-US" w:eastAsia="zh-CN"/>
                    </w:rPr>
                    <w:t>/</w:t>
                  </w:r>
                </w:p>
              </w:tc>
              <w:tc>
                <w:tcPr>
                  <w:tcW w:w="1075" w:type="dxa"/>
                  <w:vAlign w:val="center"/>
                </w:tcPr>
                <w:p w14:paraId="23857861">
                  <w:pPr>
                    <w:jc w:val="center"/>
                    <w:rPr>
                      <w:rFonts w:hint="eastAsia" w:eastAsia="宋体"/>
                      <w:spacing w:val="-2"/>
                      <w:kern w:val="0"/>
                      <w:szCs w:val="21"/>
                      <w:highlight w:val="none"/>
                      <w:lang w:val="en-US" w:eastAsia="zh-CN"/>
                    </w:rPr>
                  </w:pPr>
                  <w:r>
                    <w:rPr>
                      <w:rFonts w:hint="eastAsia" w:eastAsia="宋体"/>
                      <w:spacing w:val="-2"/>
                      <w:kern w:val="0"/>
                      <w:szCs w:val="21"/>
                      <w:highlight w:val="none"/>
                      <w:lang w:val="en-US" w:eastAsia="zh-CN"/>
                    </w:rPr>
                    <w:t>/</w:t>
                  </w:r>
                </w:p>
              </w:tc>
              <w:tc>
                <w:tcPr>
                  <w:tcW w:w="2126" w:type="dxa"/>
                  <w:vMerge w:val="continue"/>
                  <w:vAlign w:val="center"/>
                </w:tcPr>
                <w:p w14:paraId="30BBC136">
                  <w:pPr>
                    <w:rPr>
                      <w:rFonts w:eastAsia="Times New Roman"/>
                      <w:color w:val="000000" w:themeColor="text1"/>
                      <w:kern w:val="0"/>
                      <w:szCs w:val="21"/>
                      <w:highlight w:val="none"/>
                      <w:lang w:bidi="ar"/>
                      <w14:textFill>
                        <w14:solidFill>
                          <w14:schemeClr w14:val="tx1"/>
                        </w14:solidFill>
                      </w14:textFill>
                    </w:rPr>
                  </w:pPr>
                </w:p>
              </w:tc>
            </w:tr>
            <w:tr w14:paraId="4D10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2" w:type="dxa"/>
                  <w:vAlign w:val="center"/>
                </w:tcPr>
                <w:p w14:paraId="079515A9">
                  <w:pPr>
                    <w:widowControl/>
                    <w:textAlignment w:val="center"/>
                    <w:rPr>
                      <w:rFonts w:eastAsia="Times New Roman"/>
                      <w:spacing w:val="-2"/>
                      <w:kern w:val="0"/>
                      <w:szCs w:val="21"/>
                      <w:highlight w:val="none"/>
                      <w:lang w:bidi="ar"/>
                    </w:rPr>
                  </w:pPr>
                  <w:r>
                    <w:rPr>
                      <w:rFonts w:hint="eastAsia" w:ascii="宋体" w:hAnsi="宋体" w:eastAsia="Times New Roman" w:cs="宋体"/>
                      <w:spacing w:val="-2"/>
                      <w:kern w:val="0"/>
                      <w:szCs w:val="21"/>
                      <w:highlight w:val="none"/>
                      <w:lang w:bidi="ar"/>
                    </w:rPr>
                    <w:t>噪声</w:t>
                  </w:r>
                </w:p>
              </w:tc>
              <w:tc>
                <w:tcPr>
                  <w:tcW w:w="856" w:type="dxa"/>
                  <w:vAlign w:val="center"/>
                </w:tcPr>
                <w:p w14:paraId="38C4FA72">
                  <w:pPr>
                    <w:widowControl/>
                    <w:textAlignment w:val="center"/>
                    <w:rPr>
                      <w:rFonts w:eastAsia="Times New Roman"/>
                      <w:spacing w:val="-2"/>
                      <w:kern w:val="0"/>
                      <w:szCs w:val="21"/>
                      <w:highlight w:val="none"/>
                      <w:lang w:bidi="ar"/>
                    </w:rPr>
                  </w:pPr>
                  <w:r>
                    <w:rPr>
                      <w:rFonts w:eastAsia="Times New Roman"/>
                      <w:spacing w:val="-2"/>
                      <w:kern w:val="0"/>
                      <w:szCs w:val="21"/>
                      <w:highlight w:val="none"/>
                      <w:lang w:bidi="ar"/>
                    </w:rPr>
                    <w:t>四周厂界</w:t>
                  </w:r>
                </w:p>
              </w:tc>
              <w:tc>
                <w:tcPr>
                  <w:tcW w:w="2274" w:type="dxa"/>
                  <w:gridSpan w:val="2"/>
                  <w:vAlign w:val="center"/>
                </w:tcPr>
                <w:p w14:paraId="1585D238">
                  <w:pPr>
                    <w:widowControl/>
                    <w:textAlignment w:val="center"/>
                    <w:rPr>
                      <w:rFonts w:eastAsia="Times New Roman"/>
                      <w:spacing w:val="-2"/>
                      <w:kern w:val="0"/>
                      <w:szCs w:val="21"/>
                      <w:highlight w:val="none"/>
                      <w:lang w:bidi="ar"/>
                    </w:rPr>
                  </w:pPr>
                  <w:r>
                    <w:rPr>
                      <w:rFonts w:eastAsia="Times New Roman"/>
                      <w:spacing w:val="-2"/>
                      <w:kern w:val="0"/>
                      <w:szCs w:val="21"/>
                      <w:highlight w:val="none"/>
                      <w:lang w:bidi="ar"/>
                    </w:rPr>
                    <w:t>车间隔声、基础减振</w:t>
                  </w:r>
                </w:p>
              </w:tc>
              <w:tc>
                <w:tcPr>
                  <w:tcW w:w="884" w:type="dxa"/>
                  <w:vAlign w:val="center"/>
                </w:tcPr>
                <w:p w14:paraId="1CF1999D">
                  <w:pPr>
                    <w:widowControl/>
                    <w:textAlignment w:val="center"/>
                    <w:rPr>
                      <w:rFonts w:eastAsia="Times New Roman"/>
                      <w:spacing w:val="-2"/>
                      <w:kern w:val="0"/>
                      <w:szCs w:val="21"/>
                      <w:highlight w:val="none"/>
                      <w:lang w:bidi="ar"/>
                    </w:rPr>
                  </w:pPr>
                  <w:r>
                    <w:rPr>
                      <w:rFonts w:eastAsia="Times New Roman"/>
                      <w:spacing w:val="-2"/>
                      <w:kern w:val="0"/>
                      <w:szCs w:val="21"/>
                      <w:highlight w:val="none"/>
                      <w:lang w:bidi="ar"/>
                    </w:rPr>
                    <w:t>Leq[dB（A）]</w:t>
                  </w:r>
                </w:p>
              </w:tc>
              <w:tc>
                <w:tcPr>
                  <w:tcW w:w="4217" w:type="dxa"/>
                  <w:gridSpan w:val="4"/>
                  <w:vAlign w:val="center"/>
                </w:tcPr>
                <w:p w14:paraId="2C2EEDA5">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昼间≤</w:t>
                  </w:r>
                  <w:r>
                    <w:rPr>
                      <w:rFonts w:hint="eastAsia" w:eastAsia="Times New Roman"/>
                      <w:spacing w:val="-2"/>
                      <w:kern w:val="0"/>
                      <w:szCs w:val="21"/>
                      <w:highlight w:val="none"/>
                      <w:lang w:bidi="ar"/>
                    </w:rPr>
                    <w:t>60</w:t>
                  </w:r>
                  <w:r>
                    <w:rPr>
                      <w:rFonts w:eastAsia="Times New Roman"/>
                      <w:spacing w:val="-2"/>
                      <w:kern w:val="0"/>
                      <w:szCs w:val="21"/>
                      <w:highlight w:val="none"/>
                      <w:lang w:bidi="ar"/>
                    </w:rPr>
                    <w:t>dB（A）</w:t>
                  </w:r>
                </w:p>
                <w:p w14:paraId="18DD11A4">
                  <w:pPr>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夜间≤</w:t>
                  </w:r>
                  <w:r>
                    <w:rPr>
                      <w:rFonts w:hint="eastAsia" w:eastAsia="Times New Roman"/>
                      <w:spacing w:val="-2"/>
                      <w:kern w:val="0"/>
                      <w:szCs w:val="21"/>
                      <w:highlight w:val="none"/>
                      <w:lang w:bidi="ar"/>
                    </w:rPr>
                    <w:t>50</w:t>
                  </w:r>
                  <w:r>
                    <w:rPr>
                      <w:rFonts w:eastAsia="Times New Roman"/>
                      <w:spacing w:val="-2"/>
                      <w:kern w:val="0"/>
                      <w:szCs w:val="21"/>
                      <w:highlight w:val="none"/>
                      <w:lang w:bidi="ar"/>
                    </w:rPr>
                    <w:t>dB（A）</w:t>
                  </w:r>
                </w:p>
              </w:tc>
              <w:tc>
                <w:tcPr>
                  <w:tcW w:w="2316" w:type="dxa"/>
                  <w:gridSpan w:val="2"/>
                  <w:vAlign w:val="center"/>
                </w:tcPr>
                <w:p w14:paraId="4B8EDDDD">
                  <w:pPr>
                    <w:widowControl/>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昼间≤</w:t>
                  </w:r>
                  <w:r>
                    <w:rPr>
                      <w:rFonts w:hint="eastAsia" w:eastAsia="Times New Roman"/>
                      <w:spacing w:val="-2"/>
                      <w:kern w:val="0"/>
                      <w:szCs w:val="21"/>
                      <w:highlight w:val="none"/>
                      <w:lang w:bidi="ar"/>
                    </w:rPr>
                    <w:t>60</w:t>
                  </w:r>
                  <w:r>
                    <w:rPr>
                      <w:rFonts w:eastAsia="Times New Roman"/>
                      <w:spacing w:val="-2"/>
                      <w:kern w:val="0"/>
                      <w:szCs w:val="21"/>
                      <w:highlight w:val="none"/>
                      <w:lang w:bidi="ar"/>
                    </w:rPr>
                    <w:t>dB（A）</w:t>
                  </w:r>
                </w:p>
                <w:p w14:paraId="243B2ED6">
                  <w:pPr>
                    <w:jc w:val="center"/>
                    <w:textAlignment w:val="center"/>
                    <w:rPr>
                      <w:rFonts w:eastAsia="Times New Roman"/>
                      <w:spacing w:val="-2"/>
                      <w:kern w:val="0"/>
                      <w:szCs w:val="21"/>
                      <w:highlight w:val="none"/>
                      <w:lang w:bidi="ar"/>
                    </w:rPr>
                  </w:pPr>
                  <w:r>
                    <w:rPr>
                      <w:rFonts w:eastAsia="Times New Roman"/>
                      <w:spacing w:val="-2"/>
                      <w:kern w:val="0"/>
                      <w:szCs w:val="21"/>
                      <w:highlight w:val="none"/>
                      <w:lang w:bidi="ar"/>
                    </w:rPr>
                    <w:t>夜间≤</w:t>
                  </w:r>
                  <w:r>
                    <w:rPr>
                      <w:rFonts w:hint="eastAsia" w:eastAsia="Times New Roman"/>
                      <w:spacing w:val="-2"/>
                      <w:kern w:val="0"/>
                      <w:szCs w:val="21"/>
                      <w:highlight w:val="none"/>
                      <w:lang w:bidi="ar"/>
                    </w:rPr>
                    <w:t>50</w:t>
                  </w:r>
                  <w:r>
                    <w:rPr>
                      <w:rFonts w:eastAsia="Times New Roman"/>
                      <w:spacing w:val="-2"/>
                      <w:kern w:val="0"/>
                      <w:szCs w:val="21"/>
                      <w:highlight w:val="none"/>
                      <w:lang w:bidi="ar"/>
                    </w:rPr>
                    <w:t>dB（A）</w:t>
                  </w:r>
                </w:p>
              </w:tc>
              <w:tc>
                <w:tcPr>
                  <w:tcW w:w="2126" w:type="dxa"/>
                  <w:vAlign w:val="center"/>
                </w:tcPr>
                <w:p w14:paraId="26A02589">
                  <w:pPr>
                    <w:rPr>
                      <w:rFonts w:eastAsia="Times New Roman"/>
                      <w:spacing w:val="-2"/>
                      <w:kern w:val="0"/>
                      <w:szCs w:val="21"/>
                      <w:highlight w:val="none"/>
                      <w:lang w:bidi="ar"/>
                    </w:rPr>
                  </w:pPr>
                  <w:r>
                    <w:rPr>
                      <w:rFonts w:eastAsia="Times New Roman"/>
                      <w:spacing w:val="-2"/>
                      <w:kern w:val="0"/>
                      <w:szCs w:val="21"/>
                      <w:highlight w:val="none"/>
                      <w:lang w:bidi="ar"/>
                    </w:rPr>
                    <w:t>《工业企业厂界环境噪声排放标准》（GB12348-2008）</w:t>
                  </w:r>
                  <w:r>
                    <w:rPr>
                      <w:rFonts w:hint="eastAsia" w:eastAsia="Times New Roman"/>
                      <w:spacing w:val="-2"/>
                      <w:kern w:val="0"/>
                      <w:szCs w:val="21"/>
                      <w:highlight w:val="none"/>
                      <w:lang w:bidi="ar"/>
                    </w:rPr>
                    <w:t>2</w:t>
                  </w:r>
                  <w:r>
                    <w:rPr>
                      <w:rFonts w:eastAsia="Times New Roman"/>
                      <w:spacing w:val="-2"/>
                      <w:kern w:val="0"/>
                      <w:szCs w:val="21"/>
                      <w:highlight w:val="none"/>
                      <w:lang w:bidi="ar"/>
                    </w:rPr>
                    <w:t>类标准</w:t>
                  </w:r>
                </w:p>
              </w:tc>
            </w:tr>
            <w:tr w14:paraId="6689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2" w:type="dxa"/>
                  <w:vMerge w:val="restart"/>
                  <w:vAlign w:val="center"/>
                </w:tcPr>
                <w:p w14:paraId="66CACCDE">
                  <w:pPr>
                    <w:textAlignment w:val="center"/>
                    <w:rPr>
                      <w:rFonts w:eastAsia="Times New Roman"/>
                      <w:spacing w:val="-2"/>
                      <w:kern w:val="0"/>
                      <w:szCs w:val="21"/>
                      <w:highlight w:val="none"/>
                      <w:lang w:bidi="ar"/>
                    </w:rPr>
                  </w:pPr>
                  <w:r>
                    <w:rPr>
                      <w:rFonts w:hint="eastAsia" w:eastAsia="Times New Roman"/>
                      <w:spacing w:val="-2"/>
                      <w:kern w:val="0"/>
                      <w:szCs w:val="21"/>
                      <w:highlight w:val="none"/>
                      <w:lang w:bidi="ar"/>
                    </w:rPr>
                    <w:t>固废</w:t>
                  </w:r>
                </w:p>
              </w:tc>
              <w:tc>
                <w:tcPr>
                  <w:tcW w:w="3130" w:type="dxa"/>
                  <w:gridSpan w:val="3"/>
                  <w:shd w:val="clear" w:color="auto" w:fill="auto"/>
                  <w:vAlign w:val="center"/>
                </w:tcPr>
                <w:p w14:paraId="0D848020">
                  <w:pPr>
                    <w:rPr>
                      <w:rFonts w:hint="default" w:ascii="Times New Roman" w:hAnsi="Times New Roman" w:eastAsia="宋体" w:cs="Times New Roman"/>
                      <w:spacing w:val="-2"/>
                      <w:kern w:val="0"/>
                      <w:szCs w:val="21"/>
                      <w:highlight w:val="none"/>
                      <w:lang w:val="en-US" w:eastAsia="zh-CN" w:bidi="ar"/>
                    </w:rPr>
                  </w:pPr>
                  <w:r>
                    <w:rPr>
                      <w:rFonts w:hint="eastAsia" w:cs="Times New Roman"/>
                      <w:spacing w:val="-2"/>
                      <w:kern w:val="0"/>
                      <w:szCs w:val="21"/>
                      <w:highlight w:val="none"/>
                      <w:lang w:val="en-US" w:eastAsia="zh-CN" w:bidi="ar"/>
                    </w:rPr>
                    <w:t>碳化渣</w:t>
                  </w:r>
                </w:p>
              </w:tc>
              <w:tc>
                <w:tcPr>
                  <w:tcW w:w="5101" w:type="dxa"/>
                  <w:gridSpan w:val="5"/>
                  <w:shd w:val="clear" w:color="auto" w:fill="auto"/>
                  <w:vAlign w:val="center"/>
                </w:tcPr>
                <w:p w14:paraId="639D05AE">
                  <w:pPr>
                    <w:rPr>
                      <w:rFonts w:hint="default" w:ascii="Times New Roman" w:hAnsi="Times New Roman" w:eastAsia="宋体" w:cs="Times New Roman"/>
                      <w:spacing w:val="-2"/>
                      <w:kern w:val="0"/>
                      <w:szCs w:val="21"/>
                      <w:highlight w:val="none"/>
                      <w:lang w:val="en-US" w:eastAsia="zh-CN" w:bidi="ar"/>
                    </w:rPr>
                  </w:pPr>
                  <w:r>
                    <w:rPr>
                      <w:rFonts w:hint="eastAsia" w:ascii="Times New Roman" w:hAnsi="Times New Roman"/>
                      <w:color w:val="auto"/>
                      <w:highlight w:val="none"/>
                    </w:rPr>
                    <w:t>作炭化窑点火引燃材料</w:t>
                  </w:r>
                  <w:r>
                    <w:rPr>
                      <w:rFonts w:hint="eastAsia" w:ascii="Times New Roman" w:hAnsi="Times New Roman"/>
                      <w:color w:val="auto"/>
                      <w:highlight w:val="none"/>
                      <w:lang w:val="en-US" w:eastAsia="zh-CN"/>
                    </w:rPr>
                    <w:t>用</w:t>
                  </w:r>
                </w:p>
              </w:tc>
              <w:tc>
                <w:tcPr>
                  <w:tcW w:w="4442" w:type="dxa"/>
                  <w:gridSpan w:val="3"/>
                  <w:vAlign w:val="center"/>
                </w:tcPr>
                <w:p w14:paraId="69C35CB1">
                  <w:pPr>
                    <w:rPr>
                      <w:rFonts w:ascii="Times New Roman" w:hAnsi="Times New Roman" w:eastAsia="Times New Roman" w:cs="Times New Roman"/>
                      <w:spacing w:val="-2"/>
                      <w:kern w:val="0"/>
                      <w:sz w:val="21"/>
                      <w:szCs w:val="21"/>
                      <w:highlight w:val="none"/>
                      <w:lang w:val="en-US" w:eastAsia="zh-CN" w:bidi="ar"/>
                    </w:rPr>
                  </w:pPr>
                  <w:r>
                    <w:rPr>
                      <w:rFonts w:eastAsia="Times New Roman"/>
                      <w:spacing w:val="-2"/>
                      <w:kern w:val="0"/>
                      <w:szCs w:val="21"/>
                      <w:highlight w:val="none"/>
                      <w:lang w:bidi="ar"/>
                    </w:rPr>
                    <w:t>不排放</w:t>
                  </w:r>
                </w:p>
              </w:tc>
            </w:tr>
            <w:tr w14:paraId="1FC2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22" w:type="dxa"/>
                  <w:vMerge w:val="continue"/>
                  <w:vAlign w:val="center"/>
                </w:tcPr>
                <w:p w14:paraId="6AB73B35">
                  <w:pPr>
                    <w:widowControl/>
                    <w:textAlignment w:val="center"/>
                    <w:rPr>
                      <w:rFonts w:eastAsia="Times New Roman"/>
                      <w:spacing w:val="-2"/>
                      <w:kern w:val="0"/>
                      <w:szCs w:val="21"/>
                      <w:highlight w:val="none"/>
                      <w:lang w:bidi="ar"/>
                    </w:rPr>
                  </w:pPr>
                </w:p>
              </w:tc>
              <w:tc>
                <w:tcPr>
                  <w:tcW w:w="3130" w:type="dxa"/>
                  <w:gridSpan w:val="3"/>
                  <w:shd w:val="clear" w:color="auto" w:fill="auto"/>
                  <w:vAlign w:val="center"/>
                </w:tcPr>
                <w:p w14:paraId="5FA63062">
                  <w:pPr>
                    <w:widowControl/>
                    <w:textAlignment w:val="center"/>
                    <w:rPr>
                      <w:rFonts w:eastAsia="Times New Roman"/>
                      <w:color w:val="000000" w:themeColor="text1"/>
                      <w:kern w:val="0"/>
                      <w:szCs w:val="21"/>
                      <w:highlight w:val="none"/>
                      <w:lang w:bidi="ar"/>
                      <w14:textFill>
                        <w14:solidFill>
                          <w14:schemeClr w14:val="tx1"/>
                        </w14:solidFill>
                      </w14:textFill>
                    </w:rPr>
                  </w:pPr>
                  <w:r>
                    <w:rPr>
                      <w:rFonts w:hint="eastAsia" w:ascii="宋体" w:hAnsi="宋体" w:eastAsia="Times New Roman" w:cs="宋体"/>
                      <w:color w:val="000000" w:themeColor="text1"/>
                      <w:kern w:val="0"/>
                      <w:szCs w:val="21"/>
                      <w:highlight w:val="none"/>
                      <w:lang w:bidi="ar"/>
                      <w14:textFill>
                        <w14:solidFill>
                          <w14:schemeClr w14:val="tx1"/>
                        </w14:solidFill>
                      </w14:textFill>
                    </w:rPr>
                    <w:t>燃料灰渣</w:t>
                  </w:r>
                </w:p>
              </w:tc>
              <w:tc>
                <w:tcPr>
                  <w:tcW w:w="5101" w:type="dxa"/>
                  <w:gridSpan w:val="5"/>
                  <w:shd w:val="clear" w:color="auto" w:fill="auto"/>
                  <w:vAlign w:val="center"/>
                </w:tcPr>
                <w:p w14:paraId="2CB23724">
                  <w:pPr>
                    <w:rPr>
                      <w:rFonts w:hint="default" w:eastAsia="宋体"/>
                      <w:spacing w:val="-2"/>
                      <w:kern w:val="0"/>
                      <w:szCs w:val="21"/>
                      <w:highlight w:val="none"/>
                      <w:lang w:val="en-US" w:eastAsia="zh-CN" w:bidi="ar"/>
                    </w:rPr>
                  </w:pPr>
                  <w:r>
                    <w:rPr>
                      <w:rFonts w:hint="eastAsia" w:eastAsia="宋体"/>
                      <w:spacing w:val="-2"/>
                      <w:kern w:val="0"/>
                      <w:szCs w:val="21"/>
                      <w:highlight w:val="none"/>
                      <w:lang w:val="en-US" w:eastAsia="zh-CN" w:bidi="ar"/>
                    </w:rPr>
                    <w:t>用作农肥</w:t>
                  </w:r>
                </w:p>
              </w:tc>
              <w:tc>
                <w:tcPr>
                  <w:tcW w:w="4442" w:type="dxa"/>
                  <w:gridSpan w:val="3"/>
                  <w:vAlign w:val="center"/>
                </w:tcPr>
                <w:p w14:paraId="2B66268E">
                  <w:pPr>
                    <w:rPr>
                      <w:rFonts w:ascii="Times New Roman" w:hAnsi="Times New Roman" w:eastAsia="Times New Roman" w:cs="Times New Roman"/>
                      <w:spacing w:val="-2"/>
                      <w:kern w:val="0"/>
                      <w:sz w:val="21"/>
                      <w:szCs w:val="21"/>
                      <w:highlight w:val="none"/>
                      <w:lang w:val="en-US" w:eastAsia="zh-CN" w:bidi="ar"/>
                    </w:rPr>
                  </w:pPr>
                  <w:r>
                    <w:rPr>
                      <w:rFonts w:eastAsia="Times New Roman"/>
                      <w:spacing w:val="-2"/>
                      <w:kern w:val="0"/>
                      <w:szCs w:val="21"/>
                      <w:highlight w:val="none"/>
                      <w:lang w:bidi="ar"/>
                    </w:rPr>
                    <w:t>不排放</w:t>
                  </w:r>
                </w:p>
              </w:tc>
            </w:tr>
            <w:tr w14:paraId="3E37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22" w:type="dxa"/>
                  <w:vMerge w:val="continue"/>
                  <w:vAlign w:val="center"/>
                </w:tcPr>
                <w:p w14:paraId="07B48163">
                  <w:pPr>
                    <w:widowControl/>
                    <w:textAlignment w:val="center"/>
                    <w:rPr>
                      <w:rFonts w:eastAsia="Times New Roman"/>
                      <w:spacing w:val="-2"/>
                      <w:kern w:val="0"/>
                      <w:szCs w:val="21"/>
                      <w:highlight w:val="none"/>
                      <w:lang w:bidi="ar"/>
                    </w:rPr>
                  </w:pPr>
                </w:p>
              </w:tc>
              <w:tc>
                <w:tcPr>
                  <w:tcW w:w="3130" w:type="dxa"/>
                  <w:gridSpan w:val="3"/>
                  <w:shd w:val="clear" w:color="auto" w:fill="auto"/>
                  <w:vAlign w:val="center"/>
                </w:tcPr>
                <w:p w14:paraId="7FA9EEEA">
                  <w:pPr>
                    <w:widowControl/>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除尘器粉尘</w:t>
                  </w:r>
                </w:p>
              </w:tc>
              <w:tc>
                <w:tcPr>
                  <w:tcW w:w="5101" w:type="dxa"/>
                  <w:gridSpan w:val="5"/>
                  <w:shd w:val="clear" w:color="auto" w:fill="auto"/>
                  <w:vAlign w:val="center"/>
                </w:tcPr>
                <w:p w14:paraId="79B2B6F6">
                  <w:pPr>
                    <w:rPr>
                      <w:rFonts w:hint="eastAsia" w:eastAsia="宋体"/>
                      <w:spacing w:val="-2"/>
                      <w:kern w:val="0"/>
                      <w:szCs w:val="21"/>
                      <w:highlight w:val="none"/>
                      <w:lang w:val="en-US" w:eastAsia="zh-CN" w:bidi="ar"/>
                    </w:rPr>
                  </w:pPr>
                  <w:r>
                    <w:rPr>
                      <w:rFonts w:hint="eastAsia" w:ascii="Times New Roman" w:hAnsi="Times New Roman" w:eastAsia="宋体" w:cs="Times New Roman"/>
                      <w:spacing w:val="-2"/>
                      <w:kern w:val="0"/>
                      <w:szCs w:val="21"/>
                      <w:highlight w:val="none"/>
                      <w:lang w:val="en-US" w:eastAsia="zh-CN" w:bidi="ar"/>
                    </w:rPr>
                    <w:t>回用于生产</w:t>
                  </w:r>
                </w:p>
              </w:tc>
              <w:tc>
                <w:tcPr>
                  <w:tcW w:w="4442" w:type="dxa"/>
                  <w:gridSpan w:val="3"/>
                  <w:vAlign w:val="center"/>
                </w:tcPr>
                <w:p w14:paraId="301322C2">
                  <w:pPr>
                    <w:rPr>
                      <w:rFonts w:eastAsia="Times New Roman"/>
                      <w:spacing w:val="-2"/>
                      <w:kern w:val="0"/>
                      <w:szCs w:val="21"/>
                      <w:highlight w:val="none"/>
                      <w:lang w:bidi="ar"/>
                    </w:rPr>
                  </w:pPr>
                  <w:r>
                    <w:rPr>
                      <w:rFonts w:eastAsia="Times New Roman"/>
                      <w:spacing w:val="-2"/>
                      <w:kern w:val="0"/>
                      <w:szCs w:val="21"/>
                      <w:highlight w:val="none"/>
                      <w:lang w:bidi="ar"/>
                    </w:rPr>
                    <w:t>不排放</w:t>
                  </w:r>
                </w:p>
              </w:tc>
            </w:tr>
            <w:tr w14:paraId="5A00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22" w:type="dxa"/>
                  <w:vMerge w:val="continue"/>
                  <w:vAlign w:val="center"/>
                </w:tcPr>
                <w:p w14:paraId="7D64D3FE">
                  <w:pPr>
                    <w:widowControl/>
                    <w:textAlignment w:val="center"/>
                    <w:rPr>
                      <w:rFonts w:eastAsia="Times New Roman"/>
                      <w:spacing w:val="-2"/>
                      <w:kern w:val="0"/>
                      <w:szCs w:val="21"/>
                      <w:highlight w:val="none"/>
                      <w:lang w:bidi="ar"/>
                    </w:rPr>
                  </w:pPr>
                </w:p>
              </w:tc>
              <w:tc>
                <w:tcPr>
                  <w:tcW w:w="3130" w:type="dxa"/>
                  <w:gridSpan w:val="3"/>
                  <w:shd w:val="clear" w:color="auto" w:fill="auto"/>
                  <w:vAlign w:val="center"/>
                </w:tcPr>
                <w:p w14:paraId="1D8EB977">
                  <w:pPr>
                    <w:widowControl/>
                    <w:textAlignment w:val="center"/>
                    <w:rPr>
                      <w:rFonts w:eastAsia="Times New Roman"/>
                      <w:color w:val="000000" w:themeColor="text1"/>
                      <w:kern w:val="0"/>
                      <w:szCs w:val="21"/>
                      <w:highlight w:val="none"/>
                      <w:lang w:bidi="ar"/>
                      <w14:textFill>
                        <w14:solidFill>
                          <w14:schemeClr w14:val="tx1"/>
                        </w14:solidFill>
                      </w14:textFill>
                    </w:rPr>
                  </w:pPr>
                  <w:r>
                    <w:rPr>
                      <w:rFonts w:hint="eastAsia" w:ascii="宋体" w:hAnsi="宋体" w:eastAsia="Times New Roman" w:cs="宋体"/>
                      <w:color w:val="000000" w:themeColor="text1"/>
                      <w:kern w:val="0"/>
                      <w:szCs w:val="21"/>
                      <w:highlight w:val="none"/>
                      <w:lang w:val="en-US" w:eastAsia="zh-CN" w:bidi="ar"/>
                      <w14:textFill>
                        <w14:solidFill>
                          <w14:schemeClr w14:val="tx1"/>
                        </w14:solidFill>
                      </w14:textFill>
                    </w:rPr>
                    <w:t>喷淋除尘脱硫塔</w:t>
                  </w:r>
                  <w:r>
                    <w:rPr>
                      <w:rFonts w:hint="eastAsia" w:ascii="宋体" w:hAnsi="宋体" w:eastAsia="Times New Roman" w:cs="宋体"/>
                      <w:color w:val="000000" w:themeColor="text1"/>
                      <w:kern w:val="0"/>
                      <w:szCs w:val="21"/>
                      <w:highlight w:val="none"/>
                      <w:lang w:bidi="ar"/>
                      <w14:textFill>
                        <w14:solidFill>
                          <w14:schemeClr w14:val="tx1"/>
                        </w14:solidFill>
                      </w14:textFill>
                    </w:rPr>
                    <w:t>沉渣</w:t>
                  </w:r>
                </w:p>
              </w:tc>
              <w:tc>
                <w:tcPr>
                  <w:tcW w:w="5101" w:type="dxa"/>
                  <w:gridSpan w:val="5"/>
                  <w:shd w:val="clear" w:color="auto" w:fill="auto"/>
                  <w:vAlign w:val="center"/>
                </w:tcPr>
                <w:p w14:paraId="1726430C">
                  <w:pPr>
                    <w:rPr>
                      <w:rFonts w:hint="default" w:eastAsia="宋体"/>
                      <w:spacing w:val="-2"/>
                      <w:kern w:val="0"/>
                      <w:szCs w:val="21"/>
                      <w:highlight w:val="none"/>
                      <w:lang w:val="en-US" w:eastAsia="zh-CN" w:bidi="ar"/>
                    </w:rPr>
                  </w:pPr>
                  <w:r>
                    <w:rPr>
                      <w:color w:val="000000" w:themeColor="text1"/>
                      <w:kern w:val="0"/>
                      <w:szCs w:val="21"/>
                      <w:highlight w:val="none"/>
                      <w:lang w:bidi="ar"/>
                      <w14:textFill>
                        <w14:solidFill>
                          <w14:schemeClr w14:val="tx1"/>
                        </w14:solidFill>
                      </w14:textFill>
                    </w:rPr>
                    <w:t>环卫部门清运处理</w:t>
                  </w:r>
                </w:p>
              </w:tc>
              <w:tc>
                <w:tcPr>
                  <w:tcW w:w="4442" w:type="dxa"/>
                  <w:gridSpan w:val="3"/>
                  <w:vAlign w:val="center"/>
                </w:tcPr>
                <w:p w14:paraId="701D1A34">
                  <w:pPr>
                    <w:rPr>
                      <w:rFonts w:ascii="Times New Roman" w:hAnsi="Times New Roman" w:eastAsia="Times New Roman" w:cs="Times New Roman"/>
                      <w:spacing w:val="-2"/>
                      <w:kern w:val="0"/>
                      <w:sz w:val="21"/>
                      <w:szCs w:val="21"/>
                      <w:highlight w:val="none"/>
                      <w:lang w:val="en-US" w:eastAsia="zh-CN" w:bidi="ar"/>
                    </w:rPr>
                  </w:pPr>
                  <w:r>
                    <w:rPr>
                      <w:rFonts w:eastAsia="Times New Roman"/>
                      <w:spacing w:val="-2"/>
                      <w:kern w:val="0"/>
                      <w:szCs w:val="21"/>
                      <w:highlight w:val="none"/>
                      <w:lang w:bidi="ar"/>
                    </w:rPr>
                    <w:t>不排放</w:t>
                  </w:r>
                </w:p>
              </w:tc>
            </w:tr>
            <w:tr w14:paraId="725F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22" w:type="dxa"/>
                  <w:vMerge w:val="continue"/>
                  <w:vAlign w:val="center"/>
                </w:tcPr>
                <w:p w14:paraId="4B0C5E6C">
                  <w:pPr>
                    <w:widowControl/>
                    <w:textAlignment w:val="center"/>
                    <w:rPr>
                      <w:rFonts w:eastAsia="Times New Roman"/>
                      <w:spacing w:val="-2"/>
                      <w:kern w:val="0"/>
                      <w:szCs w:val="21"/>
                      <w:highlight w:val="none"/>
                      <w:lang w:bidi="ar"/>
                    </w:rPr>
                  </w:pPr>
                </w:p>
              </w:tc>
              <w:tc>
                <w:tcPr>
                  <w:tcW w:w="3130" w:type="dxa"/>
                  <w:gridSpan w:val="3"/>
                  <w:shd w:val="clear" w:color="auto" w:fill="auto"/>
                  <w:vAlign w:val="center"/>
                </w:tcPr>
                <w:p w14:paraId="27467BFA">
                  <w:pPr>
                    <w:widowControl/>
                    <w:textAlignment w:val="center"/>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Times New Roman" w:hAnsi="Times New Roman" w:eastAsia="Times New Roman" w:cs="Times New Roman"/>
                      <w:spacing w:val="-2"/>
                      <w:kern w:val="0"/>
                      <w:szCs w:val="21"/>
                      <w:highlight w:val="none"/>
                      <w:lang w:bidi="ar"/>
                    </w:rPr>
                    <w:t>生活垃圾</w:t>
                  </w:r>
                </w:p>
              </w:tc>
              <w:tc>
                <w:tcPr>
                  <w:tcW w:w="5101" w:type="dxa"/>
                  <w:gridSpan w:val="5"/>
                  <w:shd w:val="clear" w:color="auto" w:fill="auto"/>
                  <w:vAlign w:val="center"/>
                </w:tcPr>
                <w:p w14:paraId="39CBD4EF">
                  <w:pPr>
                    <w:rPr>
                      <w:rFonts w:hint="eastAsia" w:eastAsia="宋体"/>
                      <w:spacing w:val="-2"/>
                      <w:kern w:val="0"/>
                      <w:szCs w:val="21"/>
                      <w:highlight w:val="none"/>
                      <w:lang w:val="en-US" w:eastAsia="zh-CN" w:bidi="ar"/>
                    </w:rPr>
                  </w:pPr>
                  <w:r>
                    <w:rPr>
                      <w:rFonts w:ascii="Times New Roman" w:hAnsi="Times New Roman" w:eastAsia="Times New Roman" w:cs="Times New Roman"/>
                      <w:spacing w:val="-2"/>
                      <w:kern w:val="0"/>
                      <w:szCs w:val="21"/>
                      <w:highlight w:val="none"/>
                      <w:lang w:bidi="ar"/>
                    </w:rPr>
                    <w:t>环卫部门清运处理</w:t>
                  </w:r>
                </w:p>
              </w:tc>
              <w:tc>
                <w:tcPr>
                  <w:tcW w:w="4442" w:type="dxa"/>
                  <w:gridSpan w:val="3"/>
                  <w:vAlign w:val="center"/>
                </w:tcPr>
                <w:p w14:paraId="3067B465">
                  <w:pPr>
                    <w:rPr>
                      <w:rFonts w:hint="default" w:eastAsia="宋体"/>
                      <w:spacing w:val="-2"/>
                      <w:kern w:val="0"/>
                      <w:szCs w:val="21"/>
                      <w:highlight w:val="none"/>
                      <w:lang w:val="en-US" w:eastAsia="zh-CN" w:bidi="ar"/>
                    </w:rPr>
                  </w:pPr>
                  <w:r>
                    <w:rPr>
                      <w:rFonts w:hint="eastAsia" w:eastAsia="宋体"/>
                      <w:spacing w:val="-2"/>
                      <w:kern w:val="0"/>
                      <w:szCs w:val="21"/>
                      <w:highlight w:val="none"/>
                      <w:lang w:val="en-US" w:eastAsia="zh-CN" w:bidi="ar"/>
                    </w:rPr>
                    <w:t>不排放</w:t>
                  </w:r>
                </w:p>
              </w:tc>
            </w:tr>
          </w:tbl>
          <w:p w14:paraId="21DE9A69">
            <w:pPr>
              <w:adjustRightInd w:val="0"/>
              <w:snapToGrid w:val="0"/>
              <w:spacing w:line="360" w:lineRule="auto"/>
              <w:rPr>
                <w:b/>
                <w:kern w:val="0"/>
                <w:sz w:val="28"/>
                <w:szCs w:val="28"/>
                <w:highlight w:val="none"/>
              </w:rPr>
            </w:pPr>
          </w:p>
        </w:tc>
      </w:tr>
    </w:tbl>
    <w:p w14:paraId="127926DA">
      <w:pPr>
        <w:pStyle w:val="29"/>
        <w:outlineLvl w:val="0"/>
        <w:rPr>
          <w:rFonts w:ascii="Times New Roman" w:hAnsi="Times New Roman" w:eastAsia="黑体"/>
          <w:snapToGrid w:val="0"/>
          <w:sz w:val="30"/>
          <w:szCs w:val="30"/>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14:paraId="19C7A65C">
      <w:pPr>
        <w:pStyle w:val="29"/>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Times New Roman" w:hAnsi="Times New Roman" w:eastAsia="黑体" w:cs="Times New Roman"/>
          <w:snapToGrid w:val="0"/>
          <w:sz w:val="30"/>
          <w:szCs w:val="30"/>
          <w:highlight w:val="none"/>
        </w:rPr>
      </w:pPr>
      <w:bookmarkStart w:id="21" w:name="_Toc30604"/>
      <w:r>
        <w:rPr>
          <w:rFonts w:ascii="Times New Roman" w:hAnsi="Times New Roman" w:eastAsia="黑体" w:cs="Times New Roman"/>
          <w:snapToGrid w:val="0"/>
          <w:sz w:val="30"/>
          <w:szCs w:val="30"/>
          <w:highlight w:val="none"/>
        </w:rPr>
        <w:t>五、</w:t>
      </w:r>
      <w:bookmarkStart w:id="22" w:name="_Hlk54167917"/>
      <w:r>
        <w:rPr>
          <w:rFonts w:ascii="Times New Roman" w:hAnsi="Times New Roman" w:eastAsia="黑体" w:cs="Times New Roman"/>
          <w:snapToGrid w:val="0"/>
          <w:sz w:val="30"/>
          <w:szCs w:val="30"/>
          <w:highlight w:val="none"/>
        </w:rPr>
        <w:t>环境保护措施监督检查清单</w:t>
      </w:r>
      <w:bookmarkEnd w:id="20"/>
      <w:bookmarkEnd w:id="21"/>
      <w:bookmarkEnd w:id="22"/>
    </w:p>
    <w:tbl>
      <w:tblPr>
        <w:tblStyle w:val="34"/>
        <w:tblW w:w="87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05"/>
        <w:gridCol w:w="1250"/>
        <w:gridCol w:w="2238"/>
        <w:gridCol w:w="2887"/>
      </w:tblGrid>
      <w:tr w14:paraId="6BEA6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58" w:type="dxa"/>
            <w:tcBorders>
              <w:tl2br w:val="single" w:color="auto" w:sz="4" w:space="0"/>
            </w:tcBorders>
          </w:tcPr>
          <w:p w14:paraId="6A7B57EB">
            <w:pPr>
              <w:adjustRightInd w:val="0"/>
              <w:snapToGrid w:val="0"/>
              <w:jc w:val="right"/>
              <w:rPr>
                <w:rFonts w:hint="default" w:ascii="Times New Roman" w:hAnsi="Times New Roman" w:eastAsia="宋体" w:cs="Times New Roman"/>
                <w:sz w:val="21"/>
                <w:szCs w:val="21"/>
                <w:highlight w:val="none"/>
              </w:rPr>
            </w:pPr>
          </w:p>
          <w:p w14:paraId="3E612121">
            <w:pPr>
              <w:adjustRightInd w:val="0"/>
              <w:snapToGrid w:val="0"/>
              <w:jc w:val="righ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内容</w:t>
            </w:r>
          </w:p>
          <w:p w14:paraId="0B6E90FE">
            <w:pPr>
              <w:pStyle w:val="44"/>
              <w:rPr>
                <w:rFonts w:hint="default" w:ascii="Times New Roman" w:hAnsi="Times New Roman" w:eastAsia="宋体" w:cs="Times New Roman"/>
                <w:sz w:val="21"/>
                <w:szCs w:val="21"/>
                <w:highlight w:val="none"/>
              </w:rPr>
            </w:pPr>
          </w:p>
          <w:p w14:paraId="2E540B09">
            <w:pPr>
              <w:adjustRightInd w:val="0"/>
              <w:snapToGrid w:val="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要素</w:t>
            </w:r>
          </w:p>
        </w:tc>
        <w:tc>
          <w:tcPr>
            <w:tcW w:w="1505" w:type="dxa"/>
            <w:vAlign w:val="center"/>
          </w:tcPr>
          <w:p w14:paraId="6FB1AA87">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排放口(编号、名称)/污染源</w:t>
            </w:r>
          </w:p>
        </w:tc>
        <w:tc>
          <w:tcPr>
            <w:tcW w:w="1250" w:type="dxa"/>
            <w:vAlign w:val="center"/>
          </w:tcPr>
          <w:p w14:paraId="1961BB93">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污染物项目</w:t>
            </w:r>
          </w:p>
        </w:tc>
        <w:tc>
          <w:tcPr>
            <w:tcW w:w="2238" w:type="dxa"/>
            <w:vAlign w:val="center"/>
          </w:tcPr>
          <w:p w14:paraId="155F3CB4">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环境保护措施</w:t>
            </w:r>
          </w:p>
        </w:tc>
        <w:tc>
          <w:tcPr>
            <w:tcW w:w="2887" w:type="dxa"/>
            <w:vAlign w:val="center"/>
          </w:tcPr>
          <w:p w14:paraId="7EB3135E">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执行标准</w:t>
            </w:r>
          </w:p>
        </w:tc>
      </w:tr>
      <w:tr w14:paraId="1C8AF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58" w:type="dxa"/>
            <w:vMerge w:val="restart"/>
            <w:vAlign w:val="center"/>
          </w:tcPr>
          <w:p w14:paraId="7561FD4C">
            <w:pPr>
              <w:adjustRightInd w:val="0"/>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大气环境</w:t>
            </w:r>
          </w:p>
        </w:tc>
        <w:tc>
          <w:tcPr>
            <w:tcW w:w="1505" w:type="dxa"/>
            <w:vAlign w:val="center"/>
          </w:tcPr>
          <w:p w14:paraId="49706FC8">
            <w:pPr>
              <w:widowControl/>
              <w:jc w:val="center"/>
              <w:textAlignment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排放口（DA001）</w:t>
            </w:r>
          </w:p>
        </w:tc>
        <w:tc>
          <w:tcPr>
            <w:tcW w:w="1250" w:type="dxa"/>
            <w:vAlign w:val="center"/>
          </w:tcPr>
          <w:p w14:paraId="34F168B2">
            <w:pPr>
              <w:adjustRightInd w:val="0"/>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cs="Times New Roman"/>
                <w:bCs/>
                <w:sz w:val="21"/>
                <w:szCs w:val="21"/>
                <w:highlight w:val="none"/>
                <w:lang w:val="en-US" w:eastAsia="zh-CN"/>
              </w:rPr>
              <w:t>颗粒物</w:t>
            </w:r>
          </w:p>
        </w:tc>
        <w:tc>
          <w:tcPr>
            <w:tcW w:w="2238" w:type="dxa"/>
            <w:vAlign w:val="center"/>
          </w:tcPr>
          <w:p w14:paraId="40394257">
            <w:pPr>
              <w:adjustRightInd w:val="0"/>
              <w:snapToGrid w:val="0"/>
              <w:jc w:val="center"/>
              <w:rPr>
                <w:rFonts w:hint="default" w:ascii="Times New Roman" w:hAnsi="Times New Roman" w:eastAsia="宋体" w:cs="Times New Roman"/>
                <w:bCs/>
                <w:sz w:val="21"/>
                <w:szCs w:val="21"/>
                <w:highlight w:val="none"/>
                <w:lang w:val="en-US" w:eastAsia="zh-CN"/>
              </w:rPr>
            </w:pPr>
            <w:r>
              <w:rPr>
                <w:rFonts w:hint="eastAsia" w:cs="Times New Roman"/>
                <w:bCs/>
                <w:sz w:val="21"/>
                <w:szCs w:val="21"/>
                <w:highlight w:val="none"/>
                <w:lang w:val="en-US" w:eastAsia="zh-CN"/>
              </w:rPr>
              <w:t>粉碎粉尘经袋式除尘器处理达标后，经</w:t>
            </w:r>
            <w:r>
              <w:rPr>
                <w:rFonts w:hint="default" w:ascii="Times New Roman" w:hAnsi="Times New Roman" w:eastAsia="宋体" w:cs="Times New Roman"/>
                <w:bCs/>
                <w:sz w:val="21"/>
                <w:szCs w:val="21"/>
                <w:highlight w:val="none"/>
                <w:lang w:val="en-US" w:eastAsia="zh-CN"/>
              </w:rPr>
              <w:t>15m排气筒</w:t>
            </w: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w:t>
            </w:r>
            <w:r>
              <w:rPr>
                <w:rFonts w:hint="eastAsia" w:cs="Times New Roman"/>
                <w:color w:val="000000" w:themeColor="text1"/>
                <w:kern w:val="0"/>
                <w:sz w:val="21"/>
                <w:szCs w:val="21"/>
                <w:highlight w:val="none"/>
                <w:lang w:eastAsia="zh-CN" w:bidi="ar"/>
                <w14:textFill>
                  <w14:solidFill>
                    <w14:schemeClr w14:val="tx1"/>
                  </w14:solidFill>
                </w14:textFill>
              </w:rPr>
              <w:t>DA00</w:t>
            </w:r>
            <w:r>
              <w:rPr>
                <w:rFonts w:hint="eastAsia" w:cs="Times New Roman"/>
                <w:color w:val="000000" w:themeColor="text1"/>
                <w:kern w:val="0"/>
                <w:sz w:val="21"/>
                <w:szCs w:val="21"/>
                <w:highlight w:val="none"/>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w:t>
            </w:r>
            <w:r>
              <w:rPr>
                <w:rFonts w:hint="default" w:ascii="Times New Roman" w:hAnsi="Times New Roman" w:eastAsia="宋体" w:cs="Times New Roman"/>
                <w:bCs/>
                <w:sz w:val="21"/>
                <w:szCs w:val="21"/>
                <w:highlight w:val="none"/>
                <w:lang w:val="en-US" w:eastAsia="zh-CN"/>
              </w:rPr>
              <w:t>排放</w:t>
            </w:r>
            <w:r>
              <w:rPr>
                <w:rFonts w:hint="eastAsia" w:ascii="Times New Roman" w:hAnsi="Times New Roman" w:eastAsia="宋体" w:cs="Times New Roman"/>
                <w:bCs/>
                <w:sz w:val="21"/>
                <w:szCs w:val="21"/>
                <w:highlight w:val="none"/>
                <w:lang w:val="en-US" w:eastAsia="zh-CN"/>
              </w:rPr>
              <w:t>。</w:t>
            </w:r>
          </w:p>
        </w:tc>
        <w:tc>
          <w:tcPr>
            <w:tcW w:w="2887" w:type="dxa"/>
            <w:vAlign w:val="center"/>
          </w:tcPr>
          <w:p w14:paraId="46711061">
            <w:pPr>
              <w:adjustRightInd w:val="0"/>
              <w:snapToGrid w:val="0"/>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广东省地方标准《大气污染物排放限值》（DB44/27-2001）中表2第二时段的二级标准</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32B5A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8" w:hRule="atLeast"/>
          <w:jc w:val="center"/>
        </w:trPr>
        <w:tc>
          <w:tcPr>
            <w:tcW w:w="858" w:type="dxa"/>
            <w:vMerge w:val="continue"/>
            <w:vAlign w:val="center"/>
          </w:tcPr>
          <w:p w14:paraId="58D56B4F">
            <w:pPr>
              <w:adjustRightInd w:val="0"/>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505" w:type="dxa"/>
            <w:shd w:val="clear" w:color="auto" w:fill="auto"/>
            <w:vAlign w:val="center"/>
          </w:tcPr>
          <w:p w14:paraId="6FAD47A9">
            <w:pPr>
              <w:widowControl/>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排放口（</w:t>
            </w:r>
            <w:r>
              <w:rPr>
                <w:rFonts w:hint="eastAsia" w:cs="Times New Roman"/>
                <w:color w:val="000000" w:themeColor="text1"/>
                <w:kern w:val="0"/>
                <w:sz w:val="21"/>
                <w:szCs w:val="21"/>
                <w:highlight w:val="none"/>
                <w:lang w:eastAsia="zh-CN" w:bidi="ar"/>
                <w14:textFill>
                  <w14:solidFill>
                    <w14:schemeClr w14:val="tx1"/>
                  </w14:solidFill>
                </w14:textFill>
              </w:rPr>
              <w:t>DA002</w:t>
            </w: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w:t>
            </w:r>
          </w:p>
        </w:tc>
        <w:tc>
          <w:tcPr>
            <w:tcW w:w="1250" w:type="dxa"/>
            <w:shd w:val="clear" w:color="auto" w:fill="auto"/>
            <w:vAlign w:val="center"/>
          </w:tcPr>
          <w:p w14:paraId="2C1DF03F">
            <w:pPr>
              <w:adjustRightInd w:val="0"/>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颗粒物、SO</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5AF9A9B4">
            <w:pPr>
              <w:adjustRightInd w:val="0"/>
              <w:snapToGrid w:val="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NOx</w:t>
            </w:r>
          </w:p>
        </w:tc>
        <w:tc>
          <w:tcPr>
            <w:tcW w:w="2238" w:type="dxa"/>
            <w:shd w:val="clear" w:color="auto" w:fill="auto"/>
            <w:vAlign w:val="center"/>
          </w:tcPr>
          <w:p w14:paraId="258F82A8">
            <w:pPr>
              <w:adjustRightInd w:val="0"/>
              <w:snapToGrid w:val="0"/>
              <w:rPr>
                <w:rFonts w:hint="default" w:ascii="Times New Roman" w:hAnsi="Times New Roman" w:eastAsia="宋体" w:cs="Times New Roman"/>
                <w:bCs/>
                <w:kern w:val="2"/>
                <w:sz w:val="21"/>
                <w:szCs w:val="21"/>
                <w:highlight w:val="none"/>
                <w:lang w:val="en-US" w:eastAsia="zh-CN" w:bidi="ar-SA"/>
              </w:rPr>
            </w:pPr>
            <w:r>
              <w:rPr>
                <w:rFonts w:hint="default" w:ascii="Times New Roman" w:hAnsi="Times New Roman" w:cs="Times New Roman"/>
                <w:bCs/>
                <w:szCs w:val="21"/>
                <w:highlight w:val="none"/>
                <w:lang w:eastAsia="zh-CN"/>
              </w:rPr>
              <w:t>制棒废气、炭化废气通过管道收集返回烘干系统</w:t>
            </w:r>
            <w:r>
              <w:rPr>
                <w:rFonts w:hint="default" w:ascii="Times New Roman" w:hAnsi="Times New Roman" w:cs="Times New Roman"/>
                <w:bCs/>
                <w:szCs w:val="21"/>
                <w:highlight w:val="none"/>
                <w:lang w:val="en-US" w:eastAsia="zh-CN"/>
              </w:rPr>
              <w:t>燃</w:t>
            </w:r>
            <w:r>
              <w:rPr>
                <w:rFonts w:hint="default" w:ascii="Times New Roman" w:hAnsi="Times New Roman" w:cs="Times New Roman"/>
                <w:bCs/>
                <w:szCs w:val="21"/>
                <w:highlight w:val="none"/>
                <w:lang w:eastAsia="zh-CN"/>
              </w:rPr>
              <w:t>烧炉燃烧</w:t>
            </w:r>
            <w:r>
              <w:rPr>
                <w:rFonts w:hint="default" w:ascii="Times New Roman" w:hAnsi="Times New Roman" w:eastAsia="宋体" w:cs="Times New Roman"/>
                <w:bCs/>
                <w:szCs w:val="21"/>
                <w:highlight w:val="none"/>
                <w:lang w:eastAsia="zh-CN"/>
              </w:rPr>
              <w:t>后</w:t>
            </w:r>
            <w:r>
              <w:rPr>
                <w:rFonts w:hint="eastAsia" w:cs="Times New Roman"/>
                <w:bCs/>
                <w:szCs w:val="21"/>
                <w:highlight w:val="none"/>
                <w:lang w:eastAsia="zh-CN"/>
              </w:rPr>
              <w:t>，</w:t>
            </w:r>
            <w:r>
              <w:rPr>
                <w:rFonts w:hint="eastAsia" w:cs="Times New Roman"/>
                <w:bCs/>
                <w:szCs w:val="21"/>
                <w:highlight w:val="none"/>
                <w:lang w:val="en-US" w:eastAsia="zh-CN"/>
              </w:rPr>
              <w:t>汇同</w:t>
            </w:r>
            <w:r>
              <w:rPr>
                <w:rFonts w:hint="eastAsia" w:ascii="宋体" w:hAnsi="宋体" w:cs="Times New Roman"/>
                <w:bCs/>
                <w:szCs w:val="21"/>
                <w:highlight w:val="none"/>
                <w:lang w:val="en-US" w:eastAsia="zh-CN"/>
              </w:rPr>
              <w:t>烘干机</w:t>
            </w:r>
            <w:r>
              <w:rPr>
                <w:rFonts w:hint="default" w:ascii="Times New Roman" w:hAnsi="Times New Roman" w:cs="Times New Roman"/>
                <w:bCs/>
                <w:szCs w:val="21"/>
                <w:highlight w:val="none"/>
                <w:lang w:eastAsia="zh-CN"/>
              </w:rPr>
              <w:t>粉尘</w:t>
            </w:r>
            <w:r>
              <w:rPr>
                <w:rFonts w:hint="eastAsia" w:cs="Times New Roman"/>
                <w:bCs/>
                <w:szCs w:val="21"/>
                <w:highlight w:val="none"/>
                <w:lang w:eastAsia="zh-CN"/>
              </w:rPr>
              <w:t>、</w:t>
            </w:r>
            <w:r>
              <w:rPr>
                <w:rFonts w:hint="eastAsia" w:cs="Times New Roman"/>
                <w:bCs/>
                <w:szCs w:val="21"/>
                <w:highlight w:val="none"/>
                <w:lang w:val="en-US" w:eastAsia="zh-CN"/>
              </w:rPr>
              <w:t>烘干机配套燃烧炉燃料燃烧废气</w:t>
            </w:r>
            <w:r>
              <w:rPr>
                <w:rFonts w:hint="default" w:ascii="Times New Roman" w:hAnsi="Times New Roman" w:cs="Times New Roman"/>
                <w:bCs/>
                <w:szCs w:val="21"/>
                <w:highlight w:val="none"/>
                <w:lang w:val="en-US" w:eastAsia="zh-CN"/>
              </w:rPr>
              <w:t>经旋风</w:t>
            </w:r>
            <w:r>
              <w:rPr>
                <w:rFonts w:hint="eastAsia" w:cs="Times New Roman"/>
                <w:bCs/>
                <w:szCs w:val="21"/>
                <w:highlight w:val="none"/>
                <w:lang w:val="en-US" w:eastAsia="zh-CN"/>
              </w:rPr>
              <w:t>除尘器</w:t>
            </w:r>
            <w:r>
              <w:rPr>
                <w:rFonts w:hint="eastAsia" w:ascii="Times New Roman" w:hAnsi="Times New Roman" w:cs="Times New Roman"/>
                <w:bCs/>
                <w:szCs w:val="21"/>
                <w:highlight w:val="none"/>
                <w:lang w:val="en-US" w:eastAsia="zh-CN"/>
              </w:rPr>
              <w:t>处理</w:t>
            </w:r>
            <w:r>
              <w:rPr>
                <w:rFonts w:hint="eastAsia" w:cs="Times New Roman"/>
                <w:bCs/>
                <w:szCs w:val="21"/>
                <w:highlight w:val="none"/>
                <w:lang w:val="en-US" w:eastAsia="zh-CN"/>
              </w:rPr>
              <w:t>+喷淋除尘脱硫塔</w:t>
            </w:r>
            <w:r>
              <w:rPr>
                <w:rFonts w:hint="default" w:ascii="Times New Roman" w:hAnsi="Times New Roman" w:eastAsia="宋体" w:cs="Times New Roman"/>
                <w:bCs/>
                <w:szCs w:val="21"/>
                <w:highlight w:val="none"/>
                <w:lang w:eastAsia="zh-CN"/>
              </w:rPr>
              <w:t>处理达标</w:t>
            </w:r>
            <w:r>
              <w:rPr>
                <w:rFonts w:hint="default" w:ascii="Times New Roman" w:hAnsi="Times New Roman" w:cs="Times New Roman"/>
                <w:bCs/>
                <w:szCs w:val="21"/>
                <w:highlight w:val="none"/>
                <w:lang w:eastAsia="zh-CN"/>
              </w:rPr>
              <w:t>后通过</w:t>
            </w:r>
            <w:r>
              <w:rPr>
                <w:rFonts w:hint="default" w:ascii="Times New Roman" w:hAnsi="Times New Roman" w:cs="Times New Roman"/>
                <w:bCs/>
                <w:szCs w:val="21"/>
                <w:highlight w:val="none"/>
                <w:lang w:val="en-US" w:eastAsia="zh-CN"/>
              </w:rPr>
              <w:t>15</w:t>
            </w:r>
            <w:r>
              <w:rPr>
                <w:rFonts w:hint="default" w:ascii="Times New Roman" w:hAnsi="Times New Roman" w:cs="Times New Roman"/>
                <w:bCs/>
                <w:szCs w:val="21"/>
                <w:highlight w:val="none"/>
                <w:lang w:eastAsia="zh-CN"/>
              </w:rPr>
              <w:t>m高排气筒</w:t>
            </w:r>
            <w:r>
              <w:rPr>
                <w:rFonts w:hint="eastAsia" w:ascii="Times New Roman" w:hAnsi="Times New Roman" w:cs="Times New Roman"/>
                <w:bCs/>
                <w:szCs w:val="21"/>
                <w:highlight w:val="none"/>
                <w:lang w:eastAsia="zh-CN"/>
              </w:rPr>
              <w:t>（</w:t>
            </w:r>
            <w:r>
              <w:rPr>
                <w:rFonts w:hint="eastAsia" w:cs="Times New Roman"/>
                <w:bCs/>
                <w:szCs w:val="21"/>
                <w:highlight w:val="none"/>
                <w:lang w:val="en-US" w:eastAsia="zh-CN"/>
              </w:rPr>
              <w:t>DA002</w:t>
            </w:r>
            <w:r>
              <w:rPr>
                <w:rFonts w:hint="eastAsia" w:ascii="Times New Roman" w:hAnsi="Times New Roman" w:cs="Times New Roman"/>
                <w:bCs/>
                <w:szCs w:val="21"/>
                <w:highlight w:val="none"/>
                <w:lang w:eastAsia="zh-CN"/>
              </w:rPr>
              <w:t>）</w:t>
            </w:r>
            <w:r>
              <w:rPr>
                <w:rFonts w:hint="default" w:ascii="Times New Roman" w:hAnsi="Times New Roman" w:cs="Times New Roman"/>
                <w:bCs/>
                <w:szCs w:val="21"/>
                <w:highlight w:val="none"/>
                <w:lang w:eastAsia="zh-CN"/>
              </w:rPr>
              <w:t>外排</w:t>
            </w:r>
            <w:r>
              <w:rPr>
                <w:rFonts w:hint="eastAsia" w:cs="Times New Roman"/>
                <w:bCs/>
                <w:szCs w:val="21"/>
                <w:highlight w:val="none"/>
                <w:lang w:eastAsia="zh-CN"/>
              </w:rPr>
              <w:t>。</w:t>
            </w:r>
          </w:p>
        </w:tc>
        <w:tc>
          <w:tcPr>
            <w:tcW w:w="2887" w:type="dxa"/>
            <w:shd w:val="clear" w:color="auto" w:fill="auto"/>
            <w:vAlign w:val="center"/>
          </w:tcPr>
          <w:p w14:paraId="364223FF">
            <w:pPr>
              <w:adjustRightInd w:val="0"/>
              <w:snapToGrid w:val="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颗粒物执行</w:t>
            </w:r>
            <w:r>
              <w:rPr>
                <w:rFonts w:hint="default" w:ascii="Times New Roman" w:hAnsi="Times New Roman" w:eastAsia="宋体" w:cs="Times New Roman"/>
                <w:color w:val="000000" w:themeColor="text1"/>
                <w:sz w:val="21"/>
                <w:szCs w:val="21"/>
                <w:highlight w:val="none"/>
                <w14:textFill>
                  <w14:solidFill>
                    <w14:schemeClr w14:val="tx1"/>
                  </w14:solidFill>
                </w14:textFill>
              </w:rPr>
              <w:t>广东省地方标准《大气污染物排放限值》（DB44/27-2001）中表2第二时段的二级标准</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和</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关于印发《工业炉窑大气污染综合治理方案》的通知环大气[2019]56号</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文中提及的</w:t>
            </w:r>
            <w:r>
              <w:rPr>
                <w:rFonts w:hint="default" w:ascii="Times New Roman" w:hAnsi="Times New Roman" w:eastAsia="宋体" w:cs="Times New Roman"/>
                <w:color w:val="000000" w:themeColor="text1"/>
                <w:sz w:val="21"/>
                <w:szCs w:val="21"/>
                <w:highlight w:val="none"/>
                <w:shd w:val="clear" w:color="auto" w:fill="FFFFFF"/>
                <w14:textFill>
                  <w14:solidFill>
                    <w14:schemeClr w14:val="tx1"/>
                  </w14:solidFill>
                </w14:textFill>
              </w:rPr>
              <w:t>重点区域原则上按照颗粒物、二氧化硫、氮氧化物排放限值分别不高于30、200、300毫克/立方米的</w:t>
            </w:r>
            <w:r>
              <w:rPr>
                <w:rFonts w:hint="default" w:ascii="Times New Roman" w:hAnsi="Times New Roman" w:eastAsia="宋体" w:cs="Times New Roman"/>
                <w:color w:val="000000" w:themeColor="text1"/>
                <w:sz w:val="21"/>
                <w:szCs w:val="21"/>
                <w:highlight w:val="none"/>
                <w:shd w:val="clear" w:color="auto" w:fill="FFFFFF"/>
                <w:lang w:val="en-US" w:eastAsia="zh-CN"/>
                <w14:textFill>
                  <w14:solidFill>
                    <w14:schemeClr w14:val="tx1"/>
                  </w14:solidFill>
                </w14:textFill>
              </w:rPr>
              <w:t>严者；</w:t>
            </w:r>
          </w:p>
          <w:p w14:paraId="0E536E38">
            <w:pPr>
              <w:adjustRightInd w:val="0"/>
              <w:snapToGrid w:val="0"/>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SO</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、NOx</w:t>
            </w:r>
            <w:r>
              <w:rPr>
                <w:rFonts w:hint="default" w:ascii="Times New Roman" w:hAnsi="Times New Roman" w:eastAsia="宋体" w:cs="Times New Roman"/>
                <w:color w:val="000000" w:themeColor="text1"/>
                <w:sz w:val="21"/>
                <w:szCs w:val="21"/>
                <w:highlight w:val="none"/>
                <w14:textFill>
                  <w14:solidFill>
                    <w14:schemeClr w14:val="tx1"/>
                  </w14:solidFill>
                </w14:textFill>
              </w:rPr>
              <w:t>排放标准按照“关于印发《工业炉窑大气污染综合治理方案》的通知环大气[2019]56号”重点区域原则上按照颗粒物、二氧化硫、氮氧化物排放限值分别不高于30、200、300毫克/立方米要求执行。</w:t>
            </w:r>
          </w:p>
        </w:tc>
      </w:tr>
      <w:tr w14:paraId="592AC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858" w:type="dxa"/>
            <w:vMerge w:val="continue"/>
            <w:vAlign w:val="center"/>
          </w:tcPr>
          <w:p w14:paraId="70316F54">
            <w:pPr>
              <w:adjustRightInd w:val="0"/>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505" w:type="dxa"/>
            <w:vAlign w:val="center"/>
          </w:tcPr>
          <w:p w14:paraId="27865F27">
            <w:pPr>
              <w:widowControl/>
              <w:jc w:val="center"/>
              <w:textAlignment w:val="cente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bidi="ar"/>
                <w14:textFill>
                  <w14:solidFill>
                    <w14:schemeClr w14:val="tx1"/>
                  </w14:solidFill>
                </w14:textFill>
              </w:rPr>
              <w:t>无组织</w:t>
            </w:r>
          </w:p>
        </w:tc>
        <w:tc>
          <w:tcPr>
            <w:tcW w:w="1250" w:type="dxa"/>
            <w:vAlign w:val="center"/>
          </w:tcPr>
          <w:p w14:paraId="26440161">
            <w:pPr>
              <w:adjustRightInd w:val="0"/>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颗粒物</w:t>
            </w:r>
          </w:p>
        </w:tc>
        <w:tc>
          <w:tcPr>
            <w:tcW w:w="2238" w:type="dxa"/>
            <w:vAlign w:val="center"/>
          </w:tcPr>
          <w:p w14:paraId="555B7A42">
            <w:pP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加强管理，采取及时清扫洒落的散料、进出料口加装软性布袋口、密封运输等措施</w:t>
            </w:r>
          </w:p>
        </w:tc>
        <w:tc>
          <w:tcPr>
            <w:tcW w:w="2887" w:type="dxa"/>
            <w:vAlign w:val="center"/>
          </w:tcPr>
          <w:p w14:paraId="4FF81DFB">
            <w:pPr>
              <w:adjustRightInd w:val="0"/>
              <w:snapToGrid w:val="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厂区无组织粉尘废气排放执行广东省地方标准《大气污染物排放限值》（DB44/27-2001）中第二时段无组织排放监控浓度限值</w:t>
            </w:r>
          </w:p>
        </w:tc>
      </w:tr>
      <w:tr w14:paraId="75C36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58" w:type="dxa"/>
            <w:vAlign w:val="center"/>
          </w:tcPr>
          <w:p w14:paraId="612FAA08">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地表水环境</w:t>
            </w:r>
          </w:p>
        </w:tc>
        <w:tc>
          <w:tcPr>
            <w:tcW w:w="1505" w:type="dxa"/>
            <w:vAlign w:val="center"/>
          </w:tcPr>
          <w:p w14:paraId="4EDB1E83">
            <w:pPr>
              <w:adjustRightInd w:val="0"/>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生活污水排放口（DW001）</w:t>
            </w:r>
          </w:p>
        </w:tc>
        <w:tc>
          <w:tcPr>
            <w:tcW w:w="1250" w:type="dxa"/>
            <w:vAlign w:val="center"/>
          </w:tcPr>
          <w:p w14:paraId="79132792">
            <w:pPr>
              <w:adjustRightInd w:val="0"/>
              <w:snapToGrid w:val="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pH值、COD、BOD</w:t>
            </w:r>
            <w:r>
              <w:rPr>
                <w:rFonts w:hint="default" w:ascii="Times New Roman" w:hAnsi="Times New Roman" w:eastAsia="宋体" w:cs="Times New Roman"/>
                <w:color w:val="000000" w:themeColor="text1"/>
                <w:kern w:val="0"/>
                <w:sz w:val="21"/>
                <w:szCs w:val="21"/>
                <w:highlight w:val="none"/>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、SS</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NH</w:t>
            </w:r>
            <w:r>
              <w:rPr>
                <w:rFonts w:hint="default" w:ascii="Times New Roman" w:hAnsi="Times New Roman" w:eastAsia="宋体" w:cs="Times New Roman"/>
                <w:color w:val="000000" w:themeColor="text1"/>
                <w:kern w:val="0"/>
                <w:sz w:val="21"/>
                <w:szCs w:val="21"/>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-N</w:t>
            </w:r>
          </w:p>
        </w:tc>
        <w:tc>
          <w:tcPr>
            <w:tcW w:w="2238" w:type="dxa"/>
            <w:vAlign w:val="center"/>
          </w:tcPr>
          <w:p w14:paraId="5050AACC">
            <w:pPr>
              <w:adjustRightInd w:val="0"/>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三级化粪池</w:t>
            </w:r>
          </w:p>
        </w:tc>
        <w:tc>
          <w:tcPr>
            <w:tcW w:w="2887" w:type="dxa"/>
            <w:vAlign w:val="center"/>
          </w:tcPr>
          <w:p w14:paraId="387D2480">
            <w:pP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处理达到</w:t>
            </w:r>
            <w:r>
              <w:rPr>
                <w:rFonts w:hint="default" w:ascii="Times New Roman" w:hAnsi="Times New Roman" w:eastAsia="宋体" w:cs="Times New Roman"/>
                <w:sz w:val="21"/>
                <w:szCs w:val="21"/>
                <w:highlight w:val="none"/>
              </w:rPr>
              <w:t>《农田灌溉水质标准》（GB 5084-2021）中“表1农田灌溉用水水质基本控制项目标准值”</w:t>
            </w:r>
            <w:r>
              <w:rPr>
                <w:rFonts w:hint="default" w:ascii="Times New Roman" w:hAnsi="Times New Roman" w:eastAsia="宋体" w:cs="Times New Roman"/>
                <w:sz w:val="21"/>
                <w:szCs w:val="21"/>
                <w:highlight w:val="none"/>
                <w:lang w:val="en-US" w:eastAsia="zh-CN"/>
              </w:rPr>
              <w:t>后回用于附近山林灌溉，不排放</w:t>
            </w:r>
          </w:p>
        </w:tc>
      </w:tr>
      <w:tr w14:paraId="4A944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58" w:type="dxa"/>
            <w:vAlign w:val="center"/>
          </w:tcPr>
          <w:p w14:paraId="17FFEC42">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声环境</w:t>
            </w:r>
          </w:p>
        </w:tc>
        <w:tc>
          <w:tcPr>
            <w:tcW w:w="1505" w:type="dxa"/>
            <w:vAlign w:val="center"/>
          </w:tcPr>
          <w:p w14:paraId="1D265828">
            <w:pPr>
              <w:adjustRightInd w:val="0"/>
              <w:snapToGrid w:val="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生产及辅助</w:t>
            </w:r>
          </w:p>
          <w:p w14:paraId="1ED727A2">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设备</w:t>
            </w:r>
          </w:p>
        </w:tc>
        <w:tc>
          <w:tcPr>
            <w:tcW w:w="1250" w:type="dxa"/>
            <w:vAlign w:val="center"/>
          </w:tcPr>
          <w:p w14:paraId="60132E76">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噪声</w:t>
            </w:r>
          </w:p>
        </w:tc>
        <w:tc>
          <w:tcPr>
            <w:tcW w:w="2238" w:type="dxa"/>
            <w:vAlign w:val="center"/>
          </w:tcPr>
          <w:p w14:paraId="792E22BF">
            <w:pPr>
              <w:adjustRightInd w:val="0"/>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合理布置、消声减震、建筑物隔声</w:t>
            </w:r>
          </w:p>
        </w:tc>
        <w:tc>
          <w:tcPr>
            <w:tcW w:w="2887" w:type="dxa"/>
            <w:vAlign w:val="center"/>
          </w:tcPr>
          <w:p w14:paraId="570AB25D">
            <w:pPr>
              <w:adjustRightInd w:val="0"/>
              <w:snapToGrid w:val="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《工业企业厂界环境噪声排放标准》（GB12348-2008）中2类排放标准</w:t>
            </w:r>
          </w:p>
        </w:tc>
      </w:tr>
      <w:tr w14:paraId="5F5C3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58" w:type="dxa"/>
            <w:vAlign w:val="center"/>
          </w:tcPr>
          <w:p w14:paraId="2EAFD6FD">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电磁辐射</w:t>
            </w:r>
          </w:p>
        </w:tc>
        <w:tc>
          <w:tcPr>
            <w:tcW w:w="7880" w:type="dxa"/>
            <w:gridSpan w:val="4"/>
            <w:vAlign w:val="center"/>
          </w:tcPr>
          <w:p w14:paraId="1A75C0FD">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无</w:t>
            </w:r>
          </w:p>
        </w:tc>
      </w:tr>
      <w:tr w14:paraId="5E04B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858" w:type="dxa"/>
            <w:vAlign w:val="center"/>
          </w:tcPr>
          <w:p w14:paraId="7198373E">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固体废物</w:t>
            </w:r>
          </w:p>
        </w:tc>
        <w:tc>
          <w:tcPr>
            <w:tcW w:w="7880" w:type="dxa"/>
            <w:gridSpan w:val="4"/>
            <w:vAlign w:val="center"/>
          </w:tcPr>
          <w:p w14:paraId="1CC7E1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w:t>
            </w:r>
            <w:r>
              <w:rPr>
                <w:rFonts w:hint="default" w:ascii="Times New Roman" w:hAnsi="Times New Roman" w:eastAsia="宋体" w:cs="Times New Roman"/>
                <w:color w:val="000000" w:themeColor="text1"/>
                <w:sz w:val="21"/>
                <w:szCs w:val="21"/>
                <w:highlight w:val="none"/>
                <w14:textFill>
                  <w14:solidFill>
                    <w14:schemeClr w14:val="tx1"/>
                  </w14:solidFill>
                </w14:textFill>
              </w:rPr>
              <w:t>活垃圾</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eastAsia" w:cs="Times New Roman"/>
                <w:color w:val="000000"/>
                <w:kern w:val="0"/>
                <w:sz w:val="21"/>
                <w:szCs w:val="21"/>
                <w:highlight w:val="none"/>
                <w:lang w:val="en-US" w:eastAsia="zh-CN"/>
              </w:rPr>
              <w:t>喷淋除尘脱硫塔</w:t>
            </w:r>
            <w:r>
              <w:rPr>
                <w:rFonts w:hint="default" w:ascii="Times New Roman" w:hAnsi="Times New Roman" w:eastAsia="宋体" w:cs="Times New Roman"/>
                <w:color w:val="000000" w:themeColor="text1"/>
                <w:sz w:val="21"/>
                <w:szCs w:val="21"/>
                <w:highlight w:val="none"/>
                <w14:textFill>
                  <w14:solidFill>
                    <w14:schemeClr w14:val="tx1"/>
                  </w14:solidFill>
                </w14:textFill>
              </w:rPr>
              <w:t>沉渣委托当地环</w:t>
            </w:r>
            <w:r>
              <w:rPr>
                <w:rFonts w:hint="default" w:ascii="Times New Roman" w:hAnsi="Times New Roman" w:eastAsia="宋体" w:cs="Times New Roman"/>
                <w:color w:val="000000"/>
                <w:kern w:val="0"/>
                <w:sz w:val="21"/>
                <w:szCs w:val="21"/>
                <w:highlight w:val="none"/>
                <w:lang w:val="en-US" w:eastAsia="zh-CN"/>
              </w:rPr>
              <w:t>卫部门清运处理；碳化渣作炭化窑点火引燃材料用；燃料灰渣</w:t>
            </w:r>
            <w:r>
              <w:rPr>
                <w:rFonts w:hint="default" w:ascii="Times New Roman" w:hAnsi="Times New Roman" w:eastAsia="宋体" w:cs="Times New Roman"/>
                <w:color w:val="000000" w:themeColor="text1"/>
                <w:sz w:val="21"/>
                <w:szCs w:val="21"/>
                <w:highlight w:val="none"/>
                <w14:textFill>
                  <w14:solidFill>
                    <w14:schemeClr w14:val="tx1"/>
                  </w14:solidFill>
                </w14:textFill>
              </w:rPr>
              <w:t>收集后</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用作农肥；旋风除尘器收集的粉尘回用于生产；本项目</w:t>
            </w:r>
            <w:r>
              <w:rPr>
                <w:rFonts w:hint="default" w:ascii="Times New Roman" w:hAnsi="Times New Roman" w:eastAsia="宋体" w:cs="Times New Roman"/>
                <w:color w:val="000000" w:themeColor="text1"/>
                <w:sz w:val="21"/>
                <w:szCs w:val="21"/>
                <w:highlight w:val="none"/>
                <w14:textFill>
                  <w14:solidFill>
                    <w14:schemeClr w14:val="tx1"/>
                  </w14:solidFill>
                </w14:textFill>
              </w:rPr>
              <w:t>不产生额外废弃物。</w:t>
            </w:r>
          </w:p>
        </w:tc>
      </w:tr>
      <w:tr w14:paraId="71B67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858" w:type="dxa"/>
            <w:vAlign w:val="center"/>
          </w:tcPr>
          <w:p w14:paraId="52148097">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土壤及地下水</w:t>
            </w:r>
          </w:p>
          <w:p w14:paraId="483FF6E1">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污染防治措施</w:t>
            </w:r>
          </w:p>
        </w:tc>
        <w:tc>
          <w:tcPr>
            <w:tcW w:w="7880" w:type="dxa"/>
            <w:gridSpan w:val="4"/>
            <w:vAlign w:val="center"/>
          </w:tcPr>
          <w:p w14:paraId="39BCB297">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地面做好硬化、防渗漏处理</w:t>
            </w:r>
          </w:p>
        </w:tc>
      </w:tr>
      <w:tr w14:paraId="39BFF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858" w:type="dxa"/>
            <w:vAlign w:val="center"/>
          </w:tcPr>
          <w:p w14:paraId="1F4B424B">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生态保护措施</w:t>
            </w:r>
          </w:p>
        </w:tc>
        <w:tc>
          <w:tcPr>
            <w:tcW w:w="7880" w:type="dxa"/>
            <w:gridSpan w:val="4"/>
            <w:vAlign w:val="center"/>
          </w:tcPr>
          <w:p w14:paraId="7A43ACBA">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加强厂区绿化</w:t>
            </w:r>
          </w:p>
        </w:tc>
      </w:tr>
      <w:tr w14:paraId="6D23C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858" w:type="dxa"/>
            <w:vAlign w:val="center"/>
          </w:tcPr>
          <w:p w14:paraId="258883D7">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环境风险</w:t>
            </w:r>
          </w:p>
          <w:p w14:paraId="2B51D00E">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防范措施</w:t>
            </w:r>
          </w:p>
        </w:tc>
        <w:tc>
          <w:tcPr>
            <w:tcW w:w="7880" w:type="dxa"/>
            <w:gridSpan w:val="4"/>
            <w:vAlign w:val="center"/>
          </w:tcPr>
          <w:p w14:paraId="0C18B953">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r w14:paraId="77246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858" w:type="dxa"/>
            <w:vAlign w:val="center"/>
          </w:tcPr>
          <w:p w14:paraId="0C709395">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其他环境</w:t>
            </w:r>
          </w:p>
          <w:p w14:paraId="3F48455B">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管理要求</w:t>
            </w:r>
          </w:p>
        </w:tc>
        <w:tc>
          <w:tcPr>
            <w:tcW w:w="7880" w:type="dxa"/>
            <w:gridSpan w:val="4"/>
            <w:vAlign w:val="center"/>
          </w:tcPr>
          <w:p w14:paraId="780E5447">
            <w:pPr>
              <w:adjustRightInd w:val="0"/>
              <w:snapToGrid w:val="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r>
    </w:tbl>
    <w:p w14:paraId="463BCF32">
      <w:pPr>
        <w:pStyle w:val="29"/>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outlineLvl w:val="0"/>
        <w:rPr>
          <w:rFonts w:ascii="Times New Roman" w:hAnsi="Times New Roman" w:eastAsia="黑体"/>
          <w:snapToGrid w:val="0"/>
          <w:sz w:val="30"/>
          <w:szCs w:val="30"/>
          <w:highlight w:val="none"/>
        </w:rPr>
      </w:pPr>
      <w:r>
        <w:rPr>
          <w:rFonts w:ascii="Times New Roman" w:hAnsi="Times New Roman"/>
          <w:snapToGrid w:val="0"/>
          <w:highlight w:val="none"/>
        </w:rPr>
        <w:br w:type="page"/>
      </w:r>
      <w:bookmarkStart w:id="23" w:name="_Toc15044"/>
      <w:bookmarkStart w:id="24" w:name="_Toc2388"/>
      <w:r>
        <w:rPr>
          <w:rFonts w:ascii="Times New Roman" w:hAnsi="Times New Roman" w:eastAsia="黑体" w:cs="Times New Roman"/>
          <w:snapToGrid w:val="0"/>
          <w:sz w:val="30"/>
          <w:szCs w:val="30"/>
          <w:highlight w:val="none"/>
        </w:rPr>
        <w:t>六、结论</w:t>
      </w:r>
      <w:bookmarkEnd w:id="23"/>
      <w:bookmarkEnd w:id="24"/>
    </w:p>
    <w:tbl>
      <w:tblPr>
        <w:tblStyle w:val="34"/>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8D02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7" w:hRule="atLeast"/>
          <w:jc w:val="center"/>
        </w:trPr>
        <w:tc>
          <w:tcPr>
            <w:tcW w:w="8865" w:type="dxa"/>
            <w:vAlign w:val="center"/>
          </w:tcPr>
          <w:p w14:paraId="76E3315B">
            <w:pPr>
              <w:adjustRightInd w:val="0"/>
              <w:snapToGrid w:val="0"/>
              <w:spacing w:before="120" w:beforeLines="50" w:line="360" w:lineRule="auto"/>
              <w:ind w:firstLine="482" w:firstLineChars="200"/>
              <w:rPr>
                <w:b/>
                <w:sz w:val="24"/>
                <w:highlight w:val="none"/>
              </w:rPr>
            </w:pPr>
            <w:r>
              <w:rPr>
                <w:rFonts w:hint="eastAsia" w:hAnsi="宋体"/>
                <w:b/>
                <w:sz w:val="24"/>
                <w:highlight w:val="none"/>
                <w:lang w:eastAsia="zh-CN"/>
              </w:rPr>
              <w:t>乐昌市恒烨木炭加工厂</w:t>
            </w:r>
            <w:r>
              <w:rPr>
                <w:rFonts w:hAnsi="宋体"/>
                <w:b/>
                <w:sz w:val="24"/>
                <w:highlight w:val="none"/>
              </w:rPr>
              <w:t>拟投资</w:t>
            </w:r>
            <w:r>
              <w:rPr>
                <w:rFonts w:hint="eastAsia"/>
                <w:b/>
                <w:sz w:val="24"/>
                <w:highlight w:val="none"/>
                <w:lang w:val="en-US" w:eastAsia="zh-CN"/>
              </w:rPr>
              <w:t>518</w:t>
            </w:r>
            <w:r>
              <w:rPr>
                <w:rFonts w:hint="eastAsia" w:hAnsi="宋体"/>
                <w:b/>
                <w:sz w:val="24"/>
                <w:highlight w:val="none"/>
              </w:rPr>
              <w:t>万元</w:t>
            </w:r>
            <w:r>
              <w:rPr>
                <w:rFonts w:hint="eastAsia" w:hAnsi="宋体"/>
                <w:b/>
                <w:sz w:val="24"/>
                <w:highlight w:val="none"/>
                <w:lang w:val="en-US" w:eastAsia="zh-CN"/>
              </w:rPr>
              <w:t>选</w:t>
            </w:r>
            <w:r>
              <w:rPr>
                <w:rFonts w:hint="eastAsia" w:ascii="宋体" w:hAnsi="宋体"/>
                <w:b/>
                <w:sz w:val="24"/>
                <w:highlight w:val="none"/>
                <w:lang w:val="en-US" w:eastAsia="zh-CN"/>
              </w:rPr>
              <w:t>址</w:t>
            </w:r>
            <w:r>
              <w:rPr>
                <w:rFonts w:hint="eastAsia" w:ascii="宋体" w:hAnsi="宋体"/>
                <w:b/>
                <w:sz w:val="24"/>
                <w:highlight w:val="none"/>
                <w:lang w:eastAsia="zh-CN"/>
              </w:rPr>
              <w:t>乐昌市乐城街道西联村老虎头（原乐舜电力发展有限公司内）</w:t>
            </w:r>
            <w:r>
              <w:rPr>
                <w:rFonts w:hint="eastAsia" w:ascii="宋体" w:hAnsi="宋体"/>
                <w:b/>
                <w:sz w:val="24"/>
                <w:highlight w:val="none"/>
              </w:rPr>
              <w:t>建设</w:t>
            </w:r>
            <w:r>
              <w:rPr>
                <w:rFonts w:hint="eastAsia" w:ascii="宋体" w:hAnsi="宋体"/>
                <w:b/>
                <w:sz w:val="24"/>
                <w:highlight w:val="none"/>
                <w:lang w:eastAsia="zh-CN"/>
              </w:rPr>
              <w:t>乐昌市恒烨木炭加工厂建设项目，</w:t>
            </w:r>
            <w:r>
              <w:rPr>
                <w:rFonts w:hint="eastAsia" w:ascii="宋体" w:hAnsi="宋体"/>
                <w:b/>
                <w:sz w:val="24"/>
                <w:highlight w:val="none"/>
                <w:lang w:val="en-US" w:eastAsia="zh-CN"/>
              </w:rPr>
              <w:t>项目建成后可形成年产2000吨环保机制炭的生产规模</w:t>
            </w:r>
            <w:r>
              <w:rPr>
                <w:rFonts w:hint="eastAsia" w:ascii="宋体" w:hAnsi="宋体"/>
                <w:b/>
                <w:sz w:val="24"/>
                <w:highlight w:val="none"/>
              </w:rPr>
              <w:t>。该项目符合国家和地方的产业政策，符合“三线一单”管控要求，</w:t>
            </w:r>
            <w:r>
              <w:rPr>
                <w:rFonts w:ascii="宋体" w:hAnsi="宋体"/>
                <w:b/>
                <w:sz w:val="24"/>
                <w:highlight w:val="none"/>
              </w:rPr>
              <w:t>选址合理。</w:t>
            </w:r>
            <w:r>
              <w:rPr>
                <w:rFonts w:hint="eastAsia" w:ascii="宋体" w:hAnsi="宋体"/>
                <w:b/>
                <w:sz w:val="24"/>
                <w:highlight w:val="none"/>
              </w:rPr>
              <w:t>对于项目建设期和运营过程中产生的各类污染物，建设单位提出了切实可行有效的治理措施，能做到污染物达标排放，对环境的影响在可接受范围内。</w:t>
            </w:r>
          </w:p>
          <w:p w14:paraId="32D30664">
            <w:pPr>
              <w:pStyle w:val="19"/>
              <w:spacing w:line="360" w:lineRule="auto"/>
              <w:ind w:firstLine="482" w:firstLineChars="200"/>
              <w:rPr>
                <w:rFonts w:ascii="Times New Roman" w:hAnsi="宋体" w:cs="Times New Roman"/>
                <w:b/>
                <w:sz w:val="24"/>
                <w:szCs w:val="24"/>
                <w:highlight w:val="none"/>
              </w:rPr>
            </w:pPr>
            <w:r>
              <w:rPr>
                <w:rFonts w:hAnsi="宋体" w:cs="Times New Roman"/>
                <w:b/>
                <w:sz w:val="24"/>
                <w:szCs w:val="24"/>
                <w:highlight w:val="none"/>
              </w:rPr>
              <w:t>综上所述，从环境保护角度</w:t>
            </w:r>
            <w:r>
              <w:rPr>
                <w:rFonts w:hint="eastAsia" w:hAnsi="宋体" w:cs="Times New Roman"/>
                <w:b/>
                <w:sz w:val="24"/>
                <w:szCs w:val="24"/>
                <w:highlight w:val="none"/>
              </w:rPr>
              <w:t>考虑</w:t>
            </w:r>
            <w:r>
              <w:rPr>
                <w:rFonts w:hAnsi="宋体" w:cs="Times New Roman"/>
                <w:b/>
                <w:sz w:val="24"/>
                <w:szCs w:val="24"/>
                <w:highlight w:val="none"/>
              </w:rPr>
              <w:t>，本项目是可行的。</w:t>
            </w:r>
          </w:p>
          <w:p w14:paraId="7A0B529C">
            <w:pPr>
              <w:spacing w:line="360" w:lineRule="auto"/>
              <w:ind w:firstLine="482" w:firstLineChars="200"/>
              <w:rPr>
                <w:b/>
                <w:sz w:val="24"/>
                <w:highlight w:val="none"/>
              </w:rPr>
            </w:pPr>
          </w:p>
          <w:p w14:paraId="6E6B0F63">
            <w:pPr>
              <w:spacing w:line="360" w:lineRule="auto"/>
              <w:ind w:firstLine="482" w:firstLineChars="200"/>
              <w:rPr>
                <w:b/>
                <w:sz w:val="24"/>
                <w:highlight w:val="none"/>
              </w:rPr>
            </w:pPr>
          </w:p>
          <w:p w14:paraId="647FD5D9">
            <w:pPr>
              <w:spacing w:line="360" w:lineRule="auto"/>
              <w:ind w:firstLine="482" w:firstLineChars="200"/>
              <w:rPr>
                <w:b/>
                <w:sz w:val="24"/>
                <w:highlight w:val="none"/>
              </w:rPr>
            </w:pPr>
          </w:p>
          <w:p w14:paraId="7861C82E">
            <w:pPr>
              <w:spacing w:line="360" w:lineRule="auto"/>
              <w:ind w:firstLine="482" w:firstLineChars="200"/>
              <w:rPr>
                <w:b/>
                <w:sz w:val="24"/>
                <w:highlight w:val="none"/>
              </w:rPr>
            </w:pPr>
          </w:p>
          <w:p w14:paraId="6776CF09">
            <w:pPr>
              <w:spacing w:line="360" w:lineRule="auto"/>
              <w:rPr>
                <w:b/>
                <w:sz w:val="24"/>
                <w:highlight w:val="none"/>
              </w:rPr>
            </w:pPr>
          </w:p>
          <w:p w14:paraId="76085505">
            <w:pPr>
              <w:pStyle w:val="44"/>
              <w:rPr>
                <w:rFonts w:ascii="Times New Roman" w:hAnsi="Times New Roman" w:cs="Times New Roman"/>
                <w:b/>
                <w:color w:val="auto"/>
                <w:highlight w:val="none"/>
              </w:rPr>
            </w:pPr>
          </w:p>
          <w:p w14:paraId="7DCDD9A3">
            <w:pPr>
              <w:rPr>
                <w:b/>
                <w:sz w:val="24"/>
                <w:highlight w:val="none"/>
              </w:rPr>
            </w:pPr>
          </w:p>
          <w:p w14:paraId="50142960">
            <w:pPr>
              <w:pStyle w:val="44"/>
              <w:rPr>
                <w:rFonts w:ascii="Times New Roman" w:hAnsi="Times New Roman" w:cs="Times New Roman"/>
                <w:b/>
                <w:color w:val="auto"/>
                <w:highlight w:val="none"/>
              </w:rPr>
            </w:pPr>
          </w:p>
          <w:p w14:paraId="7D54AE2E">
            <w:pPr>
              <w:pStyle w:val="44"/>
              <w:rPr>
                <w:rFonts w:ascii="Times New Roman" w:hAnsi="Times New Roman" w:cs="Times New Roman"/>
                <w:b/>
                <w:color w:val="auto"/>
                <w:highlight w:val="none"/>
              </w:rPr>
            </w:pPr>
          </w:p>
          <w:p w14:paraId="58334F25">
            <w:pPr>
              <w:rPr>
                <w:b/>
                <w:sz w:val="24"/>
                <w:highlight w:val="none"/>
              </w:rPr>
            </w:pPr>
          </w:p>
          <w:p w14:paraId="677F22BF">
            <w:pPr>
              <w:pStyle w:val="11"/>
              <w:jc w:val="both"/>
              <w:rPr>
                <w:rFonts w:ascii="Times New Roman" w:hAnsi="Times New Roman" w:cs="Times New Roman"/>
                <w:b/>
                <w:highlight w:val="none"/>
              </w:rPr>
            </w:pPr>
          </w:p>
          <w:p w14:paraId="10E8141D">
            <w:pPr>
              <w:rPr>
                <w:b/>
                <w:sz w:val="24"/>
                <w:highlight w:val="none"/>
              </w:rPr>
            </w:pPr>
          </w:p>
          <w:p w14:paraId="56249AFA">
            <w:pPr>
              <w:pStyle w:val="11"/>
              <w:rPr>
                <w:rFonts w:ascii="Times New Roman" w:hAnsi="Times New Roman" w:cs="Times New Roman"/>
                <w:b/>
                <w:highlight w:val="none"/>
              </w:rPr>
            </w:pPr>
          </w:p>
          <w:p w14:paraId="4F60F0F5">
            <w:pPr>
              <w:rPr>
                <w:b/>
                <w:sz w:val="24"/>
                <w:highlight w:val="none"/>
              </w:rPr>
            </w:pPr>
          </w:p>
          <w:p w14:paraId="3E6B745A">
            <w:pPr>
              <w:pStyle w:val="11"/>
              <w:rPr>
                <w:rFonts w:ascii="Times New Roman" w:hAnsi="Times New Roman" w:cs="Times New Roman"/>
                <w:highlight w:val="none"/>
              </w:rPr>
            </w:pPr>
          </w:p>
          <w:p w14:paraId="2A1DA6D1">
            <w:pPr>
              <w:pStyle w:val="44"/>
              <w:rPr>
                <w:rFonts w:ascii="Times New Roman" w:hAnsi="Times New Roman" w:cs="Times New Roman"/>
                <w:b/>
                <w:color w:val="auto"/>
                <w:highlight w:val="none"/>
              </w:rPr>
            </w:pPr>
          </w:p>
          <w:p w14:paraId="3057B312">
            <w:pPr>
              <w:rPr>
                <w:b/>
                <w:sz w:val="24"/>
                <w:highlight w:val="none"/>
              </w:rPr>
            </w:pPr>
          </w:p>
          <w:p w14:paraId="04DFD77E">
            <w:pPr>
              <w:pStyle w:val="44"/>
              <w:rPr>
                <w:rFonts w:ascii="Times New Roman" w:hAnsi="Times New Roman" w:cs="Times New Roman"/>
                <w:b/>
                <w:color w:val="auto"/>
                <w:highlight w:val="none"/>
              </w:rPr>
            </w:pPr>
          </w:p>
          <w:p w14:paraId="7178CCE6">
            <w:pPr>
              <w:pStyle w:val="26"/>
              <w:ind w:left="420" w:hanging="420"/>
              <w:rPr>
                <w:highlight w:val="none"/>
              </w:rPr>
            </w:pPr>
          </w:p>
          <w:p w14:paraId="35CE01AC">
            <w:pPr>
              <w:pStyle w:val="26"/>
              <w:ind w:left="420" w:hanging="420"/>
              <w:rPr>
                <w:highlight w:val="none"/>
              </w:rPr>
            </w:pPr>
          </w:p>
          <w:p w14:paraId="5686005A">
            <w:pPr>
              <w:pStyle w:val="26"/>
              <w:ind w:left="420" w:hanging="420"/>
              <w:rPr>
                <w:highlight w:val="none"/>
              </w:rPr>
            </w:pPr>
          </w:p>
          <w:p w14:paraId="3484DA6A">
            <w:pPr>
              <w:pStyle w:val="26"/>
              <w:ind w:left="420" w:hanging="420"/>
              <w:rPr>
                <w:highlight w:val="none"/>
              </w:rPr>
            </w:pPr>
          </w:p>
          <w:p w14:paraId="42B28894">
            <w:pPr>
              <w:pStyle w:val="26"/>
              <w:ind w:left="420" w:hanging="420"/>
              <w:rPr>
                <w:highlight w:val="none"/>
              </w:rPr>
            </w:pPr>
          </w:p>
          <w:p w14:paraId="599121AB">
            <w:pPr>
              <w:pStyle w:val="26"/>
              <w:ind w:left="420" w:hanging="420"/>
              <w:rPr>
                <w:highlight w:val="none"/>
              </w:rPr>
            </w:pPr>
          </w:p>
          <w:p w14:paraId="17807A5A">
            <w:pPr>
              <w:pStyle w:val="26"/>
              <w:ind w:left="420" w:hanging="420"/>
              <w:rPr>
                <w:highlight w:val="none"/>
              </w:rPr>
            </w:pPr>
          </w:p>
          <w:p w14:paraId="00D1DFAC">
            <w:pPr>
              <w:pStyle w:val="26"/>
              <w:ind w:left="420" w:hanging="420"/>
              <w:rPr>
                <w:highlight w:val="none"/>
              </w:rPr>
            </w:pPr>
          </w:p>
          <w:p w14:paraId="48506D5B">
            <w:pPr>
              <w:pStyle w:val="26"/>
              <w:ind w:left="420" w:hanging="420"/>
              <w:rPr>
                <w:highlight w:val="none"/>
              </w:rPr>
            </w:pPr>
          </w:p>
          <w:p w14:paraId="0A5946E5">
            <w:pPr>
              <w:spacing w:line="360" w:lineRule="auto"/>
              <w:rPr>
                <w:sz w:val="24"/>
                <w:highlight w:val="none"/>
              </w:rPr>
            </w:pPr>
          </w:p>
        </w:tc>
      </w:tr>
    </w:tbl>
    <w:p w14:paraId="1672D726">
      <w:pPr>
        <w:rPr>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05709733">
      <w:pPr>
        <w:pStyle w:val="2"/>
        <w:rPr>
          <w:rFonts w:hint="eastAsia" w:ascii="黑体" w:hAnsi="黑体" w:eastAsia="黑体"/>
          <w:b w:val="0"/>
          <w:bCs w:val="0"/>
          <w:sz w:val="36"/>
          <w:szCs w:val="44"/>
          <w:highlight w:val="none"/>
          <w:lang w:val="en-US" w:eastAsia="zh-CN"/>
        </w:rPr>
      </w:pPr>
      <w:bookmarkStart w:id="25" w:name="_Toc21796"/>
      <w:bookmarkStart w:id="26" w:name="_Toc31382"/>
      <w:bookmarkStart w:id="27" w:name="_Toc5689"/>
      <w:r>
        <w:rPr>
          <w:rFonts w:hint="eastAsia" w:ascii="黑体" w:hAnsi="黑体"/>
          <w:b w:val="0"/>
          <w:bCs w:val="0"/>
          <w:sz w:val="36"/>
          <w:szCs w:val="44"/>
          <w:highlight w:val="none"/>
        </w:rPr>
        <w:t>附表</w:t>
      </w:r>
      <w:bookmarkEnd w:id="25"/>
    </w:p>
    <w:p w14:paraId="2BA299F9">
      <w:pPr>
        <w:tabs>
          <w:tab w:val="center" w:pos="6777"/>
          <w:tab w:val="left" w:pos="10374"/>
        </w:tabs>
        <w:spacing w:before="240"/>
        <w:jc w:val="center"/>
        <w:rPr>
          <w:sz w:val="36"/>
          <w:szCs w:val="44"/>
          <w:highlight w:val="none"/>
        </w:rPr>
      </w:pPr>
      <w:r>
        <w:rPr>
          <w:sz w:val="36"/>
          <w:szCs w:val="44"/>
          <w:highlight w:val="none"/>
        </w:rPr>
        <w:t>建设项目污染物排放量汇总表</w:t>
      </w:r>
      <w:bookmarkEnd w:id="26"/>
      <w:bookmarkEnd w:id="27"/>
      <w:r>
        <w:rPr>
          <w:sz w:val="36"/>
          <w:szCs w:val="44"/>
          <w:highlight w:val="none"/>
        </w:rPr>
        <w:t>（t/a）</w:t>
      </w:r>
    </w:p>
    <w:tbl>
      <w:tblPr>
        <w:tblStyle w:val="34"/>
        <w:tblW w:w="14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753"/>
        <w:gridCol w:w="1543"/>
        <w:gridCol w:w="1329"/>
        <w:gridCol w:w="1772"/>
        <w:gridCol w:w="1624"/>
        <w:gridCol w:w="1835"/>
        <w:gridCol w:w="1637"/>
        <w:gridCol w:w="1337"/>
      </w:tblGrid>
      <w:tr w14:paraId="071A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607" w:type="dxa"/>
            <w:tcMar>
              <w:top w:w="0" w:type="dxa"/>
              <w:left w:w="28" w:type="dxa"/>
              <w:bottom w:w="0" w:type="dxa"/>
              <w:right w:w="28" w:type="dxa"/>
            </w:tcMar>
            <w:vAlign w:val="center"/>
          </w:tcPr>
          <w:p w14:paraId="5453C296">
            <w:pPr>
              <w:adjustRightInd w:val="0"/>
              <w:snapToGrid w:val="0"/>
              <w:spacing w:line="256" w:lineRule="auto"/>
              <w:jc w:val="center"/>
              <w:rPr>
                <w:color w:val="000000"/>
                <w:spacing w:val="-6"/>
                <w:kern w:val="21"/>
                <w:szCs w:val="21"/>
                <w:highlight w:val="none"/>
              </w:rPr>
            </w:pPr>
            <w:bookmarkStart w:id="28" w:name="_Toc32054"/>
            <w:bookmarkStart w:id="29" w:name="_Toc29804"/>
            <w:r>
              <w:rPr>
                <w:color w:val="000000"/>
                <w:spacing w:val="-6"/>
                <w:kern w:val="21"/>
                <w:szCs w:val="21"/>
                <w:highlight w:val="none"/>
              </w:rPr>
              <w:t>项目分类</w:t>
            </w:r>
          </w:p>
        </w:tc>
        <w:tc>
          <w:tcPr>
            <w:tcW w:w="1753" w:type="dxa"/>
            <w:tcMar>
              <w:top w:w="0" w:type="dxa"/>
              <w:left w:w="28" w:type="dxa"/>
              <w:bottom w:w="0" w:type="dxa"/>
              <w:right w:w="28" w:type="dxa"/>
            </w:tcMar>
            <w:vAlign w:val="center"/>
          </w:tcPr>
          <w:p w14:paraId="1AD86A08">
            <w:pPr>
              <w:adjustRightInd w:val="0"/>
              <w:snapToGrid w:val="0"/>
              <w:spacing w:line="256" w:lineRule="auto"/>
              <w:jc w:val="center"/>
              <w:rPr>
                <w:color w:val="000000"/>
                <w:spacing w:val="-6"/>
                <w:kern w:val="21"/>
                <w:szCs w:val="21"/>
                <w:highlight w:val="none"/>
              </w:rPr>
            </w:pPr>
            <w:r>
              <w:rPr>
                <w:color w:val="000000"/>
                <w:spacing w:val="-6"/>
                <w:kern w:val="21"/>
                <w:szCs w:val="21"/>
                <w:highlight w:val="none"/>
              </w:rPr>
              <w:t>污染物名称</w:t>
            </w:r>
          </w:p>
        </w:tc>
        <w:tc>
          <w:tcPr>
            <w:tcW w:w="1543" w:type="dxa"/>
            <w:tcMar>
              <w:top w:w="0" w:type="dxa"/>
              <w:left w:w="28" w:type="dxa"/>
              <w:bottom w:w="0" w:type="dxa"/>
              <w:right w:w="28" w:type="dxa"/>
            </w:tcMar>
            <w:vAlign w:val="center"/>
          </w:tcPr>
          <w:p w14:paraId="00D62787">
            <w:pPr>
              <w:adjustRightInd w:val="0"/>
              <w:snapToGrid w:val="0"/>
              <w:spacing w:line="256" w:lineRule="auto"/>
              <w:jc w:val="center"/>
              <w:rPr>
                <w:color w:val="000000"/>
                <w:spacing w:val="-6"/>
                <w:kern w:val="21"/>
                <w:szCs w:val="21"/>
                <w:highlight w:val="none"/>
              </w:rPr>
            </w:pPr>
            <w:r>
              <w:rPr>
                <w:color w:val="000000"/>
                <w:spacing w:val="-6"/>
                <w:kern w:val="21"/>
                <w:szCs w:val="21"/>
                <w:highlight w:val="none"/>
              </w:rPr>
              <w:t>现有工程</w:t>
            </w:r>
          </w:p>
          <w:p w14:paraId="43642631">
            <w:pPr>
              <w:adjustRightInd w:val="0"/>
              <w:snapToGrid w:val="0"/>
              <w:spacing w:line="256" w:lineRule="auto"/>
              <w:jc w:val="center"/>
              <w:rPr>
                <w:color w:val="000000"/>
                <w:spacing w:val="-6"/>
                <w:kern w:val="21"/>
                <w:szCs w:val="21"/>
                <w:highlight w:val="none"/>
              </w:rPr>
            </w:pPr>
            <w:r>
              <w:rPr>
                <w:color w:val="000000"/>
                <w:spacing w:val="-6"/>
                <w:kern w:val="21"/>
                <w:szCs w:val="21"/>
                <w:highlight w:val="none"/>
              </w:rPr>
              <w:t>排放量（固体废物产生量）</w:t>
            </w:r>
            <w:r>
              <w:rPr>
                <w:rFonts w:hint="eastAsia" w:ascii="宋体" w:hAnsi="宋体" w:cs="宋体"/>
                <w:color w:val="000000"/>
                <w:spacing w:val="-6"/>
                <w:kern w:val="21"/>
                <w:szCs w:val="21"/>
                <w:highlight w:val="none"/>
              </w:rPr>
              <w:t>①</w:t>
            </w:r>
          </w:p>
        </w:tc>
        <w:tc>
          <w:tcPr>
            <w:tcW w:w="1329" w:type="dxa"/>
            <w:tcMar>
              <w:top w:w="0" w:type="dxa"/>
              <w:left w:w="28" w:type="dxa"/>
              <w:bottom w:w="0" w:type="dxa"/>
              <w:right w:w="28" w:type="dxa"/>
            </w:tcMar>
            <w:vAlign w:val="center"/>
          </w:tcPr>
          <w:p w14:paraId="75DE1F57">
            <w:pPr>
              <w:adjustRightInd w:val="0"/>
              <w:snapToGrid w:val="0"/>
              <w:spacing w:line="256" w:lineRule="auto"/>
              <w:jc w:val="center"/>
              <w:rPr>
                <w:color w:val="000000"/>
                <w:spacing w:val="-6"/>
                <w:kern w:val="21"/>
                <w:szCs w:val="21"/>
                <w:highlight w:val="none"/>
              </w:rPr>
            </w:pPr>
            <w:r>
              <w:rPr>
                <w:color w:val="000000"/>
                <w:spacing w:val="-6"/>
                <w:kern w:val="21"/>
                <w:szCs w:val="21"/>
                <w:highlight w:val="none"/>
              </w:rPr>
              <w:t>现有工程</w:t>
            </w:r>
          </w:p>
          <w:p w14:paraId="0465FA9B">
            <w:pPr>
              <w:adjustRightInd w:val="0"/>
              <w:snapToGrid w:val="0"/>
              <w:spacing w:line="256" w:lineRule="auto"/>
              <w:jc w:val="center"/>
              <w:rPr>
                <w:color w:val="000000"/>
                <w:spacing w:val="-6"/>
                <w:kern w:val="21"/>
                <w:szCs w:val="21"/>
                <w:highlight w:val="none"/>
              </w:rPr>
            </w:pPr>
            <w:r>
              <w:rPr>
                <w:color w:val="000000"/>
                <w:spacing w:val="-6"/>
                <w:kern w:val="21"/>
                <w:szCs w:val="21"/>
                <w:highlight w:val="none"/>
              </w:rPr>
              <w:t>许可排放量</w:t>
            </w:r>
            <w:r>
              <w:rPr>
                <w:rFonts w:hint="eastAsia" w:ascii="宋体" w:hAnsi="宋体" w:cs="宋体"/>
                <w:color w:val="000000"/>
                <w:spacing w:val="-6"/>
                <w:kern w:val="21"/>
                <w:szCs w:val="21"/>
                <w:highlight w:val="none"/>
              </w:rPr>
              <w:t>②</w:t>
            </w:r>
          </w:p>
        </w:tc>
        <w:tc>
          <w:tcPr>
            <w:tcW w:w="1772" w:type="dxa"/>
            <w:tcMar>
              <w:top w:w="0" w:type="dxa"/>
              <w:left w:w="28" w:type="dxa"/>
              <w:bottom w:w="0" w:type="dxa"/>
              <w:right w:w="28" w:type="dxa"/>
            </w:tcMar>
            <w:vAlign w:val="center"/>
          </w:tcPr>
          <w:p w14:paraId="231EA5B2">
            <w:pPr>
              <w:adjustRightInd w:val="0"/>
              <w:snapToGrid w:val="0"/>
              <w:spacing w:line="256" w:lineRule="auto"/>
              <w:jc w:val="center"/>
              <w:rPr>
                <w:color w:val="000000"/>
                <w:spacing w:val="-6"/>
                <w:kern w:val="21"/>
                <w:szCs w:val="21"/>
                <w:highlight w:val="none"/>
              </w:rPr>
            </w:pPr>
            <w:r>
              <w:rPr>
                <w:color w:val="000000"/>
                <w:spacing w:val="-6"/>
                <w:kern w:val="21"/>
                <w:szCs w:val="21"/>
                <w:highlight w:val="none"/>
              </w:rPr>
              <w:t>在建工程</w:t>
            </w:r>
          </w:p>
          <w:p w14:paraId="13234865">
            <w:pPr>
              <w:adjustRightInd w:val="0"/>
              <w:snapToGrid w:val="0"/>
              <w:spacing w:line="256" w:lineRule="auto"/>
              <w:jc w:val="center"/>
              <w:rPr>
                <w:color w:val="000000"/>
                <w:spacing w:val="-6"/>
                <w:kern w:val="21"/>
                <w:szCs w:val="21"/>
                <w:highlight w:val="none"/>
              </w:rPr>
            </w:pPr>
            <w:r>
              <w:rPr>
                <w:color w:val="000000"/>
                <w:spacing w:val="-6"/>
                <w:kern w:val="21"/>
                <w:szCs w:val="21"/>
                <w:highlight w:val="none"/>
              </w:rPr>
              <w:t>排放量（固体废物产生量）</w:t>
            </w:r>
            <w:r>
              <w:rPr>
                <w:rFonts w:hint="eastAsia" w:ascii="宋体" w:hAnsi="宋体" w:cs="宋体"/>
                <w:color w:val="000000"/>
                <w:spacing w:val="-6"/>
                <w:kern w:val="21"/>
                <w:szCs w:val="21"/>
                <w:highlight w:val="none"/>
              </w:rPr>
              <w:t>③</w:t>
            </w:r>
          </w:p>
        </w:tc>
        <w:tc>
          <w:tcPr>
            <w:tcW w:w="1624" w:type="dxa"/>
            <w:tcMar>
              <w:top w:w="0" w:type="dxa"/>
              <w:left w:w="28" w:type="dxa"/>
              <w:bottom w:w="0" w:type="dxa"/>
              <w:right w:w="28" w:type="dxa"/>
            </w:tcMar>
            <w:vAlign w:val="center"/>
          </w:tcPr>
          <w:p w14:paraId="4E3848FF">
            <w:pPr>
              <w:adjustRightInd w:val="0"/>
              <w:snapToGrid w:val="0"/>
              <w:spacing w:line="256" w:lineRule="auto"/>
              <w:jc w:val="center"/>
              <w:rPr>
                <w:color w:val="000000"/>
                <w:spacing w:val="-6"/>
                <w:kern w:val="21"/>
                <w:szCs w:val="21"/>
                <w:highlight w:val="none"/>
              </w:rPr>
            </w:pPr>
            <w:r>
              <w:rPr>
                <w:color w:val="000000"/>
                <w:spacing w:val="-6"/>
                <w:kern w:val="21"/>
                <w:szCs w:val="21"/>
                <w:highlight w:val="none"/>
              </w:rPr>
              <w:t>本项目</w:t>
            </w:r>
          </w:p>
          <w:p w14:paraId="62564D08">
            <w:pPr>
              <w:adjustRightInd w:val="0"/>
              <w:snapToGrid w:val="0"/>
              <w:spacing w:line="256" w:lineRule="auto"/>
              <w:jc w:val="center"/>
              <w:rPr>
                <w:color w:val="000000"/>
                <w:spacing w:val="-6"/>
                <w:kern w:val="21"/>
                <w:szCs w:val="21"/>
                <w:highlight w:val="none"/>
              </w:rPr>
            </w:pPr>
            <w:r>
              <w:rPr>
                <w:color w:val="000000"/>
                <w:spacing w:val="-6"/>
                <w:kern w:val="21"/>
                <w:szCs w:val="21"/>
                <w:highlight w:val="none"/>
              </w:rPr>
              <w:t>排放量（固体废物产生量）</w:t>
            </w:r>
            <w:r>
              <w:rPr>
                <w:rFonts w:hint="eastAsia" w:ascii="宋体" w:hAnsi="宋体" w:cs="宋体"/>
                <w:color w:val="000000"/>
                <w:spacing w:val="-6"/>
                <w:kern w:val="21"/>
                <w:szCs w:val="21"/>
                <w:highlight w:val="none"/>
              </w:rPr>
              <w:t>④</w:t>
            </w:r>
          </w:p>
        </w:tc>
        <w:tc>
          <w:tcPr>
            <w:tcW w:w="1835" w:type="dxa"/>
            <w:tcMar>
              <w:top w:w="0" w:type="dxa"/>
              <w:left w:w="28" w:type="dxa"/>
              <w:bottom w:w="0" w:type="dxa"/>
              <w:right w:w="28" w:type="dxa"/>
            </w:tcMar>
            <w:vAlign w:val="center"/>
          </w:tcPr>
          <w:p w14:paraId="590DF08B">
            <w:pPr>
              <w:adjustRightInd w:val="0"/>
              <w:snapToGrid w:val="0"/>
              <w:spacing w:line="256" w:lineRule="auto"/>
              <w:jc w:val="center"/>
              <w:rPr>
                <w:color w:val="000000"/>
                <w:spacing w:val="-16"/>
                <w:kern w:val="21"/>
                <w:szCs w:val="21"/>
                <w:highlight w:val="none"/>
              </w:rPr>
            </w:pPr>
            <w:r>
              <w:rPr>
                <w:color w:val="000000"/>
                <w:spacing w:val="-16"/>
                <w:kern w:val="21"/>
                <w:szCs w:val="21"/>
                <w:highlight w:val="none"/>
              </w:rPr>
              <w:t>以新带老削减量</w:t>
            </w:r>
          </w:p>
          <w:p w14:paraId="64BD83AB">
            <w:pPr>
              <w:adjustRightInd w:val="0"/>
              <w:snapToGrid w:val="0"/>
              <w:spacing w:line="256" w:lineRule="auto"/>
              <w:jc w:val="center"/>
              <w:rPr>
                <w:color w:val="000000"/>
                <w:spacing w:val="-16"/>
                <w:kern w:val="21"/>
                <w:szCs w:val="21"/>
                <w:highlight w:val="none"/>
              </w:rPr>
            </w:pPr>
            <w:r>
              <w:rPr>
                <w:color w:val="000000"/>
                <w:spacing w:val="-16"/>
                <w:kern w:val="21"/>
                <w:szCs w:val="21"/>
                <w:highlight w:val="none"/>
              </w:rPr>
              <w:t>（新建项目不填）</w:t>
            </w:r>
            <w:r>
              <w:rPr>
                <w:rFonts w:hint="eastAsia" w:ascii="宋体" w:hAnsi="宋体" w:cs="宋体"/>
                <w:color w:val="000000"/>
                <w:spacing w:val="-16"/>
                <w:kern w:val="21"/>
                <w:szCs w:val="21"/>
                <w:highlight w:val="none"/>
              </w:rPr>
              <w:t>⑤</w:t>
            </w:r>
          </w:p>
        </w:tc>
        <w:tc>
          <w:tcPr>
            <w:tcW w:w="1637" w:type="dxa"/>
            <w:tcMar>
              <w:top w:w="0" w:type="dxa"/>
              <w:left w:w="28" w:type="dxa"/>
              <w:bottom w:w="0" w:type="dxa"/>
              <w:right w:w="28" w:type="dxa"/>
            </w:tcMar>
            <w:vAlign w:val="center"/>
          </w:tcPr>
          <w:p w14:paraId="313907CA">
            <w:pPr>
              <w:adjustRightInd w:val="0"/>
              <w:snapToGrid w:val="0"/>
              <w:spacing w:line="256" w:lineRule="auto"/>
              <w:jc w:val="center"/>
              <w:rPr>
                <w:color w:val="000000"/>
                <w:spacing w:val="-16"/>
                <w:kern w:val="21"/>
                <w:szCs w:val="21"/>
                <w:highlight w:val="none"/>
              </w:rPr>
            </w:pPr>
            <w:r>
              <w:rPr>
                <w:color w:val="000000"/>
                <w:spacing w:val="-16"/>
                <w:kern w:val="21"/>
                <w:szCs w:val="21"/>
                <w:highlight w:val="none"/>
              </w:rPr>
              <w:t>本项目建成后</w:t>
            </w:r>
          </w:p>
          <w:p w14:paraId="7DF075BA">
            <w:pPr>
              <w:adjustRightInd w:val="0"/>
              <w:snapToGrid w:val="0"/>
              <w:spacing w:line="256" w:lineRule="auto"/>
              <w:jc w:val="center"/>
              <w:rPr>
                <w:color w:val="000000"/>
                <w:spacing w:val="-16"/>
                <w:kern w:val="21"/>
                <w:szCs w:val="21"/>
                <w:highlight w:val="none"/>
              </w:rPr>
            </w:pPr>
            <w:r>
              <w:rPr>
                <w:color w:val="000000"/>
                <w:spacing w:val="-16"/>
                <w:kern w:val="21"/>
                <w:szCs w:val="21"/>
                <w:highlight w:val="none"/>
              </w:rPr>
              <w:t>全厂排放量（固体废物产生量）</w:t>
            </w:r>
            <w:r>
              <w:rPr>
                <w:rFonts w:hint="eastAsia" w:ascii="宋体" w:hAnsi="宋体" w:cs="宋体"/>
                <w:color w:val="000000"/>
                <w:spacing w:val="-16"/>
                <w:kern w:val="21"/>
                <w:szCs w:val="21"/>
                <w:highlight w:val="none"/>
              </w:rPr>
              <w:t>⑥</w:t>
            </w:r>
          </w:p>
        </w:tc>
        <w:tc>
          <w:tcPr>
            <w:tcW w:w="1337" w:type="dxa"/>
            <w:tcMar>
              <w:top w:w="0" w:type="dxa"/>
              <w:left w:w="28" w:type="dxa"/>
              <w:bottom w:w="0" w:type="dxa"/>
              <w:right w:w="28" w:type="dxa"/>
            </w:tcMar>
            <w:vAlign w:val="center"/>
          </w:tcPr>
          <w:p w14:paraId="2402D0BB">
            <w:pPr>
              <w:adjustRightInd w:val="0"/>
              <w:snapToGrid w:val="0"/>
              <w:spacing w:line="256" w:lineRule="auto"/>
              <w:jc w:val="center"/>
              <w:rPr>
                <w:color w:val="000000"/>
                <w:spacing w:val="-6"/>
                <w:kern w:val="21"/>
                <w:szCs w:val="21"/>
                <w:highlight w:val="none"/>
              </w:rPr>
            </w:pPr>
            <w:r>
              <w:rPr>
                <w:color w:val="000000"/>
                <w:spacing w:val="-6"/>
                <w:kern w:val="21"/>
                <w:szCs w:val="21"/>
                <w:highlight w:val="none"/>
              </w:rPr>
              <w:t>变化量</w:t>
            </w:r>
            <w:r>
              <w:rPr>
                <w:rFonts w:hint="eastAsia" w:ascii="宋体" w:hAnsi="宋体" w:cs="宋体"/>
                <w:color w:val="000000"/>
                <w:spacing w:val="-6"/>
                <w:kern w:val="21"/>
                <w:szCs w:val="21"/>
                <w:highlight w:val="none"/>
              </w:rPr>
              <w:t>⑦</w:t>
            </w:r>
          </w:p>
        </w:tc>
      </w:tr>
      <w:tr w14:paraId="00CE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restart"/>
            <w:vAlign w:val="center"/>
          </w:tcPr>
          <w:p w14:paraId="21F32107">
            <w:pPr>
              <w:adjustRightInd w:val="0"/>
              <w:snapToGrid w:val="0"/>
              <w:spacing w:line="256" w:lineRule="auto"/>
              <w:jc w:val="center"/>
              <w:rPr>
                <w:color w:val="000000"/>
                <w:kern w:val="21"/>
                <w:szCs w:val="21"/>
                <w:highlight w:val="none"/>
              </w:rPr>
            </w:pPr>
            <w:r>
              <w:rPr>
                <w:color w:val="000000"/>
                <w:kern w:val="21"/>
                <w:szCs w:val="21"/>
                <w:highlight w:val="none"/>
              </w:rPr>
              <w:t>废气</w:t>
            </w:r>
          </w:p>
        </w:tc>
        <w:tc>
          <w:tcPr>
            <w:tcW w:w="1753" w:type="dxa"/>
            <w:vAlign w:val="center"/>
          </w:tcPr>
          <w:p w14:paraId="6F3DA819">
            <w:pPr>
              <w:adjustRightInd w:val="0"/>
              <w:snapToGrid w:val="0"/>
              <w:spacing w:line="256" w:lineRule="auto"/>
              <w:jc w:val="center"/>
              <w:rPr>
                <w:color w:val="000000"/>
                <w:kern w:val="21"/>
                <w:szCs w:val="21"/>
                <w:highlight w:val="none"/>
              </w:rPr>
            </w:pPr>
            <w:r>
              <w:rPr>
                <w:color w:val="000000"/>
                <w:kern w:val="21"/>
                <w:szCs w:val="21"/>
                <w:highlight w:val="none"/>
              </w:rPr>
              <w:t>颗粒物</w:t>
            </w:r>
          </w:p>
        </w:tc>
        <w:tc>
          <w:tcPr>
            <w:tcW w:w="1543" w:type="dxa"/>
            <w:vAlign w:val="center"/>
          </w:tcPr>
          <w:p w14:paraId="1D83872F">
            <w:pPr>
              <w:jc w:val="center"/>
              <w:rPr>
                <w:color w:val="000000"/>
                <w:kern w:val="21"/>
                <w:szCs w:val="21"/>
                <w:highlight w:val="none"/>
              </w:rPr>
            </w:pPr>
            <w:r>
              <w:rPr>
                <w:color w:val="000000"/>
                <w:kern w:val="21"/>
                <w:szCs w:val="21"/>
                <w:highlight w:val="none"/>
              </w:rPr>
              <w:t>—</w:t>
            </w:r>
          </w:p>
        </w:tc>
        <w:tc>
          <w:tcPr>
            <w:tcW w:w="1329" w:type="dxa"/>
            <w:vAlign w:val="center"/>
          </w:tcPr>
          <w:p w14:paraId="05405E21">
            <w:pPr>
              <w:jc w:val="center"/>
              <w:rPr>
                <w:color w:val="000000"/>
                <w:kern w:val="21"/>
                <w:szCs w:val="21"/>
                <w:highlight w:val="none"/>
              </w:rPr>
            </w:pPr>
            <w:r>
              <w:rPr>
                <w:color w:val="000000"/>
                <w:kern w:val="21"/>
                <w:szCs w:val="21"/>
                <w:highlight w:val="none"/>
              </w:rPr>
              <w:t>—</w:t>
            </w:r>
          </w:p>
        </w:tc>
        <w:tc>
          <w:tcPr>
            <w:tcW w:w="1772" w:type="dxa"/>
            <w:vAlign w:val="center"/>
          </w:tcPr>
          <w:p w14:paraId="5D9F8E9F">
            <w:pPr>
              <w:jc w:val="center"/>
              <w:rPr>
                <w:color w:val="000000"/>
                <w:kern w:val="21"/>
                <w:szCs w:val="21"/>
                <w:highlight w:val="none"/>
              </w:rPr>
            </w:pPr>
            <w:r>
              <w:rPr>
                <w:color w:val="000000"/>
                <w:kern w:val="21"/>
                <w:szCs w:val="21"/>
                <w:highlight w:val="none"/>
              </w:rPr>
              <w:t>—</w:t>
            </w:r>
          </w:p>
        </w:tc>
        <w:tc>
          <w:tcPr>
            <w:tcW w:w="1624" w:type="dxa"/>
            <w:vAlign w:val="center"/>
          </w:tcPr>
          <w:p w14:paraId="4B46D7CF">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Cs w:val="21"/>
                <w:highlight w:val="none"/>
                <w:lang w:val="en-US" w:eastAsia="zh-CN"/>
              </w:rPr>
              <w:t>7.698</w:t>
            </w:r>
          </w:p>
        </w:tc>
        <w:tc>
          <w:tcPr>
            <w:tcW w:w="1835" w:type="dxa"/>
            <w:vAlign w:val="center"/>
          </w:tcPr>
          <w:p w14:paraId="1FA769F0">
            <w:pPr>
              <w:jc w:val="center"/>
              <w:rPr>
                <w:rFonts w:hint="eastAsia" w:ascii="Times New Roman" w:hAnsi="Times New Roman" w:eastAsia="宋体" w:cs="Times New Roman"/>
                <w:color w:val="000000"/>
                <w:kern w:val="0"/>
                <w:sz w:val="21"/>
                <w:szCs w:val="21"/>
                <w:highlight w:val="none"/>
                <w:lang w:val="en-US" w:eastAsia="zh-CN" w:bidi="ar-SA"/>
              </w:rPr>
            </w:pPr>
            <w:r>
              <w:rPr>
                <w:color w:val="000000"/>
                <w:kern w:val="21"/>
                <w:szCs w:val="21"/>
                <w:highlight w:val="none"/>
              </w:rPr>
              <w:t>—</w:t>
            </w:r>
          </w:p>
        </w:tc>
        <w:tc>
          <w:tcPr>
            <w:tcW w:w="1637" w:type="dxa"/>
            <w:vAlign w:val="center"/>
          </w:tcPr>
          <w:p w14:paraId="2D8EF9D1">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Cs w:val="21"/>
                <w:highlight w:val="none"/>
                <w:lang w:val="en-US" w:eastAsia="zh-CN"/>
              </w:rPr>
              <w:t>7.698</w:t>
            </w:r>
          </w:p>
        </w:tc>
        <w:tc>
          <w:tcPr>
            <w:tcW w:w="1337" w:type="dxa"/>
            <w:vAlign w:val="center"/>
          </w:tcPr>
          <w:p w14:paraId="1F270E1D">
            <w:pPr>
              <w:widowControl/>
              <w:jc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color w:val="000000"/>
                <w:kern w:val="0"/>
                <w:szCs w:val="21"/>
                <w:highlight w:val="none"/>
                <w:lang w:val="en-US" w:eastAsia="zh-CN"/>
              </w:rPr>
              <w:t>+7.698</w:t>
            </w:r>
          </w:p>
        </w:tc>
      </w:tr>
      <w:tr w14:paraId="6756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14:paraId="3716713A">
            <w:pPr>
              <w:widowControl/>
              <w:spacing w:beforeAutospacing="1" w:afterAutospacing="1"/>
              <w:jc w:val="center"/>
              <w:rPr>
                <w:color w:val="000000"/>
                <w:kern w:val="21"/>
                <w:szCs w:val="21"/>
                <w:highlight w:val="none"/>
              </w:rPr>
            </w:pPr>
          </w:p>
        </w:tc>
        <w:tc>
          <w:tcPr>
            <w:tcW w:w="1753" w:type="dxa"/>
            <w:vAlign w:val="center"/>
          </w:tcPr>
          <w:p w14:paraId="39430519">
            <w:pPr>
              <w:adjustRightInd w:val="0"/>
              <w:snapToGrid w:val="0"/>
              <w:spacing w:line="256" w:lineRule="auto"/>
              <w:jc w:val="center"/>
              <w:rPr>
                <w:color w:val="000000"/>
                <w:kern w:val="21"/>
                <w:szCs w:val="21"/>
                <w:highlight w:val="none"/>
              </w:rPr>
            </w:pPr>
            <w:r>
              <w:rPr>
                <w:szCs w:val="21"/>
                <w:highlight w:val="none"/>
              </w:rPr>
              <w:t>SO</w:t>
            </w:r>
            <w:r>
              <w:rPr>
                <w:szCs w:val="21"/>
                <w:highlight w:val="none"/>
                <w:vertAlign w:val="subscript"/>
              </w:rPr>
              <w:t>2</w:t>
            </w:r>
          </w:p>
        </w:tc>
        <w:tc>
          <w:tcPr>
            <w:tcW w:w="1543" w:type="dxa"/>
            <w:vAlign w:val="center"/>
          </w:tcPr>
          <w:p w14:paraId="4F8574D0">
            <w:pPr>
              <w:jc w:val="center"/>
              <w:rPr>
                <w:color w:val="000000"/>
                <w:kern w:val="21"/>
                <w:szCs w:val="21"/>
                <w:highlight w:val="none"/>
              </w:rPr>
            </w:pPr>
            <w:r>
              <w:rPr>
                <w:color w:val="000000"/>
                <w:kern w:val="21"/>
                <w:szCs w:val="21"/>
                <w:highlight w:val="none"/>
              </w:rPr>
              <w:t>—</w:t>
            </w:r>
          </w:p>
        </w:tc>
        <w:tc>
          <w:tcPr>
            <w:tcW w:w="1329" w:type="dxa"/>
            <w:vAlign w:val="center"/>
          </w:tcPr>
          <w:p w14:paraId="20E6145C">
            <w:pPr>
              <w:jc w:val="center"/>
              <w:rPr>
                <w:color w:val="000000"/>
                <w:kern w:val="21"/>
                <w:szCs w:val="21"/>
                <w:highlight w:val="none"/>
              </w:rPr>
            </w:pPr>
            <w:r>
              <w:rPr>
                <w:color w:val="000000"/>
                <w:kern w:val="21"/>
                <w:szCs w:val="21"/>
                <w:highlight w:val="none"/>
              </w:rPr>
              <w:t>—</w:t>
            </w:r>
          </w:p>
        </w:tc>
        <w:tc>
          <w:tcPr>
            <w:tcW w:w="1772" w:type="dxa"/>
            <w:vAlign w:val="center"/>
          </w:tcPr>
          <w:p w14:paraId="3E7C1D6A">
            <w:pPr>
              <w:jc w:val="center"/>
              <w:rPr>
                <w:color w:val="000000"/>
                <w:kern w:val="21"/>
                <w:szCs w:val="21"/>
                <w:highlight w:val="none"/>
              </w:rPr>
            </w:pPr>
            <w:r>
              <w:rPr>
                <w:color w:val="000000"/>
                <w:kern w:val="21"/>
                <w:szCs w:val="21"/>
                <w:highlight w:val="none"/>
              </w:rPr>
              <w:t>—</w:t>
            </w:r>
          </w:p>
        </w:tc>
        <w:tc>
          <w:tcPr>
            <w:tcW w:w="1624" w:type="dxa"/>
            <w:vAlign w:val="center"/>
          </w:tcPr>
          <w:p w14:paraId="02455219">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9.2</w:t>
            </w:r>
          </w:p>
        </w:tc>
        <w:tc>
          <w:tcPr>
            <w:tcW w:w="1835" w:type="dxa"/>
            <w:vAlign w:val="center"/>
          </w:tcPr>
          <w:p w14:paraId="4819E204">
            <w:pPr>
              <w:jc w:val="center"/>
              <w:rPr>
                <w:rFonts w:ascii="Times New Roman" w:hAnsi="Times New Roman" w:eastAsia="宋体" w:cs="Times New Roman"/>
                <w:color w:val="000000"/>
                <w:kern w:val="0"/>
                <w:sz w:val="21"/>
                <w:szCs w:val="21"/>
                <w:highlight w:val="none"/>
                <w:lang w:val="en-US" w:eastAsia="zh-CN" w:bidi="ar-SA"/>
              </w:rPr>
            </w:pPr>
            <w:r>
              <w:rPr>
                <w:color w:val="000000"/>
                <w:kern w:val="21"/>
                <w:szCs w:val="21"/>
                <w:highlight w:val="none"/>
              </w:rPr>
              <w:t>—</w:t>
            </w:r>
          </w:p>
        </w:tc>
        <w:tc>
          <w:tcPr>
            <w:tcW w:w="1637" w:type="dxa"/>
            <w:vAlign w:val="center"/>
          </w:tcPr>
          <w:p w14:paraId="574C8E5F">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9.2</w:t>
            </w:r>
          </w:p>
        </w:tc>
        <w:tc>
          <w:tcPr>
            <w:tcW w:w="1337" w:type="dxa"/>
            <w:vAlign w:val="center"/>
          </w:tcPr>
          <w:p w14:paraId="3749BF2B">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+9.2</w:t>
            </w:r>
          </w:p>
        </w:tc>
      </w:tr>
      <w:tr w14:paraId="0D2C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14:paraId="39026F31">
            <w:pPr>
              <w:widowControl/>
              <w:spacing w:beforeAutospacing="1" w:afterAutospacing="1"/>
              <w:jc w:val="center"/>
              <w:rPr>
                <w:color w:val="000000"/>
                <w:kern w:val="21"/>
                <w:szCs w:val="21"/>
                <w:highlight w:val="none"/>
              </w:rPr>
            </w:pPr>
          </w:p>
        </w:tc>
        <w:tc>
          <w:tcPr>
            <w:tcW w:w="1753" w:type="dxa"/>
            <w:vAlign w:val="center"/>
          </w:tcPr>
          <w:p w14:paraId="5A908EEC">
            <w:pPr>
              <w:adjustRightInd w:val="0"/>
              <w:snapToGrid w:val="0"/>
              <w:spacing w:line="256" w:lineRule="auto"/>
              <w:jc w:val="center"/>
              <w:rPr>
                <w:color w:val="000000"/>
                <w:kern w:val="21"/>
                <w:szCs w:val="21"/>
                <w:highlight w:val="none"/>
              </w:rPr>
            </w:pPr>
            <w:r>
              <w:rPr>
                <w:szCs w:val="21"/>
                <w:highlight w:val="none"/>
              </w:rPr>
              <w:t>NO</w:t>
            </w:r>
            <w:r>
              <w:rPr>
                <w:szCs w:val="21"/>
                <w:highlight w:val="none"/>
                <w:vertAlign w:val="subscript"/>
              </w:rPr>
              <w:t>X</w:t>
            </w:r>
          </w:p>
        </w:tc>
        <w:tc>
          <w:tcPr>
            <w:tcW w:w="1543" w:type="dxa"/>
            <w:vAlign w:val="center"/>
          </w:tcPr>
          <w:p w14:paraId="187332AF">
            <w:pPr>
              <w:jc w:val="center"/>
              <w:rPr>
                <w:color w:val="000000"/>
                <w:kern w:val="21"/>
                <w:szCs w:val="21"/>
                <w:highlight w:val="none"/>
              </w:rPr>
            </w:pPr>
            <w:r>
              <w:rPr>
                <w:color w:val="000000"/>
                <w:kern w:val="21"/>
                <w:szCs w:val="21"/>
                <w:highlight w:val="none"/>
              </w:rPr>
              <w:t>—</w:t>
            </w:r>
          </w:p>
        </w:tc>
        <w:tc>
          <w:tcPr>
            <w:tcW w:w="1329" w:type="dxa"/>
            <w:vAlign w:val="center"/>
          </w:tcPr>
          <w:p w14:paraId="7ED3854C">
            <w:pPr>
              <w:jc w:val="center"/>
              <w:rPr>
                <w:color w:val="000000"/>
                <w:kern w:val="21"/>
                <w:szCs w:val="21"/>
                <w:highlight w:val="none"/>
              </w:rPr>
            </w:pPr>
            <w:r>
              <w:rPr>
                <w:color w:val="000000"/>
                <w:kern w:val="21"/>
                <w:szCs w:val="21"/>
                <w:highlight w:val="none"/>
              </w:rPr>
              <w:t>—</w:t>
            </w:r>
          </w:p>
        </w:tc>
        <w:tc>
          <w:tcPr>
            <w:tcW w:w="1772" w:type="dxa"/>
            <w:vAlign w:val="center"/>
          </w:tcPr>
          <w:p w14:paraId="7610F50E">
            <w:pPr>
              <w:jc w:val="center"/>
              <w:rPr>
                <w:color w:val="000000"/>
                <w:kern w:val="21"/>
                <w:szCs w:val="21"/>
                <w:highlight w:val="none"/>
              </w:rPr>
            </w:pPr>
            <w:r>
              <w:rPr>
                <w:color w:val="000000"/>
                <w:kern w:val="21"/>
                <w:szCs w:val="21"/>
                <w:highlight w:val="none"/>
              </w:rPr>
              <w:t>—</w:t>
            </w:r>
          </w:p>
        </w:tc>
        <w:tc>
          <w:tcPr>
            <w:tcW w:w="1624" w:type="dxa"/>
            <w:vAlign w:val="center"/>
          </w:tcPr>
          <w:p w14:paraId="51522430">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10.79</w:t>
            </w:r>
          </w:p>
        </w:tc>
        <w:tc>
          <w:tcPr>
            <w:tcW w:w="1835" w:type="dxa"/>
            <w:vAlign w:val="center"/>
          </w:tcPr>
          <w:p w14:paraId="3F58CE14">
            <w:pPr>
              <w:jc w:val="center"/>
              <w:rPr>
                <w:rFonts w:ascii="Times New Roman" w:hAnsi="Times New Roman" w:eastAsia="宋体" w:cs="Times New Roman"/>
                <w:color w:val="000000"/>
                <w:kern w:val="0"/>
                <w:sz w:val="21"/>
                <w:szCs w:val="21"/>
                <w:highlight w:val="none"/>
                <w:lang w:val="en-US" w:eastAsia="zh-CN" w:bidi="ar-SA"/>
              </w:rPr>
            </w:pPr>
            <w:r>
              <w:rPr>
                <w:color w:val="000000"/>
                <w:kern w:val="21"/>
                <w:szCs w:val="21"/>
                <w:highlight w:val="none"/>
              </w:rPr>
              <w:t>—</w:t>
            </w:r>
          </w:p>
        </w:tc>
        <w:tc>
          <w:tcPr>
            <w:tcW w:w="1637" w:type="dxa"/>
            <w:vAlign w:val="center"/>
          </w:tcPr>
          <w:p w14:paraId="23BAFF89">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10.79</w:t>
            </w:r>
          </w:p>
        </w:tc>
        <w:tc>
          <w:tcPr>
            <w:tcW w:w="1337" w:type="dxa"/>
            <w:vAlign w:val="center"/>
          </w:tcPr>
          <w:p w14:paraId="25FBFCAB">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lang w:val="en-US" w:eastAsia="zh-CN" w:bidi="ar-SA"/>
              </w:rPr>
            </w:pPr>
            <w:r>
              <w:rPr>
                <w:rFonts w:hint="eastAsia" w:cs="Times New Roman"/>
                <w:i w:val="0"/>
                <w:iCs w:val="0"/>
                <w:color w:val="000000"/>
                <w:kern w:val="0"/>
                <w:sz w:val="21"/>
                <w:szCs w:val="21"/>
                <w:highlight w:val="none"/>
                <w:u w:val="none"/>
                <w:lang w:val="en-US" w:eastAsia="zh-CN" w:bidi="ar"/>
              </w:rPr>
              <w:t>+10.79</w:t>
            </w:r>
          </w:p>
        </w:tc>
      </w:tr>
      <w:tr w14:paraId="6F2C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7" w:type="dxa"/>
            <w:vMerge w:val="restart"/>
            <w:vAlign w:val="center"/>
          </w:tcPr>
          <w:p w14:paraId="2346DE47">
            <w:pPr>
              <w:adjustRightInd w:val="0"/>
              <w:snapToGrid w:val="0"/>
              <w:spacing w:line="256" w:lineRule="auto"/>
              <w:jc w:val="center"/>
              <w:rPr>
                <w:color w:val="000000"/>
                <w:kern w:val="21"/>
                <w:szCs w:val="21"/>
                <w:highlight w:val="none"/>
              </w:rPr>
            </w:pPr>
            <w:r>
              <w:rPr>
                <w:color w:val="000000"/>
                <w:kern w:val="21"/>
                <w:szCs w:val="21"/>
                <w:highlight w:val="none"/>
              </w:rPr>
              <w:t>废水</w:t>
            </w:r>
          </w:p>
        </w:tc>
        <w:tc>
          <w:tcPr>
            <w:tcW w:w="1753" w:type="dxa"/>
            <w:vAlign w:val="center"/>
          </w:tcPr>
          <w:p w14:paraId="2C4305D0">
            <w:pPr>
              <w:adjustRightInd w:val="0"/>
              <w:snapToGrid w:val="0"/>
              <w:spacing w:line="256" w:lineRule="auto"/>
              <w:jc w:val="center"/>
              <w:rPr>
                <w:color w:val="000000"/>
                <w:kern w:val="21"/>
                <w:szCs w:val="21"/>
                <w:highlight w:val="none"/>
              </w:rPr>
            </w:pPr>
            <w:r>
              <w:rPr>
                <w:spacing w:val="-2"/>
                <w:kern w:val="0"/>
                <w:szCs w:val="21"/>
                <w:highlight w:val="none"/>
              </w:rPr>
              <w:t>COD</w:t>
            </w:r>
            <w:r>
              <w:rPr>
                <w:spacing w:val="-2"/>
                <w:kern w:val="0"/>
                <w:szCs w:val="21"/>
                <w:highlight w:val="none"/>
                <w:vertAlign w:val="subscript"/>
              </w:rPr>
              <w:t>Cr</w:t>
            </w:r>
          </w:p>
        </w:tc>
        <w:tc>
          <w:tcPr>
            <w:tcW w:w="1543" w:type="dxa"/>
            <w:vAlign w:val="center"/>
          </w:tcPr>
          <w:p w14:paraId="703BEC89">
            <w:pPr>
              <w:jc w:val="center"/>
              <w:rPr>
                <w:color w:val="000000"/>
                <w:kern w:val="21"/>
                <w:szCs w:val="21"/>
                <w:highlight w:val="none"/>
              </w:rPr>
            </w:pPr>
            <w:r>
              <w:rPr>
                <w:color w:val="000000"/>
                <w:kern w:val="21"/>
                <w:szCs w:val="21"/>
                <w:highlight w:val="none"/>
              </w:rPr>
              <w:t>—</w:t>
            </w:r>
          </w:p>
        </w:tc>
        <w:tc>
          <w:tcPr>
            <w:tcW w:w="1329" w:type="dxa"/>
            <w:vAlign w:val="center"/>
          </w:tcPr>
          <w:p w14:paraId="0CCE465F">
            <w:pPr>
              <w:jc w:val="center"/>
              <w:rPr>
                <w:color w:val="000000"/>
                <w:kern w:val="21"/>
                <w:szCs w:val="21"/>
                <w:highlight w:val="none"/>
              </w:rPr>
            </w:pPr>
            <w:r>
              <w:rPr>
                <w:color w:val="000000"/>
                <w:kern w:val="21"/>
                <w:szCs w:val="21"/>
                <w:highlight w:val="none"/>
              </w:rPr>
              <w:t>—</w:t>
            </w:r>
          </w:p>
        </w:tc>
        <w:tc>
          <w:tcPr>
            <w:tcW w:w="1772" w:type="dxa"/>
            <w:vAlign w:val="center"/>
          </w:tcPr>
          <w:p w14:paraId="4AD6880E">
            <w:pPr>
              <w:jc w:val="center"/>
              <w:rPr>
                <w:color w:val="000000"/>
                <w:kern w:val="21"/>
                <w:szCs w:val="21"/>
                <w:highlight w:val="none"/>
              </w:rPr>
            </w:pPr>
            <w:r>
              <w:rPr>
                <w:color w:val="000000"/>
                <w:kern w:val="21"/>
                <w:szCs w:val="21"/>
                <w:highlight w:val="none"/>
              </w:rPr>
              <w:t>—</w:t>
            </w:r>
          </w:p>
        </w:tc>
        <w:tc>
          <w:tcPr>
            <w:tcW w:w="1624" w:type="dxa"/>
            <w:vAlign w:val="center"/>
          </w:tcPr>
          <w:p w14:paraId="3D1C097D">
            <w:pPr>
              <w:adjustRightInd w:val="0"/>
              <w:snapToGrid w:val="0"/>
              <w:spacing w:line="256" w:lineRule="auto"/>
              <w:jc w:val="center"/>
              <w:rPr>
                <w:rFonts w:hint="default" w:eastAsia="宋体"/>
                <w:color w:val="000000"/>
                <w:kern w:val="21"/>
                <w:szCs w:val="21"/>
                <w:highlight w:val="none"/>
                <w:lang w:val="en-US" w:eastAsia="zh-CN"/>
              </w:rPr>
            </w:pPr>
            <w:r>
              <w:rPr>
                <w:rFonts w:hint="eastAsia"/>
                <w:color w:val="000000"/>
                <w:kern w:val="21"/>
                <w:szCs w:val="21"/>
                <w:highlight w:val="none"/>
                <w:lang w:val="en-US" w:eastAsia="zh-CN"/>
              </w:rPr>
              <w:t>0.038</w:t>
            </w:r>
          </w:p>
        </w:tc>
        <w:tc>
          <w:tcPr>
            <w:tcW w:w="1835" w:type="dxa"/>
            <w:vAlign w:val="center"/>
          </w:tcPr>
          <w:p w14:paraId="761995D1">
            <w:pPr>
              <w:jc w:val="center"/>
              <w:rPr>
                <w:color w:val="000000"/>
                <w:kern w:val="21"/>
                <w:szCs w:val="21"/>
                <w:highlight w:val="none"/>
              </w:rPr>
            </w:pPr>
            <w:r>
              <w:rPr>
                <w:color w:val="000000"/>
                <w:kern w:val="21"/>
                <w:szCs w:val="21"/>
                <w:highlight w:val="none"/>
              </w:rPr>
              <w:t>—</w:t>
            </w:r>
          </w:p>
        </w:tc>
        <w:tc>
          <w:tcPr>
            <w:tcW w:w="1637" w:type="dxa"/>
            <w:vAlign w:val="center"/>
          </w:tcPr>
          <w:p w14:paraId="65BD8BA3">
            <w:pPr>
              <w:adjustRightInd w:val="0"/>
              <w:snapToGrid w:val="0"/>
              <w:spacing w:line="256" w:lineRule="auto"/>
              <w:jc w:val="center"/>
              <w:rPr>
                <w:rFonts w:hint="default" w:ascii="Times New Roman" w:hAnsi="Times New Roman" w:eastAsia="宋体" w:cs="Times New Roman"/>
                <w:color w:val="000000"/>
                <w:kern w:val="21"/>
                <w:sz w:val="21"/>
                <w:szCs w:val="21"/>
                <w:highlight w:val="none"/>
                <w:lang w:val="en-US" w:eastAsia="zh-CN" w:bidi="ar-SA"/>
              </w:rPr>
            </w:pPr>
            <w:r>
              <w:rPr>
                <w:rFonts w:hint="eastAsia"/>
                <w:color w:val="000000"/>
                <w:kern w:val="21"/>
                <w:szCs w:val="21"/>
                <w:highlight w:val="none"/>
                <w:lang w:val="en-US" w:eastAsia="zh-CN"/>
              </w:rPr>
              <w:t>0.038</w:t>
            </w:r>
          </w:p>
        </w:tc>
        <w:tc>
          <w:tcPr>
            <w:tcW w:w="1337" w:type="dxa"/>
            <w:shd w:val="clear" w:color="auto" w:fill="auto"/>
            <w:vAlign w:val="center"/>
          </w:tcPr>
          <w:p w14:paraId="588DAC8E">
            <w:pPr>
              <w:adjustRightInd w:val="0"/>
              <w:snapToGrid w:val="0"/>
              <w:spacing w:line="256" w:lineRule="auto"/>
              <w:jc w:val="center"/>
              <w:rPr>
                <w:rFonts w:hint="default" w:ascii="Times New Roman" w:hAnsi="Times New Roman" w:eastAsia="宋体" w:cs="Times New Roman"/>
                <w:color w:val="000000"/>
                <w:kern w:val="21"/>
                <w:sz w:val="21"/>
                <w:szCs w:val="21"/>
                <w:highlight w:val="none"/>
                <w:lang w:val="en-US" w:eastAsia="zh-CN" w:bidi="ar-SA"/>
              </w:rPr>
            </w:pPr>
            <w:r>
              <w:rPr>
                <w:rFonts w:hint="eastAsia"/>
                <w:color w:val="000000"/>
                <w:kern w:val="21"/>
                <w:szCs w:val="21"/>
                <w:highlight w:val="none"/>
                <w:lang w:val="en-US" w:eastAsia="zh-CN"/>
              </w:rPr>
              <w:t>+0.038</w:t>
            </w:r>
          </w:p>
        </w:tc>
      </w:tr>
      <w:tr w14:paraId="30DB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07" w:type="dxa"/>
            <w:vMerge w:val="continue"/>
            <w:vAlign w:val="center"/>
          </w:tcPr>
          <w:p w14:paraId="62ACD6FA">
            <w:pPr>
              <w:widowControl/>
              <w:spacing w:beforeAutospacing="1" w:afterAutospacing="1"/>
              <w:jc w:val="center"/>
              <w:rPr>
                <w:color w:val="000000"/>
                <w:kern w:val="21"/>
                <w:szCs w:val="21"/>
                <w:highlight w:val="none"/>
              </w:rPr>
            </w:pPr>
          </w:p>
        </w:tc>
        <w:tc>
          <w:tcPr>
            <w:tcW w:w="1753" w:type="dxa"/>
            <w:vAlign w:val="center"/>
          </w:tcPr>
          <w:p w14:paraId="35B41710">
            <w:pPr>
              <w:adjustRightInd w:val="0"/>
              <w:snapToGrid w:val="0"/>
              <w:spacing w:line="256" w:lineRule="auto"/>
              <w:jc w:val="center"/>
              <w:rPr>
                <w:color w:val="000000"/>
                <w:kern w:val="21"/>
                <w:szCs w:val="21"/>
                <w:highlight w:val="none"/>
              </w:rPr>
            </w:pPr>
            <w:r>
              <w:rPr>
                <w:spacing w:val="-2"/>
                <w:kern w:val="0"/>
                <w:szCs w:val="21"/>
                <w:highlight w:val="none"/>
              </w:rPr>
              <w:t>BOD</w:t>
            </w:r>
            <w:r>
              <w:rPr>
                <w:spacing w:val="-2"/>
                <w:kern w:val="0"/>
                <w:szCs w:val="21"/>
                <w:highlight w:val="none"/>
                <w:vertAlign w:val="subscript"/>
              </w:rPr>
              <w:t>5</w:t>
            </w:r>
          </w:p>
        </w:tc>
        <w:tc>
          <w:tcPr>
            <w:tcW w:w="1543" w:type="dxa"/>
            <w:vAlign w:val="center"/>
          </w:tcPr>
          <w:p w14:paraId="0DEB9D96">
            <w:pPr>
              <w:jc w:val="center"/>
              <w:rPr>
                <w:color w:val="000000"/>
                <w:kern w:val="21"/>
                <w:szCs w:val="21"/>
                <w:highlight w:val="none"/>
              </w:rPr>
            </w:pPr>
            <w:r>
              <w:rPr>
                <w:color w:val="000000"/>
                <w:kern w:val="21"/>
                <w:szCs w:val="21"/>
                <w:highlight w:val="none"/>
              </w:rPr>
              <w:t>—</w:t>
            </w:r>
          </w:p>
        </w:tc>
        <w:tc>
          <w:tcPr>
            <w:tcW w:w="1329" w:type="dxa"/>
            <w:vAlign w:val="center"/>
          </w:tcPr>
          <w:p w14:paraId="71459A49">
            <w:pPr>
              <w:jc w:val="center"/>
              <w:rPr>
                <w:color w:val="000000"/>
                <w:kern w:val="21"/>
                <w:szCs w:val="21"/>
                <w:highlight w:val="none"/>
              </w:rPr>
            </w:pPr>
            <w:r>
              <w:rPr>
                <w:color w:val="000000"/>
                <w:kern w:val="21"/>
                <w:szCs w:val="21"/>
                <w:highlight w:val="none"/>
              </w:rPr>
              <w:t>—</w:t>
            </w:r>
          </w:p>
        </w:tc>
        <w:tc>
          <w:tcPr>
            <w:tcW w:w="1772" w:type="dxa"/>
            <w:vAlign w:val="center"/>
          </w:tcPr>
          <w:p w14:paraId="1A156663">
            <w:pPr>
              <w:jc w:val="center"/>
              <w:rPr>
                <w:color w:val="000000"/>
                <w:kern w:val="21"/>
                <w:szCs w:val="21"/>
                <w:highlight w:val="none"/>
              </w:rPr>
            </w:pPr>
            <w:r>
              <w:rPr>
                <w:color w:val="000000"/>
                <w:kern w:val="21"/>
                <w:szCs w:val="21"/>
                <w:highlight w:val="none"/>
              </w:rPr>
              <w:t>—</w:t>
            </w:r>
          </w:p>
        </w:tc>
        <w:tc>
          <w:tcPr>
            <w:tcW w:w="1624" w:type="dxa"/>
            <w:vAlign w:val="center"/>
          </w:tcPr>
          <w:p w14:paraId="456A0889">
            <w:pPr>
              <w:adjustRightInd w:val="0"/>
              <w:snapToGrid w:val="0"/>
              <w:spacing w:line="256" w:lineRule="auto"/>
              <w:jc w:val="center"/>
              <w:rPr>
                <w:rFonts w:hint="default" w:eastAsia="宋体"/>
                <w:color w:val="000000"/>
                <w:kern w:val="21"/>
                <w:szCs w:val="21"/>
                <w:highlight w:val="none"/>
                <w:lang w:val="en-US" w:eastAsia="zh-CN"/>
              </w:rPr>
            </w:pPr>
            <w:r>
              <w:rPr>
                <w:rFonts w:hint="eastAsia"/>
                <w:color w:val="000000"/>
                <w:kern w:val="21"/>
                <w:szCs w:val="21"/>
                <w:highlight w:val="none"/>
                <w:lang w:val="en-US" w:eastAsia="zh-CN"/>
              </w:rPr>
              <w:t>0.023</w:t>
            </w:r>
          </w:p>
        </w:tc>
        <w:tc>
          <w:tcPr>
            <w:tcW w:w="1835" w:type="dxa"/>
            <w:vAlign w:val="center"/>
          </w:tcPr>
          <w:p w14:paraId="420113ED">
            <w:pPr>
              <w:jc w:val="center"/>
              <w:rPr>
                <w:color w:val="000000"/>
                <w:kern w:val="21"/>
                <w:szCs w:val="21"/>
                <w:highlight w:val="none"/>
              </w:rPr>
            </w:pPr>
            <w:r>
              <w:rPr>
                <w:color w:val="000000"/>
                <w:kern w:val="21"/>
                <w:szCs w:val="21"/>
                <w:highlight w:val="none"/>
              </w:rPr>
              <w:t>—</w:t>
            </w:r>
          </w:p>
        </w:tc>
        <w:tc>
          <w:tcPr>
            <w:tcW w:w="1637" w:type="dxa"/>
            <w:vAlign w:val="center"/>
          </w:tcPr>
          <w:p w14:paraId="023200C3">
            <w:pPr>
              <w:adjustRightInd w:val="0"/>
              <w:snapToGrid w:val="0"/>
              <w:spacing w:line="256" w:lineRule="auto"/>
              <w:jc w:val="center"/>
              <w:rPr>
                <w:rFonts w:hint="default" w:ascii="Times New Roman" w:hAnsi="Times New Roman" w:eastAsia="宋体" w:cs="Times New Roman"/>
                <w:color w:val="000000"/>
                <w:kern w:val="21"/>
                <w:sz w:val="21"/>
                <w:szCs w:val="21"/>
                <w:highlight w:val="none"/>
                <w:lang w:val="en-US" w:eastAsia="zh-CN" w:bidi="ar-SA"/>
              </w:rPr>
            </w:pPr>
            <w:r>
              <w:rPr>
                <w:rFonts w:hint="eastAsia"/>
                <w:color w:val="000000"/>
                <w:kern w:val="21"/>
                <w:szCs w:val="21"/>
                <w:highlight w:val="none"/>
                <w:lang w:val="en-US" w:eastAsia="zh-CN"/>
              </w:rPr>
              <w:t>0.023</w:t>
            </w:r>
          </w:p>
        </w:tc>
        <w:tc>
          <w:tcPr>
            <w:tcW w:w="1337" w:type="dxa"/>
            <w:shd w:val="clear" w:color="auto" w:fill="auto"/>
            <w:vAlign w:val="center"/>
          </w:tcPr>
          <w:p w14:paraId="52251525">
            <w:pPr>
              <w:adjustRightInd w:val="0"/>
              <w:snapToGrid w:val="0"/>
              <w:spacing w:line="256" w:lineRule="auto"/>
              <w:jc w:val="center"/>
              <w:rPr>
                <w:rFonts w:hint="default" w:ascii="Times New Roman" w:hAnsi="Times New Roman" w:eastAsia="宋体" w:cs="Times New Roman"/>
                <w:color w:val="000000"/>
                <w:kern w:val="21"/>
                <w:sz w:val="21"/>
                <w:szCs w:val="21"/>
                <w:highlight w:val="none"/>
                <w:lang w:val="en-US" w:eastAsia="zh-CN" w:bidi="ar-SA"/>
              </w:rPr>
            </w:pPr>
            <w:r>
              <w:rPr>
                <w:rFonts w:hint="eastAsia"/>
                <w:color w:val="000000"/>
                <w:kern w:val="21"/>
                <w:szCs w:val="21"/>
                <w:highlight w:val="none"/>
                <w:lang w:val="en-US" w:eastAsia="zh-CN"/>
              </w:rPr>
              <w:t>+0.023</w:t>
            </w:r>
          </w:p>
        </w:tc>
      </w:tr>
      <w:tr w14:paraId="00AE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07" w:type="dxa"/>
            <w:vMerge w:val="continue"/>
            <w:vAlign w:val="center"/>
          </w:tcPr>
          <w:p w14:paraId="758AC734">
            <w:pPr>
              <w:widowControl/>
              <w:spacing w:beforeAutospacing="1" w:afterAutospacing="1"/>
              <w:jc w:val="center"/>
              <w:rPr>
                <w:color w:val="000000"/>
                <w:kern w:val="21"/>
                <w:szCs w:val="21"/>
                <w:highlight w:val="none"/>
              </w:rPr>
            </w:pPr>
          </w:p>
        </w:tc>
        <w:tc>
          <w:tcPr>
            <w:tcW w:w="1753" w:type="dxa"/>
            <w:vAlign w:val="center"/>
          </w:tcPr>
          <w:p w14:paraId="62A7496F">
            <w:pPr>
              <w:adjustRightInd w:val="0"/>
              <w:snapToGrid w:val="0"/>
              <w:spacing w:line="256" w:lineRule="auto"/>
              <w:jc w:val="center"/>
              <w:rPr>
                <w:color w:val="000000"/>
                <w:kern w:val="21"/>
                <w:szCs w:val="21"/>
                <w:highlight w:val="none"/>
              </w:rPr>
            </w:pPr>
            <w:r>
              <w:rPr>
                <w:spacing w:val="-2"/>
                <w:kern w:val="0"/>
                <w:szCs w:val="21"/>
                <w:highlight w:val="none"/>
              </w:rPr>
              <w:t>SS</w:t>
            </w:r>
          </w:p>
        </w:tc>
        <w:tc>
          <w:tcPr>
            <w:tcW w:w="1543" w:type="dxa"/>
            <w:vAlign w:val="center"/>
          </w:tcPr>
          <w:p w14:paraId="4F4FC2E3">
            <w:pPr>
              <w:jc w:val="center"/>
              <w:rPr>
                <w:color w:val="000000"/>
                <w:kern w:val="21"/>
                <w:szCs w:val="21"/>
                <w:highlight w:val="none"/>
              </w:rPr>
            </w:pPr>
            <w:r>
              <w:rPr>
                <w:color w:val="000000"/>
                <w:kern w:val="21"/>
                <w:szCs w:val="21"/>
                <w:highlight w:val="none"/>
              </w:rPr>
              <w:t>—</w:t>
            </w:r>
          </w:p>
        </w:tc>
        <w:tc>
          <w:tcPr>
            <w:tcW w:w="1329" w:type="dxa"/>
            <w:vAlign w:val="center"/>
          </w:tcPr>
          <w:p w14:paraId="23C38773">
            <w:pPr>
              <w:jc w:val="center"/>
              <w:rPr>
                <w:color w:val="000000"/>
                <w:kern w:val="21"/>
                <w:szCs w:val="21"/>
                <w:highlight w:val="none"/>
              </w:rPr>
            </w:pPr>
            <w:r>
              <w:rPr>
                <w:color w:val="000000"/>
                <w:kern w:val="21"/>
                <w:szCs w:val="21"/>
                <w:highlight w:val="none"/>
              </w:rPr>
              <w:t>—</w:t>
            </w:r>
          </w:p>
        </w:tc>
        <w:tc>
          <w:tcPr>
            <w:tcW w:w="1772" w:type="dxa"/>
            <w:vAlign w:val="center"/>
          </w:tcPr>
          <w:p w14:paraId="63C710CB">
            <w:pPr>
              <w:jc w:val="center"/>
              <w:rPr>
                <w:color w:val="000000"/>
                <w:kern w:val="21"/>
                <w:szCs w:val="21"/>
                <w:highlight w:val="none"/>
              </w:rPr>
            </w:pPr>
            <w:r>
              <w:rPr>
                <w:color w:val="000000"/>
                <w:kern w:val="21"/>
                <w:szCs w:val="21"/>
                <w:highlight w:val="none"/>
              </w:rPr>
              <w:t>—</w:t>
            </w:r>
          </w:p>
        </w:tc>
        <w:tc>
          <w:tcPr>
            <w:tcW w:w="1624" w:type="dxa"/>
            <w:vAlign w:val="center"/>
          </w:tcPr>
          <w:p w14:paraId="16AEF72B">
            <w:pPr>
              <w:adjustRightInd w:val="0"/>
              <w:snapToGrid w:val="0"/>
              <w:spacing w:line="256" w:lineRule="auto"/>
              <w:jc w:val="center"/>
              <w:rPr>
                <w:rFonts w:hint="default" w:eastAsia="宋体"/>
                <w:color w:val="000000"/>
                <w:kern w:val="21"/>
                <w:szCs w:val="21"/>
                <w:highlight w:val="none"/>
                <w:lang w:val="en-US" w:eastAsia="zh-CN"/>
              </w:rPr>
            </w:pPr>
            <w:r>
              <w:rPr>
                <w:rFonts w:hint="eastAsia"/>
                <w:color w:val="000000"/>
                <w:kern w:val="21"/>
                <w:szCs w:val="21"/>
                <w:highlight w:val="none"/>
                <w:lang w:val="en-US" w:eastAsia="zh-CN"/>
              </w:rPr>
              <w:t>0.023</w:t>
            </w:r>
          </w:p>
        </w:tc>
        <w:tc>
          <w:tcPr>
            <w:tcW w:w="1835" w:type="dxa"/>
            <w:vAlign w:val="center"/>
          </w:tcPr>
          <w:p w14:paraId="72943A23">
            <w:pPr>
              <w:jc w:val="center"/>
              <w:rPr>
                <w:color w:val="000000"/>
                <w:kern w:val="21"/>
                <w:szCs w:val="21"/>
                <w:highlight w:val="none"/>
              </w:rPr>
            </w:pPr>
            <w:r>
              <w:rPr>
                <w:color w:val="000000"/>
                <w:kern w:val="21"/>
                <w:szCs w:val="21"/>
                <w:highlight w:val="none"/>
              </w:rPr>
              <w:t>—</w:t>
            </w:r>
          </w:p>
        </w:tc>
        <w:tc>
          <w:tcPr>
            <w:tcW w:w="1637" w:type="dxa"/>
            <w:vAlign w:val="center"/>
          </w:tcPr>
          <w:p w14:paraId="2E1DEDA2">
            <w:pPr>
              <w:adjustRightInd w:val="0"/>
              <w:snapToGrid w:val="0"/>
              <w:spacing w:line="256" w:lineRule="auto"/>
              <w:jc w:val="center"/>
              <w:rPr>
                <w:rFonts w:hint="default" w:ascii="Times New Roman" w:hAnsi="Times New Roman" w:eastAsia="宋体" w:cs="Times New Roman"/>
                <w:color w:val="000000"/>
                <w:kern w:val="21"/>
                <w:sz w:val="21"/>
                <w:szCs w:val="21"/>
                <w:highlight w:val="none"/>
                <w:lang w:val="en-US" w:eastAsia="zh-CN" w:bidi="ar-SA"/>
              </w:rPr>
            </w:pPr>
            <w:r>
              <w:rPr>
                <w:rFonts w:hint="eastAsia"/>
                <w:color w:val="000000"/>
                <w:kern w:val="21"/>
                <w:szCs w:val="21"/>
                <w:highlight w:val="none"/>
                <w:lang w:val="en-US" w:eastAsia="zh-CN"/>
              </w:rPr>
              <w:t>0.023</w:t>
            </w:r>
          </w:p>
        </w:tc>
        <w:tc>
          <w:tcPr>
            <w:tcW w:w="1337" w:type="dxa"/>
            <w:shd w:val="clear" w:color="auto" w:fill="auto"/>
            <w:vAlign w:val="center"/>
          </w:tcPr>
          <w:p w14:paraId="030C5917">
            <w:pPr>
              <w:adjustRightInd w:val="0"/>
              <w:snapToGrid w:val="0"/>
              <w:spacing w:line="256" w:lineRule="auto"/>
              <w:jc w:val="center"/>
              <w:rPr>
                <w:rFonts w:hint="default" w:ascii="Times New Roman" w:hAnsi="Times New Roman" w:eastAsia="宋体" w:cs="Times New Roman"/>
                <w:color w:val="000000"/>
                <w:kern w:val="21"/>
                <w:sz w:val="21"/>
                <w:szCs w:val="21"/>
                <w:highlight w:val="none"/>
                <w:lang w:val="en-US" w:eastAsia="zh-CN" w:bidi="ar-SA"/>
              </w:rPr>
            </w:pPr>
            <w:r>
              <w:rPr>
                <w:rFonts w:hint="eastAsia"/>
                <w:color w:val="000000"/>
                <w:kern w:val="21"/>
                <w:szCs w:val="21"/>
                <w:highlight w:val="none"/>
                <w:lang w:val="en-US" w:eastAsia="zh-CN"/>
              </w:rPr>
              <w:t>+0.023</w:t>
            </w:r>
          </w:p>
        </w:tc>
      </w:tr>
      <w:tr w14:paraId="31F0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07" w:type="dxa"/>
            <w:vMerge w:val="continue"/>
            <w:vAlign w:val="center"/>
          </w:tcPr>
          <w:p w14:paraId="296FBF0A">
            <w:pPr>
              <w:widowControl/>
              <w:spacing w:beforeAutospacing="1" w:afterAutospacing="1"/>
              <w:jc w:val="center"/>
              <w:rPr>
                <w:color w:val="000000"/>
                <w:kern w:val="21"/>
                <w:szCs w:val="21"/>
                <w:highlight w:val="none"/>
              </w:rPr>
            </w:pPr>
          </w:p>
        </w:tc>
        <w:tc>
          <w:tcPr>
            <w:tcW w:w="1753" w:type="dxa"/>
            <w:vAlign w:val="center"/>
          </w:tcPr>
          <w:p w14:paraId="11346E59">
            <w:pPr>
              <w:adjustRightInd w:val="0"/>
              <w:snapToGrid w:val="0"/>
              <w:spacing w:line="256" w:lineRule="auto"/>
              <w:jc w:val="center"/>
              <w:rPr>
                <w:rFonts w:hint="eastAsia" w:eastAsia="宋体"/>
                <w:spacing w:val="-2"/>
                <w:kern w:val="0"/>
                <w:szCs w:val="21"/>
                <w:highlight w:val="none"/>
                <w:lang w:val="en-US" w:eastAsia="zh-CN"/>
              </w:rPr>
            </w:pPr>
            <w:r>
              <w:rPr>
                <w:rFonts w:hint="eastAsia"/>
                <w:spacing w:val="-2"/>
                <w:kern w:val="0"/>
                <w:szCs w:val="21"/>
                <w:highlight w:val="none"/>
                <w:lang w:val="en-US" w:eastAsia="zh-CN"/>
              </w:rPr>
              <w:t>NH</w:t>
            </w:r>
            <w:r>
              <w:rPr>
                <w:rFonts w:hint="eastAsia"/>
                <w:spacing w:val="-2"/>
                <w:kern w:val="0"/>
                <w:szCs w:val="21"/>
                <w:highlight w:val="none"/>
                <w:vertAlign w:val="subscript"/>
                <w:lang w:val="en-US" w:eastAsia="zh-CN"/>
              </w:rPr>
              <w:t>3</w:t>
            </w:r>
            <w:r>
              <w:rPr>
                <w:rFonts w:hint="eastAsia"/>
                <w:spacing w:val="-2"/>
                <w:kern w:val="0"/>
                <w:szCs w:val="21"/>
                <w:highlight w:val="none"/>
                <w:lang w:val="en-US" w:eastAsia="zh-CN"/>
              </w:rPr>
              <w:t>-N</w:t>
            </w:r>
          </w:p>
        </w:tc>
        <w:tc>
          <w:tcPr>
            <w:tcW w:w="1543" w:type="dxa"/>
            <w:vAlign w:val="center"/>
          </w:tcPr>
          <w:p w14:paraId="4AA06C24">
            <w:pPr>
              <w:jc w:val="center"/>
              <w:rPr>
                <w:color w:val="000000"/>
                <w:kern w:val="21"/>
                <w:szCs w:val="21"/>
                <w:highlight w:val="none"/>
              </w:rPr>
            </w:pPr>
            <w:r>
              <w:rPr>
                <w:color w:val="000000"/>
                <w:kern w:val="21"/>
                <w:szCs w:val="21"/>
                <w:highlight w:val="none"/>
              </w:rPr>
              <w:t>—</w:t>
            </w:r>
          </w:p>
        </w:tc>
        <w:tc>
          <w:tcPr>
            <w:tcW w:w="1329" w:type="dxa"/>
            <w:vAlign w:val="center"/>
          </w:tcPr>
          <w:p w14:paraId="1A013883">
            <w:pPr>
              <w:jc w:val="center"/>
              <w:rPr>
                <w:color w:val="000000"/>
                <w:kern w:val="21"/>
                <w:szCs w:val="21"/>
                <w:highlight w:val="none"/>
              </w:rPr>
            </w:pPr>
            <w:r>
              <w:rPr>
                <w:color w:val="000000"/>
                <w:kern w:val="21"/>
                <w:szCs w:val="21"/>
                <w:highlight w:val="none"/>
              </w:rPr>
              <w:t>—</w:t>
            </w:r>
          </w:p>
        </w:tc>
        <w:tc>
          <w:tcPr>
            <w:tcW w:w="1772" w:type="dxa"/>
            <w:vAlign w:val="center"/>
          </w:tcPr>
          <w:p w14:paraId="3241C6EC">
            <w:pPr>
              <w:jc w:val="center"/>
              <w:rPr>
                <w:color w:val="000000"/>
                <w:kern w:val="21"/>
                <w:szCs w:val="21"/>
                <w:highlight w:val="none"/>
              </w:rPr>
            </w:pPr>
            <w:r>
              <w:rPr>
                <w:color w:val="000000"/>
                <w:kern w:val="21"/>
                <w:szCs w:val="21"/>
                <w:highlight w:val="none"/>
              </w:rPr>
              <w:t>—</w:t>
            </w:r>
          </w:p>
        </w:tc>
        <w:tc>
          <w:tcPr>
            <w:tcW w:w="1624" w:type="dxa"/>
            <w:vAlign w:val="center"/>
          </w:tcPr>
          <w:p w14:paraId="138817F8">
            <w:pPr>
              <w:widowControl/>
              <w:jc w:val="center"/>
              <w:textAlignment w:val="center"/>
              <w:rPr>
                <w:rFonts w:hint="default"/>
                <w:color w:val="000000"/>
                <w:kern w:val="21"/>
                <w:szCs w:val="21"/>
                <w:highlight w:val="none"/>
                <w:lang w:val="en-US" w:eastAsia="zh-CN"/>
              </w:rPr>
            </w:pPr>
            <w:r>
              <w:rPr>
                <w:rFonts w:hint="eastAsia"/>
                <w:color w:val="000000" w:themeColor="text1"/>
                <w:kern w:val="0"/>
                <w:szCs w:val="21"/>
                <w:highlight w:val="none"/>
                <w:lang w:val="en-US" w:eastAsia="zh-CN" w:bidi="ar"/>
                <w14:textFill>
                  <w14:solidFill>
                    <w14:schemeClr w14:val="tx1"/>
                  </w14:solidFill>
                </w14:textFill>
              </w:rPr>
              <w:t>0.005</w:t>
            </w:r>
          </w:p>
        </w:tc>
        <w:tc>
          <w:tcPr>
            <w:tcW w:w="1835" w:type="dxa"/>
            <w:vAlign w:val="center"/>
          </w:tcPr>
          <w:p w14:paraId="384DF88C">
            <w:pPr>
              <w:jc w:val="center"/>
              <w:rPr>
                <w:color w:val="000000"/>
                <w:kern w:val="21"/>
                <w:szCs w:val="21"/>
                <w:highlight w:val="none"/>
              </w:rPr>
            </w:pPr>
            <w:r>
              <w:rPr>
                <w:color w:val="000000"/>
                <w:kern w:val="21"/>
                <w:szCs w:val="21"/>
                <w:highlight w:val="none"/>
              </w:rPr>
              <w:t>—</w:t>
            </w:r>
          </w:p>
        </w:tc>
        <w:tc>
          <w:tcPr>
            <w:tcW w:w="1637" w:type="dxa"/>
            <w:vAlign w:val="center"/>
          </w:tcPr>
          <w:p w14:paraId="16538A4B">
            <w:pPr>
              <w:widowControl/>
              <w:jc w:val="center"/>
              <w:textAlignment w:val="center"/>
              <w:rPr>
                <w:rFonts w:hint="default"/>
                <w:color w:val="000000"/>
                <w:kern w:val="21"/>
                <w:szCs w:val="21"/>
                <w:highlight w:val="none"/>
                <w:lang w:val="en-US" w:eastAsia="zh-CN"/>
              </w:rPr>
            </w:pPr>
            <w:r>
              <w:rPr>
                <w:rFonts w:hint="eastAsia"/>
                <w:color w:val="000000" w:themeColor="text1"/>
                <w:kern w:val="0"/>
                <w:szCs w:val="21"/>
                <w:highlight w:val="none"/>
                <w:lang w:val="en-US" w:eastAsia="zh-CN" w:bidi="ar"/>
                <w14:textFill>
                  <w14:solidFill>
                    <w14:schemeClr w14:val="tx1"/>
                  </w14:solidFill>
                </w14:textFill>
              </w:rPr>
              <w:t>0.005</w:t>
            </w:r>
          </w:p>
        </w:tc>
        <w:tc>
          <w:tcPr>
            <w:tcW w:w="1337" w:type="dxa"/>
            <w:shd w:val="clear" w:color="auto" w:fill="auto"/>
            <w:vAlign w:val="center"/>
          </w:tcPr>
          <w:p w14:paraId="000BE2DC">
            <w:pPr>
              <w:widowControl/>
              <w:jc w:val="center"/>
              <w:textAlignment w:val="center"/>
              <w:rPr>
                <w:rFonts w:hint="default" w:ascii="Times New Roman" w:hAnsi="Times New Roman" w:eastAsia="宋体" w:cs="Times New Roman"/>
                <w:color w:val="000000"/>
                <w:kern w:val="21"/>
                <w:sz w:val="21"/>
                <w:szCs w:val="21"/>
                <w:highlight w:val="none"/>
                <w:lang w:val="en-US" w:eastAsia="zh-CN" w:bidi="ar-SA"/>
              </w:rPr>
            </w:pPr>
            <w:r>
              <w:rPr>
                <w:rFonts w:hint="eastAsia"/>
                <w:color w:val="000000" w:themeColor="text1"/>
                <w:kern w:val="0"/>
                <w:szCs w:val="21"/>
                <w:highlight w:val="none"/>
                <w:lang w:val="en-US" w:eastAsia="zh-CN" w:bidi="ar"/>
                <w14:textFill>
                  <w14:solidFill>
                    <w14:schemeClr w14:val="tx1"/>
                  </w14:solidFill>
                </w14:textFill>
              </w:rPr>
              <w:t>+0.005</w:t>
            </w:r>
          </w:p>
        </w:tc>
      </w:tr>
      <w:tr w14:paraId="7CC5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607" w:type="dxa"/>
            <w:vMerge w:val="restart"/>
            <w:vAlign w:val="center"/>
          </w:tcPr>
          <w:p w14:paraId="548A145D">
            <w:pPr>
              <w:adjustRightInd w:val="0"/>
              <w:snapToGrid w:val="0"/>
              <w:spacing w:line="256" w:lineRule="auto"/>
              <w:jc w:val="center"/>
              <w:rPr>
                <w:color w:val="000000"/>
                <w:kern w:val="21"/>
                <w:szCs w:val="21"/>
                <w:highlight w:val="none"/>
              </w:rPr>
            </w:pPr>
            <w:r>
              <w:rPr>
                <w:rFonts w:hint="eastAsia"/>
                <w:color w:val="000000"/>
                <w:kern w:val="21"/>
                <w:szCs w:val="21"/>
                <w:highlight w:val="none"/>
                <w:lang w:val="en-US" w:eastAsia="zh-CN"/>
              </w:rPr>
              <w:t>固废</w:t>
            </w:r>
          </w:p>
        </w:tc>
        <w:tc>
          <w:tcPr>
            <w:tcW w:w="1753" w:type="dxa"/>
            <w:vAlign w:val="center"/>
          </w:tcPr>
          <w:p w14:paraId="31A38BFB">
            <w:pPr>
              <w:adjustRightInd w:val="0"/>
              <w:snapToGrid w:val="0"/>
              <w:spacing w:line="256" w:lineRule="auto"/>
              <w:jc w:val="center"/>
              <w:rPr>
                <w:rFonts w:hint="default" w:eastAsia="宋体"/>
                <w:color w:val="000000"/>
                <w:kern w:val="21"/>
                <w:szCs w:val="21"/>
                <w:highlight w:val="none"/>
                <w:lang w:val="en-US" w:eastAsia="zh-CN"/>
              </w:rPr>
            </w:pPr>
            <w:r>
              <w:rPr>
                <w:rFonts w:hint="eastAsia"/>
                <w:color w:val="000000"/>
                <w:kern w:val="21"/>
                <w:szCs w:val="21"/>
                <w:highlight w:val="none"/>
                <w:lang w:val="en-US" w:eastAsia="zh-CN"/>
              </w:rPr>
              <w:t>碳化渣</w:t>
            </w:r>
          </w:p>
        </w:tc>
        <w:tc>
          <w:tcPr>
            <w:tcW w:w="1543" w:type="dxa"/>
            <w:vAlign w:val="center"/>
          </w:tcPr>
          <w:p w14:paraId="541DBDCB">
            <w:pPr>
              <w:jc w:val="center"/>
              <w:rPr>
                <w:color w:val="000000"/>
                <w:kern w:val="21"/>
                <w:szCs w:val="21"/>
                <w:highlight w:val="none"/>
              </w:rPr>
            </w:pPr>
            <w:r>
              <w:rPr>
                <w:color w:val="000000"/>
                <w:kern w:val="21"/>
                <w:szCs w:val="21"/>
                <w:highlight w:val="none"/>
              </w:rPr>
              <w:t>—</w:t>
            </w:r>
          </w:p>
        </w:tc>
        <w:tc>
          <w:tcPr>
            <w:tcW w:w="1329" w:type="dxa"/>
            <w:vAlign w:val="center"/>
          </w:tcPr>
          <w:p w14:paraId="0A388943">
            <w:pPr>
              <w:jc w:val="center"/>
              <w:rPr>
                <w:color w:val="000000"/>
                <w:kern w:val="21"/>
                <w:szCs w:val="21"/>
                <w:highlight w:val="none"/>
              </w:rPr>
            </w:pPr>
            <w:r>
              <w:rPr>
                <w:color w:val="000000"/>
                <w:kern w:val="21"/>
                <w:szCs w:val="21"/>
                <w:highlight w:val="none"/>
              </w:rPr>
              <w:t>—</w:t>
            </w:r>
          </w:p>
        </w:tc>
        <w:tc>
          <w:tcPr>
            <w:tcW w:w="1772" w:type="dxa"/>
            <w:vAlign w:val="center"/>
          </w:tcPr>
          <w:p w14:paraId="6C972D55">
            <w:pPr>
              <w:jc w:val="center"/>
              <w:rPr>
                <w:color w:val="000000"/>
                <w:kern w:val="21"/>
                <w:szCs w:val="21"/>
                <w:highlight w:val="none"/>
              </w:rPr>
            </w:pPr>
            <w:r>
              <w:rPr>
                <w:color w:val="000000"/>
                <w:kern w:val="21"/>
                <w:szCs w:val="21"/>
                <w:highlight w:val="none"/>
              </w:rPr>
              <w:t>—</w:t>
            </w:r>
          </w:p>
        </w:tc>
        <w:tc>
          <w:tcPr>
            <w:tcW w:w="1624" w:type="dxa"/>
            <w:vAlign w:val="center"/>
          </w:tcPr>
          <w:p w14:paraId="0C98DE20">
            <w:pPr>
              <w:widowControl/>
              <w:jc w:val="center"/>
              <w:textAlignment w:val="center"/>
              <w:rPr>
                <w:rFonts w:hint="default" w:eastAsia="宋体"/>
                <w:color w:val="000000"/>
                <w:kern w:val="21"/>
                <w:szCs w:val="21"/>
                <w:highlight w:val="none"/>
                <w:lang w:val="en-US" w:eastAsia="zh-CN"/>
              </w:rPr>
            </w:pPr>
            <w:r>
              <w:rPr>
                <w:rFonts w:hint="eastAsia"/>
                <w:color w:val="000000" w:themeColor="text1"/>
                <w:kern w:val="0"/>
                <w:szCs w:val="21"/>
                <w:highlight w:val="none"/>
                <w:lang w:val="en-US" w:eastAsia="zh-CN" w:bidi="ar"/>
                <w14:textFill>
                  <w14:solidFill>
                    <w14:schemeClr w14:val="tx1"/>
                  </w14:solidFill>
                </w14:textFill>
              </w:rPr>
              <w:t>26.26</w:t>
            </w:r>
          </w:p>
        </w:tc>
        <w:tc>
          <w:tcPr>
            <w:tcW w:w="1835" w:type="dxa"/>
            <w:vAlign w:val="center"/>
          </w:tcPr>
          <w:p w14:paraId="6C272009">
            <w:pPr>
              <w:jc w:val="center"/>
              <w:rPr>
                <w:b/>
                <w:bCs/>
                <w:color w:val="000000"/>
                <w:kern w:val="21"/>
                <w:szCs w:val="21"/>
                <w:highlight w:val="none"/>
              </w:rPr>
            </w:pPr>
            <w:r>
              <w:rPr>
                <w:color w:val="000000"/>
                <w:kern w:val="21"/>
                <w:szCs w:val="21"/>
                <w:highlight w:val="none"/>
              </w:rPr>
              <w:t>—</w:t>
            </w:r>
          </w:p>
        </w:tc>
        <w:tc>
          <w:tcPr>
            <w:tcW w:w="1637" w:type="dxa"/>
            <w:vAlign w:val="center"/>
          </w:tcPr>
          <w:p w14:paraId="4D9E82EA">
            <w:pPr>
              <w:widowControl/>
              <w:jc w:val="center"/>
              <w:textAlignment w:val="center"/>
              <w:rPr>
                <w:rFonts w:hint="default" w:ascii="Times New Roman" w:hAnsi="Times New Roman" w:eastAsia="宋体" w:cs="Times New Roman"/>
                <w:color w:val="000000"/>
                <w:kern w:val="21"/>
                <w:sz w:val="21"/>
                <w:szCs w:val="21"/>
                <w:highlight w:val="none"/>
                <w:lang w:val="en-US" w:eastAsia="zh-CN" w:bidi="ar-SA"/>
              </w:rPr>
            </w:pPr>
            <w:r>
              <w:rPr>
                <w:rFonts w:hint="eastAsia"/>
                <w:color w:val="000000" w:themeColor="text1"/>
                <w:kern w:val="0"/>
                <w:szCs w:val="21"/>
                <w:highlight w:val="none"/>
                <w:lang w:val="en-US" w:eastAsia="zh-CN" w:bidi="ar"/>
                <w14:textFill>
                  <w14:solidFill>
                    <w14:schemeClr w14:val="tx1"/>
                  </w14:solidFill>
                </w14:textFill>
              </w:rPr>
              <w:t>26.26</w:t>
            </w:r>
          </w:p>
        </w:tc>
        <w:tc>
          <w:tcPr>
            <w:tcW w:w="1337" w:type="dxa"/>
            <w:vAlign w:val="center"/>
          </w:tcPr>
          <w:p w14:paraId="5B9A9C2A">
            <w:pPr>
              <w:widowControl/>
              <w:jc w:val="center"/>
              <w:textAlignment w:val="center"/>
              <w:rPr>
                <w:rFonts w:hint="default"/>
                <w:color w:val="000000"/>
                <w:kern w:val="21"/>
                <w:szCs w:val="21"/>
                <w:highlight w:val="none"/>
                <w:lang w:val="en-US"/>
              </w:rPr>
            </w:pPr>
            <w:r>
              <w:rPr>
                <w:rFonts w:hint="eastAsia"/>
                <w:color w:val="000000" w:themeColor="text1"/>
                <w:kern w:val="0"/>
                <w:szCs w:val="21"/>
                <w:highlight w:val="none"/>
                <w:lang w:val="en-US" w:eastAsia="zh-CN" w:bidi="ar"/>
                <w14:textFill>
                  <w14:solidFill>
                    <w14:schemeClr w14:val="tx1"/>
                  </w14:solidFill>
                </w14:textFill>
              </w:rPr>
              <w:t>+26.26</w:t>
            </w:r>
          </w:p>
        </w:tc>
      </w:tr>
      <w:tr w14:paraId="44AF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07" w:type="dxa"/>
            <w:vMerge w:val="continue"/>
            <w:vAlign w:val="center"/>
          </w:tcPr>
          <w:p w14:paraId="60A0F105">
            <w:pPr>
              <w:widowControl/>
              <w:spacing w:beforeAutospacing="1" w:afterAutospacing="1"/>
              <w:jc w:val="center"/>
              <w:rPr>
                <w:color w:val="000000"/>
                <w:kern w:val="21"/>
                <w:szCs w:val="21"/>
                <w:highlight w:val="none"/>
              </w:rPr>
            </w:pPr>
          </w:p>
        </w:tc>
        <w:tc>
          <w:tcPr>
            <w:tcW w:w="1753" w:type="dxa"/>
            <w:vAlign w:val="center"/>
          </w:tcPr>
          <w:p w14:paraId="70B9716E">
            <w:pPr>
              <w:jc w:val="center"/>
              <w:rPr>
                <w:szCs w:val="21"/>
                <w:highlight w:val="none"/>
              </w:rPr>
            </w:pPr>
            <w:r>
              <w:rPr>
                <w:szCs w:val="21"/>
                <w:highlight w:val="none"/>
              </w:rPr>
              <w:t>燃料灰渣</w:t>
            </w:r>
          </w:p>
        </w:tc>
        <w:tc>
          <w:tcPr>
            <w:tcW w:w="1543" w:type="dxa"/>
            <w:vAlign w:val="center"/>
          </w:tcPr>
          <w:p w14:paraId="1ACF9B06">
            <w:pPr>
              <w:jc w:val="center"/>
              <w:rPr>
                <w:color w:val="000000"/>
                <w:kern w:val="21"/>
                <w:szCs w:val="21"/>
                <w:highlight w:val="none"/>
              </w:rPr>
            </w:pPr>
            <w:r>
              <w:rPr>
                <w:color w:val="000000"/>
                <w:kern w:val="21"/>
                <w:szCs w:val="21"/>
                <w:highlight w:val="none"/>
              </w:rPr>
              <w:t>—</w:t>
            </w:r>
          </w:p>
        </w:tc>
        <w:tc>
          <w:tcPr>
            <w:tcW w:w="1329" w:type="dxa"/>
            <w:vAlign w:val="center"/>
          </w:tcPr>
          <w:p w14:paraId="1AD44ADE">
            <w:pPr>
              <w:jc w:val="center"/>
              <w:rPr>
                <w:color w:val="000000"/>
                <w:kern w:val="21"/>
                <w:szCs w:val="21"/>
                <w:highlight w:val="none"/>
              </w:rPr>
            </w:pPr>
            <w:r>
              <w:rPr>
                <w:color w:val="000000"/>
                <w:kern w:val="21"/>
                <w:szCs w:val="21"/>
                <w:highlight w:val="none"/>
              </w:rPr>
              <w:t>—</w:t>
            </w:r>
          </w:p>
        </w:tc>
        <w:tc>
          <w:tcPr>
            <w:tcW w:w="1772" w:type="dxa"/>
            <w:vAlign w:val="center"/>
          </w:tcPr>
          <w:p w14:paraId="164DFD6A">
            <w:pPr>
              <w:jc w:val="center"/>
              <w:rPr>
                <w:color w:val="000000"/>
                <w:kern w:val="21"/>
                <w:szCs w:val="21"/>
                <w:highlight w:val="none"/>
              </w:rPr>
            </w:pPr>
            <w:r>
              <w:rPr>
                <w:color w:val="000000"/>
                <w:kern w:val="21"/>
                <w:szCs w:val="21"/>
                <w:highlight w:val="none"/>
              </w:rPr>
              <w:t>—</w:t>
            </w:r>
          </w:p>
        </w:tc>
        <w:tc>
          <w:tcPr>
            <w:tcW w:w="1624" w:type="dxa"/>
            <w:vAlign w:val="center"/>
          </w:tcPr>
          <w:p w14:paraId="54460CA9">
            <w:pPr>
              <w:widowControl/>
              <w:jc w:val="center"/>
              <w:textAlignment w:val="center"/>
              <w:rPr>
                <w:rFonts w:hint="default" w:eastAsia="宋体"/>
                <w:color w:val="000000"/>
                <w:kern w:val="21"/>
                <w:szCs w:val="21"/>
                <w:highlight w:val="none"/>
                <w:lang w:val="en-US" w:eastAsia="zh-CN"/>
              </w:rPr>
            </w:pPr>
            <w:r>
              <w:rPr>
                <w:rFonts w:hint="eastAsia"/>
                <w:color w:val="000000" w:themeColor="text1"/>
                <w:kern w:val="0"/>
                <w:szCs w:val="21"/>
                <w:highlight w:val="none"/>
                <w:lang w:val="en-US" w:eastAsia="zh-CN" w:bidi="ar"/>
                <w14:textFill>
                  <w14:solidFill>
                    <w14:schemeClr w14:val="tx1"/>
                  </w14:solidFill>
                </w14:textFill>
              </w:rPr>
              <w:t>24</w:t>
            </w:r>
          </w:p>
        </w:tc>
        <w:tc>
          <w:tcPr>
            <w:tcW w:w="1835" w:type="dxa"/>
            <w:vAlign w:val="center"/>
          </w:tcPr>
          <w:p w14:paraId="5762C1EC">
            <w:pPr>
              <w:jc w:val="center"/>
              <w:rPr>
                <w:color w:val="000000"/>
                <w:kern w:val="21"/>
                <w:szCs w:val="21"/>
                <w:highlight w:val="none"/>
              </w:rPr>
            </w:pPr>
            <w:r>
              <w:rPr>
                <w:color w:val="000000"/>
                <w:kern w:val="21"/>
                <w:szCs w:val="21"/>
                <w:highlight w:val="none"/>
              </w:rPr>
              <w:t>—</w:t>
            </w:r>
          </w:p>
        </w:tc>
        <w:tc>
          <w:tcPr>
            <w:tcW w:w="1637" w:type="dxa"/>
            <w:vAlign w:val="center"/>
          </w:tcPr>
          <w:p w14:paraId="66AE20BE">
            <w:pPr>
              <w:widowControl/>
              <w:jc w:val="center"/>
              <w:textAlignment w:val="center"/>
              <w:rPr>
                <w:rFonts w:hint="default" w:ascii="Times New Roman" w:hAnsi="Times New Roman" w:eastAsia="宋体" w:cs="Times New Roman"/>
                <w:color w:val="000000"/>
                <w:kern w:val="21"/>
                <w:sz w:val="21"/>
                <w:szCs w:val="21"/>
                <w:highlight w:val="none"/>
                <w:lang w:val="en-US" w:eastAsia="zh-CN" w:bidi="ar-SA"/>
              </w:rPr>
            </w:pPr>
            <w:r>
              <w:rPr>
                <w:rFonts w:hint="eastAsia"/>
                <w:color w:val="000000" w:themeColor="text1"/>
                <w:kern w:val="0"/>
                <w:szCs w:val="21"/>
                <w:highlight w:val="none"/>
                <w:lang w:val="en-US" w:eastAsia="zh-CN" w:bidi="ar"/>
                <w14:textFill>
                  <w14:solidFill>
                    <w14:schemeClr w14:val="tx1"/>
                  </w14:solidFill>
                </w14:textFill>
              </w:rPr>
              <w:t>24</w:t>
            </w:r>
          </w:p>
        </w:tc>
        <w:tc>
          <w:tcPr>
            <w:tcW w:w="1337" w:type="dxa"/>
            <w:vAlign w:val="center"/>
          </w:tcPr>
          <w:p w14:paraId="4971DABD">
            <w:pPr>
              <w:widowControl/>
              <w:jc w:val="center"/>
              <w:textAlignment w:val="center"/>
              <w:rPr>
                <w:rFonts w:hint="default"/>
                <w:color w:val="000000"/>
                <w:kern w:val="21"/>
                <w:szCs w:val="21"/>
                <w:highlight w:val="none"/>
                <w:lang w:val="en-US"/>
              </w:rPr>
            </w:pPr>
            <w:r>
              <w:rPr>
                <w:rFonts w:hint="eastAsia"/>
                <w:color w:val="000000" w:themeColor="text1"/>
                <w:kern w:val="0"/>
                <w:szCs w:val="21"/>
                <w:highlight w:val="none"/>
                <w:lang w:val="en-US" w:eastAsia="zh-CN" w:bidi="ar"/>
                <w14:textFill>
                  <w14:solidFill>
                    <w14:schemeClr w14:val="tx1"/>
                  </w14:solidFill>
                </w14:textFill>
              </w:rPr>
              <w:t>+24</w:t>
            </w:r>
          </w:p>
        </w:tc>
      </w:tr>
      <w:tr w14:paraId="4815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07" w:type="dxa"/>
            <w:vMerge w:val="continue"/>
            <w:vAlign w:val="center"/>
          </w:tcPr>
          <w:p w14:paraId="2D1BA2B2">
            <w:pPr>
              <w:widowControl/>
              <w:spacing w:beforeAutospacing="1" w:afterAutospacing="1"/>
              <w:jc w:val="center"/>
              <w:rPr>
                <w:color w:val="000000"/>
                <w:kern w:val="21"/>
                <w:szCs w:val="21"/>
                <w:highlight w:val="none"/>
              </w:rPr>
            </w:pPr>
          </w:p>
        </w:tc>
        <w:tc>
          <w:tcPr>
            <w:tcW w:w="1753" w:type="dxa"/>
            <w:vAlign w:val="center"/>
          </w:tcPr>
          <w:p w14:paraId="6A3E0D3B">
            <w:pPr>
              <w:jc w:val="center"/>
              <w:rPr>
                <w:rFonts w:hint="default" w:eastAsia="宋体"/>
                <w:szCs w:val="21"/>
                <w:highlight w:val="none"/>
                <w:lang w:val="en-US" w:eastAsia="zh-CN"/>
              </w:rPr>
            </w:pPr>
            <w:r>
              <w:rPr>
                <w:rFonts w:hint="eastAsia"/>
                <w:szCs w:val="21"/>
                <w:highlight w:val="none"/>
                <w:lang w:val="en-US" w:eastAsia="zh-CN"/>
              </w:rPr>
              <w:t>旋风除尘器粉尘</w:t>
            </w:r>
          </w:p>
        </w:tc>
        <w:tc>
          <w:tcPr>
            <w:tcW w:w="1543" w:type="dxa"/>
            <w:vAlign w:val="center"/>
          </w:tcPr>
          <w:p w14:paraId="1BEE0750">
            <w:pPr>
              <w:jc w:val="center"/>
              <w:rPr>
                <w:color w:val="000000"/>
                <w:kern w:val="21"/>
                <w:szCs w:val="21"/>
                <w:highlight w:val="none"/>
              </w:rPr>
            </w:pPr>
          </w:p>
        </w:tc>
        <w:tc>
          <w:tcPr>
            <w:tcW w:w="1329" w:type="dxa"/>
            <w:vAlign w:val="center"/>
          </w:tcPr>
          <w:p w14:paraId="7B1E54D4">
            <w:pPr>
              <w:jc w:val="center"/>
              <w:rPr>
                <w:color w:val="000000"/>
                <w:kern w:val="21"/>
                <w:szCs w:val="21"/>
                <w:highlight w:val="none"/>
              </w:rPr>
            </w:pPr>
          </w:p>
        </w:tc>
        <w:tc>
          <w:tcPr>
            <w:tcW w:w="1772" w:type="dxa"/>
            <w:vAlign w:val="center"/>
          </w:tcPr>
          <w:p w14:paraId="7A74AFA8">
            <w:pPr>
              <w:jc w:val="center"/>
              <w:rPr>
                <w:color w:val="000000"/>
                <w:kern w:val="21"/>
                <w:szCs w:val="21"/>
                <w:highlight w:val="none"/>
              </w:rPr>
            </w:pPr>
          </w:p>
        </w:tc>
        <w:tc>
          <w:tcPr>
            <w:tcW w:w="1624" w:type="dxa"/>
            <w:vAlign w:val="center"/>
          </w:tcPr>
          <w:p w14:paraId="07BE37B0">
            <w:pPr>
              <w:widowControl/>
              <w:jc w:val="center"/>
              <w:textAlignment w:val="center"/>
              <w:rPr>
                <w:rFonts w:hint="eastAsia"/>
                <w:color w:val="000000"/>
                <w:kern w:val="21"/>
                <w:szCs w:val="21"/>
                <w:highlight w:val="none"/>
                <w:lang w:val="en-US" w:eastAsia="zh-CN"/>
              </w:rPr>
            </w:pPr>
            <w:r>
              <w:rPr>
                <w:rFonts w:hint="eastAsia"/>
                <w:color w:val="000000" w:themeColor="text1"/>
                <w:kern w:val="0"/>
                <w:szCs w:val="21"/>
                <w:highlight w:val="none"/>
                <w:lang w:val="en-US" w:eastAsia="zh-CN" w:bidi="ar"/>
                <w14:textFill>
                  <w14:solidFill>
                    <w14:schemeClr w14:val="tx1"/>
                  </w14:solidFill>
                </w14:textFill>
              </w:rPr>
              <w:t>54.503</w:t>
            </w:r>
          </w:p>
        </w:tc>
        <w:tc>
          <w:tcPr>
            <w:tcW w:w="1835" w:type="dxa"/>
            <w:vAlign w:val="center"/>
          </w:tcPr>
          <w:p w14:paraId="16850E30">
            <w:pPr>
              <w:jc w:val="center"/>
              <w:rPr>
                <w:color w:val="000000"/>
                <w:kern w:val="21"/>
                <w:szCs w:val="21"/>
                <w:highlight w:val="none"/>
              </w:rPr>
            </w:pPr>
          </w:p>
        </w:tc>
        <w:tc>
          <w:tcPr>
            <w:tcW w:w="1637" w:type="dxa"/>
            <w:vAlign w:val="center"/>
          </w:tcPr>
          <w:p w14:paraId="3599A004">
            <w:pPr>
              <w:widowControl/>
              <w:jc w:val="center"/>
              <w:textAlignment w:val="center"/>
              <w:rPr>
                <w:rFonts w:hint="eastAsia"/>
                <w:color w:val="000000"/>
                <w:kern w:val="21"/>
                <w:szCs w:val="21"/>
                <w:highlight w:val="none"/>
                <w:lang w:val="en-US" w:eastAsia="zh-CN"/>
              </w:rPr>
            </w:pPr>
            <w:r>
              <w:rPr>
                <w:rFonts w:hint="eastAsia"/>
                <w:color w:val="000000" w:themeColor="text1"/>
                <w:kern w:val="0"/>
                <w:szCs w:val="21"/>
                <w:highlight w:val="none"/>
                <w:lang w:val="en-US" w:eastAsia="zh-CN" w:bidi="ar"/>
                <w14:textFill>
                  <w14:solidFill>
                    <w14:schemeClr w14:val="tx1"/>
                  </w14:solidFill>
                </w14:textFill>
              </w:rPr>
              <w:t>54.503</w:t>
            </w:r>
          </w:p>
        </w:tc>
        <w:tc>
          <w:tcPr>
            <w:tcW w:w="1337" w:type="dxa"/>
            <w:vAlign w:val="center"/>
          </w:tcPr>
          <w:p w14:paraId="457815F5">
            <w:pPr>
              <w:widowControl/>
              <w:jc w:val="center"/>
              <w:textAlignment w:val="center"/>
              <w:rPr>
                <w:rFonts w:hint="eastAsia"/>
                <w:color w:val="000000"/>
                <w:kern w:val="21"/>
                <w:szCs w:val="21"/>
                <w:highlight w:val="none"/>
                <w:lang w:eastAsia="zh-CN"/>
              </w:rPr>
            </w:pPr>
            <w:r>
              <w:rPr>
                <w:rFonts w:hint="eastAsia"/>
                <w:color w:val="000000" w:themeColor="text1"/>
                <w:kern w:val="0"/>
                <w:szCs w:val="21"/>
                <w:highlight w:val="none"/>
                <w:lang w:val="en-US" w:eastAsia="zh-CN" w:bidi="ar"/>
                <w14:textFill>
                  <w14:solidFill>
                    <w14:schemeClr w14:val="tx1"/>
                  </w14:solidFill>
                </w14:textFill>
              </w:rPr>
              <w:t>+54.503</w:t>
            </w:r>
          </w:p>
        </w:tc>
      </w:tr>
      <w:tr w14:paraId="063E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07" w:type="dxa"/>
            <w:vMerge w:val="continue"/>
            <w:vAlign w:val="center"/>
          </w:tcPr>
          <w:p w14:paraId="183AB2C9">
            <w:pPr>
              <w:widowControl/>
              <w:spacing w:beforeAutospacing="1" w:afterAutospacing="1"/>
              <w:jc w:val="center"/>
              <w:rPr>
                <w:color w:val="000000"/>
                <w:kern w:val="21"/>
                <w:szCs w:val="21"/>
                <w:highlight w:val="none"/>
              </w:rPr>
            </w:pPr>
          </w:p>
        </w:tc>
        <w:tc>
          <w:tcPr>
            <w:tcW w:w="1753" w:type="dxa"/>
            <w:vAlign w:val="center"/>
          </w:tcPr>
          <w:p w14:paraId="6C35DF4F">
            <w:pPr>
              <w:jc w:val="center"/>
              <w:rPr>
                <w:szCs w:val="21"/>
                <w:highlight w:val="none"/>
              </w:rPr>
            </w:pPr>
            <w:r>
              <w:rPr>
                <w:rFonts w:hint="eastAsia" w:cs="Times New Roman"/>
                <w:szCs w:val="21"/>
                <w:highlight w:val="none"/>
                <w:lang w:val="en-US" w:eastAsia="zh-CN"/>
              </w:rPr>
              <w:t>喷淋除尘脱硫塔</w:t>
            </w:r>
            <w:r>
              <w:rPr>
                <w:szCs w:val="21"/>
                <w:highlight w:val="none"/>
              </w:rPr>
              <w:t>沉渣</w:t>
            </w:r>
          </w:p>
        </w:tc>
        <w:tc>
          <w:tcPr>
            <w:tcW w:w="1543" w:type="dxa"/>
            <w:vAlign w:val="center"/>
          </w:tcPr>
          <w:p w14:paraId="635AC1EB">
            <w:pPr>
              <w:jc w:val="center"/>
              <w:rPr>
                <w:color w:val="000000"/>
                <w:kern w:val="21"/>
                <w:szCs w:val="21"/>
                <w:highlight w:val="none"/>
              </w:rPr>
            </w:pPr>
            <w:r>
              <w:rPr>
                <w:color w:val="000000"/>
                <w:kern w:val="21"/>
                <w:szCs w:val="21"/>
                <w:highlight w:val="none"/>
              </w:rPr>
              <w:t>—</w:t>
            </w:r>
          </w:p>
        </w:tc>
        <w:tc>
          <w:tcPr>
            <w:tcW w:w="1329" w:type="dxa"/>
            <w:vAlign w:val="center"/>
          </w:tcPr>
          <w:p w14:paraId="6FB5115D">
            <w:pPr>
              <w:jc w:val="center"/>
              <w:rPr>
                <w:color w:val="000000"/>
                <w:kern w:val="21"/>
                <w:szCs w:val="21"/>
                <w:highlight w:val="none"/>
              </w:rPr>
            </w:pPr>
            <w:r>
              <w:rPr>
                <w:color w:val="000000"/>
                <w:kern w:val="21"/>
                <w:szCs w:val="21"/>
                <w:highlight w:val="none"/>
              </w:rPr>
              <w:t>—</w:t>
            </w:r>
          </w:p>
        </w:tc>
        <w:tc>
          <w:tcPr>
            <w:tcW w:w="1772" w:type="dxa"/>
            <w:vAlign w:val="center"/>
          </w:tcPr>
          <w:p w14:paraId="37A625F6">
            <w:pPr>
              <w:jc w:val="center"/>
              <w:rPr>
                <w:color w:val="000000"/>
                <w:kern w:val="21"/>
                <w:szCs w:val="21"/>
                <w:highlight w:val="none"/>
              </w:rPr>
            </w:pPr>
            <w:r>
              <w:rPr>
                <w:color w:val="000000"/>
                <w:kern w:val="21"/>
                <w:szCs w:val="21"/>
                <w:highlight w:val="none"/>
              </w:rPr>
              <w:t>—</w:t>
            </w:r>
          </w:p>
        </w:tc>
        <w:tc>
          <w:tcPr>
            <w:tcW w:w="1624" w:type="dxa"/>
            <w:vAlign w:val="center"/>
          </w:tcPr>
          <w:p w14:paraId="751BB08C">
            <w:pPr>
              <w:widowControl/>
              <w:jc w:val="center"/>
              <w:textAlignment w:val="center"/>
              <w:rPr>
                <w:rFonts w:hint="default" w:eastAsia="宋体"/>
                <w:color w:val="000000"/>
                <w:kern w:val="21"/>
                <w:szCs w:val="21"/>
                <w:highlight w:val="none"/>
                <w:lang w:val="en-US" w:eastAsia="zh-CN"/>
              </w:rPr>
            </w:pPr>
            <w:r>
              <w:rPr>
                <w:rFonts w:hint="eastAsia"/>
                <w:color w:val="000000" w:themeColor="text1"/>
                <w:kern w:val="0"/>
                <w:szCs w:val="21"/>
                <w:highlight w:val="none"/>
                <w:lang w:val="en-US" w:eastAsia="zh-CN" w:bidi="ar"/>
                <w14:textFill>
                  <w14:solidFill>
                    <w14:schemeClr w14:val="tx1"/>
                  </w14:solidFill>
                </w14:textFill>
              </w:rPr>
              <w:t>28.69</w:t>
            </w:r>
          </w:p>
        </w:tc>
        <w:tc>
          <w:tcPr>
            <w:tcW w:w="1835" w:type="dxa"/>
            <w:vAlign w:val="center"/>
          </w:tcPr>
          <w:p w14:paraId="6B81E49A">
            <w:pPr>
              <w:jc w:val="center"/>
              <w:rPr>
                <w:color w:val="000000"/>
                <w:kern w:val="21"/>
                <w:szCs w:val="21"/>
                <w:highlight w:val="none"/>
              </w:rPr>
            </w:pPr>
            <w:r>
              <w:rPr>
                <w:color w:val="000000"/>
                <w:kern w:val="21"/>
                <w:szCs w:val="21"/>
                <w:highlight w:val="none"/>
              </w:rPr>
              <w:t>—</w:t>
            </w:r>
          </w:p>
        </w:tc>
        <w:tc>
          <w:tcPr>
            <w:tcW w:w="1637" w:type="dxa"/>
            <w:vAlign w:val="center"/>
          </w:tcPr>
          <w:p w14:paraId="47723D49">
            <w:pPr>
              <w:widowControl/>
              <w:jc w:val="center"/>
              <w:textAlignment w:val="center"/>
              <w:rPr>
                <w:rFonts w:hint="default" w:ascii="Times New Roman" w:hAnsi="Times New Roman" w:eastAsia="宋体" w:cs="Times New Roman"/>
                <w:color w:val="000000"/>
                <w:kern w:val="21"/>
                <w:sz w:val="21"/>
                <w:szCs w:val="21"/>
                <w:highlight w:val="none"/>
                <w:lang w:val="en-US" w:eastAsia="zh-CN" w:bidi="ar-SA"/>
              </w:rPr>
            </w:pPr>
            <w:r>
              <w:rPr>
                <w:rFonts w:hint="eastAsia"/>
                <w:color w:val="000000" w:themeColor="text1"/>
                <w:kern w:val="0"/>
                <w:szCs w:val="21"/>
                <w:highlight w:val="none"/>
                <w:lang w:val="en-US" w:eastAsia="zh-CN" w:bidi="ar"/>
                <w14:textFill>
                  <w14:solidFill>
                    <w14:schemeClr w14:val="tx1"/>
                  </w14:solidFill>
                </w14:textFill>
              </w:rPr>
              <w:t>28.69</w:t>
            </w:r>
          </w:p>
        </w:tc>
        <w:tc>
          <w:tcPr>
            <w:tcW w:w="1337" w:type="dxa"/>
            <w:vAlign w:val="center"/>
          </w:tcPr>
          <w:p w14:paraId="66DB7164">
            <w:pPr>
              <w:widowControl/>
              <w:jc w:val="center"/>
              <w:textAlignment w:val="center"/>
              <w:rPr>
                <w:rFonts w:hint="default"/>
                <w:color w:val="000000"/>
                <w:kern w:val="21"/>
                <w:szCs w:val="21"/>
                <w:highlight w:val="none"/>
                <w:lang w:val="en-US"/>
              </w:rPr>
            </w:pPr>
            <w:r>
              <w:rPr>
                <w:rFonts w:hint="eastAsia"/>
                <w:color w:val="000000" w:themeColor="text1"/>
                <w:kern w:val="0"/>
                <w:szCs w:val="21"/>
                <w:highlight w:val="none"/>
                <w:lang w:val="en-US" w:eastAsia="zh-CN" w:bidi="ar"/>
                <w14:textFill>
                  <w14:solidFill>
                    <w14:schemeClr w14:val="tx1"/>
                  </w14:solidFill>
                </w14:textFill>
              </w:rPr>
              <w:t>+28.69</w:t>
            </w:r>
          </w:p>
        </w:tc>
      </w:tr>
      <w:tr w14:paraId="0DAA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7" w:type="dxa"/>
            <w:vMerge w:val="continue"/>
            <w:vAlign w:val="center"/>
          </w:tcPr>
          <w:p w14:paraId="2A18FF42">
            <w:pPr>
              <w:adjustRightInd w:val="0"/>
              <w:snapToGrid w:val="0"/>
              <w:spacing w:line="256" w:lineRule="auto"/>
              <w:jc w:val="center"/>
              <w:rPr>
                <w:color w:val="000000"/>
                <w:kern w:val="21"/>
                <w:szCs w:val="21"/>
                <w:highlight w:val="none"/>
              </w:rPr>
            </w:pPr>
          </w:p>
        </w:tc>
        <w:tc>
          <w:tcPr>
            <w:tcW w:w="1753" w:type="dxa"/>
            <w:vAlign w:val="center"/>
          </w:tcPr>
          <w:p w14:paraId="5D25F146">
            <w:pPr>
              <w:jc w:val="center"/>
              <w:rPr>
                <w:szCs w:val="21"/>
                <w:highlight w:val="none"/>
              </w:rPr>
            </w:pPr>
            <w:r>
              <w:rPr>
                <w:spacing w:val="-2"/>
                <w:kern w:val="0"/>
                <w:szCs w:val="21"/>
                <w:highlight w:val="none"/>
              </w:rPr>
              <w:t>生活垃圾</w:t>
            </w:r>
          </w:p>
        </w:tc>
        <w:tc>
          <w:tcPr>
            <w:tcW w:w="1543" w:type="dxa"/>
            <w:vAlign w:val="center"/>
          </w:tcPr>
          <w:p w14:paraId="58513CDA">
            <w:pPr>
              <w:jc w:val="center"/>
              <w:rPr>
                <w:color w:val="000000"/>
                <w:kern w:val="21"/>
                <w:szCs w:val="21"/>
                <w:highlight w:val="none"/>
              </w:rPr>
            </w:pPr>
            <w:r>
              <w:rPr>
                <w:color w:val="000000"/>
                <w:kern w:val="21"/>
                <w:szCs w:val="21"/>
                <w:highlight w:val="none"/>
              </w:rPr>
              <w:t>—</w:t>
            </w:r>
          </w:p>
        </w:tc>
        <w:tc>
          <w:tcPr>
            <w:tcW w:w="1329" w:type="dxa"/>
            <w:vAlign w:val="center"/>
          </w:tcPr>
          <w:p w14:paraId="3AC79151">
            <w:pPr>
              <w:jc w:val="center"/>
              <w:rPr>
                <w:color w:val="000000"/>
                <w:kern w:val="21"/>
                <w:szCs w:val="21"/>
                <w:highlight w:val="none"/>
              </w:rPr>
            </w:pPr>
            <w:r>
              <w:rPr>
                <w:color w:val="000000"/>
                <w:kern w:val="21"/>
                <w:szCs w:val="21"/>
                <w:highlight w:val="none"/>
              </w:rPr>
              <w:t>—</w:t>
            </w:r>
          </w:p>
        </w:tc>
        <w:tc>
          <w:tcPr>
            <w:tcW w:w="1772" w:type="dxa"/>
            <w:vAlign w:val="center"/>
          </w:tcPr>
          <w:p w14:paraId="0B97B4F7">
            <w:pPr>
              <w:jc w:val="center"/>
              <w:rPr>
                <w:color w:val="000000"/>
                <w:kern w:val="21"/>
                <w:szCs w:val="21"/>
                <w:highlight w:val="none"/>
              </w:rPr>
            </w:pPr>
            <w:r>
              <w:rPr>
                <w:color w:val="000000"/>
                <w:kern w:val="21"/>
                <w:szCs w:val="21"/>
                <w:highlight w:val="none"/>
              </w:rPr>
              <w:t>—</w:t>
            </w:r>
          </w:p>
        </w:tc>
        <w:tc>
          <w:tcPr>
            <w:tcW w:w="1624" w:type="dxa"/>
            <w:vAlign w:val="center"/>
          </w:tcPr>
          <w:p w14:paraId="6D97B59E">
            <w:pPr>
              <w:widowControl/>
              <w:jc w:val="center"/>
              <w:textAlignment w:val="center"/>
              <w:rPr>
                <w:rFonts w:hint="default" w:eastAsia="宋体"/>
                <w:color w:val="000000"/>
                <w:kern w:val="21"/>
                <w:szCs w:val="21"/>
                <w:highlight w:val="none"/>
                <w:lang w:val="en-US" w:eastAsia="zh-CN"/>
              </w:rPr>
            </w:pPr>
            <w:r>
              <w:rPr>
                <w:rFonts w:hint="eastAsia" w:cs="Times New Roman"/>
                <w:color w:val="000000" w:themeColor="text1"/>
                <w:kern w:val="0"/>
                <w:sz w:val="21"/>
                <w:szCs w:val="21"/>
                <w:highlight w:val="none"/>
                <w:lang w:val="en-US" w:eastAsia="zh-CN" w:bidi="ar"/>
                <w14:textFill>
                  <w14:solidFill>
                    <w14:schemeClr w14:val="tx1"/>
                  </w14:solidFill>
                </w14:textFill>
              </w:rPr>
              <w:t>1.5</w:t>
            </w:r>
          </w:p>
        </w:tc>
        <w:tc>
          <w:tcPr>
            <w:tcW w:w="1835" w:type="dxa"/>
            <w:vAlign w:val="center"/>
          </w:tcPr>
          <w:p w14:paraId="5CF12E9C">
            <w:pPr>
              <w:jc w:val="center"/>
              <w:rPr>
                <w:color w:val="000000"/>
                <w:kern w:val="21"/>
                <w:szCs w:val="21"/>
                <w:highlight w:val="none"/>
              </w:rPr>
            </w:pPr>
            <w:r>
              <w:rPr>
                <w:color w:val="000000"/>
                <w:kern w:val="21"/>
                <w:szCs w:val="21"/>
                <w:highlight w:val="none"/>
              </w:rPr>
              <w:t>—</w:t>
            </w:r>
          </w:p>
        </w:tc>
        <w:tc>
          <w:tcPr>
            <w:tcW w:w="1637" w:type="dxa"/>
            <w:vAlign w:val="center"/>
          </w:tcPr>
          <w:p w14:paraId="06AB8917">
            <w:pPr>
              <w:widowControl/>
              <w:jc w:val="center"/>
              <w:textAlignment w:val="center"/>
              <w:rPr>
                <w:rFonts w:hint="default" w:ascii="Times New Roman" w:hAnsi="Times New Roman" w:eastAsia="宋体" w:cs="Times New Roman"/>
                <w:color w:val="000000"/>
                <w:kern w:val="21"/>
                <w:sz w:val="21"/>
                <w:szCs w:val="21"/>
                <w:highlight w:val="none"/>
                <w:lang w:val="en-US" w:eastAsia="zh-CN" w:bidi="ar-SA"/>
              </w:rPr>
            </w:pPr>
            <w:r>
              <w:rPr>
                <w:rFonts w:hint="eastAsia" w:cs="Times New Roman"/>
                <w:color w:val="000000" w:themeColor="text1"/>
                <w:kern w:val="0"/>
                <w:sz w:val="21"/>
                <w:szCs w:val="21"/>
                <w:highlight w:val="none"/>
                <w:lang w:val="en-US" w:eastAsia="zh-CN" w:bidi="ar"/>
                <w14:textFill>
                  <w14:solidFill>
                    <w14:schemeClr w14:val="tx1"/>
                  </w14:solidFill>
                </w14:textFill>
              </w:rPr>
              <w:t>1.5</w:t>
            </w:r>
          </w:p>
        </w:tc>
        <w:tc>
          <w:tcPr>
            <w:tcW w:w="1337" w:type="dxa"/>
            <w:vAlign w:val="center"/>
          </w:tcPr>
          <w:p w14:paraId="256BB2DF">
            <w:pPr>
              <w:widowControl/>
              <w:jc w:val="center"/>
              <w:textAlignment w:val="center"/>
              <w:rPr>
                <w:rFonts w:hint="default"/>
                <w:color w:val="000000"/>
                <w:kern w:val="21"/>
                <w:szCs w:val="21"/>
                <w:highlight w:val="none"/>
                <w:lang w:val="en-US" w:eastAsia="zh-CN"/>
              </w:rPr>
            </w:pPr>
            <w:r>
              <w:rPr>
                <w:rFonts w:hint="eastAsia" w:cs="Times New Roman"/>
                <w:color w:val="000000" w:themeColor="text1"/>
                <w:kern w:val="0"/>
                <w:sz w:val="21"/>
                <w:szCs w:val="21"/>
                <w:highlight w:val="none"/>
                <w:lang w:val="en-US" w:eastAsia="zh-CN" w:bidi="ar"/>
                <w14:textFill>
                  <w14:solidFill>
                    <w14:schemeClr w14:val="tx1"/>
                  </w14:solidFill>
                </w14:textFill>
              </w:rPr>
              <w:t>+1.5</w:t>
            </w:r>
          </w:p>
        </w:tc>
      </w:tr>
    </w:tbl>
    <w:p w14:paraId="3193D9F3">
      <w:pPr>
        <w:rPr>
          <w:highlight w:val="none"/>
        </w:rPr>
      </w:pPr>
      <w:r>
        <w:rPr>
          <w:highlight w:val="none"/>
        </w:rPr>
        <w:t>注：</w:t>
      </w:r>
      <w:r>
        <w:rPr>
          <w:highlight w:val="none"/>
        </w:rPr>
        <w:fldChar w:fldCharType="begin"/>
      </w:r>
      <w:r>
        <w:rPr>
          <w:highlight w:val="none"/>
        </w:rPr>
        <w:instrText xml:space="preserve"> = 6 \* GB3 \* MERGEFORMAT </w:instrText>
      </w:r>
      <w:r>
        <w:rPr>
          <w:highlight w:val="none"/>
        </w:rPr>
        <w:fldChar w:fldCharType="separate"/>
      </w:r>
      <w:r>
        <w:rPr>
          <w:rFonts w:hint="eastAsia" w:ascii="宋体" w:hAnsi="宋体" w:cs="宋体"/>
          <w:highlight w:val="none"/>
        </w:rPr>
        <w:t>⑥</w:t>
      </w:r>
      <w:r>
        <w:rPr>
          <w:highlight w:val="none"/>
        </w:rPr>
        <w:fldChar w:fldCharType="end"/>
      </w:r>
      <w:r>
        <w:rPr>
          <w:highlight w:val="none"/>
        </w:rPr>
        <w:t>=</w:t>
      </w:r>
      <w:r>
        <w:rPr>
          <w:highlight w:val="none"/>
        </w:rPr>
        <w:fldChar w:fldCharType="begin"/>
      </w:r>
      <w:r>
        <w:rPr>
          <w:highlight w:val="none"/>
        </w:rPr>
        <w:instrText xml:space="preserve"> = 1 \* GB3 \* MERGEFORMAT </w:instrText>
      </w:r>
      <w:r>
        <w:rPr>
          <w:highlight w:val="none"/>
        </w:rPr>
        <w:fldChar w:fldCharType="separate"/>
      </w:r>
      <w:r>
        <w:rPr>
          <w:rFonts w:hint="eastAsia" w:ascii="宋体" w:hAnsi="宋体" w:cs="宋体"/>
          <w:highlight w:val="none"/>
        </w:rPr>
        <w:t>①</w:t>
      </w:r>
      <w:r>
        <w:rPr>
          <w:highlight w:val="none"/>
        </w:rPr>
        <w:fldChar w:fldCharType="end"/>
      </w:r>
      <w:r>
        <w:rPr>
          <w:highlight w:val="none"/>
        </w:rPr>
        <w:t>+</w:t>
      </w:r>
      <w:r>
        <w:rPr>
          <w:highlight w:val="none"/>
        </w:rPr>
        <w:fldChar w:fldCharType="begin"/>
      </w:r>
      <w:r>
        <w:rPr>
          <w:highlight w:val="none"/>
        </w:rPr>
        <w:instrText xml:space="preserve"> = 3 \* GB3 \* MERGEFORMAT </w:instrText>
      </w:r>
      <w:r>
        <w:rPr>
          <w:highlight w:val="none"/>
        </w:rPr>
        <w:fldChar w:fldCharType="separate"/>
      </w:r>
      <w:r>
        <w:rPr>
          <w:rFonts w:hint="eastAsia" w:ascii="宋体" w:hAnsi="宋体" w:cs="宋体"/>
          <w:highlight w:val="none"/>
        </w:rPr>
        <w:t>③</w:t>
      </w:r>
      <w:r>
        <w:rPr>
          <w:highlight w:val="none"/>
        </w:rPr>
        <w:fldChar w:fldCharType="end"/>
      </w:r>
      <w:r>
        <w:rPr>
          <w:highlight w:val="none"/>
        </w:rPr>
        <w:t>+</w:t>
      </w:r>
      <w:r>
        <w:rPr>
          <w:rFonts w:hint="eastAsia"/>
          <w:highlight w:val="none"/>
        </w:rPr>
        <w:t>④</w:t>
      </w:r>
      <w:r>
        <w:rPr>
          <w:highlight w:val="none"/>
        </w:rPr>
        <w:t>-</w:t>
      </w:r>
      <w:r>
        <w:rPr>
          <w:highlight w:val="none"/>
        </w:rPr>
        <w:fldChar w:fldCharType="begin"/>
      </w:r>
      <w:r>
        <w:rPr>
          <w:highlight w:val="none"/>
        </w:rPr>
        <w:instrText xml:space="preserve"> = 5 \* GB3 \* MERGEFORMAT </w:instrText>
      </w:r>
      <w:r>
        <w:rPr>
          <w:highlight w:val="none"/>
        </w:rPr>
        <w:fldChar w:fldCharType="separate"/>
      </w:r>
      <w:r>
        <w:rPr>
          <w:rFonts w:hint="eastAsia" w:ascii="宋体" w:hAnsi="宋体" w:cs="宋体"/>
          <w:highlight w:val="none"/>
        </w:rPr>
        <w:t>⑤</w:t>
      </w:r>
      <w:r>
        <w:rPr>
          <w:highlight w:val="none"/>
        </w:rPr>
        <w:fldChar w:fldCharType="end"/>
      </w:r>
      <w:r>
        <w:rPr>
          <w:highlight w:val="none"/>
        </w:rPr>
        <w:t>；</w:t>
      </w:r>
      <w:r>
        <w:rPr>
          <w:highlight w:val="none"/>
        </w:rPr>
        <w:fldChar w:fldCharType="begin"/>
      </w:r>
      <w:r>
        <w:rPr>
          <w:highlight w:val="none"/>
        </w:rPr>
        <w:instrText xml:space="preserve"> = 7 \* GB3 \* MERGEFORMAT </w:instrText>
      </w:r>
      <w:r>
        <w:rPr>
          <w:highlight w:val="none"/>
        </w:rPr>
        <w:fldChar w:fldCharType="separate"/>
      </w:r>
      <w:r>
        <w:rPr>
          <w:rFonts w:hint="eastAsia" w:ascii="宋体" w:hAnsi="宋体" w:cs="宋体"/>
          <w:highlight w:val="none"/>
        </w:rPr>
        <w:t>⑦</w:t>
      </w:r>
      <w:r>
        <w:rPr>
          <w:highlight w:val="none"/>
        </w:rPr>
        <w:fldChar w:fldCharType="end"/>
      </w:r>
      <w:r>
        <w:rPr>
          <w:highlight w:val="none"/>
        </w:rPr>
        <w:t>=</w:t>
      </w:r>
      <w:r>
        <w:rPr>
          <w:highlight w:val="none"/>
        </w:rPr>
        <w:fldChar w:fldCharType="begin"/>
      </w:r>
      <w:r>
        <w:rPr>
          <w:highlight w:val="none"/>
        </w:rPr>
        <w:instrText xml:space="preserve"> = 6 \* GB3 \* MERGEFORMAT </w:instrText>
      </w:r>
      <w:r>
        <w:rPr>
          <w:highlight w:val="none"/>
        </w:rPr>
        <w:fldChar w:fldCharType="separate"/>
      </w:r>
      <w:r>
        <w:rPr>
          <w:rFonts w:hint="eastAsia" w:ascii="宋体" w:hAnsi="宋体" w:cs="宋体"/>
          <w:highlight w:val="none"/>
        </w:rPr>
        <w:t>⑥</w:t>
      </w:r>
      <w:r>
        <w:rPr>
          <w:highlight w:val="none"/>
        </w:rPr>
        <w:fldChar w:fldCharType="end"/>
      </w:r>
      <w:r>
        <w:rPr>
          <w:highlight w:val="none"/>
        </w:rPr>
        <w:t>-</w:t>
      </w:r>
      <w:r>
        <w:rPr>
          <w:highlight w:val="none"/>
        </w:rPr>
        <w:fldChar w:fldCharType="begin"/>
      </w:r>
      <w:r>
        <w:rPr>
          <w:highlight w:val="none"/>
        </w:rPr>
        <w:instrText xml:space="preserve"> = 1 \* GB3 \* MERGEFORMAT </w:instrText>
      </w:r>
      <w:r>
        <w:rPr>
          <w:highlight w:val="none"/>
        </w:rPr>
        <w:fldChar w:fldCharType="separate"/>
      </w:r>
      <w:r>
        <w:rPr>
          <w:rFonts w:hint="eastAsia" w:ascii="宋体" w:hAnsi="宋体" w:cs="宋体"/>
          <w:highlight w:val="none"/>
        </w:rPr>
        <w:t>①</w:t>
      </w:r>
      <w:r>
        <w:rPr>
          <w:highlight w:val="none"/>
        </w:rPr>
        <w:fldChar w:fldCharType="end"/>
      </w:r>
      <w:bookmarkEnd w:id="28"/>
      <w:bookmarkEnd w:id="29"/>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Sϸ">
    <w:altName w:val="Times New Roman"/>
    <w:panose1 w:val="00000000000000000000"/>
    <w:charset w:val="00"/>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大标宋_GBK">
    <w:altName w:val="黑体"/>
    <w:panose1 w:val="00000000000000000000"/>
    <w:charset w:val="86"/>
    <w:family w:val="script"/>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宋三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Time New Roman">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80"/>
    <w:family w:val="auto"/>
    <w:pitch w:val="default"/>
    <w:sig w:usb0="00000000" w:usb1="00000000" w:usb2="00000000" w:usb3="00000000" w:csb0="00020000" w:csb1="00000000"/>
  </w:font>
  <w:font w:name="TimesNewRomanPS-BoldMT">
    <w:altName w:val="宋体"/>
    <w:panose1 w:val="00000000000000000000"/>
    <w:charset w:val="86"/>
    <w:family w:val="auto"/>
    <w:pitch w:val="default"/>
    <w:sig w:usb0="00000000" w:usb1="0000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9803">
    <w:pPr>
      <w:pStyle w:val="2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65ED">
    <w:pPr>
      <w:pStyle w:val="23"/>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828800" cy="1828800"/>
              <wp:effectExtent l="0" t="0" r="0" b="0"/>
              <wp:wrapNone/>
              <wp:docPr id="3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1984E5">
                          <w:pPr>
                            <w:pStyle w:val="23"/>
                            <w:rPr>
                              <w:rStyle w:val="39"/>
                              <w:rFonts w:ascii="宋体" w:hAnsi="宋体"/>
                              <w:sz w:val="28"/>
                              <w:szCs w:val="28"/>
                            </w:rPr>
                          </w:pPr>
                          <w:r>
                            <w:rPr>
                              <w:rStyle w:val="39"/>
                              <w:rFonts w:hint="eastAsia" w:ascii="宋体" w:hAnsi="宋体"/>
                              <w:sz w:val="28"/>
                              <w:szCs w:val="28"/>
                            </w:rPr>
                            <w:t>—</w:t>
                          </w:r>
                          <w:r>
                            <w:rPr>
                              <w:rStyle w:val="39"/>
                              <w:rFonts w:hint="eastAsia" w:ascii="宋体" w:hAnsi="宋体"/>
                              <w:sz w:val="20"/>
                            </w:rPr>
                            <w:t xml:space="preserve"> </w:t>
                          </w:r>
                          <w:r>
                            <w:rPr>
                              <w:rStyle w:val="39"/>
                              <w:rFonts w:hint="default" w:ascii="Times New Roman" w:hAnsi="Times New Roman" w:cs="Times New Roman"/>
                              <w:sz w:val="20"/>
                            </w:rPr>
                            <w:t xml:space="preserve"> </w:t>
                          </w:r>
                          <w:r>
                            <w:rPr>
                              <w:rStyle w:val="39"/>
                              <w:rFonts w:hint="default" w:ascii="Times New Roman" w:hAnsi="Times New Roman" w:cs="Times New Roman"/>
                              <w:sz w:val="26"/>
                              <w:szCs w:val="26"/>
                            </w:rPr>
                            <w:fldChar w:fldCharType="begin"/>
                          </w:r>
                          <w:r>
                            <w:rPr>
                              <w:rStyle w:val="39"/>
                              <w:rFonts w:hint="default" w:ascii="Times New Roman" w:hAnsi="Times New Roman" w:cs="Times New Roman"/>
                              <w:sz w:val="26"/>
                              <w:szCs w:val="26"/>
                            </w:rPr>
                            <w:instrText xml:space="preserve">PAGE  </w:instrText>
                          </w:r>
                          <w:r>
                            <w:rPr>
                              <w:rStyle w:val="39"/>
                              <w:rFonts w:hint="default" w:ascii="Times New Roman" w:hAnsi="Times New Roman" w:cs="Times New Roman"/>
                              <w:sz w:val="26"/>
                              <w:szCs w:val="26"/>
                            </w:rPr>
                            <w:fldChar w:fldCharType="separate"/>
                          </w:r>
                          <w:r>
                            <w:rPr>
                              <w:rStyle w:val="39"/>
                              <w:rFonts w:hint="default" w:ascii="Times New Roman" w:hAnsi="Times New Roman" w:cs="Times New Roman"/>
                              <w:sz w:val="26"/>
                              <w:szCs w:val="26"/>
                            </w:rPr>
                            <w:t>18</w:t>
                          </w:r>
                          <w:r>
                            <w:rPr>
                              <w:rStyle w:val="39"/>
                              <w:rFonts w:hint="default" w:ascii="Times New Roman" w:hAnsi="Times New Roman" w:cs="Times New Roman"/>
                              <w:sz w:val="26"/>
                              <w:szCs w:val="26"/>
                            </w:rPr>
                            <w:fldChar w:fldCharType="end"/>
                          </w:r>
                          <w:r>
                            <w:rPr>
                              <w:rStyle w:val="39"/>
                              <w:rFonts w:hint="eastAsia" w:ascii="宋体" w:hAnsi="宋体"/>
                              <w:sz w:val="20"/>
                            </w:rPr>
                            <w:t xml:space="preserve">  </w:t>
                          </w:r>
                          <w:r>
                            <w:rPr>
                              <w:rStyle w:val="39"/>
                              <w:rFonts w:hint="eastAsia" w:ascii="宋体" w:hAnsi="宋体"/>
                              <w:sz w:val="28"/>
                              <w:szCs w:val="28"/>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05pt;height:144pt;width:144pt;mso-position-horizontal:center;mso-position-horizontal-relative:margin;mso-wrap-style:none;z-index:251660288;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ExRltvJAQAAmgMAAA4AAABkcnMvZTJvRG9jLnhtbK1TzY7TMBC+I/EO&#10;lu/UaUGoipquQNUiJARIyz6A69iNJf/J4zbpC8AbcOLCnefqczB2ki4slz1wccYz42++b2ayuRms&#10;IScZQXvX0OWiokQ64VvtDg29/3L7Yk0JJO5abryTDT1LoDfb5882fajlynfetDISBHFQ96GhXUqh&#10;ZgxEJy2HhQ/SYVD5aHnCazywNvIe0a1hq6p6zXof2xC9kADo3Y1BOiHGpwB6pbSQOy+OVro0okZp&#10;eEJJ0OkAdFvYKiVF+qQUyERMQ1FpKicWQXufT7bd8PoQeei0mCjwp1B4pMly7bDoFWrHEyfHqP+B&#10;slpED16lhfCWjUJKR1DFsnrUm7uOB1m0YKshXJsO/w9WfDx9jkS3DX35ihLHLU788v3b5cevy8+v&#10;ZJn70weoMe0uYGIa3voBt2b2Azqz7EFFm78oiGAcu3u+dlcOiYj8aL1arysMCYzNF8RnD89DhPRO&#10;ekuy0dCI4ytd5acPkMbUOSVXc/5WG1NGaNxfDsTMHpa5jxyzlYb9MAna+/aMenqcfEMdLjol5r3D&#10;xuYlmY04G/vZOIaoDx1SWxZeEN4cE5Io3HKFEXYqjCMr6qb1yjvx571kPfxS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Pmvu0AAAAAUBAAAPAAAAAAAAAAEAIAAAACIAAABkcnMvZG93bnJldi54&#10;bWxQSwECFAAUAAAACACHTuJATFGW28kBAACaAwAADgAAAAAAAAABACAAAAAfAQAAZHJzL2Uyb0Rv&#10;Yy54bWxQSwUGAAAAAAYABgBZAQAAWgUAAAAA&#10;">
              <v:fill on="f" focussize="0,0"/>
              <v:stroke on="f"/>
              <v:imagedata o:title=""/>
              <o:lock v:ext="edit" aspectratio="f"/>
              <v:textbox inset="0mm,0mm,0mm,0mm" style="mso-fit-shape-to-text:t;">
                <w:txbxContent>
                  <w:p w14:paraId="4F1984E5">
                    <w:pPr>
                      <w:pStyle w:val="23"/>
                      <w:rPr>
                        <w:rStyle w:val="39"/>
                        <w:rFonts w:ascii="宋体" w:hAnsi="宋体"/>
                        <w:sz w:val="28"/>
                        <w:szCs w:val="28"/>
                      </w:rPr>
                    </w:pPr>
                    <w:r>
                      <w:rPr>
                        <w:rStyle w:val="39"/>
                        <w:rFonts w:hint="eastAsia" w:ascii="宋体" w:hAnsi="宋体"/>
                        <w:sz w:val="28"/>
                        <w:szCs w:val="28"/>
                      </w:rPr>
                      <w:t>—</w:t>
                    </w:r>
                    <w:r>
                      <w:rPr>
                        <w:rStyle w:val="39"/>
                        <w:rFonts w:hint="eastAsia" w:ascii="宋体" w:hAnsi="宋体"/>
                        <w:sz w:val="20"/>
                      </w:rPr>
                      <w:t xml:space="preserve"> </w:t>
                    </w:r>
                    <w:r>
                      <w:rPr>
                        <w:rStyle w:val="39"/>
                        <w:rFonts w:hint="default" w:ascii="Times New Roman" w:hAnsi="Times New Roman" w:cs="Times New Roman"/>
                        <w:sz w:val="20"/>
                      </w:rPr>
                      <w:t xml:space="preserve"> </w:t>
                    </w:r>
                    <w:r>
                      <w:rPr>
                        <w:rStyle w:val="39"/>
                        <w:rFonts w:hint="default" w:ascii="Times New Roman" w:hAnsi="Times New Roman" w:cs="Times New Roman"/>
                        <w:sz w:val="26"/>
                        <w:szCs w:val="26"/>
                      </w:rPr>
                      <w:fldChar w:fldCharType="begin"/>
                    </w:r>
                    <w:r>
                      <w:rPr>
                        <w:rStyle w:val="39"/>
                        <w:rFonts w:hint="default" w:ascii="Times New Roman" w:hAnsi="Times New Roman" w:cs="Times New Roman"/>
                        <w:sz w:val="26"/>
                        <w:szCs w:val="26"/>
                      </w:rPr>
                      <w:instrText xml:space="preserve">PAGE  </w:instrText>
                    </w:r>
                    <w:r>
                      <w:rPr>
                        <w:rStyle w:val="39"/>
                        <w:rFonts w:hint="default" w:ascii="Times New Roman" w:hAnsi="Times New Roman" w:cs="Times New Roman"/>
                        <w:sz w:val="26"/>
                        <w:szCs w:val="26"/>
                      </w:rPr>
                      <w:fldChar w:fldCharType="separate"/>
                    </w:r>
                    <w:r>
                      <w:rPr>
                        <w:rStyle w:val="39"/>
                        <w:rFonts w:hint="default" w:ascii="Times New Roman" w:hAnsi="Times New Roman" w:cs="Times New Roman"/>
                        <w:sz w:val="26"/>
                        <w:szCs w:val="26"/>
                      </w:rPr>
                      <w:t>18</w:t>
                    </w:r>
                    <w:r>
                      <w:rPr>
                        <w:rStyle w:val="39"/>
                        <w:rFonts w:hint="default" w:ascii="Times New Roman" w:hAnsi="Times New Roman" w:cs="Times New Roman"/>
                        <w:sz w:val="26"/>
                        <w:szCs w:val="26"/>
                      </w:rPr>
                      <w:fldChar w:fldCharType="end"/>
                    </w:r>
                    <w:r>
                      <w:rPr>
                        <w:rStyle w:val="39"/>
                        <w:rFonts w:hint="eastAsia" w:ascii="宋体" w:hAnsi="宋体"/>
                        <w:sz w:val="20"/>
                      </w:rPr>
                      <w:t xml:space="preserve">  </w:t>
                    </w:r>
                    <w:r>
                      <w:rPr>
                        <w:rStyle w:val="39"/>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F927D">
    <w:pPr>
      <w:pStyle w:val="23"/>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3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EEFC0">
                          <w:pPr>
                            <w:pStyle w:val="23"/>
                            <w:rPr>
                              <w:rStyle w:val="39"/>
                              <w:rFonts w:ascii="宋体" w:hAnsi="宋体"/>
                              <w:sz w:val="28"/>
                              <w:szCs w:val="28"/>
                            </w:rPr>
                          </w:pPr>
                          <w:r>
                            <w:rPr>
                              <w:rStyle w:val="39"/>
                              <w:rFonts w:hint="eastAsia" w:ascii="宋体" w:hAnsi="宋体"/>
                              <w:sz w:val="28"/>
                              <w:szCs w:val="28"/>
                            </w:rPr>
                            <w:t>—</w:t>
                          </w:r>
                          <w:r>
                            <w:rPr>
                              <w:rStyle w:val="39"/>
                              <w:rFonts w:hint="eastAsia" w:ascii="宋体" w:hAnsi="宋体"/>
                              <w:sz w:val="20"/>
                            </w:rPr>
                            <w:t xml:space="preserve">  </w:t>
                          </w:r>
                          <w:r>
                            <w:rPr>
                              <w:rStyle w:val="39"/>
                              <w:sz w:val="26"/>
                              <w:szCs w:val="26"/>
                            </w:rPr>
                            <w:fldChar w:fldCharType="begin"/>
                          </w:r>
                          <w:r>
                            <w:rPr>
                              <w:rStyle w:val="39"/>
                              <w:sz w:val="26"/>
                              <w:szCs w:val="26"/>
                            </w:rPr>
                            <w:instrText xml:space="preserve">PAGE  </w:instrText>
                          </w:r>
                          <w:r>
                            <w:rPr>
                              <w:rStyle w:val="39"/>
                              <w:sz w:val="26"/>
                              <w:szCs w:val="26"/>
                            </w:rPr>
                            <w:fldChar w:fldCharType="separate"/>
                          </w:r>
                          <w:r>
                            <w:rPr>
                              <w:rStyle w:val="39"/>
                              <w:sz w:val="26"/>
                              <w:szCs w:val="26"/>
                            </w:rPr>
                            <w:t>18</w:t>
                          </w:r>
                          <w:r>
                            <w:rPr>
                              <w:rStyle w:val="39"/>
                              <w:sz w:val="26"/>
                              <w:szCs w:val="26"/>
                            </w:rPr>
                            <w:fldChar w:fldCharType="end"/>
                          </w:r>
                          <w:r>
                            <w:rPr>
                              <w:rStyle w:val="39"/>
                              <w:sz w:val="20"/>
                            </w:rPr>
                            <w:t xml:space="preserve"> </w:t>
                          </w:r>
                          <w:r>
                            <w:rPr>
                              <w:rStyle w:val="39"/>
                              <w:rFonts w:hint="eastAsia" w:ascii="宋体" w:hAnsi="宋体"/>
                              <w:sz w:val="20"/>
                            </w:rPr>
                            <w:t xml:space="preserve"> </w:t>
                          </w:r>
                          <w:r>
                            <w:rPr>
                              <w:rStyle w:val="39"/>
                              <w:rFonts w:hint="eastAsia" w:ascii="宋体" w:hAnsi="宋体"/>
                              <w:sz w:val="28"/>
                              <w:szCs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05pt;height:144pt;width:144pt;mso-position-horizontal:center;mso-position-horizontal-relative:margin;mso-wrap-style:none;z-index:251661312;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L69h9rJAQAAmgMAAA4AAABkcnMvZTJvRG9jLnhtbK1TzY7TMBC+I/EO&#10;lu/UaRGoipquQNUiJARIyz6A69iNJf/J4zbpC8AbcOLCnefqczB2ki4slz1wccYz42++b2ayuRms&#10;IScZQXvX0OWiokQ64VvtDg29/3L7Yk0JJO5abryTDT1LoDfb5882fajlynfetDISBHFQ96GhXUqh&#10;ZgxEJy2HhQ/SYVD5aHnCazywNvIe0a1hq6p6zXof2xC9kADo3Y1BOiHGpwB6pbSQOy+OVro0okZp&#10;eEJJ0OkAdFvYKiVF+qQUyERMQ1FpKicWQXufT7bd8PoQeei0mCjwp1B4pMly7bDoFWrHEyfHqP+B&#10;slpED16lhfCWjUJKR1DFsnrUm7uOB1m0YKshXJsO/w9WfDx9jkS3DX35ihLHLU788v3b5cevy8+v&#10;ZJX70weoMe0uYGIa3voBt2b2Azqz7EFFm78oiGAcu3u+dlcOiYj8aL1arysMCYzNF8RnD89DhPRO&#10;ekuy0dCI4ytd5acPkMbUOSVXc/5WG1NGaNxfDsTMHpa5jxyzlYb9MAna+/aMenqcfEMdLjol5r3D&#10;xuYlmY04G/vZOIaoDx1SWxZeEN4cE5Io3HKFEXYqjCMr6qb1yjvx571kPfxS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Pmvu0AAAAAUBAAAPAAAAAAAAAAEAIAAAACIAAABkcnMvZG93bnJldi54&#10;bWxQSwECFAAUAAAACACHTuJAvr2H2skBAACaAwAADgAAAAAAAAABACAAAAAfAQAAZHJzL2Uyb0Rv&#10;Yy54bWxQSwUGAAAAAAYABgBZAQAAWgUAAAAA&#10;">
              <v:fill on="f" focussize="0,0"/>
              <v:stroke on="f"/>
              <v:imagedata o:title=""/>
              <o:lock v:ext="edit" aspectratio="f"/>
              <v:textbox inset="0mm,0mm,0mm,0mm" style="mso-fit-shape-to-text:t;">
                <w:txbxContent>
                  <w:p w14:paraId="366EEFC0">
                    <w:pPr>
                      <w:pStyle w:val="23"/>
                      <w:rPr>
                        <w:rStyle w:val="39"/>
                        <w:rFonts w:ascii="宋体" w:hAnsi="宋体"/>
                        <w:sz w:val="28"/>
                        <w:szCs w:val="28"/>
                      </w:rPr>
                    </w:pPr>
                    <w:r>
                      <w:rPr>
                        <w:rStyle w:val="39"/>
                        <w:rFonts w:hint="eastAsia" w:ascii="宋体" w:hAnsi="宋体"/>
                        <w:sz w:val="28"/>
                        <w:szCs w:val="28"/>
                      </w:rPr>
                      <w:t>—</w:t>
                    </w:r>
                    <w:r>
                      <w:rPr>
                        <w:rStyle w:val="39"/>
                        <w:rFonts w:hint="eastAsia" w:ascii="宋体" w:hAnsi="宋体"/>
                        <w:sz w:val="20"/>
                      </w:rPr>
                      <w:t xml:space="preserve">  </w:t>
                    </w:r>
                    <w:r>
                      <w:rPr>
                        <w:rStyle w:val="39"/>
                        <w:sz w:val="26"/>
                        <w:szCs w:val="26"/>
                      </w:rPr>
                      <w:fldChar w:fldCharType="begin"/>
                    </w:r>
                    <w:r>
                      <w:rPr>
                        <w:rStyle w:val="39"/>
                        <w:sz w:val="26"/>
                        <w:szCs w:val="26"/>
                      </w:rPr>
                      <w:instrText xml:space="preserve">PAGE  </w:instrText>
                    </w:r>
                    <w:r>
                      <w:rPr>
                        <w:rStyle w:val="39"/>
                        <w:sz w:val="26"/>
                        <w:szCs w:val="26"/>
                      </w:rPr>
                      <w:fldChar w:fldCharType="separate"/>
                    </w:r>
                    <w:r>
                      <w:rPr>
                        <w:rStyle w:val="39"/>
                        <w:sz w:val="26"/>
                        <w:szCs w:val="26"/>
                      </w:rPr>
                      <w:t>18</w:t>
                    </w:r>
                    <w:r>
                      <w:rPr>
                        <w:rStyle w:val="39"/>
                        <w:sz w:val="26"/>
                        <w:szCs w:val="26"/>
                      </w:rPr>
                      <w:fldChar w:fldCharType="end"/>
                    </w:r>
                    <w:r>
                      <w:rPr>
                        <w:rStyle w:val="39"/>
                        <w:sz w:val="20"/>
                      </w:rPr>
                      <w:t xml:space="preserve"> </w:t>
                    </w:r>
                    <w:r>
                      <w:rPr>
                        <w:rStyle w:val="39"/>
                        <w:rFonts w:hint="eastAsia" w:ascii="宋体" w:hAnsi="宋体"/>
                        <w:sz w:val="20"/>
                      </w:rPr>
                      <w:t xml:space="preserve"> </w:t>
                    </w:r>
                    <w:r>
                      <w:rPr>
                        <w:rStyle w:val="39"/>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3ED5">
    <w:pPr>
      <w:pStyle w:val="23"/>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635</wp:posOffset>
              </wp:positionV>
              <wp:extent cx="1828800" cy="1828800"/>
              <wp:effectExtent l="0" t="0" r="0" b="0"/>
              <wp:wrapNone/>
              <wp:docPr id="3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968EC6">
                          <w:pPr>
                            <w:pStyle w:val="23"/>
                            <w:rPr>
                              <w:rStyle w:val="39"/>
                              <w:rFonts w:ascii="宋体" w:hAnsi="宋体"/>
                              <w:sz w:val="28"/>
                              <w:szCs w:val="28"/>
                            </w:rPr>
                          </w:pPr>
                          <w:r>
                            <w:rPr>
                              <w:rStyle w:val="39"/>
                              <w:rFonts w:hint="eastAsia" w:ascii="宋体" w:hAnsi="宋体"/>
                              <w:sz w:val="28"/>
                              <w:szCs w:val="28"/>
                            </w:rPr>
                            <w:t>—</w:t>
                          </w:r>
                          <w:r>
                            <w:rPr>
                              <w:rStyle w:val="39"/>
                              <w:rFonts w:hint="eastAsia" w:ascii="宋体" w:hAnsi="宋体"/>
                              <w:sz w:val="20"/>
                            </w:rPr>
                            <w:t xml:space="preserve"> </w:t>
                          </w:r>
                          <w:r>
                            <w:rPr>
                              <w:rStyle w:val="39"/>
                              <w:rFonts w:hint="default" w:ascii="Times New Roman" w:hAnsi="Times New Roman" w:cs="Times New Roman"/>
                              <w:sz w:val="20"/>
                            </w:rPr>
                            <w:t xml:space="preserve"> </w:t>
                          </w:r>
                          <w:r>
                            <w:rPr>
                              <w:rStyle w:val="39"/>
                              <w:rFonts w:hint="default" w:ascii="Times New Roman" w:hAnsi="Times New Roman" w:cs="Times New Roman"/>
                              <w:sz w:val="26"/>
                              <w:szCs w:val="26"/>
                            </w:rPr>
                            <w:fldChar w:fldCharType="begin"/>
                          </w:r>
                          <w:r>
                            <w:rPr>
                              <w:rStyle w:val="39"/>
                              <w:rFonts w:hint="default" w:ascii="Times New Roman" w:hAnsi="Times New Roman" w:cs="Times New Roman"/>
                              <w:sz w:val="26"/>
                              <w:szCs w:val="26"/>
                            </w:rPr>
                            <w:instrText xml:space="preserve">PAGE  </w:instrText>
                          </w:r>
                          <w:r>
                            <w:rPr>
                              <w:rStyle w:val="39"/>
                              <w:rFonts w:hint="default" w:ascii="Times New Roman" w:hAnsi="Times New Roman" w:cs="Times New Roman"/>
                              <w:sz w:val="26"/>
                              <w:szCs w:val="26"/>
                            </w:rPr>
                            <w:fldChar w:fldCharType="separate"/>
                          </w:r>
                          <w:r>
                            <w:rPr>
                              <w:rStyle w:val="39"/>
                              <w:rFonts w:hint="default" w:ascii="Times New Roman" w:hAnsi="Times New Roman" w:cs="Times New Roman"/>
                              <w:sz w:val="26"/>
                              <w:szCs w:val="26"/>
                            </w:rPr>
                            <w:t>87</w:t>
                          </w:r>
                          <w:r>
                            <w:rPr>
                              <w:rStyle w:val="39"/>
                              <w:rFonts w:hint="default" w:ascii="Times New Roman" w:hAnsi="Times New Roman" w:cs="Times New Roman"/>
                              <w:sz w:val="26"/>
                              <w:szCs w:val="26"/>
                            </w:rPr>
                            <w:fldChar w:fldCharType="end"/>
                          </w:r>
                          <w:r>
                            <w:rPr>
                              <w:rStyle w:val="39"/>
                              <w:rFonts w:hint="eastAsia" w:ascii="宋体" w:hAnsi="宋体"/>
                              <w:sz w:val="20"/>
                            </w:rPr>
                            <w:t xml:space="preserve">  </w:t>
                          </w:r>
                          <w:r>
                            <w:rPr>
                              <w:rStyle w:val="39"/>
                              <w:rFonts w:hint="eastAsia" w:ascii="宋体" w:hAnsi="宋体"/>
                              <w:sz w:val="28"/>
                              <w:szCs w:val="28"/>
                            </w:rPr>
                            <w:t>—</w:t>
                          </w:r>
                        </w:p>
                      </w:txbxContent>
                    </wps:txbx>
                    <wps:bodyPr wrap="none" lIns="0" tIns="0" rIns="0" bIns="0" upright="1">
                      <a:spAutoFit/>
                    </wps:bodyPr>
                  </wps:wsp>
                </a:graphicData>
              </a:graphic>
            </wp:anchor>
          </w:drawing>
        </mc:Choice>
        <mc:Fallback>
          <w:pict>
            <v:shape id="文本框 4" o:spid="_x0000_s1026" o:spt="202" type="#_x0000_t202" style="position:absolute;left:0pt;margin-top:0.05pt;height:144pt;width:144pt;mso-position-horizontal:center;mso-position-horizontal-relative:margin;mso-wrap-style:none;z-index:251662336;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FpkpNjJAQAAmgMAAA4AAABkcnMvZTJvRG9jLnhtbK1TTa7TMBDeI3EH&#10;y3vqtCCooqZPoOohJARIDw7gOnZjyX/yuE16AbgBKzbsOVfPwdhJ+uCxeQs2znhm/M33zUw2N4M1&#10;5CQjaO8aulxUlEgnfKvdoaFfPt8+W1MCibuWG+9kQ88S6M326ZNNH2q58p03rYwEQRzUfWhol1Ko&#10;GQPRScth4YN0GFQ+Wp7wGg+sjbxHdGvYqqpest7HNkQvJAB6d2OQTojxMYBeKS3kzoujlS6NqFEa&#10;nlASdDoA3Ra2SkmRPioFMhHTUFSayolF0N7nk203vD5EHjotJgr8MRQeaLJcOyx6hdrxxMkx6n+g&#10;rBbRg1dpIbxlo5DSEVSxrB705q7jQRYt2GoI16bD/4MVH06fItFtQ5+/osRxixO/fP92+fHr8vMr&#10;eZH70weoMe0uYGIa3vgBt2b2Azqz7EFFm78oiGAcu3u+dlcOiYj8aL1arysMCYzNF8Rn989DhPRW&#10;ekuy0dCI4ytd5af3kMbUOSVXc/5WG1NGaNxfDsTMHpa5jxyzlYb9MAna+/aMenqcfEMdLjol5p3D&#10;xuYlmY04G/vZOIaoDx1SWxZeEF4fE5Io3HKFEXYqjCMr6qb1yjvx571k3f9S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Pmvu0AAAAAUBAAAPAAAAAAAAAAEAIAAAACIAAABkcnMvZG93bnJldi54&#10;bWxQSwECFAAUAAAACACHTuJAWmSk2MkBAACaAwAADgAAAAAAAAABACAAAAAfAQAAZHJzL2Uyb0Rv&#10;Yy54bWxQSwUGAAAAAAYABgBZAQAAWgUAAAAA&#10;">
              <v:fill on="f" focussize="0,0"/>
              <v:stroke on="f"/>
              <v:imagedata o:title=""/>
              <o:lock v:ext="edit" aspectratio="f"/>
              <v:textbox inset="0mm,0mm,0mm,0mm" style="mso-fit-shape-to-text:t;">
                <w:txbxContent>
                  <w:p w14:paraId="40968EC6">
                    <w:pPr>
                      <w:pStyle w:val="23"/>
                      <w:rPr>
                        <w:rStyle w:val="39"/>
                        <w:rFonts w:ascii="宋体" w:hAnsi="宋体"/>
                        <w:sz w:val="28"/>
                        <w:szCs w:val="28"/>
                      </w:rPr>
                    </w:pPr>
                    <w:r>
                      <w:rPr>
                        <w:rStyle w:val="39"/>
                        <w:rFonts w:hint="eastAsia" w:ascii="宋体" w:hAnsi="宋体"/>
                        <w:sz w:val="28"/>
                        <w:szCs w:val="28"/>
                      </w:rPr>
                      <w:t>—</w:t>
                    </w:r>
                    <w:r>
                      <w:rPr>
                        <w:rStyle w:val="39"/>
                        <w:rFonts w:hint="eastAsia" w:ascii="宋体" w:hAnsi="宋体"/>
                        <w:sz w:val="20"/>
                      </w:rPr>
                      <w:t xml:space="preserve"> </w:t>
                    </w:r>
                    <w:r>
                      <w:rPr>
                        <w:rStyle w:val="39"/>
                        <w:rFonts w:hint="default" w:ascii="Times New Roman" w:hAnsi="Times New Roman" w:cs="Times New Roman"/>
                        <w:sz w:val="20"/>
                      </w:rPr>
                      <w:t xml:space="preserve"> </w:t>
                    </w:r>
                    <w:r>
                      <w:rPr>
                        <w:rStyle w:val="39"/>
                        <w:rFonts w:hint="default" w:ascii="Times New Roman" w:hAnsi="Times New Roman" w:cs="Times New Roman"/>
                        <w:sz w:val="26"/>
                        <w:szCs w:val="26"/>
                      </w:rPr>
                      <w:fldChar w:fldCharType="begin"/>
                    </w:r>
                    <w:r>
                      <w:rPr>
                        <w:rStyle w:val="39"/>
                        <w:rFonts w:hint="default" w:ascii="Times New Roman" w:hAnsi="Times New Roman" w:cs="Times New Roman"/>
                        <w:sz w:val="26"/>
                        <w:szCs w:val="26"/>
                      </w:rPr>
                      <w:instrText xml:space="preserve">PAGE  </w:instrText>
                    </w:r>
                    <w:r>
                      <w:rPr>
                        <w:rStyle w:val="39"/>
                        <w:rFonts w:hint="default" w:ascii="Times New Roman" w:hAnsi="Times New Roman" w:cs="Times New Roman"/>
                        <w:sz w:val="26"/>
                        <w:szCs w:val="26"/>
                      </w:rPr>
                      <w:fldChar w:fldCharType="separate"/>
                    </w:r>
                    <w:r>
                      <w:rPr>
                        <w:rStyle w:val="39"/>
                        <w:rFonts w:hint="default" w:ascii="Times New Roman" w:hAnsi="Times New Roman" w:cs="Times New Roman"/>
                        <w:sz w:val="26"/>
                        <w:szCs w:val="26"/>
                      </w:rPr>
                      <w:t>87</w:t>
                    </w:r>
                    <w:r>
                      <w:rPr>
                        <w:rStyle w:val="39"/>
                        <w:rFonts w:hint="default" w:ascii="Times New Roman" w:hAnsi="Times New Roman" w:cs="Times New Roman"/>
                        <w:sz w:val="26"/>
                        <w:szCs w:val="26"/>
                      </w:rPr>
                      <w:fldChar w:fldCharType="end"/>
                    </w:r>
                    <w:r>
                      <w:rPr>
                        <w:rStyle w:val="39"/>
                        <w:rFonts w:hint="eastAsia" w:ascii="宋体" w:hAnsi="宋体"/>
                        <w:sz w:val="20"/>
                      </w:rPr>
                      <w:t xml:space="preserve">  </w:t>
                    </w:r>
                    <w:r>
                      <w:rPr>
                        <w:rStyle w:val="39"/>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C0429"/>
    <w:multiLevelType w:val="multilevel"/>
    <w:tmpl w:val="1EEC0429"/>
    <w:lvl w:ilvl="0" w:tentative="0">
      <w:start w:val="1"/>
      <w:numFmt w:val="decimal"/>
      <w:lvlText w:val="%1."/>
      <w:lvlJc w:val="left"/>
      <w:pPr>
        <w:tabs>
          <w:tab w:val="left" w:pos="567"/>
        </w:tabs>
        <w:ind w:left="425" w:hanging="425"/>
      </w:pPr>
      <w:rPr>
        <w:rFonts w:hint="default" w:ascii="Times New Roman" w:hAnsi="Times New Roman" w:eastAsia="宋体" w:cs="Times New Roman"/>
      </w:rPr>
    </w:lvl>
    <w:lvl w:ilvl="1" w:tentative="0">
      <w:start w:val="1"/>
      <w:numFmt w:val="decimal"/>
      <w:lvlText w:val="%1.%2"/>
      <w:lvlJc w:val="left"/>
      <w:pPr>
        <w:tabs>
          <w:tab w:val="left" w:pos="567"/>
        </w:tabs>
        <w:ind w:left="0" w:firstLine="0"/>
      </w:pPr>
      <w:rPr>
        <w:rFonts w:hint="default" w:ascii="Times New Roman" w:hAnsi="Times New Roman" w:eastAsia="宋体" w:cs="Times New Roman"/>
      </w:rPr>
    </w:lvl>
    <w:lvl w:ilvl="2" w:tentative="0">
      <w:start w:val="1"/>
      <w:numFmt w:val="decimal"/>
      <w:lvlText w:val="%1.%2.%3"/>
      <w:lvlJc w:val="left"/>
      <w:pPr>
        <w:tabs>
          <w:tab w:val="left" w:pos="737"/>
        </w:tabs>
        <w:ind w:left="0" w:firstLine="0"/>
      </w:pPr>
      <w:rPr>
        <w:rFonts w:hint="eastAsia"/>
      </w:rPr>
    </w:lvl>
    <w:lvl w:ilvl="3" w:tentative="0">
      <w:start w:val="1"/>
      <w:numFmt w:val="decimal"/>
      <w:pStyle w:val="6"/>
      <w:lvlText w:val="%1.%2.%3.%4"/>
      <w:lvlJc w:val="left"/>
      <w:pPr>
        <w:tabs>
          <w:tab w:val="left" w:pos="851"/>
        </w:tabs>
        <w:ind w:left="0" w:firstLine="0"/>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isplayHorizontalDrawingGridEvery w:val="1"/>
  <w:displayVerticalDrawingGridEvery w:val="1"/>
  <w:noPunctuationKerning w:val="1"/>
  <w:characterSpacingControl w:val="doNotCompress"/>
  <w:noLineBreaksAfter w:lang="zh-CN" w:val="([{·‘“〈《「『【〔〖（．［｛￡￥"/>
  <w:noLineBreaksBefore w:lang="zh-CN" w:val="!),.:;?]}¨·ˇˉ―‖’”…∶、。〃々〉》」』】〕〗！＂＇），．：；？］｀｜｝～￠"/>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NTc5ZTFkOWNmMjZjOTgwNTBhZDc4MGZhOGM1MWMifQ=="/>
  </w:docVars>
  <w:rsids>
    <w:rsidRoot w:val="00172A27"/>
    <w:rsid w:val="00000CA1"/>
    <w:rsid w:val="000031FA"/>
    <w:rsid w:val="0000403C"/>
    <w:rsid w:val="000060B3"/>
    <w:rsid w:val="000074CD"/>
    <w:rsid w:val="000115CC"/>
    <w:rsid w:val="0001217D"/>
    <w:rsid w:val="00014E5B"/>
    <w:rsid w:val="000206E8"/>
    <w:rsid w:val="00021873"/>
    <w:rsid w:val="00021A77"/>
    <w:rsid w:val="00023DBC"/>
    <w:rsid w:val="00026FA2"/>
    <w:rsid w:val="000273CC"/>
    <w:rsid w:val="00027416"/>
    <w:rsid w:val="00027531"/>
    <w:rsid w:val="00030E3D"/>
    <w:rsid w:val="000332A8"/>
    <w:rsid w:val="000342F7"/>
    <w:rsid w:val="00034A15"/>
    <w:rsid w:val="000366B6"/>
    <w:rsid w:val="00036B73"/>
    <w:rsid w:val="000412B2"/>
    <w:rsid w:val="0004364B"/>
    <w:rsid w:val="00043E59"/>
    <w:rsid w:val="00045951"/>
    <w:rsid w:val="0004752C"/>
    <w:rsid w:val="00047E27"/>
    <w:rsid w:val="0005145C"/>
    <w:rsid w:val="00052C98"/>
    <w:rsid w:val="00053BF6"/>
    <w:rsid w:val="00054D5B"/>
    <w:rsid w:val="00056E46"/>
    <w:rsid w:val="0005706F"/>
    <w:rsid w:val="0005734F"/>
    <w:rsid w:val="000600AD"/>
    <w:rsid w:val="00060D4F"/>
    <w:rsid w:val="00061968"/>
    <w:rsid w:val="00061B1F"/>
    <w:rsid w:val="00062C8D"/>
    <w:rsid w:val="00063098"/>
    <w:rsid w:val="000658B6"/>
    <w:rsid w:val="00066A1E"/>
    <w:rsid w:val="00070D2D"/>
    <w:rsid w:val="00070E82"/>
    <w:rsid w:val="000733C4"/>
    <w:rsid w:val="00073D27"/>
    <w:rsid w:val="00073FF0"/>
    <w:rsid w:val="00074783"/>
    <w:rsid w:val="0007698E"/>
    <w:rsid w:val="0008070B"/>
    <w:rsid w:val="000810AC"/>
    <w:rsid w:val="00081834"/>
    <w:rsid w:val="00081A02"/>
    <w:rsid w:val="00082231"/>
    <w:rsid w:val="00082D43"/>
    <w:rsid w:val="00082D6A"/>
    <w:rsid w:val="0008441B"/>
    <w:rsid w:val="000862E6"/>
    <w:rsid w:val="000902F7"/>
    <w:rsid w:val="00092396"/>
    <w:rsid w:val="00092D38"/>
    <w:rsid w:val="0009377B"/>
    <w:rsid w:val="00095FA5"/>
    <w:rsid w:val="000969AD"/>
    <w:rsid w:val="0009733F"/>
    <w:rsid w:val="000A20C9"/>
    <w:rsid w:val="000A2977"/>
    <w:rsid w:val="000A30FD"/>
    <w:rsid w:val="000A65FE"/>
    <w:rsid w:val="000A6B24"/>
    <w:rsid w:val="000B058F"/>
    <w:rsid w:val="000B09B5"/>
    <w:rsid w:val="000B162F"/>
    <w:rsid w:val="000B3AE2"/>
    <w:rsid w:val="000B42C5"/>
    <w:rsid w:val="000B4467"/>
    <w:rsid w:val="000B4DB9"/>
    <w:rsid w:val="000B51B9"/>
    <w:rsid w:val="000B5DD1"/>
    <w:rsid w:val="000B7C8D"/>
    <w:rsid w:val="000C00AC"/>
    <w:rsid w:val="000C09AC"/>
    <w:rsid w:val="000C1E3A"/>
    <w:rsid w:val="000C1FF9"/>
    <w:rsid w:val="000C27C2"/>
    <w:rsid w:val="000C3CCF"/>
    <w:rsid w:val="000C617E"/>
    <w:rsid w:val="000C66C5"/>
    <w:rsid w:val="000C767F"/>
    <w:rsid w:val="000D1100"/>
    <w:rsid w:val="000D3B08"/>
    <w:rsid w:val="000D5A44"/>
    <w:rsid w:val="000D5BED"/>
    <w:rsid w:val="000D64C5"/>
    <w:rsid w:val="000E0C18"/>
    <w:rsid w:val="000E0C91"/>
    <w:rsid w:val="000E1565"/>
    <w:rsid w:val="000E177F"/>
    <w:rsid w:val="000E2C43"/>
    <w:rsid w:val="000E3ED2"/>
    <w:rsid w:val="000E5ED5"/>
    <w:rsid w:val="000E6635"/>
    <w:rsid w:val="000E6F5D"/>
    <w:rsid w:val="000F00A2"/>
    <w:rsid w:val="000F0431"/>
    <w:rsid w:val="000F0752"/>
    <w:rsid w:val="000F1F28"/>
    <w:rsid w:val="000F235C"/>
    <w:rsid w:val="000F3A37"/>
    <w:rsid w:val="000F4B7B"/>
    <w:rsid w:val="000F67DD"/>
    <w:rsid w:val="000F751B"/>
    <w:rsid w:val="00101C4E"/>
    <w:rsid w:val="001033C9"/>
    <w:rsid w:val="00104530"/>
    <w:rsid w:val="0010596B"/>
    <w:rsid w:val="00105F09"/>
    <w:rsid w:val="00107B95"/>
    <w:rsid w:val="00112863"/>
    <w:rsid w:val="0011391C"/>
    <w:rsid w:val="00116B0C"/>
    <w:rsid w:val="00120FC6"/>
    <w:rsid w:val="00121791"/>
    <w:rsid w:val="00123CCA"/>
    <w:rsid w:val="00123F34"/>
    <w:rsid w:val="00124B02"/>
    <w:rsid w:val="00125C5F"/>
    <w:rsid w:val="001277AC"/>
    <w:rsid w:val="00131B6A"/>
    <w:rsid w:val="00131EC5"/>
    <w:rsid w:val="00131F42"/>
    <w:rsid w:val="00133F4E"/>
    <w:rsid w:val="001357F1"/>
    <w:rsid w:val="00136854"/>
    <w:rsid w:val="00137026"/>
    <w:rsid w:val="00137CE2"/>
    <w:rsid w:val="001400A9"/>
    <w:rsid w:val="00140F0E"/>
    <w:rsid w:val="00140FA8"/>
    <w:rsid w:val="00142B7D"/>
    <w:rsid w:val="00142FEB"/>
    <w:rsid w:val="00143A2D"/>
    <w:rsid w:val="00145A41"/>
    <w:rsid w:val="00146B19"/>
    <w:rsid w:val="00150AD0"/>
    <w:rsid w:val="00151675"/>
    <w:rsid w:val="0015205B"/>
    <w:rsid w:val="00152758"/>
    <w:rsid w:val="00152FAC"/>
    <w:rsid w:val="00153567"/>
    <w:rsid w:val="00154CAA"/>
    <w:rsid w:val="00154CDE"/>
    <w:rsid w:val="0015555F"/>
    <w:rsid w:val="00155BBE"/>
    <w:rsid w:val="00157435"/>
    <w:rsid w:val="00163513"/>
    <w:rsid w:val="00163DD1"/>
    <w:rsid w:val="0016490B"/>
    <w:rsid w:val="00164C26"/>
    <w:rsid w:val="00166584"/>
    <w:rsid w:val="001668BC"/>
    <w:rsid w:val="00167496"/>
    <w:rsid w:val="00172A27"/>
    <w:rsid w:val="00172E78"/>
    <w:rsid w:val="00173AC5"/>
    <w:rsid w:val="00173DAE"/>
    <w:rsid w:val="00173F7C"/>
    <w:rsid w:val="0017483E"/>
    <w:rsid w:val="0017504D"/>
    <w:rsid w:val="00175CA8"/>
    <w:rsid w:val="001762FF"/>
    <w:rsid w:val="0017671A"/>
    <w:rsid w:val="00176E2B"/>
    <w:rsid w:val="00177422"/>
    <w:rsid w:val="00177E85"/>
    <w:rsid w:val="001818EA"/>
    <w:rsid w:val="00182661"/>
    <w:rsid w:val="00184033"/>
    <w:rsid w:val="00184590"/>
    <w:rsid w:val="00185474"/>
    <w:rsid w:val="001870D1"/>
    <w:rsid w:val="001877FA"/>
    <w:rsid w:val="0018781E"/>
    <w:rsid w:val="00187A58"/>
    <w:rsid w:val="0019043C"/>
    <w:rsid w:val="00190E68"/>
    <w:rsid w:val="0019248E"/>
    <w:rsid w:val="0019262D"/>
    <w:rsid w:val="00192979"/>
    <w:rsid w:val="001933B4"/>
    <w:rsid w:val="00193CBF"/>
    <w:rsid w:val="00194539"/>
    <w:rsid w:val="001948A0"/>
    <w:rsid w:val="00195C55"/>
    <w:rsid w:val="001A056A"/>
    <w:rsid w:val="001A1B35"/>
    <w:rsid w:val="001A4716"/>
    <w:rsid w:val="001A48A2"/>
    <w:rsid w:val="001A63F6"/>
    <w:rsid w:val="001A6F61"/>
    <w:rsid w:val="001B2447"/>
    <w:rsid w:val="001B5715"/>
    <w:rsid w:val="001B72B8"/>
    <w:rsid w:val="001B76C8"/>
    <w:rsid w:val="001C048E"/>
    <w:rsid w:val="001C071C"/>
    <w:rsid w:val="001C101F"/>
    <w:rsid w:val="001C2204"/>
    <w:rsid w:val="001C2A57"/>
    <w:rsid w:val="001C3D36"/>
    <w:rsid w:val="001C65C4"/>
    <w:rsid w:val="001C69B3"/>
    <w:rsid w:val="001D0E51"/>
    <w:rsid w:val="001D2468"/>
    <w:rsid w:val="001D2576"/>
    <w:rsid w:val="001D3419"/>
    <w:rsid w:val="001D3504"/>
    <w:rsid w:val="001D5595"/>
    <w:rsid w:val="001D587D"/>
    <w:rsid w:val="001D5F01"/>
    <w:rsid w:val="001D6044"/>
    <w:rsid w:val="001D719B"/>
    <w:rsid w:val="001D7874"/>
    <w:rsid w:val="001D7D62"/>
    <w:rsid w:val="001D7F22"/>
    <w:rsid w:val="001E1A62"/>
    <w:rsid w:val="001E1B9F"/>
    <w:rsid w:val="001E215D"/>
    <w:rsid w:val="001E3E75"/>
    <w:rsid w:val="001E4994"/>
    <w:rsid w:val="001E4C66"/>
    <w:rsid w:val="001E6E6C"/>
    <w:rsid w:val="001F0F17"/>
    <w:rsid w:val="001F18B6"/>
    <w:rsid w:val="001F3347"/>
    <w:rsid w:val="001F35FA"/>
    <w:rsid w:val="001F3E60"/>
    <w:rsid w:val="001F43A5"/>
    <w:rsid w:val="001F59D8"/>
    <w:rsid w:val="001F6037"/>
    <w:rsid w:val="001F6680"/>
    <w:rsid w:val="001F69E4"/>
    <w:rsid w:val="00200E2B"/>
    <w:rsid w:val="00201E1C"/>
    <w:rsid w:val="00202510"/>
    <w:rsid w:val="0020303D"/>
    <w:rsid w:val="00203267"/>
    <w:rsid w:val="002056B7"/>
    <w:rsid w:val="00205F3E"/>
    <w:rsid w:val="00206400"/>
    <w:rsid w:val="002066A8"/>
    <w:rsid w:val="00207525"/>
    <w:rsid w:val="002103C1"/>
    <w:rsid w:val="002105F1"/>
    <w:rsid w:val="002106D0"/>
    <w:rsid w:val="00211702"/>
    <w:rsid w:val="002125B4"/>
    <w:rsid w:val="00213508"/>
    <w:rsid w:val="00214300"/>
    <w:rsid w:val="002155B8"/>
    <w:rsid w:val="002160DE"/>
    <w:rsid w:val="002161BC"/>
    <w:rsid w:val="002201A6"/>
    <w:rsid w:val="002215B6"/>
    <w:rsid w:val="002229CA"/>
    <w:rsid w:val="00224145"/>
    <w:rsid w:val="002243FD"/>
    <w:rsid w:val="00224491"/>
    <w:rsid w:val="00224708"/>
    <w:rsid w:val="00224839"/>
    <w:rsid w:val="002249B2"/>
    <w:rsid w:val="00224AE9"/>
    <w:rsid w:val="002255CA"/>
    <w:rsid w:val="00226574"/>
    <w:rsid w:val="002278EC"/>
    <w:rsid w:val="00230DEA"/>
    <w:rsid w:val="0023280E"/>
    <w:rsid w:val="00233471"/>
    <w:rsid w:val="0023758A"/>
    <w:rsid w:val="002377D1"/>
    <w:rsid w:val="00237D94"/>
    <w:rsid w:val="00240EB8"/>
    <w:rsid w:val="0024153B"/>
    <w:rsid w:val="00241E82"/>
    <w:rsid w:val="002426C8"/>
    <w:rsid w:val="002448D0"/>
    <w:rsid w:val="00244F7F"/>
    <w:rsid w:val="00247FF6"/>
    <w:rsid w:val="002506BC"/>
    <w:rsid w:val="002510A0"/>
    <w:rsid w:val="002514C4"/>
    <w:rsid w:val="002521A9"/>
    <w:rsid w:val="00254345"/>
    <w:rsid w:val="0025448B"/>
    <w:rsid w:val="00254AF4"/>
    <w:rsid w:val="002562A6"/>
    <w:rsid w:val="00256853"/>
    <w:rsid w:val="00256EA5"/>
    <w:rsid w:val="002611A9"/>
    <w:rsid w:val="00262DC9"/>
    <w:rsid w:val="00263B42"/>
    <w:rsid w:val="00264557"/>
    <w:rsid w:val="00264921"/>
    <w:rsid w:val="00265E82"/>
    <w:rsid w:val="00266B93"/>
    <w:rsid w:val="00266CD6"/>
    <w:rsid w:val="002712A8"/>
    <w:rsid w:val="00271D5D"/>
    <w:rsid w:val="00271DE7"/>
    <w:rsid w:val="00271E19"/>
    <w:rsid w:val="00272BC0"/>
    <w:rsid w:val="00275ED3"/>
    <w:rsid w:val="002763D4"/>
    <w:rsid w:val="00276AEE"/>
    <w:rsid w:val="002802DF"/>
    <w:rsid w:val="002805AB"/>
    <w:rsid w:val="002816FA"/>
    <w:rsid w:val="00281D45"/>
    <w:rsid w:val="00284204"/>
    <w:rsid w:val="00285993"/>
    <w:rsid w:val="00285D78"/>
    <w:rsid w:val="00287750"/>
    <w:rsid w:val="00291773"/>
    <w:rsid w:val="002921B8"/>
    <w:rsid w:val="0029479E"/>
    <w:rsid w:val="00297D32"/>
    <w:rsid w:val="002A0FCE"/>
    <w:rsid w:val="002A164A"/>
    <w:rsid w:val="002A168C"/>
    <w:rsid w:val="002A1971"/>
    <w:rsid w:val="002A1EF8"/>
    <w:rsid w:val="002A3913"/>
    <w:rsid w:val="002A3979"/>
    <w:rsid w:val="002A3DC7"/>
    <w:rsid w:val="002B0661"/>
    <w:rsid w:val="002B075A"/>
    <w:rsid w:val="002B0F0A"/>
    <w:rsid w:val="002B1335"/>
    <w:rsid w:val="002B13A0"/>
    <w:rsid w:val="002B2EB3"/>
    <w:rsid w:val="002B3C8E"/>
    <w:rsid w:val="002B462D"/>
    <w:rsid w:val="002B49E2"/>
    <w:rsid w:val="002B4A77"/>
    <w:rsid w:val="002B6B58"/>
    <w:rsid w:val="002B74D2"/>
    <w:rsid w:val="002B7B00"/>
    <w:rsid w:val="002B7C44"/>
    <w:rsid w:val="002C09B5"/>
    <w:rsid w:val="002C24A8"/>
    <w:rsid w:val="002C2680"/>
    <w:rsid w:val="002C2B17"/>
    <w:rsid w:val="002C3B80"/>
    <w:rsid w:val="002C5FC2"/>
    <w:rsid w:val="002C63CA"/>
    <w:rsid w:val="002C6FDF"/>
    <w:rsid w:val="002C7371"/>
    <w:rsid w:val="002D3DD0"/>
    <w:rsid w:val="002D66AB"/>
    <w:rsid w:val="002D66F7"/>
    <w:rsid w:val="002E1F3A"/>
    <w:rsid w:val="002E1F6F"/>
    <w:rsid w:val="002E298A"/>
    <w:rsid w:val="002E373A"/>
    <w:rsid w:val="002E463D"/>
    <w:rsid w:val="002E4FE7"/>
    <w:rsid w:val="002E5F64"/>
    <w:rsid w:val="002E7BAE"/>
    <w:rsid w:val="002E7DE1"/>
    <w:rsid w:val="002E7F48"/>
    <w:rsid w:val="002F0B0D"/>
    <w:rsid w:val="00300E26"/>
    <w:rsid w:val="00301978"/>
    <w:rsid w:val="0030332C"/>
    <w:rsid w:val="00303708"/>
    <w:rsid w:val="00303DA3"/>
    <w:rsid w:val="00304F30"/>
    <w:rsid w:val="003051C2"/>
    <w:rsid w:val="00305F6D"/>
    <w:rsid w:val="003111CF"/>
    <w:rsid w:val="00311A5F"/>
    <w:rsid w:val="00312296"/>
    <w:rsid w:val="00312F5C"/>
    <w:rsid w:val="00313C43"/>
    <w:rsid w:val="00314F0E"/>
    <w:rsid w:val="003159EC"/>
    <w:rsid w:val="00315D33"/>
    <w:rsid w:val="00321C75"/>
    <w:rsid w:val="00321D8E"/>
    <w:rsid w:val="00322956"/>
    <w:rsid w:val="00322D19"/>
    <w:rsid w:val="00322D52"/>
    <w:rsid w:val="00323E69"/>
    <w:rsid w:val="003258BF"/>
    <w:rsid w:val="00325928"/>
    <w:rsid w:val="00327245"/>
    <w:rsid w:val="0032788A"/>
    <w:rsid w:val="003305A1"/>
    <w:rsid w:val="00332043"/>
    <w:rsid w:val="00332863"/>
    <w:rsid w:val="00333F97"/>
    <w:rsid w:val="0033684D"/>
    <w:rsid w:val="003378EB"/>
    <w:rsid w:val="003379FB"/>
    <w:rsid w:val="00337B42"/>
    <w:rsid w:val="00340208"/>
    <w:rsid w:val="0034194F"/>
    <w:rsid w:val="00341B42"/>
    <w:rsid w:val="0034348F"/>
    <w:rsid w:val="00345AC2"/>
    <w:rsid w:val="00353FAB"/>
    <w:rsid w:val="00356653"/>
    <w:rsid w:val="0035743F"/>
    <w:rsid w:val="00357BE2"/>
    <w:rsid w:val="003601C1"/>
    <w:rsid w:val="00360FC9"/>
    <w:rsid w:val="0036170C"/>
    <w:rsid w:val="00362247"/>
    <w:rsid w:val="00362596"/>
    <w:rsid w:val="003630A6"/>
    <w:rsid w:val="00363F7E"/>
    <w:rsid w:val="00364BE4"/>
    <w:rsid w:val="00365F93"/>
    <w:rsid w:val="00366D81"/>
    <w:rsid w:val="00366E0F"/>
    <w:rsid w:val="00367538"/>
    <w:rsid w:val="003714BC"/>
    <w:rsid w:val="00371E79"/>
    <w:rsid w:val="00372328"/>
    <w:rsid w:val="0037286C"/>
    <w:rsid w:val="00372A57"/>
    <w:rsid w:val="003734B7"/>
    <w:rsid w:val="0037375C"/>
    <w:rsid w:val="00373F19"/>
    <w:rsid w:val="003767DD"/>
    <w:rsid w:val="00381040"/>
    <w:rsid w:val="00381A72"/>
    <w:rsid w:val="00381BC0"/>
    <w:rsid w:val="00382A5C"/>
    <w:rsid w:val="003842FA"/>
    <w:rsid w:val="00384676"/>
    <w:rsid w:val="00390064"/>
    <w:rsid w:val="00390857"/>
    <w:rsid w:val="003945DD"/>
    <w:rsid w:val="00395A6A"/>
    <w:rsid w:val="003965D4"/>
    <w:rsid w:val="003A0773"/>
    <w:rsid w:val="003A1500"/>
    <w:rsid w:val="003A2162"/>
    <w:rsid w:val="003A4BF3"/>
    <w:rsid w:val="003A517E"/>
    <w:rsid w:val="003A5306"/>
    <w:rsid w:val="003A6B66"/>
    <w:rsid w:val="003B17C6"/>
    <w:rsid w:val="003B1D02"/>
    <w:rsid w:val="003B30A6"/>
    <w:rsid w:val="003B420D"/>
    <w:rsid w:val="003B4E4B"/>
    <w:rsid w:val="003B588D"/>
    <w:rsid w:val="003B73A7"/>
    <w:rsid w:val="003B78E4"/>
    <w:rsid w:val="003C1ADA"/>
    <w:rsid w:val="003C1DC2"/>
    <w:rsid w:val="003C307E"/>
    <w:rsid w:val="003C3204"/>
    <w:rsid w:val="003C382D"/>
    <w:rsid w:val="003C3F02"/>
    <w:rsid w:val="003C5B0B"/>
    <w:rsid w:val="003C69A1"/>
    <w:rsid w:val="003C6C16"/>
    <w:rsid w:val="003C7D96"/>
    <w:rsid w:val="003D13B7"/>
    <w:rsid w:val="003D1B13"/>
    <w:rsid w:val="003D2E00"/>
    <w:rsid w:val="003D3231"/>
    <w:rsid w:val="003D4629"/>
    <w:rsid w:val="003D4B16"/>
    <w:rsid w:val="003D6171"/>
    <w:rsid w:val="003D6B08"/>
    <w:rsid w:val="003D70E5"/>
    <w:rsid w:val="003D794D"/>
    <w:rsid w:val="003D7C1D"/>
    <w:rsid w:val="003E2B7F"/>
    <w:rsid w:val="003E3058"/>
    <w:rsid w:val="003E452B"/>
    <w:rsid w:val="003E565C"/>
    <w:rsid w:val="003E6094"/>
    <w:rsid w:val="003E76A9"/>
    <w:rsid w:val="003F0809"/>
    <w:rsid w:val="003F1954"/>
    <w:rsid w:val="003F1EDC"/>
    <w:rsid w:val="003F45DD"/>
    <w:rsid w:val="003F4C5D"/>
    <w:rsid w:val="003F673E"/>
    <w:rsid w:val="003F6A8C"/>
    <w:rsid w:val="003F755C"/>
    <w:rsid w:val="004006D8"/>
    <w:rsid w:val="00401526"/>
    <w:rsid w:val="00401A5D"/>
    <w:rsid w:val="00401E77"/>
    <w:rsid w:val="004029BF"/>
    <w:rsid w:val="00404C07"/>
    <w:rsid w:val="00404D6B"/>
    <w:rsid w:val="004052C9"/>
    <w:rsid w:val="00405802"/>
    <w:rsid w:val="00406F01"/>
    <w:rsid w:val="00410936"/>
    <w:rsid w:val="004140D6"/>
    <w:rsid w:val="004154A5"/>
    <w:rsid w:val="004157F1"/>
    <w:rsid w:val="00416D50"/>
    <w:rsid w:val="00416FD5"/>
    <w:rsid w:val="00417348"/>
    <w:rsid w:val="00417772"/>
    <w:rsid w:val="00420B19"/>
    <w:rsid w:val="00420E6A"/>
    <w:rsid w:val="00423589"/>
    <w:rsid w:val="00425A9E"/>
    <w:rsid w:val="00425C91"/>
    <w:rsid w:val="00426908"/>
    <w:rsid w:val="00426D6B"/>
    <w:rsid w:val="00427673"/>
    <w:rsid w:val="00427801"/>
    <w:rsid w:val="004313E2"/>
    <w:rsid w:val="004318A0"/>
    <w:rsid w:val="00431E6C"/>
    <w:rsid w:val="004328B3"/>
    <w:rsid w:val="00432D5B"/>
    <w:rsid w:val="00432E42"/>
    <w:rsid w:val="00432E86"/>
    <w:rsid w:val="00433714"/>
    <w:rsid w:val="00433CE7"/>
    <w:rsid w:val="00434BF6"/>
    <w:rsid w:val="00434D6C"/>
    <w:rsid w:val="004354A1"/>
    <w:rsid w:val="004363CA"/>
    <w:rsid w:val="00437149"/>
    <w:rsid w:val="00443403"/>
    <w:rsid w:val="00443570"/>
    <w:rsid w:val="004437DB"/>
    <w:rsid w:val="0044574B"/>
    <w:rsid w:val="00445BF1"/>
    <w:rsid w:val="00445F97"/>
    <w:rsid w:val="00446FC5"/>
    <w:rsid w:val="00447228"/>
    <w:rsid w:val="00447BF5"/>
    <w:rsid w:val="0045111E"/>
    <w:rsid w:val="00451266"/>
    <w:rsid w:val="00452738"/>
    <w:rsid w:val="00453841"/>
    <w:rsid w:val="00453976"/>
    <w:rsid w:val="00453FD6"/>
    <w:rsid w:val="00454A75"/>
    <w:rsid w:val="00455E10"/>
    <w:rsid w:val="00456091"/>
    <w:rsid w:val="004601AA"/>
    <w:rsid w:val="00460B23"/>
    <w:rsid w:val="004610D2"/>
    <w:rsid w:val="00464587"/>
    <w:rsid w:val="00464C56"/>
    <w:rsid w:val="00466321"/>
    <w:rsid w:val="004675F8"/>
    <w:rsid w:val="004707A4"/>
    <w:rsid w:val="004707AF"/>
    <w:rsid w:val="00470CCE"/>
    <w:rsid w:val="00470DD3"/>
    <w:rsid w:val="00471415"/>
    <w:rsid w:val="00472F7B"/>
    <w:rsid w:val="0047355A"/>
    <w:rsid w:val="00473898"/>
    <w:rsid w:val="00473997"/>
    <w:rsid w:val="00476CE6"/>
    <w:rsid w:val="0048108A"/>
    <w:rsid w:val="004819F6"/>
    <w:rsid w:val="00482210"/>
    <w:rsid w:val="00482A61"/>
    <w:rsid w:val="00482D40"/>
    <w:rsid w:val="00482DF3"/>
    <w:rsid w:val="00484B9B"/>
    <w:rsid w:val="004855F6"/>
    <w:rsid w:val="00485C29"/>
    <w:rsid w:val="0048661E"/>
    <w:rsid w:val="00487DF7"/>
    <w:rsid w:val="0049208F"/>
    <w:rsid w:val="00492739"/>
    <w:rsid w:val="00492F66"/>
    <w:rsid w:val="00493C20"/>
    <w:rsid w:val="00494670"/>
    <w:rsid w:val="00495AE4"/>
    <w:rsid w:val="00495C2D"/>
    <w:rsid w:val="00495CFA"/>
    <w:rsid w:val="00496377"/>
    <w:rsid w:val="004A084D"/>
    <w:rsid w:val="004A0BD7"/>
    <w:rsid w:val="004A201A"/>
    <w:rsid w:val="004A32DD"/>
    <w:rsid w:val="004A340A"/>
    <w:rsid w:val="004A3473"/>
    <w:rsid w:val="004A3823"/>
    <w:rsid w:val="004A4489"/>
    <w:rsid w:val="004A5F59"/>
    <w:rsid w:val="004A618E"/>
    <w:rsid w:val="004A629A"/>
    <w:rsid w:val="004A6484"/>
    <w:rsid w:val="004B0701"/>
    <w:rsid w:val="004B0F9B"/>
    <w:rsid w:val="004B122E"/>
    <w:rsid w:val="004B1651"/>
    <w:rsid w:val="004B47C1"/>
    <w:rsid w:val="004B68FA"/>
    <w:rsid w:val="004B6D56"/>
    <w:rsid w:val="004B7C62"/>
    <w:rsid w:val="004C0647"/>
    <w:rsid w:val="004C11C9"/>
    <w:rsid w:val="004C25BC"/>
    <w:rsid w:val="004C295F"/>
    <w:rsid w:val="004C3526"/>
    <w:rsid w:val="004C3C08"/>
    <w:rsid w:val="004C3CDA"/>
    <w:rsid w:val="004C741D"/>
    <w:rsid w:val="004C747F"/>
    <w:rsid w:val="004D1165"/>
    <w:rsid w:val="004D1CC7"/>
    <w:rsid w:val="004D1E69"/>
    <w:rsid w:val="004D289D"/>
    <w:rsid w:val="004D30CC"/>
    <w:rsid w:val="004D379B"/>
    <w:rsid w:val="004D4EB9"/>
    <w:rsid w:val="004D6C6E"/>
    <w:rsid w:val="004D6CD2"/>
    <w:rsid w:val="004D7BFC"/>
    <w:rsid w:val="004E0365"/>
    <w:rsid w:val="004E1F93"/>
    <w:rsid w:val="004E6662"/>
    <w:rsid w:val="004E6946"/>
    <w:rsid w:val="004F0FDF"/>
    <w:rsid w:val="004F1610"/>
    <w:rsid w:val="004F166A"/>
    <w:rsid w:val="004F1AD8"/>
    <w:rsid w:val="004F1C86"/>
    <w:rsid w:val="004F1C90"/>
    <w:rsid w:val="004F2799"/>
    <w:rsid w:val="004F2B85"/>
    <w:rsid w:val="004F49BE"/>
    <w:rsid w:val="004F6C6D"/>
    <w:rsid w:val="004F75C2"/>
    <w:rsid w:val="004F7A57"/>
    <w:rsid w:val="004F7F5C"/>
    <w:rsid w:val="005002A4"/>
    <w:rsid w:val="005007B7"/>
    <w:rsid w:val="00502674"/>
    <w:rsid w:val="00502DC4"/>
    <w:rsid w:val="005039CB"/>
    <w:rsid w:val="00503BA8"/>
    <w:rsid w:val="0050558F"/>
    <w:rsid w:val="00506286"/>
    <w:rsid w:val="0050796D"/>
    <w:rsid w:val="00507EF2"/>
    <w:rsid w:val="00510813"/>
    <w:rsid w:val="00511990"/>
    <w:rsid w:val="00511DE0"/>
    <w:rsid w:val="00511FC0"/>
    <w:rsid w:val="005120F2"/>
    <w:rsid w:val="0051382B"/>
    <w:rsid w:val="00514870"/>
    <w:rsid w:val="00514B9B"/>
    <w:rsid w:val="00515371"/>
    <w:rsid w:val="00516081"/>
    <w:rsid w:val="00516FC6"/>
    <w:rsid w:val="00517F02"/>
    <w:rsid w:val="0052217B"/>
    <w:rsid w:val="005239DC"/>
    <w:rsid w:val="00524303"/>
    <w:rsid w:val="00525115"/>
    <w:rsid w:val="005258A2"/>
    <w:rsid w:val="005268D8"/>
    <w:rsid w:val="00526FF3"/>
    <w:rsid w:val="005273C6"/>
    <w:rsid w:val="00527648"/>
    <w:rsid w:val="00530815"/>
    <w:rsid w:val="00530A2E"/>
    <w:rsid w:val="00532D76"/>
    <w:rsid w:val="0053496A"/>
    <w:rsid w:val="005366D0"/>
    <w:rsid w:val="005401AE"/>
    <w:rsid w:val="005406B3"/>
    <w:rsid w:val="00540A0F"/>
    <w:rsid w:val="00540CDD"/>
    <w:rsid w:val="00541369"/>
    <w:rsid w:val="00542439"/>
    <w:rsid w:val="00542E07"/>
    <w:rsid w:val="005444F1"/>
    <w:rsid w:val="005445EA"/>
    <w:rsid w:val="00545424"/>
    <w:rsid w:val="00545785"/>
    <w:rsid w:val="00546B97"/>
    <w:rsid w:val="005509FE"/>
    <w:rsid w:val="00550BE4"/>
    <w:rsid w:val="0055134A"/>
    <w:rsid w:val="00551CF5"/>
    <w:rsid w:val="00554A7B"/>
    <w:rsid w:val="0055572C"/>
    <w:rsid w:val="00557F9F"/>
    <w:rsid w:val="005605FE"/>
    <w:rsid w:val="0056106A"/>
    <w:rsid w:val="00561CA2"/>
    <w:rsid w:val="0056264C"/>
    <w:rsid w:val="005633BC"/>
    <w:rsid w:val="005657C0"/>
    <w:rsid w:val="005665D3"/>
    <w:rsid w:val="0056672C"/>
    <w:rsid w:val="00567218"/>
    <w:rsid w:val="00567D94"/>
    <w:rsid w:val="005702FA"/>
    <w:rsid w:val="005720AE"/>
    <w:rsid w:val="005729B2"/>
    <w:rsid w:val="00572AD7"/>
    <w:rsid w:val="00573742"/>
    <w:rsid w:val="00573AF0"/>
    <w:rsid w:val="00575C96"/>
    <w:rsid w:val="005763F6"/>
    <w:rsid w:val="005767F6"/>
    <w:rsid w:val="005769C7"/>
    <w:rsid w:val="00576FED"/>
    <w:rsid w:val="005774B6"/>
    <w:rsid w:val="00577718"/>
    <w:rsid w:val="00581E66"/>
    <w:rsid w:val="005823C6"/>
    <w:rsid w:val="00582C08"/>
    <w:rsid w:val="005835C6"/>
    <w:rsid w:val="0058546D"/>
    <w:rsid w:val="0058679C"/>
    <w:rsid w:val="00586D1B"/>
    <w:rsid w:val="0059032F"/>
    <w:rsid w:val="00592A33"/>
    <w:rsid w:val="0059335E"/>
    <w:rsid w:val="00593F92"/>
    <w:rsid w:val="005941FE"/>
    <w:rsid w:val="00594C41"/>
    <w:rsid w:val="00594D77"/>
    <w:rsid w:val="00594E9B"/>
    <w:rsid w:val="005969E4"/>
    <w:rsid w:val="005969F1"/>
    <w:rsid w:val="005A052B"/>
    <w:rsid w:val="005A06B7"/>
    <w:rsid w:val="005A1759"/>
    <w:rsid w:val="005A4071"/>
    <w:rsid w:val="005A4258"/>
    <w:rsid w:val="005A45C8"/>
    <w:rsid w:val="005A4785"/>
    <w:rsid w:val="005A68A7"/>
    <w:rsid w:val="005B21AF"/>
    <w:rsid w:val="005B4070"/>
    <w:rsid w:val="005B7A70"/>
    <w:rsid w:val="005C402E"/>
    <w:rsid w:val="005C41C2"/>
    <w:rsid w:val="005C4832"/>
    <w:rsid w:val="005C77A5"/>
    <w:rsid w:val="005D36AB"/>
    <w:rsid w:val="005D4264"/>
    <w:rsid w:val="005D6BE3"/>
    <w:rsid w:val="005D7D83"/>
    <w:rsid w:val="005E0165"/>
    <w:rsid w:val="005E0FA7"/>
    <w:rsid w:val="005E126B"/>
    <w:rsid w:val="005E158A"/>
    <w:rsid w:val="005E16C8"/>
    <w:rsid w:val="005E2D50"/>
    <w:rsid w:val="005E5625"/>
    <w:rsid w:val="005E5C7B"/>
    <w:rsid w:val="005E7662"/>
    <w:rsid w:val="005F063B"/>
    <w:rsid w:val="005F07A8"/>
    <w:rsid w:val="005F0DDB"/>
    <w:rsid w:val="005F121A"/>
    <w:rsid w:val="005F1C9D"/>
    <w:rsid w:val="005F2D6D"/>
    <w:rsid w:val="005F6901"/>
    <w:rsid w:val="005F7962"/>
    <w:rsid w:val="005F7B28"/>
    <w:rsid w:val="006007FA"/>
    <w:rsid w:val="00601B66"/>
    <w:rsid w:val="00601B91"/>
    <w:rsid w:val="006037CC"/>
    <w:rsid w:val="006046AC"/>
    <w:rsid w:val="00604ACC"/>
    <w:rsid w:val="00605CFA"/>
    <w:rsid w:val="0060652F"/>
    <w:rsid w:val="00606C35"/>
    <w:rsid w:val="00613B17"/>
    <w:rsid w:val="00617232"/>
    <w:rsid w:val="00617CC3"/>
    <w:rsid w:val="006221B6"/>
    <w:rsid w:val="00623271"/>
    <w:rsid w:val="0062456D"/>
    <w:rsid w:val="00625B6E"/>
    <w:rsid w:val="00626082"/>
    <w:rsid w:val="006270AD"/>
    <w:rsid w:val="0062713F"/>
    <w:rsid w:val="00631C82"/>
    <w:rsid w:val="00632659"/>
    <w:rsid w:val="00632BE5"/>
    <w:rsid w:val="006339C3"/>
    <w:rsid w:val="006352E2"/>
    <w:rsid w:val="006377A6"/>
    <w:rsid w:val="00637A3D"/>
    <w:rsid w:val="006411EF"/>
    <w:rsid w:val="00642A68"/>
    <w:rsid w:val="00644ED0"/>
    <w:rsid w:val="00645921"/>
    <w:rsid w:val="00645991"/>
    <w:rsid w:val="0064794F"/>
    <w:rsid w:val="006501B8"/>
    <w:rsid w:val="0065038A"/>
    <w:rsid w:val="0065040F"/>
    <w:rsid w:val="00651D81"/>
    <w:rsid w:val="00652DEA"/>
    <w:rsid w:val="00653944"/>
    <w:rsid w:val="00654CAA"/>
    <w:rsid w:val="00655255"/>
    <w:rsid w:val="00656D19"/>
    <w:rsid w:val="00657EC9"/>
    <w:rsid w:val="00661DB8"/>
    <w:rsid w:val="00662A6F"/>
    <w:rsid w:val="00662B2A"/>
    <w:rsid w:val="00664E86"/>
    <w:rsid w:val="006666EC"/>
    <w:rsid w:val="00666C86"/>
    <w:rsid w:val="006678F8"/>
    <w:rsid w:val="006709E5"/>
    <w:rsid w:val="00670C70"/>
    <w:rsid w:val="00671239"/>
    <w:rsid w:val="00671FEC"/>
    <w:rsid w:val="0067396E"/>
    <w:rsid w:val="00673E5B"/>
    <w:rsid w:val="006748B8"/>
    <w:rsid w:val="00674960"/>
    <w:rsid w:val="00674BE7"/>
    <w:rsid w:val="00675BCF"/>
    <w:rsid w:val="006775C3"/>
    <w:rsid w:val="00681786"/>
    <w:rsid w:val="006822C9"/>
    <w:rsid w:val="00682406"/>
    <w:rsid w:val="006845EE"/>
    <w:rsid w:val="00684D07"/>
    <w:rsid w:val="00684DBC"/>
    <w:rsid w:val="00684EDD"/>
    <w:rsid w:val="00684EF5"/>
    <w:rsid w:val="0068682C"/>
    <w:rsid w:val="00687AD8"/>
    <w:rsid w:val="00687C7A"/>
    <w:rsid w:val="00687FBE"/>
    <w:rsid w:val="00691362"/>
    <w:rsid w:val="00691702"/>
    <w:rsid w:val="0069290A"/>
    <w:rsid w:val="00693564"/>
    <w:rsid w:val="00696FC6"/>
    <w:rsid w:val="006973F0"/>
    <w:rsid w:val="0069750A"/>
    <w:rsid w:val="0069775A"/>
    <w:rsid w:val="00697813"/>
    <w:rsid w:val="006A3EE8"/>
    <w:rsid w:val="006A4720"/>
    <w:rsid w:val="006A4937"/>
    <w:rsid w:val="006A5386"/>
    <w:rsid w:val="006A72BF"/>
    <w:rsid w:val="006B03F2"/>
    <w:rsid w:val="006B0F63"/>
    <w:rsid w:val="006B1863"/>
    <w:rsid w:val="006B21A8"/>
    <w:rsid w:val="006B2CC6"/>
    <w:rsid w:val="006B3424"/>
    <w:rsid w:val="006B37DC"/>
    <w:rsid w:val="006B4F68"/>
    <w:rsid w:val="006B50FB"/>
    <w:rsid w:val="006B5101"/>
    <w:rsid w:val="006B69C1"/>
    <w:rsid w:val="006B7250"/>
    <w:rsid w:val="006B7B25"/>
    <w:rsid w:val="006B7F4F"/>
    <w:rsid w:val="006C0592"/>
    <w:rsid w:val="006C272E"/>
    <w:rsid w:val="006C3FCE"/>
    <w:rsid w:val="006C45E3"/>
    <w:rsid w:val="006C5479"/>
    <w:rsid w:val="006C7305"/>
    <w:rsid w:val="006C7D43"/>
    <w:rsid w:val="006D13B5"/>
    <w:rsid w:val="006D141F"/>
    <w:rsid w:val="006D23BC"/>
    <w:rsid w:val="006D2CF2"/>
    <w:rsid w:val="006D6F3B"/>
    <w:rsid w:val="006D7892"/>
    <w:rsid w:val="006E0D60"/>
    <w:rsid w:val="006E12FF"/>
    <w:rsid w:val="006E24D8"/>
    <w:rsid w:val="006E26A9"/>
    <w:rsid w:val="006E3D9A"/>
    <w:rsid w:val="006E4F36"/>
    <w:rsid w:val="006E607E"/>
    <w:rsid w:val="006E6B2E"/>
    <w:rsid w:val="006E74BF"/>
    <w:rsid w:val="006F0FBF"/>
    <w:rsid w:val="006F1537"/>
    <w:rsid w:val="006F16BA"/>
    <w:rsid w:val="006F1954"/>
    <w:rsid w:val="006F6A4D"/>
    <w:rsid w:val="00700259"/>
    <w:rsid w:val="007021E9"/>
    <w:rsid w:val="0070249C"/>
    <w:rsid w:val="007037DC"/>
    <w:rsid w:val="007045BC"/>
    <w:rsid w:val="00705A9A"/>
    <w:rsid w:val="00706C5D"/>
    <w:rsid w:val="00706EA8"/>
    <w:rsid w:val="00707414"/>
    <w:rsid w:val="00707C35"/>
    <w:rsid w:val="00712648"/>
    <w:rsid w:val="0071313C"/>
    <w:rsid w:val="007139C5"/>
    <w:rsid w:val="00713BFF"/>
    <w:rsid w:val="0072133C"/>
    <w:rsid w:val="00721997"/>
    <w:rsid w:val="00723952"/>
    <w:rsid w:val="00723A6B"/>
    <w:rsid w:val="007245F2"/>
    <w:rsid w:val="00724F54"/>
    <w:rsid w:val="00726ADE"/>
    <w:rsid w:val="00726FEA"/>
    <w:rsid w:val="0072727F"/>
    <w:rsid w:val="00727833"/>
    <w:rsid w:val="00731D8A"/>
    <w:rsid w:val="00732045"/>
    <w:rsid w:val="00732922"/>
    <w:rsid w:val="007408F5"/>
    <w:rsid w:val="00741B97"/>
    <w:rsid w:val="00741DE4"/>
    <w:rsid w:val="00742F13"/>
    <w:rsid w:val="00743D8C"/>
    <w:rsid w:val="00744E9C"/>
    <w:rsid w:val="007452D6"/>
    <w:rsid w:val="007500ED"/>
    <w:rsid w:val="00750D25"/>
    <w:rsid w:val="0075162E"/>
    <w:rsid w:val="00752424"/>
    <w:rsid w:val="0075312F"/>
    <w:rsid w:val="007532B5"/>
    <w:rsid w:val="00754034"/>
    <w:rsid w:val="00754288"/>
    <w:rsid w:val="00755101"/>
    <w:rsid w:val="0075558D"/>
    <w:rsid w:val="007562D8"/>
    <w:rsid w:val="00756556"/>
    <w:rsid w:val="0075682F"/>
    <w:rsid w:val="00756CFB"/>
    <w:rsid w:val="007576FC"/>
    <w:rsid w:val="00760323"/>
    <w:rsid w:val="00760ECB"/>
    <w:rsid w:val="00761508"/>
    <w:rsid w:val="007618C4"/>
    <w:rsid w:val="00763E0C"/>
    <w:rsid w:val="00763E2D"/>
    <w:rsid w:val="00764A69"/>
    <w:rsid w:val="00766074"/>
    <w:rsid w:val="0076704C"/>
    <w:rsid w:val="00767305"/>
    <w:rsid w:val="007676D3"/>
    <w:rsid w:val="00767980"/>
    <w:rsid w:val="00767CEE"/>
    <w:rsid w:val="00770B19"/>
    <w:rsid w:val="0077383F"/>
    <w:rsid w:val="0077463F"/>
    <w:rsid w:val="007801B5"/>
    <w:rsid w:val="0078115C"/>
    <w:rsid w:val="00782370"/>
    <w:rsid w:val="00782595"/>
    <w:rsid w:val="007836EA"/>
    <w:rsid w:val="00784737"/>
    <w:rsid w:val="00784CDA"/>
    <w:rsid w:val="0078582B"/>
    <w:rsid w:val="00785BE2"/>
    <w:rsid w:val="00786B98"/>
    <w:rsid w:val="007872A7"/>
    <w:rsid w:val="007906C4"/>
    <w:rsid w:val="00792505"/>
    <w:rsid w:val="00793377"/>
    <w:rsid w:val="00793D83"/>
    <w:rsid w:val="007940EA"/>
    <w:rsid w:val="00796472"/>
    <w:rsid w:val="007967CA"/>
    <w:rsid w:val="007967E8"/>
    <w:rsid w:val="0079683A"/>
    <w:rsid w:val="0079772E"/>
    <w:rsid w:val="00797872"/>
    <w:rsid w:val="007A0CF0"/>
    <w:rsid w:val="007A191D"/>
    <w:rsid w:val="007A2170"/>
    <w:rsid w:val="007A22BF"/>
    <w:rsid w:val="007A25BE"/>
    <w:rsid w:val="007A3323"/>
    <w:rsid w:val="007A5F70"/>
    <w:rsid w:val="007A629E"/>
    <w:rsid w:val="007A70A5"/>
    <w:rsid w:val="007A7CD8"/>
    <w:rsid w:val="007B0199"/>
    <w:rsid w:val="007B092E"/>
    <w:rsid w:val="007B3527"/>
    <w:rsid w:val="007B3CB0"/>
    <w:rsid w:val="007B41B0"/>
    <w:rsid w:val="007B4EB6"/>
    <w:rsid w:val="007B5641"/>
    <w:rsid w:val="007B72B8"/>
    <w:rsid w:val="007B7A58"/>
    <w:rsid w:val="007C1222"/>
    <w:rsid w:val="007C147D"/>
    <w:rsid w:val="007C1499"/>
    <w:rsid w:val="007C1AA8"/>
    <w:rsid w:val="007C1B35"/>
    <w:rsid w:val="007C21B5"/>
    <w:rsid w:val="007C6005"/>
    <w:rsid w:val="007C750C"/>
    <w:rsid w:val="007C77C2"/>
    <w:rsid w:val="007D1DF6"/>
    <w:rsid w:val="007D2813"/>
    <w:rsid w:val="007D2BA1"/>
    <w:rsid w:val="007D4988"/>
    <w:rsid w:val="007D5154"/>
    <w:rsid w:val="007D6C18"/>
    <w:rsid w:val="007D726D"/>
    <w:rsid w:val="007E2580"/>
    <w:rsid w:val="007E29A2"/>
    <w:rsid w:val="007E3472"/>
    <w:rsid w:val="007E3995"/>
    <w:rsid w:val="007E4BD2"/>
    <w:rsid w:val="007E673D"/>
    <w:rsid w:val="007E6F6F"/>
    <w:rsid w:val="007F06AF"/>
    <w:rsid w:val="007F131B"/>
    <w:rsid w:val="007F1AE3"/>
    <w:rsid w:val="007F1ED7"/>
    <w:rsid w:val="007F275E"/>
    <w:rsid w:val="007F3354"/>
    <w:rsid w:val="007F4825"/>
    <w:rsid w:val="007F6346"/>
    <w:rsid w:val="007F6C6F"/>
    <w:rsid w:val="007F77E2"/>
    <w:rsid w:val="00800738"/>
    <w:rsid w:val="00801393"/>
    <w:rsid w:val="00801F7F"/>
    <w:rsid w:val="00802C69"/>
    <w:rsid w:val="00802DE1"/>
    <w:rsid w:val="00802F88"/>
    <w:rsid w:val="00804B38"/>
    <w:rsid w:val="0080598A"/>
    <w:rsid w:val="00807FF8"/>
    <w:rsid w:val="008106AC"/>
    <w:rsid w:val="008115EB"/>
    <w:rsid w:val="0081293E"/>
    <w:rsid w:val="008132E0"/>
    <w:rsid w:val="00813A2F"/>
    <w:rsid w:val="00815465"/>
    <w:rsid w:val="008158AC"/>
    <w:rsid w:val="00815F8A"/>
    <w:rsid w:val="00817E9A"/>
    <w:rsid w:val="00821AB1"/>
    <w:rsid w:val="00822164"/>
    <w:rsid w:val="008227B0"/>
    <w:rsid w:val="00823573"/>
    <w:rsid w:val="00823602"/>
    <w:rsid w:val="00823CA4"/>
    <w:rsid w:val="008242A7"/>
    <w:rsid w:val="00827381"/>
    <w:rsid w:val="00827CCB"/>
    <w:rsid w:val="00830162"/>
    <w:rsid w:val="008306BD"/>
    <w:rsid w:val="00831A80"/>
    <w:rsid w:val="0083307F"/>
    <w:rsid w:val="0083338B"/>
    <w:rsid w:val="00833743"/>
    <w:rsid w:val="008339E2"/>
    <w:rsid w:val="008340A4"/>
    <w:rsid w:val="008341D9"/>
    <w:rsid w:val="008350B7"/>
    <w:rsid w:val="00835212"/>
    <w:rsid w:val="00835646"/>
    <w:rsid w:val="00836EC9"/>
    <w:rsid w:val="00837165"/>
    <w:rsid w:val="008373A8"/>
    <w:rsid w:val="00840415"/>
    <w:rsid w:val="00841802"/>
    <w:rsid w:val="00841850"/>
    <w:rsid w:val="00842955"/>
    <w:rsid w:val="008434BB"/>
    <w:rsid w:val="00845315"/>
    <w:rsid w:val="00845557"/>
    <w:rsid w:val="00845D23"/>
    <w:rsid w:val="00846363"/>
    <w:rsid w:val="00846FF4"/>
    <w:rsid w:val="00852AF0"/>
    <w:rsid w:val="008532C5"/>
    <w:rsid w:val="0085385F"/>
    <w:rsid w:val="0085550B"/>
    <w:rsid w:val="00856AE6"/>
    <w:rsid w:val="00862EC7"/>
    <w:rsid w:val="00863B59"/>
    <w:rsid w:val="00865D1A"/>
    <w:rsid w:val="00865F70"/>
    <w:rsid w:val="00866A54"/>
    <w:rsid w:val="00871332"/>
    <w:rsid w:val="0087135F"/>
    <w:rsid w:val="00871A7F"/>
    <w:rsid w:val="00871CE9"/>
    <w:rsid w:val="00872D94"/>
    <w:rsid w:val="00874B04"/>
    <w:rsid w:val="00877399"/>
    <w:rsid w:val="00880364"/>
    <w:rsid w:val="008819D3"/>
    <w:rsid w:val="0088296A"/>
    <w:rsid w:val="00884470"/>
    <w:rsid w:val="008851DF"/>
    <w:rsid w:val="0088530C"/>
    <w:rsid w:val="008854A2"/>
    <w:rsid w:val="00885996"/>
    <w:rsid w:val="008868ED"/>
    <w:rsid w:val="00890C66"/>
    <w:rsid w:val="008914E4"/>
    <w:rsid w:val="00891592"/>
    <w:rsid w:val="0089189B"/>
    <w:rsid w:val="00891B20"/>
    <w:rsid w:val="00891E9E"/>
    <w:rsid w:val="00892247"/>
    <w:rsid w:val="00892CBC"/>
    <w:rsid w:val="00892F81"/>
    <w:rsid w:val="008971CA"/>
    <w:rsid w:val="00897551"/>
    <w:rsid w:val="0089792E"/>
    <w:rsid w:val="008A07F0"/>
    <w:rsid w:val="008A0B91"/>
    <w:rsid w:val="008A0FC2"/>
    <w:rsid w:val="008A187C"/>
    <w:rsid w:val="008A1F16"/>
    <w:rsid w:val="008A28DF"/>
    <w:rsid w:val="008A2F68"/>
    <w:rsid w:val="008A47AA"/>
    <w:rsid w:val="008A67EF"/>
    <w:rsid w:val="008B0DBD"/>
    <w:rsid w:val="008B11AC"/>
    <w:rsid w:val="008B1EFF"/>
    <w:rsid w:val="008B239B"/>
    <w:rsid w:val="008B2CC6"/>
    <w:rsid w:val="008B43D9"/>
    <w:rsid w:val="008B4A37"/>
    <w:rsid w:val="008B4FA6"/>
    <w:rsid w:val="008B5282"/>
    <w:rsid w:val="008B7B0D"/>
    <w:rsid w:val="008B7C17"/>
    <w:rsid w:val="008C2D01"/>
    <w:rsid w:val="008C39E7"/>
    <w:rsid w:val="008C40E6"/>
    <w:rsid w:val="008C4727"/>
    <w:rsid w:val="008C493C"/>
    <w:rsid w:val="008C4C3C"/>
    <w:rsid w:val="008C57A5"/>
    <w:rsid w:val="008C59BA"/>
    <w:rsid w:val="008C6605"/>
    <w:rsid w:val="008C6D7E"/>
    <w:rsid w:val="008C6E1A"/>
    <w:rsid w:val="008D0944"/>
    <w:rsid w:val="008D0F7A"/>
    <w:rsid w:val="008D1772"/>
    <w:rsid w:val="008D2EC0"/>
    <w:rsid w:val="008D35FE"/>
    <w:rsid w:val="008D646D"/>
    <w:rsid w:val="008D68E4"/>
    <w:rsid w:val="008D74E0"/>
    <w:rsid w:val="008D7D29"/>
    <w:rsid w:val="008E0506"/>
    <w:rsid w:val="008E0CFF"/>
    <w:rsid w:val="008E12C7"/>
    <w:rsid w:val="008E1838"/>
    <w:rsid w:val="008E2C28"/>
    <w:rsid w:val="008E30BB"/>
    <w:rsid w:val="008E3E4A"/>
    <w:rsid w:val="008E41F2"/>
    <w:rsid w:val="008E4240"/>
    <w:rsid w:val="008E4764"/>
    <w:rsid w:val="008E476E"/>
    <w:rsid w:val="008E4E3A"/>
    <w:rsid w:val="008E5D6B"/>
    <w:rsid w:val="008E5FBC"/>
    <w:rsid w:val="008E6055"/>
    <w:rsid w:val="008E6395"/>
    <w:rsid w:val="008E76F0"/>
    <w:rsid w:val="008E7B41"/>
    <w:rsid w:val="008F0409"/>
    <w:rsid w:val="008F062C"/>
    <w:rsid w:val="008F09AB"/>
    <w:rsid w:val="008F15FE"/>
    <w:rsid w:val="008F2D29"/>
    <w:rsid w:val="008F31C6"/>
    <w:rsid w:val="008F4856"/>
    <w:rsid w:val="008F5187"/>
    <w:rsid w:val="008F51A0"/>
    <w:rsid w:val="008F60D8"/>
    <w:rsid w:val="00902727"/>
    <w:rsid w:val="00902980"/>
    <w:rsid w:val="0090312B"/>
    <w:rsid w:val="0090332D"/>
    <w:rsid w:val="00903E49"/>
    <w:rsid w:val="00904096"/>
    <w:rsid w:val="00904814"/>
    <w:rsid w:val="00905274"/>
    <w:rsid w:val="00906497"/>
    <w:rsid w:val="009073CA"/>
    <w:rsid w:val="0091141C"/>
    <w:rsid w:val="009120DD"/>
    <w:rsid w:val="00912CBA"/>
    <w:rsid w:val="00913436"/>
    <w:rsid w:val="00914C6B"/>
    <w:rsid w:val="009154CB"/>
    <w:rsid w:val="00916180"/>
    <w:rsid w:val="009161EF"/>
    <w:rsid w:val="0091709C"/>
    <w:rsid w:val="0091736D"/>
    <w:rsid w:val="009204F9"/>
    <w:rsid w:val="009239D9"/>
    <w:rsid w:val="0092545F"/>
    <w:rsid w:val="009256D3"/>
    <w:rsid w:val="00925A3B"/>
    <w:rsid w:val="0093037A"/>
    <w:rsid w:val="00930644"/>
    <w:rsid w:val="00930EE6"/>
    <w:rsid w:val="0093147E"/>
    <w:rsid w:val="009405E9"/>
    <w:rsid w:val="0094154D"/>
    <w:rsid w:val="00941565"/>
    <w:rsid w:val="00942951"/>
    <w:rsid w:val="009431E5"/>
    <w:rsid w:val="0094335B"/>
    <w:rsid w:val="009438A0"/>
    <w:rsid w:val="0094476F"/>
    <w:rsid w:val="00945937"/>
    <w:rsid w:val="00946200"/>
    <w:rsid w:val="0094628F"/>
    <w:rsid w:val="00946FF9"/>
    <w:rsid w:val="0095155F"/>
    <w:rsid w:val="00951833"/>
    <w:rsid w:val="00951A23"/>
    <w:rsid w:val="00952024"/>
    <w:rsid w:val="00954429"/>
    <w:rsid w:val="00954873"/>
    <w:rsid w:val="00954EAF"/>
    <w:rsid w:val="009563CE"/>
    <w:rsid w:val="00960DB5"/>
    <w:rsid w:val="009646FF"/>
    <w:rsid w:val="00967FFC"/>
    <w:rsid w:val="00970126"/>
    <w:rsid w:val="0097155F"/>
    <w:rsid w:val="009744DB"/>
    <w:rsid w:val="00976328"/>
    <w:rsid w:val="0097680D"/>
    <w:rsid w:val="00977C74"/>
    <w:rsid w:val="009803C4"/>
    <w:rsid w:val="00981D10"/>
    <w:rsid w:val="00982438"/>
    <w:rsid w:val="00982D03"/>
    <w:rsid w:val="0098404C"/>
    <w:rsid w:val="0098413C"/>
    <w:rsid w:val="00984946"/>
    <w:rsid w:val="00985283"/>
    <w:rsid w:val="00985C0F"/>
    <w:rsid w:val="0098681C"/>
    <w:rsid w:val="00987270"/>
    <w:rsid w:val="00987459"/>
    <w:rsid w:val="009877B0"/>
    <w:rsid w:val="00987DF0"/>
    <w:rsid w:val="00990600"/>
    <w:rsid w:val="009944DA"/>
    <w:rsid w:val="009949DC"/>
    <w:rsid w:val="009955EA"/>
    <w:rsid w:val="00995992"/>
    <w:rsid w:val="00995B20"/>
    <w:rsid w:val="00996EE1"/>
    <w:rsid w:val="0099747C"/>
    <w:rsid w:val="009A03E5"/>
    <w:rsid w:val="009A0F3B"/>
    <w:rsid w:val="009A1BB1"/>
    <w:rsid w:val="009A1BB4"/>
    <w:rsid w:val="009A2628"/>
    <w:rsid w:val="009A2727"/>
    <w:rsid w:val="009A3200"/>
    <w:rsid w:val="009B010E"/>
    <w:rsid w:val="009B0897"/>
    <w:rsid w:val="009B14A4"/>
    <w:rsid w:val="009B37D8"/>
    <w:rsid w:val="009B4435"/>
    <w:rsid w:val="009B49AD"/>
    <w:rsid w:val="009B633E"/>
    <w:rsid w:val="009B642C"/>
    <w:rsid w:val="009B75D9"/>
    <w:rsid w:val="009B7BD9"/>
    <w:rsid w:val="009C1A4B"/>
    <w:rsid w:val="009C307B"/>
    <w:rsid w:val="009C3D43"/>
    <w:rsid w:val="009C4258"/>
    <w:rsid w:val="009C5A28"/>
    <w:rsid w:val="009C7C1C"/>
    <w:rsid w:val="009C7DD5"/>
    <w:rsid w:val="009D10E4"/>
    <w:rsid w:val="009D1F54"/>
    <w:rsid w:val="009D2009"/>
    <w:rsid w:val="009D2875"/>
    <w:rsid w:val="009D7A6D"/>
    <w:rsid w:val="009E1FFD"/>
    <w:rsid w:val="009E227D"/>
    <w:rsid w:val="009E2747"/>
    <w:rsid w:val="009E3A21"/>
    <w:rsid w:val="009E3BF8"/>
    <w:rsid w:val="009E489F"/>
    <w:rsid w:val="009E5019"/>
    <w:rsid w:val="009E5992"/>
    <w:rsid w:val="009F1833"/>
    <w:rsid w:val="009F1C45"/>
    <w:rsid w:val="009F376C"/>
    <w:rsid w:val="009F4E29"/>
    <w:rsid w:val="009F5B9D"/>
    <w:rsid w:val="009F6512"/>
    <w:rsid w:val="009F7E99"/>
    <w:rsid w:val="00A0074E"/>
    <w:rsid w:val="00A030F9"/>
    <w:rsid w:val="00A04F1B"/>
    <w:rsid w:val="00A0501B"/>
    <w:rsid w:val="00A06C6F"/>
    <w:rsid w:val="00A06CB6"/>
    <w:rsid w:val="00A075A2"/>
    <w:rsid w:val="00A14651"/>
    <w:rsid w:val="00A14947"/>
    <w:rsid w:val="00A200B5"/>
    <w:rsid w:val="00A20638"/>
    <w:rsid w:val="00A209F1"/>
    <w:rsid w:val="00A210C6"/>
    <w:rsid w:val="00A22E75"/>
    <w:rsid w:val="00A2577B"/>
    <w:rsid w:val="00A26106"/>
    <w:rsid w:val="00A2692B"/>
    <w:rsid w:val="00A272EF"/>
    <w:rsid w:val="00A3144A"/>
    <w:rsid w:val="00A31A82"/>
    <w:rsid w:val="00A32A83"/>
    <w:rsid w:val="00A32BDB"/>
    <w:rsid w:val="00A368DB"/>
    <w:rsid w:val="00A36C05"/>
    <w:rsid w:val="00A40483"/>
    <w:rsid w:val="00A423AA"/>
    <w:rsid w:val="00A42D95"/>
    <w:rsid w:val="00A4459E"/>
    <w:rsid w:val="00A446A5"/>
    <w:rsid w:val="00A4482D"/>
    <w:rsid w:val="00A46104"/>
    <w:rsid w:val="00A462B0"/>
    <w:rsid w:val="00A51191"/>
    <w:rsid w:val="00A5158D"/>
    <w:rsid w:val="00A524E6"/>
    <w:rsid w:val="00A5257A"/>
    <w:rsid w:val="00A533B7"/>
    <w:rsid w:val="00A53EC6"/>
    <w:rsid w:val="00A5491E"/>
    <w:rsid w:val="00A54D93"/>
    <w:rsid w:val="00A55C0F"/>
    <w:rsid w:val="00A562FF"/>
    <w:rsid w:val="00A56653"/>
    <w:rsid w:val="00A60579"/>
    <w:rsid w:val="00A60722"/>
    <w:rsid w:val="00A60B3A"/>
    <w:rsid w:val="00A61438"/>
    <w:rsid w:val="00A62200"/>
    <w:rsid w:val="00A6580B"/>
    <w:rsid w:val="00A704A1"/>
    <w:rsid w:val="00A70C1E"/>
    <w:rsid w:val="00A71289"/>
    <w:rsid w:val="00A71381"/>
    <w:rsid w:val="00A722F8"/>
    <w:rsid w:val="00A73809"/>
    <w:rsid w:val="00A73BB4"/>
    <w:rsid w:val="00A73D9D"/>
    <w:rsid w:val="00A75D9F"/>
    <w:rsid w:val="00A76008"/>
    <w:rsid w:val="00A803A8"/>
    <w:rsid w:val="00A8407C"/>
    <w:rsid w:val="00A86172"/>
    <w:rsid w:val="00A8713F"/>
    <w:rsid w:val="00A87223"/>
    <w:rsid w:val="00A8743E"/>
    <w:rsid w:val="00A9048E"/>
    <w:rsid w:val="00A90BA1"/>
    <w:rsid w:val="00A92BC9"/>
    <w:rsid w:val="00A947DB"/>
    <w:rsid w:val="00A94CD1"/>
    <w:rsid w:val="00A97A9A"/>
    <w:rsid w:val="00A97EBE"/>
    <w:rsid w:val="00AA0007"/>
    <w:rsid w:val="00AA004B"/>
    <w:rsid w:val="00AA0671"/>
    <w:rsid w:val="00AA163B"/>
    <w:rsid w:val="00AA1793"/>
    <w:rsid w:val="00AA1932"/>
    <w:rsid w:val="00AA1EC9"/>
    <w:rsid w:val="00AA2531"/>
    <w:rsid w:val="00AA26C0"/>
    <w:rsid w:val="00AA4DF8"/>
    <w:rsid w:val="00AA4F8F"/>
    <w:rsid w:val="00AB0E60"/>
    <w:rsid w:val="00AB0F23"/>
    <w:rsid w:val="00AB11EB"/>
    <w:rsid w:val="00AB1812"/>
    <w:rsid w:val="00AB1E09"/>
    <w:rsid w:val="00AB2CB0"/>
    <w:rsid w:val="00AB3024"/>
    <w:rsid w:val="00AB3E85"/>
    <w:rsid w:val="00AB5330"/>
    <w:rsid w:val="00AB5890"/>
    <w:rsid w:val="00AB5991"/>
    <w:rsid w:val="00AB7747"/>
    <w:rsid w:val="00AB7E8C"/>
    <w:rsid w:val="00AC14CE"/>
    <w:rsid w:val="00AC197F"/>
    <w:rsid w:val="00AC1BF8"/>
    <w:rsid w:val="00AC2A56"/>
    <w:rsid w:val="00AC5AC8"/>
    <w:rsid w:val="00AC7BA6"/>
    <w:rsid w:val="00AD055E"/>
    <w:rsid w:val="00AD06D8"/>
    <w:rsid w:val="00AD0F6D"/>
    <w:rsid w:val="00AD124C"/>
    <w:rsid w:val="00AD47A7"/>
    <w:rsid w:val="00AD626A"/>
    <w:rsid w:val="00AD7EDB"/>
    <w:rsid w:val="00AE0516"/>
    <w:rsid w:val="00AE0EA0"/>
    <w:rsid w:val="00AE1787"/>
    <w:rsid w:val="00AE19F0"/>
    <w:rsid w:val="00AE2BDF"/>
    <w:rsid w:val="00AE4E5E"/>
    <w:rsid w:val="00AE68E3"/>
    <w:rsid w:val="00AF0CBF"/>
    <w:rsid w:val="00AF17DF"/>
    <w:rsid w:val="00AF189B"/>
    <w:rsid w:val="00AF1AFF"/>
    <w:rsid w:val="00AF257F"/>
    <w:rsid w:val="00AF33CF"/>
    <w:rsid w:val="00AF3ED9"/>
    <w:rsid w:val="00AF49AC"/>
    <w:rsid w:val="00AF4D50"/>
    <w:rsid w:val="00AF4FE4"/>
    <w:rsid w:val="00AF5022"/>
    <w:rsid w:val="00AF5706"/>
    <w:rsid w:val="00AF6179"/>
    <w:rsid w:val="00AF71FE"/>
    <w:rsid w:val="00AF766F"/>
    <w:rsid w:val="00B03520"/>
    <w:rsid w:val="00B05684"/>
    <w:rsid w:val="00B10FA3"/>
    <w:rsid w:val="00B11540"/>
    <w:rsid w:val="00B1295A"/>
    <w:rsid w:val="00B14C87"/>
    <w:rsid w:val="00B14CCB"/>
    <w:rsid w:val="00B15636"/>
    <w:rsid w:val="00B17752"/>
    <w:rsid w:val="00B17A26"/>
    <w:rsid w:val="00B17FEE"/>
    <w:rsid w:val="00B204E3"/>
    <w:rsid w:val="00B20A45"/>
    <w:rsid w:val="00B22957"/>
    <w:rsid w:val="00B22C5C"/>
    <w:rsid w:val="00B248FC"/>
    <w:rsid w:val="00B24F30"/>
    <w:rsid w:val="00B25508"/>
    <w:rsid w:val="00B270F1"/>
    <w:rsid w:val="00B27C30"/>
    <w:rsid w:val="00B306DA"/>
    <w:rsid w:val="00B31ABF"/>
    <w:rsid w:val="00B33542"/>
    <w:rsid w:val="00B33BE3"/>
    <w:rsid w:val="00B33C77"/>
    <w:rsid w:val="00B3458F"/>
    <w:rsid w:val="00B36487"/>
    <w:rsid w:val="00B40FAC"/>
    <w:rsid w:val="00B41CDB"/>
    <w:rsid w:val="00B43BBD"/>
    <w:rsid w:val="00B445ED"/>
    <w:rsid w:val="00B448DD"/>
    <w:rsid w:val="00B46FEA"/>
    <w:rsid w:val="00B51A0D"/>
    <w:rsid w:val="00B53AF9"/>
    <w:rsid w:val="00B53B5D"/>
    <w:rsid w:val="00B54BD0"/>
    <w:rsid w:val="00B55B49"/>
    <w:rsid w:val="00B5606C"/>
    <w:rsid w:val="00B57972"/>
    <w:rsid w:val="00B57B44"/>
    <w:rsid w:val="00B6055E"/>
    <w:rsid w:val="00B62E90"/>
    <w:rsid w:val="00B6317D"/>
    <w:rsid w:val="00B6411D"/>
    <w:rsid w:val="00B660D1"/>
    <w:rsid w:val="00B66A13"/>
    <w:rsid w:val="00B66AF5"/>
    <w:rsid w:val="00B66B77"/>
    <w:rsid w:val="00B67FC1"/>
    <w:rsid w:val="00B70917"/>
    <w:rsid w:val="00B72D26"/>
    <w:rsid w:val="00B73113"/>
    <w:rsid w:val="00B736CF"/>
    <w:rsid w:val="00B76319"/>
    <w:rsid w:val="00B7723F"/>
    <w:rsid w:val="00B775DB"/>
    <w:rsid w:val="00B77A2E"/>
    <w:rsid w:val="00B77B1E"/>
    <w:rsid w:val="00B80534"/>
    <w:rsid w:val="00B80D8B"/>
    <w:rsid w:val="00B817C5"/>
    <w:rsid w:val="00B82233"/>
    <w:rsid w:val="00B83222"/>
    <w:rsid w:val="00B835B7"/>
    <w:rsid w:val="00B83716"/>
    <w:rsid w:val="00B8433C"/>
    <w:rsid w:val="00B847F0"/>
    <w:rsid w:val="00B8527F"/>
    <w:rsid w:val="00B85EA9"/>
    <w:rsid w:val="00B87491"/>
    <w:rsid w:val="00B87E0B"/>
    <w:rsid w:val="00B906D8"/>
    <w:rsid w:val="00B914AA"/>
    <w:rsid w:val="00B92A5B"/>
    <w:rsid w:val="00B93775"/>
    <w:rsid w:val="00B93C4F"/>
    <w:rsid w:val="00B94778"/>
    <w:rsid w:val="00B95670"/>
    <w:rsid w:val="00B97667"/>
    <w:rsid w:val="00BA1FD1"/>
    <w:rsid w:val="00BA29E9"/>
    <w:rsid w:val="00BA2EC1"/>
    <w:rsid w:val="00BA48C8"/>
    <w:rsid w:val="00BA4DB0"/>
    <w:rsid w:val="00BA5392"/>
    <w:rsid w:val="00BA5660"/>
    <w:rsid w:val="00BA5B18"/>
    <w:rsid w:val="00BA6BAC"/>
    <w:rsid w:val="00BA6BD4"/>
    <w:rsid w:val="00BA7142"/>
    <w:rsid w:val="00BA7815"/>
    <w:rsid w:val="00BB237C"/>
    <w:rsid w:val="00BB3A1A"/>
    <w:rsid w:val="00BB41A3"/>
    <w:rsid w:val="00BB4526"/>
    <w:rsid w:val="00BB48EC"/>
    <w:rsid w:val="00BB7AD5"/>
    <w:rsid w:val="00BC2897"/>
    <w:rsid w:val="00BC2C47"/>
    <w:rsid w:val="00BC32DC"/>
    <w:rsid w:val="00BC3572"/>
    <w:rsid w:val="00BC35B6"/>
    <w:rsid w:val="00BC377D"/>
    <w:rsid w:val="00BC3E47"/>
    <w:rsid w:val="00BC4B44"/>
    <w:rsid w:val="00BD0149"/>
    <w:rsid w:val="00BD016D"/>
    <w:rsid w:val="00BD08C6"/>
    <w:rsid w:val="00BD0978"/>
    <w:rsid w:val="00BD1B51"/>
    <w:rsid w:val="00BD329A"/>
    <w:rsid w:val="00BD443F"/>
    <w:rsid w:val="00BD4596"/>
    <w:rsid w:val="00BD762F"/>
    <w:rsid w:val="00BE1405"/>
    <w:rsid w:val="00BE18E2"/>
    <w:rsid w:val="00BE224F"/>
    <w:rsid w:val="00BE253C"/>
    <w:rsid w:val="00BE29EB"/>
    <w:rsid w:val="00BE2F2C"/>
    <w:rsid w:val="00BE312D"/>
    <w:rsid w:val="00BE39D7"/>
    <w:rsid w:val="00BE4D3E"/>
    <w:rsid w:val="00BE62B8"/>
    <w:rsid w:val="00BE7797"/>
    <w:rsid w:val="00BE7E79"/>
    <w:rsid w:val="00BF0C6B"/>
    <w:rsid w:val="00BF14A7"/>
    <w:rsid w:val="00BF1C20"/>
    <w:rsid w:val="00BF311C"/>
    <w:rsid w:val="00BF3133"/>
    <w:rsid w:val="00BF3332"/>
    <w:rsid w:val="00BF3513"/>
    <w:rsid w:val="00BF3F3B"/>
    <w:rsid w:val="00BF42F3"/>
    <w:rsid w:val="00BF7B5E"/>
    <w:rsid w:val="00C0069B"/>
    <w:rsid w:val="00C00C34"/>
    <w:rsid w:val="00C016FE"/>
    <w:rsid w:val="00C020D4"/>
    <w:rsid w:val="00C04208"/>
    <w:rsid w:val="00C048DF"/>
    <w:rsid w:val="00C05CB9"/>
    <w:rsid w:val="00C07013"/>
    <w:rsid w:val="00C10578"/>
    <w:rsid w:val="00C11464"/>
    <w:rsid w:val="00C11C4C"/>
    <w:rsid w:val="00C1250E"/>
    <w:rsid w:val="00C12B83"/>
    <w:rsid w:val="00C135BC"/>
    <w:rsid w:val="00C13616"/>
    <w:rsid w:val="00C1411E"/>
    <w:rsid w:val="00C142D9"/>
    <w:rsid w:val="00C15C95"/>
    <w:rsid w:val="00C16896"/>
    <w:rsid w:val="00C21636"/>
    <w:rsid w:val="00C220FF"/>
    <w:rsid w:val="00C23391"/>
    <w:rsid w:val="00C23D99"/>
    <w:rsid w:val="00C2533D"/>
    <w:rsid w:val="00C2596A"/>
    <w:rsid w:val="00C25B72"/>
    <w:rsid w:val="00C26060"/>
    <w:rsid w:val="00C26A2A"/>
    <w:rsid w:val="00C27322"/>
    <w:rsid w:val="00C27537"/>
    <w:rsid w:val="00C27E4A"/>
    <w:rsid w:val="00C3036F"/>
    <w:rsid w:val="00C309DF"/>
    <w:rsid w:val="00C30ACE"/>
    <w:rsid w:val="00C31481"/>
    <w:rsid w:val="00C328FE"/>
    <w:rsid w:val="00C3319E"/>
    <w:rsid w:val="00C33507"/>
    <w:rsid w:val="00C34CC4"/>
    <w:rsid w:val="00C35CFD"/>
    <w:rsid w:val="00C367FA"/>
    <w:rsid w:val="00C369A3"/>
    <w:rsid w:val="00C42396"/>
    <w:rsid w:val="00C4409D"/>
    <w:rsid w:val="00C44C4D"/>
    <w:rsid w:val="00C44E72"/>
    <w:rsid w:val="00C4503D"/>
    <w:rsid w:val="00C45667"/>
    <w:rsid w:val="00C45A06"/>
    <w:rsid w:val="00C47E5B"/>
    <w:rsid w:val="00C47FFA"/>
    <w:rsid w:val="00C502BB"/>
    <w:rsid w:val="00C504D7"/>
    <w:rsid w:val="00C50839"/>
    <w:rsid w:val="00C50DAC"/>
    <w:rsid w:val="00C514B1"/>
    <w:rsid w:val="00C5195E"/>
    <w:rsid w:val="00C5589C"/>
    <w:rsid w:val="00C56E67"/>
    <w:rsid w:val="00C61E4B"/>
    <w:rsid w:val="00C62637"/>
    <w:rsid w:val="00C62FA7"/>
    <w:rsid w:val="00C64BFF"/>
    <w:rsid w:val="00C65144"/>
    <w:rsid w:val="00C65C4B"/>
    <w:rsid w:val="00C65D37"/>
    <w:rsid w:val="00C67EB4"/>
    <w:rsid w:val="00C704E9"/>
    <w:rsid w:val="00C75991"/>
    <w:rsid w:val="00C763C9"/>
    <w:rsid w:val="00C77D51"/>
    <w:rsid w:val="00C80057"/>
    <w:rsid w:val="00C800AD"/>
    <w:rsid w:val="00C8115D"/>
    <w:rsid w:val="00C8204F"/>
    <w:rsid w:val="00C82232"/>
    <w:rsid w:val="00C82913"/>
    <w:rsid w:val="00C841CD"/>
    <w:rsid w:val="00C84619"/>
    <w:rsid w:val="00C85857"/>
    <w:rsid w:val="00C86388"/>
    <w:rsid w:val="00C86A0D"/>
    <w:rsid w:val="00C901EA"/>
    <w:rsid w:val="00C90957"/>
    <w:rsid w:val="00C90A1A"/>
    <w:rsid w:val="00C91069"/>
    <w:rsid w:val="00C9340B"/>
    <w:rsid w:val="00C93EA1"/>
    <w:rsid w:val="00C93F74"/>
    <w:rsid w:val="00C94958"/>
    <w:rsid w:val="00C94D34"/>
    <w:rsid w:val="00C954DA"/>
    <w:rsid w:val="00C972B1"/>
    <w:rsid w:val="00CA2CCE"/>
    <w:rsid w:val="00CA32C1"/>
    <w:rsid w:val="00CA3705"/>
    <w:rsid w:val="00CA43FD"/>
    <w:rsid w:val="00CA5228"/>
    <w:rsid w:val="00CA5E8B"/>
    <w:rsid w:val="00CA6392"/>
    <w:rsid w:val="00CA73EF"/>
    <w:rsid w:val="00CA7630"/>
    <w:rsid w:val="00CA7C2F"/>
    <w:rsid w:val="00CA7EF8"/>
    <w:rsid w:val="00CB0841"/>
    <w:rsid w:val="00CB1F40"/>
    <w:rsid w:val="00CB1FA5"/>
    <w:rsid w:val="00CB2722"/>
    <w:rsid w:val="00CB4D85"/>
    <w:rsid w:val="00CB559A"/>
    <w:rsid w:val="00CB5722"/>
    <w:rsid w:val="00CB67D5"/>
    <w:rsid w:val="00CC0200"/>
    <w:rsid w:val="00CC3409"/>
    <w:rsid w:val="00CC3A7C"/>
    <w:rsid w:val="00CC47BB"/>
    <w:rsid w:val="00CC489B"/>
    <w:rsid w:val="00CC56AE"/>
    <w:rsid w:val="00CC5704"/>
    <w:rsid w:val="00CC7273"/>
    <w:rsid w:val="00CC74E9"/>
    <w:rsid w:val="00CC7C58"/>
    <w:rsid w:val="00CC7EDE"/>
    <w:rsid w:val="00CD050F"/>
    <w:rsid w:val="00CD0AEC"/>
    <w:rsid w:val="00CD1406"/>
    <w:rsid w:val="00CD1643"/>
    <w:rsid w:val="00CD1BF9"/>
    <w:rsid w:val="00CD22F9"/>
    <w:rsid w:val="00CD240D"/>
    <w:rsid w:val="00CD2770"/>
    <w:rsid w:val="00CD2BCD"/>
    <w:rsid w:val="00CD2CF4"/>
    <w:rsid w:val="00CD3A4C"/>
    <w:rsid w:val="00CD616F"/>
    <w:rsid w:val="00CD6EC6"/>
    <w:rsid w:val="00CD70C9"/>
    <w:rsid w:val="00CD7C39"/>
    <w:rsid w:val="00CD7E88"/>
    <w:rsid w:val="00CE10E9"/>
    <w:rsid w:val="00CE17E2"/>
    <w:rsid w:val="00CE2910"/>
    <w:rsid w:val="00CE352D"/>
    <w:rsid w:val="00CE3706"/>
    <w:rsid w:val="00CE3AE5"/>
    <w:rsid w:val="00CE43CA"/>
    <w:rsid w:val="00CE49D4"/>
    <w:rsid w:val="00CE5393"/>
    <w:rsid w:val="00CE57FC"/>
    <w:rsid w:val="00CE6BEE"/>
    <w:rsid w:val="00CF01DA"/>
    <w:rsid w:val="00CF0A42"/>
    <w:rsid w:val="00CF1770"/>
    <w:rsid w:val="00CF2056"/>
    <w:rsid w:val="00CF2113"/>
    <w:rsid w:val="00CF31D7"/>
    <w:rsid w:val="00CF36BE"/>
    <w:rsid w:val="00CF3928"/>
    <w:rsid w:val="00CF4EB0"/>
    <w:rsid w:val="00CF5DD6"/>
    <w:rsid w:val="00CF6000"/>
    <w:rsid w:val="00CF7227"/>
    <w:rsid w:val="00CF7E0F"/>
    <w:rsid w:val="00D003F3"/>
    <w:rsid w:val="00D00CF7"/>
    <w:rsid w:val="00D021D3"/>
    <w:rsid w:val="00D02BD0"/>
    <w:rsid w:val="00D02ECC"/>
    <w:rsid w:val="00D0364F"/>
    <w:rsid w:val="00D05B8F"/>
    <w:rsid w:val="00D05DA2"/>
    <w:rsid w:val="00D06834"/>
    <w:rsid w:val="00D074CA"/>
    <w:rsid w:val="00D077DC"/>
    <w:rsid w:val="00D077F4"/>
    <w:rsid w:val="00D10108"/>
    <w:rsid w:val="00D11395"/>
    <w:rsid w:val="00D13167"/>
    <w:rsid w:val="00D13D7C"/>
    <w:rsid w:val="00D13E87"/>
    <w:rsid w:val="00D15EF3"/>
    <w:rsid w:val="00D1605E"/>
    <w:rsid w:val="00D20C13"/>
    <w:rsid w:val="00D22983"/>
    <w:rsid w:val="00D22D22"/>
    <w:rsid w:val="00D2395D"/>
    <w:rsid w:val="00D23B45"/>
    <w:rsid w:val="00D240D6"/>
    <w:rsid w:val="00D24C40"/>
    <w:rsid w:val="00D25AAF"/>
    <w:rsid w:val="00D25C3D"/>
    <w:rsid w:val="00D25FA3"/>
    <w:rsid w:val="00D26DAC"/>
    <w:rsid w:val="00D308ED"/>
    <w:rsid w:val="00D33952"/>
    <w:rsid w:val="00D34540"/>
    <w:rsid w:val="00D364EA"/>
    <w:rsid w:val="00D36D86"/>
    <w:rsid w:val="00D40DA3"/>
    <w:rsid w:val="00D418A1"/>
    <w:rsid w:val="00D4236D"/>
    <w:rsid w:val="00D428AA"/>
    <w:rsid w:val="00D445BD"/>
    <w:rsid w:val="00D451E8"/>
    <w:rsid w:val="00D45502"/>
    <w:rsid w:val="00D45997"/>
    <w:rsid w:val="00D45E86"/>
    <w:rsid w:val="00D47AA0"/>
    <w:rsid w:val="00D50114"/>
    <w:rsid w:val="00D502A9"/>
    <w:rsid w:val="00D50A34"/>
    <w:rsid w:val="00D517E9"/>
    <w:rsid w:val="00D52901"/>
    <w:rsid w:val="00D52F1C"/>
    <w:rsid w:val="00D52F38"/>
    <w:rsid w:val="00D53EFA"/>
    <w:rsid w:val="00D57BEC"/>
    <w:rsid w:val="00D61CBA"/>
    <w:rsid w:val="00D61DD0"/>
    <w:rsid w:val="00D62764"/>
    <w:rsid w:val="00D6295E"/>
    <w:rsid w:val="00D65129"/>
    <w:rsid w:val="00D657E1"/>
    <w:rsid w:val="00D65EB6"/>
    <w:rsid w:val="00D66A93"/>
    <w:rsid w:val="00D7044D"/>
    <w:rsid w:val="00D71843"/>
    <w:rsid w:val="00D723D6"/>
    <w:rsid w:val="00D72D03"/>
    <w:rsid w:val="00D7378F"/>
    <w:rsid w:val="00D738D2"/>
    <w:rsid w:val="00D75CC8"/>
    <w:rsid w:val="00D771F5"/>
    <w:rsid w:val="00D805B6"/>
    <w:rsid w:val="00D80BAC"/>
    <w:rsid w:val="00D81978"/>
    <w:rsid w:val="00D82167"/>
    <w:rsid w:val="00D827E6"/>
    <w:rsid w:val="00D905C1"/>
    <w:rsid w:val="00D92A1C"/>
    <w:rsid w:val="00D94A7C"/>
    <w:rsid w:val="00D95896"/>
    <w:rsid w:val="00DA0BCB"/>
    <w:rsid w:val="00DA1FE2"/>
    <w:rsid w:val="00DA22FF"/>
    <w:rsid w:val="00DA2D75"/>
    <w:rsid w:val="00DA42BD"/>
    <w:rsid w:val="00DA7078"/>
    <w:rsid w:val="00DA766F"/>
    <w:rsid w:val="00DA7B08"/>
    <w:rsid w:val="00DA7C89"/>
    <w:rsid w:val="00DB0455"/>
    <w:rsid w:val="00DB163A"/>
    <w:rsid w:val="00DB16A2"/>
    <w:rsid w:val="00DB2384"/>
    <w:rsid w:val="00DB2983"/>
    <w:rsid w:val="00DB30B5"/>
    <w:rsid w:val="00DC1257"/>
    <w:rsid w:val="00DC179F"/>
    <w:rsid w:val="00DC2210"/>
    <w:rsid w:val="00DC222D"/>
    <w:rsid w:val="00DC3DC0"/>
    <w:rsid w:val="00DC3F41"/>
    <w:rsid w:val="00DC5B2B"/>
    <w:rsid w:val="00DC5DC6"/>
    <w:rsid w:val="00DC6605"/>
    <w:rsid w:val="00DC6618"/>
    <w:rsid w:val="00DD1F90"/>
    <w:rsid w:val="00DD318D"/>
    <w:rsid w:val="00DD38A1"/>
    <w:rsid w:val="00DD4393"/>
    <w:rsid w:val="00DD7B22"/>
    <w:rsid w:val="00DE118F"/>
    <w:rsid w:val="00DE17F1"/>
    <w:rsid w:val="00DE3E4B"/>
    <w:rsid w:val="00DE406C"/>
    <w:rsid w:val="00DE48BB"/>
    <w:rsid w:val="00DE4B80"/>
    <w:rsid w:val="00DE4E0D"/>
    <w:rsid w:val="00DE512C"/>
    <w:rsid w:val="00DE595C"/>
    <w:rsid w:val="00DE6298"/>
    <w:rsid w:val="00DE685B"/>
    <w:rsid w:val="00DF0004"/>
    <w:rsid w:val="00DF18AD"/>
    <w:rsid w:val="00DF2E12"/>
    <w:rsid w:val="00DF48C3"/>
    <w:rsid w:val="00DF4B33"/>
    <w:rsid w:val="00DF4CAB"/>
    <w:rsid w:val="00DF514A"/>
    <w:rsid w:val="00DF5FF7"/>
    <w:rsid w:val="00DF62E0"/>
    <w:rsid w:val="00DF6690"/>
    <w:rsid w:val="00DF6804"/>
    <w:rsid w:val="00DF6849"/>
    <w:rsid w:val="00E01123"/>
    <w:rsid w:val="00E016C3"/>
    <w:rsid w:val="00E0358D"/>
    <w:rsid w:val="00E04323"/>
    <w:rsid w:val="00E0477F"/>
    <w:rsid w:val="00E04FFF"/>
    <w:rsid w:val="00E070A2"/>
    <w:rsid w:val="00E078F6"/>
    <w:rsid w:val="00E101CB"/>
    <w:rsid w:val="00E133C9"/>
    <w:rsid w:val="00E140F8"/>
    <w:rsid w:val="00E14EEC"/>
    <w:rsid w:val="00E150BA"/>
    <w:rsid w:val="00E15646"/>
    <w:rsid w:val="00E1638B"/>
    <w:rsid w:val="00E1664F"/>
    <w:rsid w:val="00E17054"/>
    <w:rsid w:val="00E202A0"/>
    <w:rsid w:val="00E215C7"/>
    <w:rsid w:val="00E2287D"/>
    <w:rsid w:val="00E22AAD"/>
    <w:rsid w:val="00E23445"/>
    <w:rsid w:val="00E23F8F"/>
    <w:rsid w:val="00E2416D"/>
    <w:rsid w:val="00E2656A"/>
    <w:rsid w:val="00E2695B"/>
    <w:rsid w:val="00E311A1"/>
    <w:rsid w:val="00E313A6"/>
    <w:rsid w:val="00E32174"/>
    <w:rsid w:val="00E32997"/>
    <w:rsid w:val="00E352B9"/>
    <w:rsid w:val="00E35831"/>
    <w:rsid w:val="00E35B3C"/>
    <w:rsid w:val="00E36DE7"/>
    <w:rsid w:val="00E412D0"/>
    <w:rsid w:val="00E41BC1"/>
    <w:rsid w:val="00E422B3"/>
    <w:rsid w:val="00E43906"/>
    <w:rsid w:val="00E43987"/>
    <w:rsid w:val="00E43E63"/>
    <w:rsid w:val="00E43FD3"/>
    <w:rsid w:val="00E47303"/>
    <w:rsid w:val="00E529B5"/>
    <w:rsid w:val="00E5315E"/>
    <w:rsid w:val="00E53B02"/>
    <w:rsid w:val="00E55191"/>
    <w:rsid w:val="00E55401"/>
    <w:rsid w:val="00E560B9"/>
    <w:rsid w:val="00E56322"/>
    <w:rsid w:val="00E5673D"/>
    <w:rsid w:val="00E56EC5"/>
    <w:rsid w:val="00E60982"/>
    <w:rsid w:val="00E62C62"/>
    <w:rsid w:val="00E64B91"/>
    <w:rsid w:val="00E654C1"/>
    <w:rsid w:val="00E659BF"/>
    <w:rsid w:val="00E65D97"/>
    <w:rsid w:val="00E65EAA"/>
    <w:rsid w:val="00E66546"/>
    <w:rsid w:val="00E67B44"/>
    <w:rsid w:val="00E67F89"/>
    <w:rsid w:val="00E708BE"/>
    <w:rsid w:val="00E72A5A"/>
    <w:rsid w:val="00E73354"/>
    <w:rsid w:val="00E74278"/>
    <w:rsid w:val="00E770BD"/>
    <w:rsid w:val="00E7737F"/>
    <w:rsid w:val="00E802FE"/>
    <w:rsid w:val="00E81AEA"/>
    <w:rsid w:val="00E83D83"/>
    <w:rsid w:val="00E84CEA"/>
    <w:rsid w:val="00E8590D"/>
    <w:rsid w:val="00E869CA"/>
    <w:rsid w:val="00E87B4E"/>
    <w:rsid w:val="00E92115"/>
    <w:rsid w:val="00E921B7"/>
    <w:rsid w:val="00E9242D"/>
    <w:rsid w:val="00E946EF"/>
    <w:rsid w:val="00E955E4"/>
    <w:rsid w:val="00E97EFC"/>
    <w:rsid w:val="00EA2723"/>
    <w:rsid w:val="00EA4419"/>
    <w:rsid w:val="00EA63E0"/>
    <w:rsid w:val="00EA6746"/>
    <w:rsid w:val="00EA7135"/>
    <w:rsid w:val="00EB04FC"/>
    <w:rsid w:val="00EB14CC"/>
    <w:rsid w:val="00EB2FF6"/>
    <w:rsid w:val="00EB3EAD"/>
    <w:rsid w:val="00EB474E"/>
    <w:rsid w:val="00EB4DA4"/>
    <w:rsid w:val="00EB50EE"/>
    <w:rsid w:val="00EB5255"/>
    <w:rsid w:val="00EB5C47"/>
    <w:rsid w:val="00EB5EF9"/>
    <w:rsid w:val="00EC0740"/>
    <w:rsid w:val="00EC0ABC"/>
    <w:rsid w:val="00EC0F82"/>
    <w:rsid w:val="00EC1416"/>
    <w:rsid w:val="00ED0545"/>
    <w:rsid w:val="00ED0639"/>
    <w:rsid w:val="00ED0D11"/>
    <w:rsid w:val="00ED1649"/>
    <w:rsid w:val="00ED43BF"/>
    <w:rsid w:val="00ED5769"/>
    <w:rsid w:val="00EE1F68"/>
    <w:rsid w:val="00EE31C0"/>
    <w:rsid w:val="00EE4C4B"/>
    <w:rsid w:val="00EE5A9D"/>
    <w:rsid w:val="00EF3F03"/>
    <w:rsid w:val="00EF4755"/>
    <w:rsid w:val="00EF6175"/>
    <w:rsid w:val="00EF7135"/>
    <w:rsid w:val="00F00379"/>
    <w:rsid w:val="00F01F64"/>
    <w:rsid w:val="00F024EB"/>
    <w:rsid w:val="00F027DB"/>
    <w:rsid w:val="00F03F0E"/>
    <w:rsid w:val="00F0417F"/>
    <w:rsid w:val="00F047CE"/>
    <w:rsid w:val="00F04BAC"/>
    <w:rsid w:val="00F04C6F"/>
    <w:rsid w:val="00F05B60"/>
    <w:rsid w:val="00F05F93"/>
    <w:rsid w:val="00F06195"/>
    <w:rsid w:val="00F11FA7"/>
    <w:rsid w:val="00F1245A"/>
    <w:rsid w:val="00F12642"/>
    <w:rsid w:val="00F12D9D"/>
    <w:rsid w:val="00F14A7A"/>
    <w:rsid w:val="00F16AC0"/>
    <w:rsid w:val="00F16E92"/>
    <w:rsid w:val="00F2171F"/>
    <w:rsid w:val="00F22358"/>
    <w:rsid w:val="00F22985"/>
    <w:rsid w:val="00F232E1"/>
    <w:rsid w:val="00F243FA"/>
    <w:rsid w:val="00F253DC"/>
    <w:rsid w:val="00F27441"/>
    <w:rsid w:val="00F306AF"/>
    <w:rsid w:val="00F30A9E"/>
    <w:rsid w:val="00F310BA"/>
    <w:rsid w:val="00F333D3"/>
    <w:rsid w:val="00F3383E"/>
    <w:rsid w:val="00F33FB5"/>
    <w:rsid w:val="00F34D5F"/>
    <w:rsid w:val="00F35F69"/>
    <w:rsid w:val="00F36532"/>
    <w:rsid w:val="00F36E3B"/>
    <w:rsid w:val="00F37992"/>
    <w:rsid w:val="00F37FAE"/>
    <w:rsid w:val="00F403D6"/>
    <w:rsid w:val="00F40A1E"/>
    <w:rsid w:val="00F415D5"/>
    <w:rsid w:val="00F41A21"/>
    <w:rsid w:val="00F41F67"/>
    <w:rsid w:val="00F42644"/>
    <w:rsid w:val="00F43D78"/>
    <w:rsid w:val="00F45B8D"/>
    <w:rsid w:val="00F465A7"/>
    <w:rsid w:val="00F50919"/>
    <w:rsid w:val="00F50B7C"/>
    <w:rsid w:val="00F50C66"/>
    <w:rsid w:val="00F527F9"/>
    <w:rsid w:val="00F550E6"/>
    <w:rsid w:val="00F55E4C"/>
    <w:rsid w:val="00F572F8"/>
    <w:rsid w:val="00F57677"/>
    <w:rsid w:val="00F57BBE"/>
    <w:rsid w:val="00F62119"/>
    <w:rsid w:val="00F62D4F"/>
    <w:rsid w:val="00F63018"/>
    <w:rsid w:val="00F63B73"/>
    <w:rsid w:val="00F6609A"/>
    <w:rsid w:val="00F66DCF"/>
    <w:rsid w:val="00F67B56"/>
    <w:rsid w:val="00F73E62"/>
    <w:rsid w:val="00F74345"/>
    <w:rsid w:val="00F74A1F"/>
    <w:rsid w:val="00F7572E"/>
    <w:rsid w:val="00F769E3"/>
    <w:rsid w:val="00F76B60"/>
    <w:rsid w:val="00F76B8A"/>
    <w:rsid w:val="00F77244"/>
    <w:rsid w:val="00F80696"/>
    <w:rsid w:val="00F80A0A"/>
    <w:rsid w:val="00F822D2"/>
    <w:rsid w:val="00F82B19"/>
    <w:rsid w:val="00F842EE"/>
    <w:rsid w:val="00F87382"/>
    <w:rsid w:val="00F90867"/>
    <w:rsid w:val="00F9212D"/>
    <w:rsid w:val="00F92B99"/>
    <w:rsid w:val="00F9357B"/>
    <w:rsid w:val="00F94073"/>
    <w:rsid w:val="00F954E9"/>
    <w:rsid w:val="00F965DA"/>
    <w:rsid w:val="00FA1FBE"/>
    <w:rsid w:val="00FA406A"/>
    <w:rsid w:val="00FA4472"/>
    <w:rsid w:val="00FB23F3"/>
    <w:rsid w:val="00FB4E28"/>
    <w:rsid w:val="00FB503A"/>
    <w:rsid w:val="00FB516C"/>
    <w:rsid w:val="00FB5C5A"/>
    <w:rsid w:val="00FB6E24"/>
    <w:rsid w:val="00FC08B4"/>
    <w:rsid w:val="00FC18F8"/>
    <w:rsid w:val="00FC1E48"/>
    <w:rsid w:val="00FC2BB1"/>
    <w:rsid w:val="00FC5C6A"/>
    <w:rsid w:val="00FC5F4F"/>
    <w:rsid w:val="00FC6974"/>
    <w:rsid w:val="00FD0236"/>
    <w:rsid w:val="00FD0436"/>
    <w:rsid w:val="00FD18F4"/>
    <w:rsid w:val="00FD2541"/>
    <w:rsid w:val="00FD2A71"/>
    <w:rsid w:val="00FD4181"/>
    <w:rsid w:val="00FD4660"/>
    <w:rsid w:val="00FD54DB"/>
    <w:rsid w:val="00FD5658"/>
    <w:rsid w:val="00FD5F4E"/>
    <w:rsid w:val="00FD619F"/>
    <w:rsid w:val="00FD6B87"/>
    <w:rsid w:val="00FD7609"/>
    <w:rsid w:val="00FE13B2"/>
    <w:rsid w:val="00FE17E0"/>
    <w:rsid w:val="00FE19F3"/>
    <w:rsid w:val="00FE1A05"/>
    <w:rsid w:val="00FE2250"/>
    <w:rsid w:val="00FE268E"/>
    <w:rsid w:val="00FE3972"/>
    <w:rsid w:val="00FE48AF"/>
    <w:rsid w:val="00FF0FCB"/>
    <w:rsid w:val="00FF17BF"/>
    <w:rsid w:val="00FF35E6"/>
    <w:rsid w:val="00FF56BA"/>
    <w:rsid w:val="00FF5A16"/>
    <w:rsid w:val="00FF6770"/>
    <w:rsid w:val="00FF7F16"/>
    <w:rsid w:val="01086226"/>
    <w:rsid w:val="01143FA6"/>
    <w:rsid w:val="011A24F4"/>
    <w:rsid w:val="011D776D"/>
    <w:rsid w:val="011D7C32"/>
    <w:rsid w:val="01260E98"/>
    <w:rsid w:val="012713B9"/>
    <w:rsid w:val="01274366"/>
    <w:rsid w:val="01290F7E"/>
    <w:rsid w:val="012A3158"/>
    <w:rsid w:val="012B64AF"/>
    <w:rsid w:val="012D0479"/>
    <w:rsid w:val="012D1688"/>
    <w:rsid w:val="0132783D"/>
    <w:rsid w:val="0133236C"/>
    <w:rsid w:val="0136732D"/>
    <w:rsid w:val="013A2EFC"/>
    <w:rsid w:val="01415CD2"/>
    <w:rsid w:val="014348D1"/>
    <w:rsid w:val="0144326F"/>
    <w:rsid w:val="014A4B87"/>
    <w:rsid w:val="014F03EF"/>
    <w:rsid w:val="015D1E09"/>
    <w:rsid w:val="015E4AD6"/>
    <w:rsid w:val="015E6884"/>
    <w:rsid w:val="016043AA"/>
    <w:rsid w:val="016C6B4C"/>
    <w:rsid w:val="01761E20"/>
    <w:rsid w:val="0179546C"/>
    <w:rsid w:val="017D31AE"/>
    <w:rsid w:val="017E2A82"/>
    <w:rsid w:val="01814321"/>
    <w:rsid w:val="018207C5"/>
    <w:rsid w:val="01852063"/>
    <w:rsid w:val="019226D6"/>
    <w:rsid w:val="01936244"/>
    <w:rsid w:val="01944054"/>
    <w:rsid w:val="01985A37"/>
    <w:rsid w:val="01995B0E"/>
    <w:rsid w:val="01A00C4B"/>
    <w:rsid w:val="01A360D3"/>
    <w:rsid w:val="01B34E22"/>
    <w:rsid w:val="01B666C0"/>
    <w:rsid w:val="01BB7833"/>
    <w:rsid w:val="01BE5F09"/>
    <w:rsid w:val="01C50727"/>
    <w:rsid w:val="01C52A11"/>
    <w:rsid w:val="01D9415D"/>
    <w:rsid w:val="01E0373D"/>
    <w:rsid w:val="01FE6787"/>
    <w:rsid w:val="02071A30"/>
    <w:rsid w:val="020967F0"/>
    <w:rsid w:val="020C4532"/>
    <w:rsid w:val="02114B2A"/>
    <w:rsid w:val="021A218F"/>
    <w:rsid w:val="021A27AB"/>
    <w:rsid w:val="021D229B"/>
    <w:rsid w:val="021D673F"/>
    <w:rsid w:val="021F4265"/>
    <w:rsid w:val="021F6013"/>
    <w:rsid w:val="02203B3A"/>
    <w:rsid w:val="0224187C"/>
    <w:rsid w:val="02274EC8"/>
    <w:rsid w:val="022879CA"/>
    <w:rsid w:val="022A6766"/>
    <w:rsid w:val="022C5CC0"/>
    <w:rsid w:val="022E6257"/>
    <w:rsid w:val="02301FCF"/>
    <w:rsid w:val="02303DEE"/>
    <w:rsid w:val="02313F99"/>
    <w:rsid w:val="023850EC"/>
    <w:rsid w:val="023D0B8F"/>
    <w:rsid w:val="023F60E1"/>
    <w:rsid w:val="02445A7A"/>
    <w:rsid w:val="024617F2"/>
    <w:rsid w:val="024912E2"/>
    <w:rsid w:val="02493090"/>
    <w:rsid w:val="024A0BB7"/>
    <w:rsid w:val="0256755B"/>
    <w:rsid w:val="025C6BCE"/>
    <w:rsid w:val="025D4D8E"/>
    <w:rsid w:val="02671768"/>
    <w:rsid w:val="02685C0C"/>
    <w:rsid w:val="02697903"/>
    <w:rsid w:val="02714395"/>
    <w:rsid w:val="027F5728"/>
    <w:rsid w:val="02832A46"/>
    <w:rsid w:val="02833A62"/>
    <w:rsid w:val="02873BB9"/>
    <w:rsid w:val="028B5457"/>
    <w:rsid w:val="02904A7F"/>
    <w:rsid w:val="0297204E"/>
    <w:rsid w:val="02A66735"/>
    <w:rsid w:val="02A824AD"/>
    <w:rsid w:val="02B139D7"/>
    <w:rsid w:val="02B250DA"/>
    <w:rsid w:val="02B26E88"/>
    <w:rsid w:val="02B54AC7"/>
    <w:rsid w:val="02B56978"/>
    <w:rsid w:val="02BD516E"/>
    <w:rsid w:val="02C40969"/>
    <w:rsid w:val="02D908B8"/>
    <w:rsid w:val="02DF57A3"/>
    <w:rsid w:val="02E53AD5"/>
    <w:rsid w:val="02E84657"/>
    <w:rsid w:val="02E90591"/>
    <w:rsid w:val="02ED7EC0"/>
    <w:rsid w:val="02F44DEC"/>
    <w:rsid w:val="02F50D93"/>
    <w:rsid w:val="02F96569"/>
    <w:rsid w:val="0301396B"/>
    <w:rsid w:val="030804F8"/>
    <w:rsid w:val="03157416"/>
    <w:rsid w:val="031C2553"/>
    <w:rsid w:val="031E62CB"/>
    <w:rsid w:val="031F4D0D"/>
    <w:rsid w:val="032840DE"/>
    <w:rsid w:val="03321D76"/>
    <w:rsid w:val="033479E0"/>
    <w:rsid w:val="03372A1A"/>
    <w:rsid w:val="0337738D"/>
    <w:rsid w:val="03385BCF"/>
    <w:rsid w:val="033E696D"/>
    <w:rsid w:val="03443858"/>
    <w:rsid w:val="0350044F"/>
    <w:rsid w:val="035148F2"/>
    <w:rsid w:val="0355120F"/>
    <w:rsid w:val="03577A2F"/>
    <w:rsid w:val="035F61C3"/>
    <w:rsid w:val="03675EC4"/>
    <w:rsid w:val="0368419B"/>
    <w:rsid w:val="037B196F"/>
    <w:rsid w:val="037E6D6A"/>
    <w:rsid w:val="03800D34"/>
    <w:rsid w:val="038246AA"/>
    <w:rsid w:val="03830824"/>
    <w:rsid w:val="03870314"/>
    <w:rsid w:val="03887F63"/>
    <w:rsid w:val="038A3960"/>
    <w:rsid w:val="038F71C9"/>
    <w:rsid w:val="03936CB9"/>
    <w:rsid w:val="03942A31"/>
    <w:rsid w:val="039E565E"/>
    <w:rsid w:val="03A5079A"/>
    <w:rsid w:val="03A657CE"/>
    <w:rsid w:val="03AF786B"/>
    <w:rsid w:val="03B347FE"/>
    <w:rsid w:val="03B37329"/>
    <w:rsid w:val="03B46C2F"/>
    <w:rsid w:val="03B649A7"/>
    <w:rsid w:val="03B804CE"/>
    <w:rsid w:val="03B92498"/>
    <w:rsid w:val="03BB7FBE"/>
    <w:rsid w:val="03BD3713"/>
    <w:rsid w:val="03C33B08"/>
    <w:rsid w:val="03C84489"/>
    <w:rsid w:val="03CC4429"/>
    <w:rsid w:val="03CF2C34"/>
    <w:rsid w:val="03D746CC"/>
    <w:rsid w:val="03D83F0C"/>
    <w:rsid w:val="03DD6186"/>
    <w:rsid w:val="03E33071"/>
    <w:rsid w:val="03E72B61"/>
    <w:rsid w:val="03E94B2B"/>
    <w:rsid w:val="03EA7B21"/>
    <w:rsid w:val="03EF5EB9"/>
    <w:rsid w:val="040840C4"/>
    <w:rsid w:val="040C25C7"/>
    <w:rsid w:val="041D6583"/>
    <w:rsid w:val="042518DB"/>
    <w:rsid w:val="04283AB7"/>
    <w:rsid w:val="042F62B6"/>
    <w:rsid w:val="0431202E"/>
    <w:rsid w:val="043250D3"/>
    <w:rsid w:val="04351B1E"/>
    <w:rsid w:val="043D6C25"/>
    <w:rsid w:val="043D6D35"/>
    <w:rsid w:val="04455AD9"/>
    <w:rsid w:val="044A30F0"/>
    <w:rsid w:val="045126D0"/>
    <w:rsid w:val="04567CE7"/>
    <w:rsid w:val="04583A5F"/>
    <w:rsid w:val="045A77D7"/>
    <w:rsid w:val="045B70AB"/>
    <w:rsid w:val="045F4DED"/>
    <w:rsid w:val="04686C11"/>
    <w:rsid w:val="047D5273"/>
    <w:rsid w:val="048145AB"/>
    <w:rsid w:val="04820D7A"/>
    <w:rsid w:val="048905D2"/>
    <w:rsid w:val="04904FA7"/>
    <w:rsid w:val="049147DC"/>
    <w:rsid w:val="04945585"/>
    <w:rsid w:val="04A230A0"/>
    <w:rsid w:val="04A84713"/>
    <w:rsid w:val="04AE7B23"/>
    <w:rsid w:val="04B66685"/>
    <w:rsid w:val="04B70785"/>
    <w:rsid w:val="04C42EA2"/>
    <w:rsid w:val="04C45EB6"/>
    <w:rsid w:val="04CA41B3"/>
    <w:rsid w:val="04D72BD5"/>
    <w:rsid w:val="04D806FC"/>
    <w:rsid w:val="04D8694E"/>
    <w:rsid w:val="04E62E18"/>
    <w:rsid w:val="04EB042F"/>
    <w:rsid w:val="04EC6A88"/>
    <w:rsid w:val="04F14FB2"/>
    <w:rsid w:val="04F150BA"/>
    <w:rsid w:val="04F574FF"/>
    <w:rsid w:val="04F91D9E"/>
    <w:rsid w:val="04FC6AE0"/>
    <w:rsid w:val="05015EA4"/>
    <w:rsid w:val="0506170D"/>
    <w:rsid w:val="051931EE"/>
    <w:rsid w:val="051A0D14"/>
    <w:rsid w:val="05227399"/>
    <w:rsid w:val="052878D5"/>
    <w:rsid w:val="052971A9"/>
    <w:rsid w:val="052D4EEB"/>
    <w:rsid w:val="052E3625"/>
    <w:rsid w:val="0530678A"/>
    <w:rsid w:val="053209CF"/>
    <w:rsid w:val="0537782A"/>
    <w:rsid w:val="053973EC"/>
    <w:rsid w:val="05397A35"/>
    <w:rsid w:val="05401E88"/>
    <w:rsid w:val="05461B09"/>
    <w:rsid w:val="054B711F"/>
    <w:rsid w:val="05531E27"/>
    <w:rsid w:val="05536591"/>
    <w:rsid w:val="05573D16"/>
    <w:rsid w:val="055C30DB"/>
    <w:rsid w:val="05600380"/>
    <w:rsid w:val="05665D07"/>
    <w:rsid w:val="05670315"/>
    <w:rsid w:val="057E12A3"/>
    <w:rsid w:val="057F3ADE"/>
    <w:rsid w:val="057F6DC9"/>
    <w:rsid w:val="05832D5D"/>
    <w:rsid w:val="058D14E6"/>
    <w:rsid w:val="058E3274"/>
    <w:rsid w:val="05900FD6"/>
    <w:rsid w:val="0591547A"/>
    <w:rsid w:val="05A0083B"/>
    <w:rsid w:val="05A01219"/>
    <w:rsid w:val="05A30D0A"/>
    <w:rsid w:val="05AA02EA"/>
    <w:rsid w:val="05AF3B52"/>
    <w:rsid w:val="05B5606C"/>
    <w:rsid w:val="05B75ACF"/>
    <w:rsid w:val="05B9052D"/>
    <w:rsid w:val="05BF7630"/>
    <w:rsid w:val="05C375FE"/>
    <w:rsid w:val="05C52B50"/>
    <w:rsid w:val="05C70E9C"/>
    <w:rsid w:val="05C72C4A"/>
    <w:rsid w:val="05CA44E8"/>
    <w:rsid w:val="05CC418C"/>
    <w:rsid w:val="05EC445F"/>
    <w:rsid w:val="05F35BC3"/>
    <w:rsid w:val="05F6352F"/>
    <w:rsid w:val="05F83EAE"/>
    <w:rsid w:val="05FC5E48"/>
    <w:rsid w:val="06053772"/>
    <w:rsid w:val="06147E59"/>
    <w:rsid w:val="06155ADD"/>
    <w:rsid w:val="0627193B"/>
    <w:rsid w:val="062736E9"/>
    <w:rsid w:val="062A4F87"/>
    <w:rsid w:val="062E2CC9"/>
    <w:rsid w:val="062F6A41"/>
    <w:rsid w:val="06365385"/>
    <w:rsid w:val="063876A4"/>
    <w:rsid w:val="063D4CBA"/>
    <w:rsid w:val="063E7D85"/>
    <w:rsid w:val="06440B61"/>
    <w:rsid w:val="06640499"/>
    <w:rsid w:val="066E7569"/>
    <w:rsid w:val="066F7662"/>
    <w:rsid w:val="067C0D17"/>
    <w:rsid w:val="067D3DF4"/>
    <w:rsid w:val="067D77AC"/>
    <w:rsid w:val="0686515B"/>
    <w:rsid w:val="068943A3"/>
    <w:rsid w:val="06937C84"/>
    <w:rsid w:val="069A035E"/>
    <w:rsid w:val="069C40D7"/>
    <w:rsid w:val="069E3612"/>
    <w:rsid w:val="06AE7966"/>
    <w:rsid w:val="06B156A8"/>
    <w:rsid w:val="06B331CE"/>
    <w:rsid w:val="06B74CA3"/>
    <w:rsid w:val="06B807E5"/>
    <w:rsid w:val="06BA1E3A"/>
    <w:rsid w:val="06CA7C1C"/>
    <w:rsid w:val="06CB0518"/>
    <w:rsid w:val="06DD649D"/>
    <w:rsid w:val="06EC1ACF"/>
    <w:rsid w:val="06ED715D"/>
    <w:rsid w:val="06F222AC"/>
    <w:rsid w:val="070954E4"/>
    <w:rsid w:val="071A5FC4"/>
    <w:rsid w:val="07226B17"/>
    <w:rsid w:val="072365A6"/>
    <w:rsid w:val="072916E2"/>
    <w:rsid w:val="07293586"/>
    <w:rsid w:val="07295285"/>
    <w:rsid w:val="072E0AA7"/>
    <w:rsid w:val="073440EF"/>
    <w:rsid w:val="07375BAD"/>
    <w:rsid w:val="073C1416"/>
    <w:rsid w:val="074A1D85"/>
    <w:rsid w:val="07524795"/>
    <w:rsid w:val="075449B1"/>
    <w:rsid w:val="075524D7"/>
    <w:rsid w:val="0759347C"/>
    <w:rsid w:val="07630B17"/>
    <w:rsid w:val="07636392"/>
    <w:rsid w:val="07646F78"/>
    <w:rsid w:val="07723089"/>
    <w:rsid w:val="07736352"/>
    <w:rsid w:val="07754928"/>
    <w:rsid w:val="07770C56"/>
    <w:rsid w:val="077E558A"/>
    <w:rsid w:val="077F4912"/>
    <w:rsid w:val="07822663"/>
    <w:rsid w:val="07832BA1"/>
    <w:rsid w:val="07862691"/>
    <w:rsid w:val="07896BC3"/>
    <w:rsid w:val="078A24C4"/>
    <w:rsid w:val="078D3A1F"/>
    <w:rsid w:val="07944DAE"/>
    <w:rsid w:val="07955D9E"/>
    <w:rsid w:val="079777A2"/>
    <w:rsid w:val="07A62D33"/>
    <w:rsid w:val="07AC659B"/>
    <w:rsid w:val="07AD2313"/>
    <w:rsid w:val="07B40512"/>
    <w:rsid w:val="07B436A2"/>
    <w:rsid w:val="07B471FE"/>
    <w:rsid w:val="07BC23D9"/>
    <w:rsid w:val="07C17B6D"/>
    <w:rsid w:val="07C80297"/>
    <w:rsid w:val="07CB1A68"/>
    <w:rsid w:val="07CB4548"/>
    <w:rsid w:val="07CD206E"/>
    <w:rsid w:val="07D94EB6"/>
    <w:rsid w:val="07DB478B"/>
    <w:rsid w:val="07E86EA8"/>
    <w:rsid w:val="07EC781F"/>
    <w:rsid w:val="07ED2710"/>
    <w:rsid w:val="07F13FAE"/>
    <w:rsid w:val="07F7533D"/>
    <w:rsid w:val="08053EFD"/>
    <w:rsid w:val="08057A5A"/>
    <w:rsid w:val="08093028"/>
    <w:rsid w:val="080B2B96"/>
    <w:rsid w:val="08195153"/>
    <w:rsid w:val="081C3CD6"/>
    <w:rsid w:val="081C6265"/>
    <w:rsid w:val="0822060B"/>
    <w:rsid w:val="08233672"/>
    <w:rsid w:val="0823694C"/>
    <w:rsid w:val="082D6FB0"/>
    <w:rsid w:val="08332819"/>
    <w:rsid w:val="083E4D1A"/>
    <w:rsid w:val="084E7652"/>
    <w:rsid w:val="0858227F"/>
    <w:rsid w:val="08591B53"/>
    <w:rsid w:val="085E11B3"/>
    <w:rsid w:val="08601134"/>
    <w:rsid w:val="0860449C"/>
    <w:rsid w:val="086504F8"/>
    <w:rsid w:val="086C1449"/>
    <w:rsid w:val="086F1377"/>
    <w:rsid w:val="08702052"/>
    <w:rsid w:val="0870581B"/>
    <w:rsid w:val="08732C15"/>
    <w:rsid w:val="087B41C0"/>
    <w:rsid w:val="087B5F6E"/>
    <w:rsid w:val="087D1CE6"/>
    <w:rsid w:val="088C3CD7"/>
    <w:rsid w:val="088E1AB2"/>
    <w:rsid w:val="088F5575"/>
    <w:rsid w:val="08907C6B"/>
    <w:rsid w:val="08921E93"/>
    <w:rsid w:val="089332B7"/>
    <w:rsid w:val="089B22C1"/>
    <w:rsid w:val="08AB6853"/>
    <w:rsid w:val="08AF5C17"/>
    <w:rsid w:val="08B0326E"/>
    <w:rsid w:val="08B66FA6"/>
    <w:rsid w:val="08B84ACC"/>
    <w:rsid w:val="08BF5E5A"/>
    <w:rsid w:val="08CA3313"/>
    <w:rsid w:val="08CC67C9"/>
    <w:rsid w:val="08E12275"/>
    <w:rsid w:val="08F01D61"/>
    <w:rsid w:val="08F7211E"/>
    <w:rsid w:val="08F74012"/>
    <w:rsid w:val="090174FF"/>
    <w:rsid w:val="0902043D"/>
    <w:rsid w:val="09045F63"/>
    <w:rsid w:val="09061CDB"/>
    <w:rsid w:val="09071FE5"/>
    <w:rsid w:val="090E228E"/>
    <w:rsid w:val="09106CA4"/>
    <w:rsid w:val="091A7535"/>
    <w:rsid w:val="092217DD"/>
    <w:rsid w:val="09297778"/>
    <w:rsid w:val="092A67FA"/>
    <w:rsid w:val="093A7294"/>
    <w:rsid w:val="094665CF"/>
    <w:rsid w:val="09570789"/>
    <w:rsid w:val="095A3DD5"/>
    <w:rsid w:val="09673381"/>
    <w:rsid w:val="096864F2"/>
    <w:rsid w:val="096B4234"/>
    <w:rsid w:val="0983332C"/>
    <w:rsid w:val="098826F0"/>
    <w:rsid w:val="098A46BA"/>
    <w:rsid w:val="0992531D"/>
    <w:rsid w:val="099A0675"/>
    <w:rsid w:val="099C619C"/>
    <w:rsid w:val="099E3CC2"/>
    <w:rsid w:val="09A03FBD"/>
    <w:rsid w:val="09A3752A"/>
    <w:rsid w:val="09A6526C"/>
    <w:rsid w:val="09A84B40"/>
    <w:rsid w:val="09AD65FB"/>
    <w:rsid w:val="09AF2373"/>
    <w:rsid w:val="09B01C47"/>
    <w:rsid w:val="09B07E99"/>
    <w:rsid w:val="09B1488E"/>
    <w:rsid w:val="09B63701"/>
    <w:rsid w:val="09BF7784"/>
    <w:rsid w:val="09C37BCC"/>
    <w:rsid w:val="09CD27F9"/>
    <w:rsid w:val="09CF031F"/>
    <w:rsid w:val="09CF47C3"/>
    <w:rsid w:val="09D973F0"/>
    <w:rsid w:val="09EE4F77"/>
    <w:rsid w:val="09EF09C1"/>
    <w:rsid w:val="09EF7004"/>
    <w:rsid w:val="09F75AC8"/>
    <w:rsid w:val="09F85376"/>
    <w:rsid w:val="09FC30DE"/>
    <w:rsid w:val="09FE29B2"/>
    <w:rsid w:val="0A083831"/>
    <w:rsid w:val="0A0A75A9"/>
    <w:rsid w:val="0A0C1573"/>
    <w:rsid w:val="0A116B8A"/>
    <w:rsid w:val="0A140428"/>
    <w:rsid w:val="0A195594"/>
    <w:rsid w:val="0A195A3E"/>
    <w:rsid w:val="0A1D1456"/>
    <w:rsid w:val="0A263993"/>
    <w:rsid w:val="0A2763AD"/>
    <w:rsid w:val="0A294435"/>
    <w:rsid w:val="0A2C39C3"/>
    <w:rsid w:val="0A2D14EA"/>
    <w:rsid w:val="0A2D3298"/>
    <w:rsid w:val="0A2D3AC2"/>
    <w:rsid w:val="0A334F0C"/>
    <w:rsid w:val="0A3B3C06"/>
    <w:rsid w:val="0A3E54A5"/>
    <w:rsid w:val="0A3F60BE"/>
    <w:rsid w:val="0A410AF1"/>
    <w:rsid w:val="0A4A0473"/>
    <w:rsid w:val="0A5151D8"/>
    <w:rsid w:val="0A530D95"/>
    <w:rsid w:val="0A56459C"/>
    <w:rsid w:val="0A581BBB"/>
    <w:rsid w:val="0A5C662C"/>
    <w:rsid w:val="0A653A1E"/>
    <w:rsid w:val="0A682522"/>
    <w:rsid w:val="0A6A44EC"/>
    <w:rsid w:val="0A71587A"/>
    <w:rsid w:val="0A762E91"/>
    <w:rsid w:val="0A7809B7"/>
    <w:rsid w:val="0A7A1E72"/>
    <w:rsid w:val="0A86714B"/>
    <w:rsid w:val="0A8B5655"/>
    <w:rsid w:val="0A981A48"/>
    <w:rsid w:val="0A9926DB"/>
    <w:rsid w:val="0A9D666F"/>
    <w:rsid w:val="0AA51080"/>
    <w:rsid w:val="0AA755DF"/>
    <w:rsid w:val="0AAB0D8C"/>
    <w:rsid w:val="0AAE7EC9"/>
    <w:rsid w:val="0ABD33E4"/>
    <w:rsid w:val="0AC0410C"/>
    <w:rsid w:val="0AC82137"/>
    <w:rsid w:val="0ACB2C64"/>
    <w:rsid w:val="0ACE05D7"/>
    <w:rsid w:val="0AD57BB7"/>
    <w:rsid w:val="0AD615F2"/>
    <w:rsid w:val="0AD83203"/>
    <w:rsid w:val="0ADF27E4"/>
    <w:rsid w:val="0AE222D4"/>
    <w:rsid w:val="0AE72FE7"/>
    <w:rsid w:val="0AE80350"/>
    <w:rsid w:val="0AE83AC1"/>
    <w:rsid w:val="0AEA4236"/>
    <w:rsid w:val="0AF02C43"/>
    <w:rsid w:val="0AF049F1"/>
    <w:rsid w:val="0AF50259"/>
    <w:rsid w:val="0AF67B2D"/>
    <w:rsid w:val="0AFB5144"/>
    <w:rsid w:val="0B04049C"/>
    <w:rsid w:val="0B057D70"/>
    <w:rsid w:val="0B0B16BC"/>
    <w:rsid w:val="0B112BB9"/>
    <w:rsid w:val="0B120D44"/>
    <w:rsid w:val="0B164C69"/>
    <w:rsid w:val="0B1858F7"/>
    <w:rsid w:val="0B1A381C"/>
    <w:rsid w:val="0B1D5849"/>
    <w:rsid w:val="0B1F0E32"/>
    <w:rsid w:val="0B224DC6"/>
    <w:rsid w:val="0B274E1A"/>
    <w:rsid w:val="0B280BE4"/>
    <w:rsid w:val="0B297E13"/>
    <w:rsid w:val="0B2B77D7"/>
    <w:rsid w:val="0B2F68B0"/>
    <w:rsid w:val="0B310B66"/>
    <w:rsid w:val="0B330D82"/>
    <w:rsid w:val="0B332B30"/>
    <w:rsid w:val="0B367EA3"/>
    <w:rsid w:val="0B3806D8"/>
    <w:rsid w:val="0B3A2110"/>
    <w:rsid w:val="0B3C19E4"/>
    <w:rsid w:val="0B3F5EA6"/>
    <w:rsid w:val="0B5331D2"/>
    <w:rsid w:val="0B5807E8"/>
    <w:rsid w:val="0B6727D9"/>
    <w:rsid w:val="0B682460"/>
    <w:rsid w:val="0B6D4294"/>
    <w:rsid w:val="0B7218AA"/>
    <w:rsid w:val="0B786794"/>
    <w:rsid w:val="0B7C44D7"/>
    <w:rsid w:val="0B8213C1"/>
    <w:rsid w:val="0B837613"/>
    <w:rsid w:val="0B88018B"/>
    <w:rsid w:val="0B8C3FEE"/>
    <w:rsid w:val="0B901D30"/>
    <w:rsid w:val="0B98759A"/>
    <w:rsid w:val="0BA94BA0"/>
    <w:rsid w:val="0BB301EB"/>
    <w:rsid w:val="0BB378AE"/>
    <w:rsid w:val="0BB41AAC"/>
    <w:rsid w:val="0BB91287"/>
    <w:rsid w:val="0BBC48D3"/>
    <w:rsid w:val="0BBE689D"/>
    <w:rsid w:val="0BBF43C3"/>
    <w:rsid w:val="0BC1638D"/>
    <w:rsid w:val="0BC856E1"/>
    <w:rsid w:val="0BCA038C"/>
    <w:rsid w:val="0BD27BF6"/>
    <w:rsid w:val="0BD53587"/>
    <w:rsid w:val="0BDE0488"/>
    <w:rsid w:val="0BE204A4"/>
    <w:rsid w:val="0BE20898"/>
    <w:rsid w:val="0BE400E2"/>
    <w:rsid w:val="0BE502CE"/>
    <w:rsid w:val="0BF16E09"/>
    <w:rsid w:val="0BFA364D"/>
    <w:rsid w:val="0BFC5617"/>
    <w:rsid w:val="0BFE313E"/>
    <w:rsid w:val="0C036F6A"/>
    <w:rsid w:val="0C0D3381"/>
    <w:rsid w:val="0C122745"/>
    <w:rsid w:val="0C1666D9"/>
    <w:rsid w:val="0C1C35C4"/>
    <w:rsid w:val="0C230DF6"/>
    <w:rsid w:val="0C2C7CAB"/>
    <w:rsid w:val="0C3B3C7D"/>
    <w:rsid w:val="0C455357"/>
    <w:rsid w:val="0C476893"/>
    <w:rsid w:val="0C4843B9"/>
    <w:rsid w:val="0C510C86"/>
    <w:rsid w:val="0C55225F"/>
    <w:rsid w:val="0C552837"/>
    <w:rsid w:val="0C5776CA"/>
    <w:rsid w:val="0C5C307C"/>
    <w:rsid w:val="0C6236CC"/>
    <w:rsid w:val="0C656D19"/>
    <w:rsid w:val="0C6805B7"/>
    <w:rsid w:val="0C6C454B"/>
    <w:rsid w:val="0C6C794B"/>
    <w:rsid w:val="0C7156BE"/>
    <w:rsid w:val="0C7457D7"/>
    <w:rsid w:val="0C760F26"/>
    <w:rsid w:val="0C790A16"/>
    <w:rsid w:val="0C7C27E0"/>
    <w:rsid w:val="0C811679"/>
    <w:rsid w:val="0C850626"/>
    <w:rsid w:val="0C8C66D4"/>
    <w:rsid w:val="0C8C699B"/>
    <w:rsid w:val="0C917B0E"/>
    <w:rsid w:val="0C922F73"/>
    <w:rsid w:val="0C9870EE"/>
    <w:rsid w:val="0C9B273A"/>
    <w:rsid w:val="0C9D09E4"/>
    <w:rsid w:val="0CA737D5"/>
    <w:rsid w:val="0CA912FB"/>
    <w:rsid w:val="0CA952AD"/>
    <w:rsid w:val="0CAA1ACF"/>
    <w:rsid w:val="0CAB2EAE"/>
    <w:rsid w:val="0CAE706F"/>
    <w:rsid w:val="0CB34126"/>
    <w:rsid w:val="0CB756CD"/>
    <w:rsid w:val="0CBA33A6"/>
    <w:rsid w:val="0CBB5C81"/>
    <w:rsid w:val="0CC42816"/>
    <w:rsid w:val="0CC46410"/>
    <w:rsid w:val="0CC91758"/>
    <w:rsid w:val="0CCE0D62"/>
    <w:rsid w:val="0CD619C5"/>
    <w:rsid w:val="0CDB114D"/>
    <w:rsid w:val="0CDD0FA5"/>
    <w:rsid w:val="0CDD47C2"/>
    <w:rsid w:val="0CDF06B3"/>
    <w:rsid w:val="0CE00A95"/>
    <w:rsid w:val="0CE26773"/>
    <w:rsid w:val="0CE916F8"/>
    <w:rsid w:val="0CEF0CD8"/>
    <w:rsid w:val="0CF84031"/>
    <w:rsid w:val="0CFD3324"/>
    <w:rsid w:val="0D044784"/>
    <w:rsid w:val="0D054058"/>
    <w:rsid w:val="0D08314F"/>
    <w:rsid w:val="0D136775"/>
    <w:rsid w:val="0D266A5F"/>
    <w:rsid w:val="0D352B8F"/>
    <w:rsid w:val="0D3C7267"/>
    <w:rsid w:val="0D442DD2"/>
    <w:rsid w:val="0D4508F8"/>
    <w:rsid w:val="0D466B4A"/>
    <w:rsid w:val="0D470F0A"/>
    <w:rsid w:val="0D474670"/>
    <w:rsid w:val="0D5C05DC"/>
    <w:rsid w:val="0D621C7D"/>
    <w:rsid w:val="0D65358D"/>
    <w:rsid w:val="0D662D48"/>
    <w:rsid w:val="0D68166A"/>
    <w:rsid w:val="0D755310"/>
    <w:rsid w:val="0D7F205C"/>
    <w:rsid w:val="0D892EDB"/>
    <w:rsid w:val="0D894C89"/>
    <w:rsid w:val="0D8B27AF"/>
    <w:rsid w:val="0D8E229F"/>
    <w:rsid w:val="0D927FE1"/>
    <w:rsid w:val="0D98567C"/>
    <w:rsid w:val="0DA16476"/>
    <w:rsid w:val="0DA33F9D"/>
    <w:rsid w:val="0DA46866"/>
    <w:rsid w:val="0DA63A8D"/>
    <w:rsid w:val="0DAF0B93"/>
    <w:rsid w:val="0DB241E0"/>
    <w:rsid w:val="0DB879BC"/>
    <w:rsid w:val="0DBB6A6A"/>
    <w:rsid w:val="0DBC0BBA"/>
    <w:rsid w:val="0DBD3B65"/>
    <w:rsid w:val="0DC47D51"/>
    <w:rsid w:val="0DC640C4"/>
    <w:rsid w:val="0DD26630"/>
    <w:rsid w:val="0DD405FA"/>
    <w:rsid w:val="0DD43EF9"/>
    <w:rsid w:val="0DD7011A"/>
    <w:rsid w:val="0DDD0653"/>
    <w:rsid w:val="0DDF2AFB"/>
    <w:rsid w:val="0DE93979"/>
    <w:rsid w:val="0DEA17FD"/>
    <w:rsid w:val="0DEC7090"/>
    <w:rsid w:val="0DF50570"/>
    <w:rsid w:val="0DFA7935"/>
    <w:rsid w:val="0DFF319D"/>
    <w:rsid w:val="0E042561"/>
    <w:rsid w:val="0E06452B"/>
    <w:rsid w:val="0E076497"/>
    <w:rsid w:val="0E173F54"/>
    <w:rsid w:val="0E18397B"/>
    <w:rsid w:val="0E1E1875"/>
    <w:rsid w:val="0E2826F4"/>
    <w:rsid w:val="0E2A646C"/>
    <w:rsid w:val="0E2D3866"/>
    <w:rsid w:val="0E311A39"/>
    <w:rsid w:val="0E320E7D"/>
    <w:rsid w:val="0E344BF5"/>
    <w:rsid w:val="0E40562A"/>
    <w:rsid w:val="0E462B7A"/>
    <w:rsid w:val="0E5139F9"/>
    <w:rsid w:val="0E5232CD"/>
    <w:rsid w:val="0E557EF6"/>
    <w:rsid w:val="0E6024AC"/>
    <w:rsid w:val="0E625C06"/>
    <w:rsid w:val="0E6426E6"/>
    <w:rsid w:val="0E6516A6"/>
    <w:rsid w:val="0E682AF0"/>
    <w:rsid w:val="0E6A32FB"/>
    <w:rsid w:val="0E73034D"/>
    <w:rsid w:val="0E744586"/>
    <w:rsid w:val="0E75350C"/>
    <w:rsid w:val="0E833DCE"/>
    <w:rsid w:val="0E8B3B08"/>
    <w:rsid w:val="0E903DF5"/>
    <w:rsid w:val="0E9D4E90"/>
    <w:rsid w:val="0E9F5201"/>
    <w:rsid w:val="0EA0330B"/>
    <w:rsid w:val="0EA7186A"/>
    <w:rsid w:val="0EAC0C2F"/>
    <w:rsid w:val="0EAF6971"/>
    <w:rsid w:val="0EB21FBD"/>
    <w:rsid w:val="0EBD5106"/>
    <w:rsid w:val="0EC00B7E"/>
    <w:rsid w:val="0EC57F43"/>
    <w:rsid w:val="0ED4462A"/>
    <w:rsid w:val="0ED463D8"/>
    <w:rsid w:val="0ED65CAC"/>
    <w:rsid w:val="0ED9140B"/>
    <w:rsid w:val="0EE20AF5"/>
    <w:rsid w:val="0EE52393"/>
    <w:rsid w:val="0EE75AB2"/>
    <w:rsid w:val="0EED5F3B"/>
    <w:rsid w:val="0EEE56EB"/>
    <w:rsid w:val="0EF10D38"/>
    <w:rsid w:val="0EFB72E6"/>
    <w:rsid w:val="0EFD7074"/>
    <w:rsid w:val="0EFF0B63"/>
    <w:rsid w:val="0F0071CD"/>
    <w:rsid w:val="0F026AA1"/>
    <w:rsid w:val="0F060199"/>
    <w:rsid w:val="0F13775A"/>
    <w:rsid w:val="0F152C78"/>
    <w:rsid w:val="0F182768"/>
    <w:rsid w:val="0F242EBB"/>
    <w:rsid w:val="0F3549A1"/>
    <w:rsid w:val="0F3A26DF"/>
    <w:rsid w:val="0F3E403A"/>
    <w:rsid w:val="0F433236"/>
    <w:rsid w:val="0F451083"/>
    <w:rsid w:val="0F4C41C0"/>
    <w:rsid w:val="0F4D6EB9"/>
    <w:rsid w:val="0F515C7A"/>
    <w:rsid w:val="0F580DB7"/>
    <w:rsid w:val="0F5F45FE"/>
    <w:rsid w:val="0F621C35"/>
    <w:rsid w:val="0F753717"/>
    <w:rsid w:val="0F783207"/>
    <w:rsid w:val="0F815DA9"/>
    <w:rsid w:val="0F8B118C"/>
    <w:rsid w:val="0F98738A"/>
    <w:rsid w:val="0F9A112B"/>
    <w:rsid w:val="0F9B3BF6"/>
    <w:rsid w:val="0F9C5147"/>
    <w:rsid w:val="0FA1450C"/>
    <w:rsid w:val="0FA30A51"/>
    <w:rsid w:val="0FA83AEC"/>
    <w:rsid w:val="0FA97864"/>
    <w:rsid w:val="0FAB538A"/>
    <w:rsid w:val="0FB00BF3"/>
    <w:rsid w:val="0FBC7598"/>
    <w:rsid w:val="0FC24482"/>
    <w:rsid w:val="0FC84B79"/>
    <w:rsid w:val="0FC87CEA"/>
    <w:rsid w:val="0FCB1589"/>
    <w:rsid w:val="0FD0094D"/>
    <w:rsid w:val="0FD42338"/>
    <w:rsid w:val="0FD436E2"/>
    <w:rsid w:val="0FDC19E8"/>
    <w:rsid w:val="0FDD12BC"/>
    <w:rsid w:val="0FDD7E3C"/>
    <w:rsid w:val="0FE25190"/>
    <w:rsid w:val="0FE4264A"/>
    <w:rsid w:val="0FE443F8"/>
    <w:rsid w:val="0FE8213B"/>
    <w:rsid w:val="0FED7751"/>
    <w:rsid w:val="0FFA3C1C"/>
    <w:rsid w:val="0FFC7173"/>
    <w:rsid w:val="10014FAA"/>
    <w:rsid w:val="100250BF"/>
    <w:rsid w:val="10043DF1"/>
    <w:rsid w:val="10072DFF"/>
    <w:rsid w:val="100827DD"/>
    <w:rsid w:val="100D75D5"/>
    <w:rsid w:val="101C1DE4"/>
    <w:rsid w:val="101E000C"/>
    <w:rsid w:val="101E3DAE"/>
    <w:rsid w:val="10277BD9"/>
    <w:rsid w:val="1028084A"/>
    <w:rsid w:val="10283879"/>
    <w:rsid w:val="102E1B18"/>
    <w:rsid w:val="1032785A"/>
    <w:rsid w:val="103435D2"/>
    <w:rsid w:val="10392996"/>
    <w:rsid w:val="103A6926"/>
    <w:rsid w:val="103A76C3"/>
    <w:rsid w:val="103E61FE"/>
    <w:rsid w:val="103F3D25"/>
    <w:rsid w:val="10430C5B"/>
    <w:rsid w:val="1046046E"/>
    <w:rsid w:val="10482624"/>
    <w:rsid w:val="104B091B"/>
    <w:rsid w:val="104B26C9"/>
    <w:rsid w:val="104D01F0"/>
    <w:rsid w:val="104E29C8"/>
    <w:rsid w:val="10505F32"/>
    <w:rsid w:val="10577D87"/>
    <w:rsid w:val="105C256F"/>
    <w:rsid w:val="10606175"/>
    <w:rsid w:val="10667503"/>
    <w:rsid w:val="106A2B50"/>
    <w:rsid w:val="106D2F64"/>
    <w:rsid w:val="106F0166"/>
    <w:rsid w:val="1072330B"/>
    <w:rsid w:val="10734250"/>
    <w:rsid w:val="107B2FAF"/>
    <w:rsid w:val="10802373"/>
    <w:rsid w:val="10861954"/>
    <w:rsid w:val="10923E54"/>
    <w:rsid w:val="10A6213E"/>
    <w:rsid w:val="10B1077E"/>
    <w:rsid w:val="10B14C22"/>
    <w:rsid w:val="10B464C1"/>
    <w:rsid w:val="10B56EB1"/>
    <w:rsid w:val="10B63710"/>
    <w:rsid w:val="10B65D95"/>
    <w:rsid w:val="10B77469"/>
    <w:rsid w:val="10B867C6"/>
    <w:rsid w:val="10CB7366"/>
    <w:rsid w:val="10CF50A9"/>
    <w:rsid w:val="10D0494F"/>
    <w:rsid w:val="10D162FE"/>
    <w:rsid w:val="10D80401"/>
    <w:rsid w:val="10DF3A35"/>
    <w:rsid w:val="10E70644"/>
    <w:rsid w:val="10E723F2"/>
    <w:rsid w:val="10E741A0"/>
    <w:rsid w:val="10E8616A"/>
    <w:rsid w:val="10EA0134"/>
    <w:rsid w:val="10EB46B2"/>
    <w:rsid w:val="10F10820"/>
    <w:rsid w:val="10FA2C3E"/>
    <w:rsid w:val="11063FEA"/>
    <w:rsid w:val="110C1E59"/>
    <w:rsid w:val="11110AC4"/>
    <w:rsid w:val="11131439"/>
    <w:rsid w:val="11164A85"/>
    <w:rsid w:val="111B6540"/>
    <w:rsid w:val="111C2F7A"/>
    <w:rsid w:val="111C412A"/>
    <w:rsid w:val="111F061B"/>
    <w:rsid w:val="11274A63"/>
    <w:rsid w:val="11274EE5"/>
    <w:rsid w:val="11333889"/>
    <w:rsid w:val="113373E5"/>
    <w:rsid w:val="11380EA0"/>
    <w:rsid w:val="113E5D8A"/>
    <w:rsid w:val="11421D1E"/>
    <w:rsid w:val="114B6927"/>
    <w:rsid w:val="11601125"/>
    <w:rsid w:val="11625F1D"/>
    <w:rsid w:val="116562F8"/>
    <w:rsid w:val="11665CA1"/>
    <w:rsid w:val="116B2642"/>
    <w:rsid w:val="117B2B3A"/>
    <w:rsid w:val="117D7127"/>
    <w:rsid w:val="1182036D"/>
    <w:rsid w:val="118E0AC0"/>
    <w:rsid w:val="11991213"/>
    <w:rsid w:val="119B31DD"/>
    <w:rsid w:val="119D439D"/>
    <w:rsid w:val="119F1538"/>
    <w:rsid w:val="11A021EF"/>
    <w:rsid w:val="11A025A1"/>
    <w:rsid w:val="11A55E09"/>
    <w:rsid w:val="11A976A8"/>
    <w:rsid w:val="11AF4141"/>
    <w:rsid w:val="11B322D4"/>
    <w:rsid w:val="11B5429E"/>
    <w:rsid w:val="11BD13A5"/>
    <w:rsid w:val="11C25221"/>
    <w:rsid w:val="11D010D8"/>
    <w:rsid w:val="11D10893"/>
    <w:rsid w:val="11D230A2"/>
    <w:rsid w:val="11DC72ED"/>
    <w:rsid w:val="11DF131B"/>
    <w:rsid w:val="11DF30C9"/>
    <w:rsid w:val="11EB4164"/>
    <w:rsid w:val="11EB5F12"/>
    <w:rsid w:val="11EB7CC0"/>
    <w:rsid w:val="11F272A1"/>
    <w:rsid w:val="1202325C"/>
    <w:rsid w:val="12062D4C"/>
    <w:rsid w:val="1209283C"/>
    <w:rsid w:val="1211524D"/>
    <w:rsid w:val="12154D3D"/>
    <w:rsid w:val="121C4EB8"/>
    <w:rsid w:val="121F796A"/>
    <w:rsid w:val="1222745A"/>
    <w:rsid w:val="122D2087"/>
    <w:rsid w:val="122E5870"/>
    <w:rsid w:val="12303925"/>
    <w:rsid w:val="12372F05"/>
    <w:rsid w:val="12435D4E"/>
    <w:rsid w:val="1246139A"/>
    <w:rsid w:val="124B73CB"/>
    <w:rsid w:val="12541D09"/>
    <w:rsid w:val="12582E7C"/>
    <w:rsid w:val="125A4E46"/>
    <w:rsid w:val="126417BA"/>
    <w:rsid w:val="12675DB3"/>
    <w:rsid w:val="126E2921"/>
    <w:rsid w:val="12736CBA"/>
    <w:rsid w:val="127966C2"/>
    <w:rsid w:val="127E6D86"/>
    <w:rsid w:val="127F3653"/>
    <w:rsid w:val="12940358"/>
    <w:rsid w:val="12952CF3"/>
    <w:rsid w:val="129578A2"/>
    <w:rsid w:val="129B6072"/>
    <w:rsid w:val="12AD766B"/>
    <w:rsid w:val="12C235D4"/>
    <w:rsid w:val="12C7072D"/>
    <w:rsid w:val="12D270D2"/>
    <w:rsid w:val="12D32DEE"/>
    <w:rsid w:val="12D746E8"/>
    <w:rsid w:val="12D76496"/>
    <w:rsid w:val="12D77FB3"/>
    <w:rsid w:val="12DB2A23"/>
    <w:rsid w:val="12E50BB3"/>
    <w:rsid w:val="12E82452"/>
    <w:rsid w:val="12E9236B"/>
    <w:rsid w:val="12EE5628"/>
    <w:rsid w:val="12EF37E0"/>
    <w:rsid w:val="12F157AA"/>
    <w:rsid w:val="12F2507E"/>
    <w:rsid w:val="12F47048"/>
    <w:rsid w:val="12F86B39"/>
    <w:rsid w:val="12FB2185"/>
    <w:rsid w:val="130430A4"/>
    <w:rsid w:val="130628D8"/>
    <w:rsid w:val="130C6140"/>
    <w:rsid w:val="13131B1F"/>
    <w:rsid w:val="131B45D5"/>
    <w:rsid w:val="1323348A"/>
    <w:rsid w:val="13257202"/>
    <w:rsid w:val="13465F9E"/>
    <w:rsid w:val="1347691C"/>
    <w:rsid w:val="13516249"/>
    <w:rsid w:val="13654D34"/>
    <w:rsid w:val="136E2957"/>
    <w:rsid w:val="136F03C9"/>
    <w:rsid w:val="137361BF"/>
    <w:rsid w:val="13767A5D"/>
    <w:rsid w:val="13792923"/>
    <w:rsid w:val="137D23ED"/>
    <w:rsid w:val="13806B2E"/>
    <w:rsid w:val="138415DA"/>
    <w:rsid w:val="138A3509"/>
    <w:rsid w:val="138C4F16"/>
    <w:rsid w:val="138C54D3"/>
    <w:rsid w:val="13951726"/>
    <w:rsid w:val="139F5747"/>
    <w:rsid w:val="13A02D2C"/>
    <w:rsid w:val="13A520F1"/>
    <w:rsid w:val="13AA5A8D"/>
    <w:rsid w:val="13AF67A0"/>
    <w:rsid w:val="13B10A95"/>
    <w:rsid w:val="13B14AAC"/>
    <w:rsid w:val="13B36682"/>
    <w:rsid w:val="13B5128B"/>
    <w:rsid w:val="13C63B2D"/>
    <w:rsid w:val="13C75AC6"/>
    <w:rsid w:val="13C94031"/>
    <w:rsid w:val="13D31F80"/>
    <w:rsid w:val="13D50C28"/>
    <w:rsid w:val="13D84738"/>
    <w:rsid w:val="13DD663D"/>
    <w:rsid w:val="13E13CB4"/>
    <w:rsid w:val="13E56991"/>
    <w:rsid w:val="13E62E35"/>
    <w:rsid w:val="13E64BE3"/>
    <w:rsid w:val="13E97311"/>
    <w:rsid w:val="13EC5F71"/>
    <w:rsid w:val="13EE5846"/>
    <w:rsid w:val="13F310AE"/>
    <w:rsid w:val="13F466E6"/>
    <w:rsid w:val="13FD1F2D"/>
    <w:rsid w:val="14096B23"/>
    <w:rsid w:val="140A329B"/>
    <w:rsid w:val="140E03D2"/>
    <w:rsid w:val="140E5EE8"/>
    <w:rsid w:val="140E7C96"/>
    <w:rsid w:val="140F74DA"/>
    <w:rsid w:val="142179C9"/>
    <w:rsid w:val="14226E0F"/>
    <w:rsid w:val="14396509"/>
    <w:rsid w:val="143C2A55"/>
    <w:rsid w:val="14403941"/>
    <w:rsid w:val="14441A57"/>
    <w:rsid w:val="144D5A02"/>
    <w:rsid w:val="145A112D"/>
    <w:rsid w:val="145B7FCE"/>
    <w:rsid w:val="1468384A"/>
    <w:rsid w:val="146D2C0E"/>
    <w:rsid w:val="14706BA3"/>
    <w:rsid w:val="14726477"/>
    <w:rsid w:val="147A17CF"/>
    <w:rsid w:val="147E306D"/>
    <w:rsid w:val="14863CD0"/>
    <w:rsid w:val="148A7C64"/>
    <w:rsid w:val="149028F1"/>
    <w:rsid w:val="149425C9"/>
    <w:rsid w:val="149B41B6"/>
    <w:rsid w:val="149C1746"/>
    <w:rsid w:val="14A32AD4"/>
    <w:rsid w:val="14AF1479"/>
    <w:rsid w:val="14B22D17"/>
    <w:rsid w:val="14B24AC5"/>
    <w:rsid w:val="14B720DC"/>
    <w:rsid w:val="14C00349"/>
    <w:rsid w:val="14C667C2"/>
    <w:rsid w:val="14CA4096"/>
    <w:rsid w:val="14D507B4"/>
    <w:rsid w:val="14D945F2"/>
    <w:rsid w:val="14DD2C3C"/>
    <w:rsid w:val="14E135FC"/>
    <w:rsid w:val="14EA0703"/>
    <w:rsid w:val="14EF0C5B"/>
    <w:rsid w:val="14EF5D19"/>
    <w:rsid w:val="14F11A91"/>
    <w:rsid w:val="14F50E56"/>
    <w:rsid w:val="14F776E1"/>
    <w:rsid w:val="14F94B84"/>
    <w:rsid w:val="15033573"/>
    <w:rsid w:val="15082937"/>
    <w:rsid w:val="150D43F1"/>
    <w:rsid w:val="151034BB"/>
    <w:rsid w:val="15175270"/>
    <w:rsid w:val="151F0C9F"/>
    <w:rsid w:val="15207D7D"/>
    <w:rsid w:val="15294D52"/>
    <w:rsid w:val="152F4368"/>
    <w:rsid w:val="15300D39"/>
    <w:rsid w:val="15316332"/>
    <w:rsid w:val="15352D72"/>
    <w:rsid w:val="15354A17"/>
    <w:rsid w:val="15363948"/>
    <w:rsid w:val="153739BA"/>
    <w:rsid w:val="153951E6"/>
    <w:rsid w:val="153B4ABB"/>
    <w:rsid w:val="154C316C"/>
    <w:rsid w:val="15574D4C"/>
    <w:rsid w:val="15593193"/>
    <w:rsid w:val="155D7127"/>
    <w:rsid w:val="15636B9B"/>
    <w:rsid w:val="15787ABD"/>
    <w:rsid w:val="158346B4"/>
    <w:rsid w:val="15891CCA"/>
    <w:rsid w:val="158C1914"/>
    <w:rsid w:val="158D6C9D"/>
    <w:rsid w:val="159D7523"/>
    <w:rsid w:val="15A0686E"/>
    <w:rsid w:val="15A563D8"/>
    <w:rsid w:val="15AE7982"/>
    <w:rsid w:val="15BE749A"/>
    <w:rsid w:val="15D321E1"/>
    <w:rsid w:val="15DD2016"/>
    <w:rsid w:val="15E11B06"/>
    <w:rsid w:val="15E213DA"/>
    <w:rsid w:val="15E50ECA"/>
    <w:rsid w:val="15E74C42"/>
    <w:rsid w:val="15E769F0"/>
    <w:rsid w:val="15F555B1"/>
    <w:rsid w:val="15F80BFE"/>
    <w:rsid w:val="16087E1D"/>
    <w:rsid w:val="16092E0B"/>
    <w:rsid w:val="161B20A2"/>
    <w:rsid w:val="161F262E"/>
    <w:rsid w:val="161F618A"/>
    <w:rsid w:val="16276ECA"/>
    <w:rsid w:val="162A4334"/>
    <w:rsid w:val="16337E88"/>
    <w:rsid w:val="163A1216"/>
    <w:rsid w:val="16443AAC"/>
    <w:rsid w:val="16493207"/>
    <w:rsid w:val="164E0CB7"/>
    <w:rsid w:val="164E6A70"/>
    <w:rsid w:val="16527416"/>
    <w:rsid w:val="1658169C"/>
    <w:rsid w:val="16640041"/>
    <w:rsid w:val="16645040"/>
    <w:rsid w:val="166E7112"/>
    <w:rsid w:val="16734728"/>
    <w:rsid w:val="16777D74"/>
    <w:rsid w:val="16873D30"/>
    <w:rsid w:val="168801D3"/>
    <w:rsid w:val="16897AA8"/>
    <w:rsid w:val="16897AE1"/>
    <w:rsid w:val="168B7CC4"/>
    <w:rsid w:val="16921052"/>
    <w:rsid w:val="1695469E"/>
    <w:rsid w:val="16983E9D"/>
    <w:rsid w:val="169C7DE1"/>
    <w:rsid w:val="16A13043"/>
    <w:rsid w:val="16A14DF1"/>
    <w:rsid w:val="16AD54CF"/>
    <w:rsid w:val="16AD7C3A"/>
    <w:rsid w:val="16AE1EA4"/>
    <w:rsid w:val="16B03286"/>
    <w:rsid w:val="16B169EA"/>
    <w:rsid w:val="16B34B25"/>
    <w:rsid w:val="16B5089D"/>
    <w:rsid w:val="16C531D6"/>
    <w:rsid w:val="16C62AAA"/>
    <w:rsid w:val="16D414D4"/>
    <w:rsid w:val="16EF77CA"/>
    <w:rsid w:val="16F77107"/>
    <w:rsid w:val="16F83B0A"/>
    <w:rsid w:val="16F94C2D"/>
    <w:rsid w:val="16FF7D6A"/>
    <w:rsid w:val="17063864"/>
    <w:rsid w:val="1706559C"/>
    <w:rsid w:val="1706734A"/>
    <w:rsid w:val="170757BA"/>
    <w:rsid w:val="17084E70"/>
    <w:rsid w:val="17143815"/>
    <w:rsid w:val="171639BF"/>
    <w:rsid w:val="1719707D"/>
    <w:rsid w:val="171C6B6E"/>
    <w:rsid w:val="172577D0"/>
    <w:rsid w:val="172A4DE7"/>
    <w:rsid w:val="1732403E"/>
    <w:rsid w:val="173349E5"/>
    <w:rsid w:val="173B3498"/>
    <w:rsid w:val="173E64EE"/>
    <w:rsid w:val="17410382"/>
    <w:rsid w:val="174165D4"/>
    <w:rsid w:val="1742343E"/>
    <w:rsid w:val="174376AE"/>
    <w:rsid w:val="17465999"/>
    <w:rsid w:val="174F484D"/>
    <w:rsid w:val="1757411A"/>
    <w:rsid w:val="17604CAC"/>
    <w:rsid w:val="17626C76"/>
    <w:rsid w:val="1763479D"/>
    <w:rsid w:val="17701D14"/>
    <w:rsid w:val="17735226"/>
    <w:rsid w:val="17740758"/>
    <w:rsid w:val="17791915"/>
    <w:rsid w:val="177D585E"/>
    <w:rsid w:val="178766DD"/>
    <w:rsid w:val="17884C83"/>
    <w:rsid w:val="178D5376"/>
    <w:rsid w:val="17914E66"/>
    <w:rsid w:val="17935082"/>
    <w:rsid w:val="17936F4D"/>
    <w:rsid w:val="179C380B"/>
    <w:rsid w:val="179D0859"/>
    <w:rsid w:val="17A70B2D"/>
    <w:rsid w:val="17AB4270"/>
    <w:rsid w:val="17B15508"/>
    <w:rsid w:val="17B568BF"/>
    <w:rsid w:val="17B9616B"/>
    <w:rsid w:val="17BB6387"/>
    <w:rsid w:val="17C214C3"/>
    <w:rsid w:val="17C770C8"/>
    <w:rsid w:val="17CC2342"/>
    <w:rsid w:val="17CF4597"/>
    <w:rsid w:val="17D82A95"/>
    <w:rsid w:val="17DB37CE"/>
    <w:rsid w:val="17DD454F"/>
    <w:rsid w:val="17DE3988"/>
    <w:rsid w:val="17DF2075"/>
    <w:rsid w:val="17E05DED"/>
    <w:rsid w:val="17E8033E"/>
    <w:rsid w:val="17F51899"/>
    <w:rsid w:val="17F75F2E"/>
    <w:rsid w:val="18003D99"/>
    <w:rsid w:val="18023FB5"/>
    <w:rsid w:val="18061116"/>
    <w:rsid w:val="180867B8"/>
    <w:rsid w:val="1809307C"/>
    <w:rsid w:val="180970F2"/>
    <w:rsid w:val="180B5F36"/>
    <w:rsid w:val="180C6BE2"/>
    <w:rsid w:val="18180670"/>
    <w:rsid w:val="181A30AD"/>
    <w:rsid w:val="181E2472"/>
    <w:rsid w:val="182A61D9"/>
    <w:rsid w:val="182C2DE0"/>
    <w:rsid w:val="183028D1"/>
    <w:rsid w:val="18381785"/>
    <w:rsid w:val="183B7D55"/>
    <w:rsid w:val="183D4FEE"/>
    <w:rsid w:val="18405D5A"/>
    <w:rsid w:val="184243B2"/>
    <w:rsid w:val="1844168E"/>
    <w:rsid w:val="184534CF"/>
    <w:rsid w:val="18475E6C"/>
    <w:rsid w:val="184A3267"/>
    <w:rsid w:val="184C6FDF"/>
    <w:rsid w:val="184D614C"/>
    <w:rsid w:val="18501FF1"/>
    <w:rsid w:val="18504D21"/>
    <w:rsid w:val="185537EF"/>
    <w:rsid w:val="18567E5D"/>
    <w:rsid w:val="18581BDA"/>
    <w:rsid w:val="185A533F"/>
    <w:rsid w:val="185D11EC"/>
    <w:rsid w:val="185F4F64"/>
    <w:rsid w:val="18616F2E"/>
    <w:rsid w:val="18624A54"/>
    <w:rsid w:val="1869193F"/>
    <w:rsid w:val="187622AE"/>
    <w:rsid w:val="187968F4"/>
    <w:rsid w:val="187C3D68"/>
    <w:rsid w:val="18846779"/>
    <w:rsid w:val="18876269"/>
    <w:rsid w:val="18895583"/>
    <w:rsid w:val="188B4249"/>
    <w:rsid w:val="189411BC"/>
    <w:rsid w:val="189C7F66"/>
    <w:rsid w:val="189E3CDE"/>
    <w:rsid w:val="189F624C"/>
    <w:rsid w:val="18A24E51"/>
    <w:rsid w:val="18A42794"/>
    <w:rsid w:val="18AC5756"/>
    <w:rsid w:val="18B708FC"/>
    <w:rsid w:val="18B87482"/>
    <w:rsid w:val="18BE4BAD"/>
    <w:rsid w:val="18C354F3"/>
    <w:rsid w:val="18CD65A5"/>
    <w:rsid w:val="18D019BE"/>
    <w:rsid w:val="18D94D16"/>
    <w:rsid w:val="18DC65B5"/>
    <w:rsid w:val="18DF42F7"/>
    <w:rsid w:val="18E049C3"/>
    <w:rsid w:val="18E216F1"/>
    <w:rsid w:val="18E37943"/>
    <w:rsid w:val="18E86D07"/>
    <w:rsid w:val="18EF453A"/>
    <w:rsid w:val="18F25DD8"/>
    <w:rsid w:val="18F33FF3"/>
    <w:rsid w:val="19016E70"/>
    <w:rsid w:val="190653E0"/>
    <w:rsid w:val="19097636"/>
    <w:rsid w:val="190A1374"/>
    <w:rsid w:val="190D63CE"/>
    <w:rsid w:val="19121FD6"/>
    <w:rsid w:val="19137AFC"/>
    <w:rsid w:val="191775ED"/>
    <w:rsid w:val="19235F91"/>
    <w:rsid w:val="19241D0A"/>
    <w:rsid w:val="192A144A"/>
    <w:rsid w:val="192D4041"/>
    <w:rsid w:val="19331C44"/>
    <w:rsid w:val="19375EE1"/>
    <w:rsid w:val="193C34F7"/>
    <w:rsid w:val="193F08F1"/>
    <w:rsid w:val="19616943"/>
    <w:rsid w:val="196935AF"/>
    <w:rsid w:val="196F11D7"/>
    <w:rsid w:val="19766A09"/>
    <w:rsid w:val="1977452F"/>
    <w:rsid w:val="197902A7"/>
    <w:rsid w:val="197B53D3"/>
    <w:rsid w:val="19996254"/>
    <w:rsid w:val="19A208EC"/>
    <w:rsid w:val="19A277FE"/>
    <w:rsid w:val="19A30E80"/>
    <w:rsid w:val="19A753EF"/>
    <w:rsid w:val="19B27315"/>
    <w:rsid w:val="19B412DF"/>
    <w:rsid w:val="19B80DD0"/>
    <w:rsid w:val="19B943EC"/>
    <w:rsid w:val="19BB693F"/>
    <w:rsid w:val="19BD63E6"/>
    <w:rsid w:val="19CE05F3"/>
    <w:rsid w:val="19CF771B"/>
    <w:rsid w:val="19E73463"/>
    <w:rsid w:val="19F459F1"/>
    <w:rsid w:val="19F7019A"/>
    <w:rsid w:val="19F8741E"/>
    <w:rsid w:val="19F97867"/>
    <w:rsid w:val="19FA0392"/>
    <w:rsid w:val="19FA13E8"/>
    <w:rsid w:val="19FC6DC8"/>
    <w:rsid w:val="19FE255B"/>
    <w:rsid w:val="1A037B71"/>
    <w:rsid w:val="1A0F29BA"/>
    <w:rsid w:val="1A1104E0"/>
    <w:rsid w:val="1A11228E"/>
    <w:rsid w:val="1A1C66C0"/>
    <w:rsid w:val="1A1D4B10"/>
    <w:rsid w:val="1A1F69E8"/>
    <w:rsid w:val="1A200723"/>
    <w:rsid w:val="1A2C70C8"/>
    <w:rsid w:val="1A304E0A"/>
    <w:rsid w:val="1A383CBF"/>
    <w:rsid w:val="1A3F6DFB"/>
    <w:rsid w:val="1A42393B"/>
    <w:rsid w:val="1A4268EB"/>
    <w:rsid w:val="1A4C776A"/>
    <w:rsid w:val="1A4E34E2"/>
    <w:rsid w:val="1A50725A"/>
    <w:rsid w:val="1A512FD2"/>
    <w:rsid w:val="1A6161D8"/>
    <w:rsid w:val="1A654388"/>
    <w:rsid w:val="1A683418"/>
    <w:rsid w:val="1A6F536C"/>
    <w:rsid w:val="1A725422"/>
    <w:rsid w:val="1A781F2B"/>
    <w:rsid w:val="1A7840BB"/>
    <w:rsid w:val="1A7A6085"/>
    <w:rsid w:val="1A7B1DFD"/>
    <w:rsid w:val="1A7C004F"/>
    <w:rsid w:val="1A89276C"/>
    <w:rsid w:val="1A8E29B2"/>
    <w:rsid w:val="1A935399"/>
    <w:rsid w:val="1A9439EA"/>
    <w:rsid w:val="1A97265D"/>
    <w:rsid w:val="1AA50C28"/>
    <w:rsid w:val="1AA80E44"/>
    <w:rsid w:val="1AAD45DE"/>
    <w:rsid w:val="1AAF1089"/>
    <w:rsid w:val="1AB153E1"/>
    <w:rsid w:val="1ABF618E"/>
    <w:rsid w:val="1ABF7F3C"/>
    <w:rsid w:val="1AD05CA5"/>
    <w:rsid w:val="1AD35B5E"/>
    <w:rsid w:val="1AE16104"/>
    <w:rsid w:val="1AE64B69"/>
    <w:rsid w:val="1AE86D41"/>
    <w:rsid w:val="1AEB0D31"/>
    <w:rsid w:val="1AED4E9E"/>
    <w:rsid w:val="1AF51BB0"/>
    <w:rsid w:val="1B031AF6"/>
    <w:rsid w:val="1B040DBE"/>
    <w:rsid w:val="1B041DF3"/>
    <w:rsid w:val="1B046F80"/>
    <w:rsid w:val="1B0E67CD"/>
    <w:rsid w:val="1B1945E3"/>
    <w:rsid w:val="1B1E0312"/>
    <w:rsid w:val="1B210BF7"/>
    <w:rsid w:val="1B252495"/>
    <w:rsid w:val="1B2877F0"/>
    <w:rsid w:val="1B2A7261"/>
    <w:rsid w:val="1B2D30F7"/>
    <w:rsid w:val="1B302BE8"/>
    <w:rsid w:val="1B3267B5"/>
    <w:rsid w:val="1B397CEE"/>
    <w:rsid w:val="1B40161D"/>
    <w:rsid w:val="1B441859"/>
    <w:rsid w:val="1B4A1EFB"/>
    <w:rsid w:val="1B4D5548"/>
    <w:rsid w:val="1B506DE6"/>
    <w:rsid w:val="1B522B5E"/>
    <w:rsid w:val="1B544B28"/>
    <w:rsid w:val="1B590390"/>
    <w:rsid w:val="1B6606B1"/>
    <w:rsid w:val="1B723200"/>
    <w:rsid w:val="1B7977CE"/>
    <w:rsid w:val="1B852F33"/>
    <w:rsid w:val="1B862808"/>
    <w:rsid w:val="1B9531A7"/>
    <w:rsid w:val="1B99078D"/>
    <w:rsid w:val="1B996667"/>
    <w:rsid w:val="1BA57132"/>
    <w:rsid w:val="1BA64C58"/>
    <w:rsid w:val="1BB16F89"/>
    <w:rsid w:val="1BB47375"/>
    <w:rsid w:val="1BB6133F"/>
    <w:rsid w:val="1BBB6955"/>
    <w:rsid w:val="1BC25F36"/>
    <w:rsid w:val="1BCB38A6"/>
    <w:rsid w:val="1BCF2401"/>
    <w:rsid w:val="1BD17F27"/>
    <w:rsid w:val="1BE063BC"/>
    <w:rsid w:val="1BE97638"/>
    <w:rsid w:val="1BEF5A8F"/>
    <w:rsid w:val="1BF105C9"/>
    <w:rsid w:val="1BF3364B"/>
    <w:rsid w:val="1BF952B8"/>
    <w:rsid w:val="1BF965BD"/>
    <w:rsid w:val="1BFB1448"/>
    <w:rsid w:val="1BFD51C0"/>
    <w:rsid w:val="1BFD6F6E"/>
    <w:rsid w:val="1BFE2C80"/>
    <w:rsid w:val="1C035CF9"/>
    <w:rsid w:val="1C057BD0"/>
    <w:rsid w:val="1C1442B7"/>
    <w:rsid w:val="1C1D2E4D"/>
    <w:rsid w:val="1C230456"/>
    <w:rsid w:val="1C2C1601"/>
    <w:rsid w:val="1C2C7853"/>
    <w:rsid w:val="1C381D54"/>
    <w:rsid w:val="1C387FA6"/>
    <w:rsid w:val="1C49188B"/>
    <w:rsid w:val="1C4F52EF"/>
    <w:rsid w:val="1C544118"/>
    <w:rsid w:val="1C5648D0"/>
    <w:rsid w:val="1C5A2139"/>
    <w:rsid w:val="1C5E7925"/>
    <w:rsid w:val="1C662134"/>
    <w:rsid w:val="1C66271C"/>
    <w:rsid w:val="1C672FD5"/>
    <w:rsid w:val="1C67710B"/>
    <w:rsid w:val="1C7F7983"/>
    <w:rsid w:val="1C8C20A0"/>
    <w:rsid w:val="1C901B90"/>
    <w:rsid w:val="1C915908"/>
    <w:rsid w:val="1C961170"/>
    <w:rsid w:val="1C984D75"/>
    <w:rsid w:val="1CA04246"/>
    <w:rsid w:val="1CA605AD"/>
    <w:rsid w:val="1CA90EA4"/>
    <w:rsid w:val="1CA940B0"/>
    <w:rsid w:val="1CAA0778"/>
    <w:rsid w:val="1CB17D58"/>
    <w:rsid w:val="1CB74BA8"/>
    <w:rsid w:val="1CBF06C7"/>
    <w:rsid w:val="1CC655B2"/>
    <w:rsid w:val="1CDA2E0B"/>
    <w:rsid w:val="1CDF48C5"/>
    <w:rsid w:val="1CE26164"/>
    <w:rsid w:val="1CE343B6"/>
    <w:rsid w:val="1CE65C54"/>
    <w:rsid w:val="1CE74DAF"/>
    <w:rsid w:val="1CEE2D5A"/>
    <w:rsid w:val="1CF33ECD"/>
    <w:rsid w:val="1CFC7225"/>
    <w:rsid w:val="1CFD070F"/>
    <w:rsid w:val="1D04257E"/>
    <w:rsid w:val="1D097B5B"/>
    <w:rsid w:val="1D1509C8"/>
    <w:rsid w:val="1D197EC0"/>
    <w:rsid w:val="1D28626C"/>
    <w:rsid w:val="1D287450"/>
    <w:rsid w:val="1D2B6090"/>
    <w:rsid w:val="1D322C47"/>
    <w:rsid w:val="1D3F680B"/>
    <w:rsid w:val="1D44297A"/>
    <w:rsid w:val="1D507571"/>
    <w:rsid w:val="1D570900"/>
    <w:rsid w:val="1D5A03F0"/>
    <w:rsid w:val="1D5F6196"/>
    <w:rsid w:val="1D6132A5"/>
    <w:rsid w:val="1D616594"/>
    <w:rsid w:val="1D6A2D2E"/>
    <w:rsid w:val="1D6B7F07"/>
    <w:rsid w:val="1D6D145D"/>
    <w:rsid w:val="1D7402B1"/>
    <w:rsid w:val="1D774AFE"/>
    <w:rsid w:val="1D792497"/>
    <w:rsid w:val="1D811B16"/>
    <w:rsid w:val="1D8B67FB"/>
    <w:rsid w:val="1D8B7612"/>
    <w:rsid w:val="1D8E56D5"/>
    <w:rsid w:val="1D903E12"/>
    <w:rsid w:val="1D961439"/>
    <w:rsid w:val="1D962C08"/>
    <w:rsid w:val="1D97355D"/>
    <w:rsid w:val="1D990F18"/>
    <w:rsid w:val="1D9B4C90"/>
    <w:rsid w:val="1D9B6A3E"/>
    <w:rsid w:val="1D9F741D"/>
    <w:rsid w:val="1DA358F3"/>
    <w:rsid w:val="1DA578BD"/>
    <w:rsid w:val="1DAA6C81"/>
    <w:rsid w:val="1DAD0520"/>
    <w:rsid w:val="1DBB4821"/>
    <w:rsid w:val="1DBF109A"/>
    <w:rsid w:val="1DC11182"/>
    <w:rsid w:val="1DC85359"/>
    <w:rsid w:val="1DD2442A"/>
    <w:rsid w:val="1DD45AAC"/>
    <w:rsid w:val="1DDB52AD"/>
    <w:rsid w:val="1DDC31B9"/>
    <w:rsid w:val="1DF16B20"/>
    <w:rsid w:val="1DF443A0"/>
    <w:rsid w:val="1DF93765"/>
    <w:rsid w:val="1DFA46D6"/>
    <w:rsid w:val="1DFF2009"/>
    <w:rsid w:val="1E05035C"/>
    <w:rsid w:val="1E0C16EA"/>
    <w:rsid w:val="1E0D0FBE"/>
    <w:rsid w:val="1E0D1B65"/>
    <w:rsid w:val="1E171E3D"/>
    <w:rsid w:val="1E176DC8"/>
    <w:rsid w:val="1E18008F"/>
    <w:rsid w:val="1E197963"/>
    <w:rsid w:val="1E1D56A5"/>
    <w:rsid w:val="1E222CBC"/>
    <w:rsid w:val="1E2307E2"/>
    <w:rsid w:val="1E29229C"/>
    <w:rsid w:val="1E334EC9"/>
    <w:rsid w:val="1E34479D"/>
    <w:rsid w:val="1E360515"/>
    <w:rsid w:val="1E4D76A9"/>
    <w:rsid w:val="1E5310C7"/>
    <w:rsid w:val="1E564D71"/>
    <w:rsid w:val="1E57048B"/>
    <w:rsid w:val="1E586B88"/>
    <w:rsid w:val="1E5D0198"/>
    <w:rsid w:val="1E6257AE"/>
    <w:rsid w:val="1E641526"/>
    <w:rsid w:val="1E652BA8"/>
    <w:rsid w:val="1E711FF6"/>
    <w:rsid w:val="1E796654"/>
    <w:rsid w:val="1E797166"/>
    <w:rsid w:val="1E7A43DA"/>
    <w:rsid w:val="1E7D7EF2"/>
    <w:rsid w:val="1E895206"/>
    <w:rsid w:val="1E933BB9"/>
    <w:rsid w:val="1E99166A"/>
    <w:rsid w:val="1E9F015A"/>
    <w:rsid w:val="1EAD6922"/>
    <w:rsid w:val="1EB61656"/>
    <w:rsid w:val="1EBC3849"/>
    <w:rsid w:val="1EBC6859"/>
    <w:rsid w:val="1EC41FC5"/>
    <w:rsid w:val="1EC71AB5"/>
    <w:rsid w:val="1ECE2E43"/>
    <w:rsid w:val="1ED61CF8"/>
    <w:rsid w:val="1EDA1D40"/>
    <w:rsid w:val="1EDA5344"/>
    <w:rsid w:val="1EE47FE3"/>
    <w:rsid w:val="1EE6018D"/>
    <w:rsid w:val="1EE75CB3"/>
    <w:rsid w:val="1EEB57A3"/>
    <w:rsid w:val="1EF434BD"/>
    <w:rsid w:val="1F011961"/>
    <w:rsid w:val="1F022AED"/>
    <w:rsid w:val="1F026649"/>
    <w:rsid w:val="1F03372D"/>
    <w:rsid w:val="1F06438B"/>
    <w:rsid w:val="1F0C571A"/>
    <w:rsid w:val="1F0C57D7"/>
    <w:rsid w:val="1F133CE8"/>
    <w:rsid w:val="1F142C8E"/>
    <w:rsid w:val="1F15637C"/>
    <w:rsid w:val="1F176598"/>
    <w:rsid w:val="1F182311"/>
    <w:rsid w:val="1F1B7A51"/>
    <w:rsid w:val="1F220220"/>
    <w:rsid w:val="1F256949"/>
    <w:rsid w:val="1F372797"/>
    <w:rsid w:val="1F3E67AB"/>
    <w:rsid w:val="1F3F33F9"/>
    <w:rsid w:val="1F4140EF"/>
    <w:rsid w:val="1F4924CA"/>
    <w:rsid w:val="1F5350F7"/>
    <w:rsid w:val="1F5B150C"/>
    <w:rsid w:val="1F5E41C7"/>
    <w:rsid w:val="1F657087"/>
    <w:rsid w:val="1F6A3316"/>
    <w:rsid w:val="1F6A3E3B"/>
    <w:rsid w:val="1F6E1F30"/>
    <w:rsid w:val="1F751511"/>
    <w:rsid w:val="1F7613D1"/>
    <w:rsid w:val="1F802237"/>
    <w:rsid w:val="1F8238FE"/>
    <w:rsid w:val="1F833C2E"/>
    <w:rsid w:val="1F8522AB"/>
    <w:rsid w:val="1F8654CC"/>
    <w:rsid w:val="1F8E5B68"/>
    <w:rsid w:val="1F923E71"/>
    <w:rsid w:val="1F9E3299"/>
    <w:rsid w:val="1F9F033C"/>
    <w:rsid w:val="1FA63E40"/>
    <w:rsid w:val="1FA83AF8"/>
    <w:rsid w:val="1FA85442"/>
    <w:rsid w:val="1FAB1578"/>
    <w:rsid w:val="1FAD4807"/>
    <w:rsid w:val="1FAF1DF9"/>
    <w:rsid w:val="1FB262C1"/>
    <w:rsid w:val="1FBA61AB"/>
    <w:rsid w:val="1FBB0F61"/>
    <w:rsid w:val="1FBC086A"/>
    <w:rsid w:val="1FC5330A"/>
    <w:rsid w:val="1FC97167"/>
    <w:rsid w:val="1FCD4EA9"/>
    <w:rsid w:val="1FCF0EFC"/>
    <w:rsid w:val="1FD10A09"/>
    <w:rsid w:val="1FD70C8C"/>
    <w:rsid w:val="1FD90327"/>
    <w:rsid w:val="1FDC6E9A"/>
    <w:rsid w:val="1FE65F6B"/>
    <w:rsid w:val="1FE7539E"/>
    <w:rsid w:val="1FE83A91"/>
    <w:rsid w:val="1FE90651"/>
    <w:rsid w:val="1FEE43A0"/>
    <w:rsid w:val="1FF24910"/>
    <w:rsid w:val="1FF73CD4"/>
    <w:rsid w:val="200063C2"/>
    <w:rsid w:val="201900EE"/>
    <w:rsid w:val="201D2F47"/>
    <w:rsid w:val="20216FA3"/>
    <w:rsid w:val="20280331"/>
    <w:rsid w:val="202B1BD0"/>
    <w:rsid w:val="203171E6"/>
    <w:rsid w:val="20340A84"/>
    <w:rsid w:val="20363689"/>
    <w:rsid w:val="203B005F"/>
    <w:rsid w:val="203C7D99"/>
    <w:rsid w:val="20452C91"/>
    <w:rsid w:val="20482782"/>
    <w:rsid w:val="20517888"/>
    <w:rsid w:val="20563649"/>
    <w:rsid w:val="20576091"/>
    <w:rsid w:val="205D078A"/>
    <w:rsid w:val="205E01F7"/>
    <w:rsid w:val="205E1FA5"/>
    <w:rsid w:val="206550E2"/>
    <w:rsid w:val="20671BE0"/>
    <w:rsid w:val="20686DF9"/>
    <w:rsid w:val="206A6304"/>
    <w:rsid w:val="206D3F96"/>
    <w:rsid w:val="20770BF0"/>
    <w:rsid w:val="207B66B3"/>
    <w:rsid w:val="20963CB8"/>
    <w:rsid w:val="20A560D2"/>
    <w:rsid w:val="20A756FA"/>
    <w:rsid w:val="20A81A1B"/>
    <w:rsid w:val="20AF45AF"/>
    <w:rsid w:val="20B07FB6"/>
    <w:rsid w:val="20B147CB"/>
    <w:rsid w:val="20B224E0"/>
    <w:rsid w:val="20B646FB"/>
    <w:rsid w:val="20B83B5B"/>
    <w:rsid w:val="20C41A43"/>
    <w:rsid w:val="20C818C7"/>
    <w:rsid w:val="20C95670"/>
    <w:rsid w:val="20CE2C87"/>
    <w:rsid w:val="20D315F1"/>
    <w:rsid w:val="20D81D57"/>
    <w:rsid w:val="20D83B05"/>
    <w:rsid w:val="20DD55C0"/>
    <w:rsid w:val="20DE2A40"/>
    <w:rsid w:val="20EA3839"/>
    <w:rsid w:val="20F34DA0"/>
    <w:rsid w:val="20F621DE"/>
    <w:rsid w:val="20F77CCD"/>
    <w:rsid w:val="20F8458A"/>
    <w:rsid w:val="20FB46EE"/>
    <w:rsid w:val="21004E0A"/>
    <w:rsid w:val="21073EE3"/>
    <w:rsid w:val="210E39CB"/>
    <w:rsid w:val="21142811"/>
    <w:rsid w:val="211B1C44"/>
    <w:rsid w:val="212345AD"/>
    <w:rsid w:val="21240AF9"/>
    <w:rsid w:val="212575D2"/>
    <w:rsid w:val="21265DA3"/>
    <w:rsid w:val="212F176A"/>
    <w:rsid w:val="213056EF"/>
    <w:rsid w:val="2131368B"/>
    <w:rsid w:val="2132066D"/>
    <w:rsid w:val="21362446"/>
    <w:rsid w:val="21380A48"/>
    <w:rsid w:val="213B74B1"/>
    <w:rsid w:val="213D605E"/>
    <w:rsid w:val="21403632"/>
    <w:rsid w:val="21415B4F"/>
    <w:rsid w:val="21423539"/>
    <w:rsid w:val="21425423"/>
    <w:rsid w:val="21464F13"/>
    <w:rsid w:val="21486EDD"/>
    <w:rsid w:val="214C62A1"/>
    <w:rsid w:val="215238B8"/>
    <w:rsid w:val="21555156"/>
    <w:rsid w:val="215A2310"/>
    <w:rsid w:val="21654F8A"/>
    <w:rsid w:val="216A34B2"/>
    <w:rsid w:val="21755FD7"/>
    <w:rsid w:val="21771570"/>
    <w:rsid w:val="2177331E"/>
    <w:rsid w:val="217A4BBD"/>
    <w:rsid w:val="217D645B"/>
    <w:rsid w:val="218912A4"/>
    <w:rsid w:val="21901EC9"/>
    <w:rsid w:val="219C48E3"/>
    <w:rsid w:val="219E4D4F"/>
    <w:rsid w:val="21A47E8B"/>
    <w:rsid w:val="21A5049C"/>
    <w:rsid w:val="21A63C04"/>
    <w:rsid w:val="21A80C47"/>
    <w:rsid w:val="21AC1006"/>
    <w:rsid w:val="21AE1E97"/>
    <w:rsid w:val="21B207FA"/>
    <w:rsid w:val="21B21CA8"/>
    <w:rsid w:val="21C35BB2"/>
    <w:rsid w:val="21C422DC"/>
    <w:rsid w:val="21CD1190"/>
    <w:rsid w:val="21CD73E2"/>
    <w:rsid w:val="21D249F9"/>
    <w:rsid w:val="21DA38AD"/>
    <w:rsid w:val="21DE318A"/>
    <w:rsid w:val="21EF5B80"/>
    <w:rsid w:val="21F26E49"/>
    <w:rsid w:val="21FC2DBE"/>
    <w:rsid w:val="21FE759C"/>
    <w:rsid w:val="22031056"/>
    <w:rsid w:val="220628F4"/>
    <w:rsid w:val="220777FE"/>
    <w:rsid w:val="2208666C"/>
    <w:rsid w:val="2217240B"/>
    <w:rsid w:val="221943D6"/>
    <w:rsid w:val="22196184"/>
    <w:rsid w:val="221C5C74"/>
    <w:rsid w:val="221D138E"/>
    <w:rsid w:val="221E19EC"/>
    <w:rsid w:val="221E7C3E"/>
    <w:rsid w:val="222039B6"/>
    <w:rsid w:val="22230DB0"/>
    <w:rsid w:val="222334A6"/>
    <w:rsid w:val="222608A0"/>
    <w:rsid w:val="222B4109"/>
    <w:rsid w:val="222E3E55"/>
    <w:rsid w:val="2230171F"/>
    <w:rsid w:val="2234120F"/>
    <w:rsid w:val="22356D36"/>
    <w:rsid w:val="223719E3"/>
    <w:rsid w:val="223905D4"/>
    <w:rsid w:val="224D5172"/>
    <w:rsid w:val="225278CE"/>
    <w:rsid w:val="22576990"/>
    <w:rsid w:val="225E003A"/>
    <w:rsid w:val="2265586D"/>
    <w:rsid w:val="22737F8A"/>
    <w:rsid w:val="227C4964"/>
    <w:rsid w:val="227E6D9D"/>
    <w:rsid w:val="22857CBD"/>
    <w:rsid w:val="22883309"/>
    <w:rsid w:val="228A52D3"/>
    <w:rsid w:val="22911FCF"/>
    <w:rsid w:val="22925F36"/>
    <w:rsid w:val="22943A5C"/>
    <w:rsid w:val="229677D4"/>
    <w:rsid w:val="22970F42"/>
    <w:rsid w:val="22A30B18"/>
    <w:rsid w:val="22AA3280"/>
    <w:rsid w:val="22B440FE"/>
    <w:rsid w:val="22B61C24"/>
    <w:rsid w:val="22BF31CF"/>
    <w:rsid w:val="22C05643"/>
    <w:rsid w:val="22C779C4"/>
    <w:rsid w:val="22C93142"/>
    <w:rsid w:val="22CD6F6E"/>
    <w:rsid w:val="22D25A1D"/>
    <w:rsid w:val="22DA00C9"/>
    <w:rsid w:val="22DB5B2F"/>
    <w:rsid w:val="22DE117B"/>
    <w:rsid w:val="22EF3388"/>
    <w:rsid w:val="22F34C27"/>
    <w:rsid w:val="22F47480"/>
    <w:rsid w:val="230B6414"/>
    <w:rsid w:val="230E380E"/>
    <w:rsid w:val="230E7CB2"/>
    <w:rsid w:val="23166B67"/>
    <w:rsid w:val="23255FA6"/>
    <w:rsid w:val="23276D68"/>
    <w:rsid w:val="23281248"/>
    <w:rsid w:val="232A616E"/>
    <w:rsid w:val="232E0469"/>
    <w:rsid w:val="233314C7"/>
    <w:rsid w:val="23356FED"/>
    <w:rsid w:val="233755ED"/>
    <w:rsid w:val="2338088B"/>
    <w:rsid w:val="233B09AC"/>
    <w:rsid w:val="234B0F30"/>
    <w:rsid w:val="234C7A8F"/>
    <w:rsid w:val="234D0CA7"/>
    <w:rsid w:val="235870E6"/>
    <w:rsid w:val="2359594A"/>
    <w:rsid w:val="235F7255"/>
    <w:rsid w:val="236E2782"/>
    <w:rsid w:val="23737B15"/>
    <w:rsid w:val="2378337E"/>
    <w:rsid w:val="23843AD1"/>
    <w:rsid w:val="239A1546"/>
    <w:rsid w:val="239B66E1"/>
    <w:rsid w:val="239D04F5"/>
    <w:rsid w:val="23A03965"/>
    <w:rsid w:val="23A203FB"/>
    <w:rsid w:val="23A44173"/>
    <w:rsid w:val="23AD74CB"/>
    <w:rsid w:val="23B32608"/>
    <w:rsid w:val="23CB5EE5"/>
    <w:rsid w:val="23CD191B"/>
    <w:rsid w:val="23CE710D"/>
    <w:rsid w:val="23D90818"/>
    <w:rsid w:val="23D90C44"/>
    <w:rsid w:val="23DE1C48"/>
    <w:rsid w:val="23E26A49"/>
    <w:rsid w:val="23E40A13"/>
    <w:rsid w:val="23E7782B"/>
    <w:rsid w:val="23EB1DA2"/>
    <w:rsid w:val="23ED1676"/>
    <w:rsid w:val="23ED78C8"/>
    <w:rsid w:val="23F52C20"/>
    <w:rsid w:val="23F8188A"/>
    <w:rsid w:val="24013373"/>
    <w:rsid w:val="240210CD"/>
    <w:rsid w:val="2403533D"/>
    <w:rsid w:val="240B2444"/>
    <w:rsid w:val="240E5F7B"/>
    <w:rsid w:val="241030F5"/>
    <w:rsid w:val="2412732E"/>
    <w:rsid w:val="24146B5F"/>
    <w:rsid w:val="24170DE9"/>
    <w:rsid w:val="241A4435"/>
    <w:rsid w:val="24264B88"/>
    <w:rsid w:val="242E1C8E"/>
    <w:rsid w:val="2430540E"/>
    <w:rsid w:val="24373239"/>
    <w:rsid w:val="244514B2"/>
    <w:rsid w:val="24457704"/>
    <w:rsid w:val="24480FA2"/>
    <w:rsid w:val="244B2840"/>
    <w:rsid w:val="24516D45"/>
    <w:rsid w:val="245C4A4D"/>
    <w:rsid w:val="245E3051"/>
    <w:rsid w:val="246B28E3"/>
    <w:rsid w:val="246C2EE2"/>
    <w:rsid w:val="24727DCD"/>
    <w:rsid w:val="24776609"/>
    <w:rsid w:val="247915B8"/>
    <w:rsid w:val="247D50F0"/>
    <w:rsid w:val="247E2C16"/>
    <w:rsid w:val="248E743C"/>
    <w:rsid w:val="249B37C8"/>
    <w:rsid w:val="249C4E4A"/>
    <w:rsid w:val="24AD3DD7"/>
    <w:rsid w:val="24AE5D36"/>
    <w:rsid w:val="24B06819"/>
    <w:rsid w:val="24B147A4"/>
    <w:rsid w:val="24B44889"/>
    <w:rsid w:val="24BF09F7"/>
    <w:rsid w:val="24D82326"/>
    <w:rsid w:val="24D97E4C"/>
    <w:rsid w:val="24DA71E7"/>
    <w:rsid w:val="24DB0068"/>
    <w:rsid w:val="24DE1906"/>
    <w:rsid w:val="24E94533"/>
    <w:rsid w:val="24EA3D79"/>
    <w:rsid w:val="24EC002B"/>
    <w:rsid w:val="24ED56A6"/>
    <w:rsid w:val="24EE7D9B"/>
    <w:rsid w:val="24EF58C2"/>
    <w:rsid w:val="24F5112A"/>
    <w:rsid w:val="24F9229C"/>
    <w:rsid w:val="2504136D"/>
    <w:rsid w:val="25076767"/>
    <w:rsid w:val="250824DF"/>
    <w:rsid w:val="250A26FB"/>
    <w:rsid w:val="251A0B90"/>
    <w:rsid w:val="251B66B7"/>
    <w:rsid w:val="251D5F8B"/>
    <w:rsid w:val="2522506F"/>
    <w:rsid w:val="252512E3"/>
    <w:rsid w:val="25253091"/>
    <w:rsid w:val="252D53FE"/>
    <w:rsid w:val="252E0198"/>
    <w:rsid w:val="253357AE"/>
    <w:rsid w:val="253B4663"/>
    <w:rsid w:val="254C2D14"/>
    <w:rsid w:val="254F0607"/>
    <w:rsid w:val="255230B8"/>
    <w:rsid w:val="255B2F57"/>
    <w:rsid w:val="2564005E"/>
    <w:rsid w:val="256911D0"/>
    <w:rsid w:val="256B319A"/>
    <w:rsid w:val="257162D7"/>
    <w:rsid w:val="257F09F3"/>
    <w:rsid w:val="258B383C"/>
    <w:rsid w:val="25920860"/>
    <w:rsid w:val="25956469"/>
    <w:rsid w:val="2597774C"/>
    <w:rsid w:val="25A01984"/>
    <w:rsid w:val="25A16BBC"/>
    <w:rsid w:val="25A72B67"/>
    <w:rsid w:val="25A91F14"/>
    <w:rsid w:val="25AB3597"/>
    <w:rsid w:val="25B52667"/>
    <w:rsid w:val="25B577B4"/>
    <w:rsid w:val="25B83F05"/>
    <w:rsid w:val="25B85CB3"/>
    <w:rsid w:val="25BE507A"/>
    <w:rsid w:val="25C24D84"/>
    <w:rsid w:val="25C26B32"/>
    <w:rsid w:val="25C7239A"/>
    <w:rsid w:val="25C91C6F"/>
    <w:rsid w:val="25C97EC1"/>
    <w:rsid w:val="25CB3C39"/>
    <w:rsid w:val="25CE3729"/>
    <w:rsid w:val="25D16D75"/>
    <w:rsid w:val="25D6438C"/>
    <w:rsid w:val="25D84475"/>
    <w:rsid w:val="25D85D70"/>
    <w:rsid w:val="25D86356"/>
    <w:rsid w:val="25DA0320"/>
    <w:rsid w:val="25DF5936"/>
    <w:rsid w:val="25E167D1"/>
    <w:rsid w:val="25E27C61"/>
    <w:rsid w:val="25E371D4"/>
    <w:rsid w:val="25E62821"/>
    <w:rsid w:val="25EC2D81"/>
    <w:rsid w:val="25F0544D"/>
    <w:rsid w:val="25FA22AD"/>
    <w:rsid w:val="25FD4869"/>
    <w:rsid w:val="26031625"/>
    <w:rsid w:val="26170FD9"/>
    <w:rsid w:val="261F3F85"/>
    <w:rsid w:val="2624159B"/>
    <w:rsid w:val="262B73FE"/>
    <w:rsid w:val="26321F0A"/>
    <w:rsid w:val="26390AFC"/>
    <w:rsid w:val="26487037"/>
    <w:rsid w:val="264C4330"/>
    <w:rsid w:val="2652435A"/>
    <w:rsid w:val="265951C3"/>
    <w:rsid w:val="265B0A4E"/>
    <w:rsid w:val="266210F7"/>
    <w:rsid w:val="26667E05"/>
    <w:rsid w:val="266948FF"/>
    <w:rsid w:val="267267AA"/>
    <w:rsid w:val="267442D0"/>
    <w:rsid w:val="26797B39"/>
    <w:rsid w:val="267A4007"/>
    <w:rsid w:val="267F7DF9"/>
    <w:rsid w:val="26823E7F"/>
    <w:rsid w:val="26863F68"/>
    <w:rsid w:val="268A3AF4"/>
    <w:rsid w:val="268B161A"/>
    <w:rsid w:val="268D0EEE"/>
    <w:rsid w:val="268D5392"/>
    <w:rsid w:val="26914E82"/>
    <w:rsid w:val="269B34A1"/>
    <w:rsid w:val="269C3827"/>
    <w:rsid w:val="26A34BB6"/>
    <w:rsid w:val="26B50445"/>
    <w:rsid w:val="26B91CE3"/>
    <w:rsid w:val="26BF4740"/>
    <w:rsid w:val="26BF6449"/>
    <w:rsid w:val="26C07516"/>
    <w:rsid w:val="26C54B2C"/>
    <w:rsid w:val="26C74729"/>
    <w:rsid w:val="26C81D34"/>
    <w:rsid w:val="26C863CA"/>
    <w:rsid w:val="26CA0394"/>
    <w:rsid w:val="26CA2142"/>
    <w:rsid w:val="26CE68CF"/>
    <w:rsid w:val="26D46B1D"/>
    <w:rsid w:val="26D66D39"/>
    <w:rsid w:val="26E24268"/>
    <w:rsid w:val="26E256DE"/>
    <w:rsid w:val="26E825C8"/>
    <w:rsid w:val="27006243"/>
    <w:rsid w:val="270311B0"/>
    <w:rsid w:val="27090C56"/>
    <w:rsid w:val="270A253F"/>
    <w:rsid w:val="270F3FF9"/>
    <w:rsid w:val="27127645"/>
    <w:rsid w:val="27135897"/>
    <w:rsid w:val="27220408"/>
    <w:rsid w:val="27225E6C"/>
    <w:rsid w:val="2729330D"/>
    <w:rsid w:val="272D447F"/>
    <w:rsid w:val="27351CB2"/>
    <w:rsid w:val="27363334"/>
    <w:rsid w:val="273C31AA"/>
    <w:rsid w:val="273F333F"/>
    <w:rsid w:val="27497A60"/>
    <w:rsid w:val="274E68CF"/>
    <w:rsid w:val="274F2647"/>
    <w:rsid w:val="275075A7"/>
    <w:rsid w:val="275240D4"/>
    <w:rsid w:val="27606603"/>
    <w:rsid w:val="2762237B"/>
    <w:rsid w:val="2769195B"/>
    <w:rsid w:val="276E48E5"/>
    <w:rsid w:val="277057A2"/>
    <w:rsid w:val="277F2F2D"/>
    <w:rsid w:val="27845A68"/>
    <w:rsid w:val="278C7E45"/>
    <w:rsid w:val="27985D9D"/>
    <w:rsid w:val="279C6222"/>
    <w:rsid w:val="279E4847"/>
    <w:rsid w:val="27A04C51"/>
    <w:rsid w:val="27A26C1B"/>
    <w:rsid w:val="27A75FE0"/>
    <w:rsid w:val="27A97FAA"/>
    <w:rsid w:val="27AD0A2A"/>
    <w:rsid w:val="27B23302"/>
    <w:rsid w:val="27B32BD6"/>
    <w:rsid w:val="27B34984"/>
    <w:rsid w:val="27B801ED"/>
    <w:rsid w:val="27C16BAD"/>
    <w:rsid w:val="27CA4B8C"/>
    <w:rsid w:val="27CC5521"/>
    <w:rsid w:val="27CE7A10"/>
    <w:rsid w:val="27D72565"/>
    <w:rsid w:val="27DA4607"/>
    <w:rsid w:val="27E55E81"/>
    <w:rsid w:val="27EB48B5"/>
    <w:rsid w:val="27EC582C"/>
    <w:rsid w:val="27EF54D5"/>
    <w:rsid w:val="27F40C23"/>
    <w:rsid w:val="27F57127"/>
    <w:rsid w:val="27F92BDD"/>
    <w:rsid w:val="27FA0FF5"/>
    <w:rsid w:val="27FD02F5"/>
    <w:rsid w:val="27FF7BCA"/>
    <w:rsid w:val="280653FC"/>
    <w:rsid w:val="280821B4"/>
    <w:rsid w:val="280A0DE3"/>
    <w:rsid w:val="28100029"/>
    <w:rsid w:val="281025A5"/>
    <w:rsid w:val="281C077C"/>
    <w:rsid w:val="281C4009"/>
    <w:rsid w:val="281C4C20"/>
    <w:rsid w:val="28215D92"/>
    <w:rsid w:val="2827306E"/>
    <w:rsid w:val="28285372"/>
    <w:rsid w:val="2829733C"/>
    <w:rsid w:val="282C2599"/>
    <w:rsid w:val="28302479"/>
    <w:rsid w:val="28317EBB"/>
    <w:rsid w:val="28397580"/>
    <w:rsid w:val="28416434"/>
    <w:rsid w:val="28417B92"/>
    <w:rsid w:val="28463A4A"/>
    <w:rsid w:val="285A74F6"/>
    <w:rsid w:val="285C0613"/>
    <w:rsid w:val="285D60DF"/>
    <w:rsid w:val="28606AE9"/>
    <w:rsid w:val="286370EC"/>
    <w:rsid w:val="28687E65"/>
    <w:rsid w:val="286D7229"/>
    <w:rsid w:val="28706AE8"/>
    <w:rsid w:val="28710CFB"/>
    <w:rsid w:val="28754330"/>
    <w:rsid w:val="28757519"/>
    <w:rsid w:val="287C56BE"/>
    <w:rsid w:val="287F56AA"/>
    <w:rsid w:val="28802E01"/>
    <w:rsid w:val="288822B5"/>
    <w:rsid w:val="28887BBF"/>
    <w:rsid w:val="28972291"/>
    <w:rsid w:val="28991DCC"/>
    <w:rsid w:val="289F315B"/>
    <w:rsid w:val="28A42820"/>
    <w:rsid w:val="28A61620"/>
    <w:rsid w:val="28B44E58"/>
    <w:rsid w:val="28B9246E"/>
    <w:rsid w:val="28BC3D0D"/>
    <w:rsid w:val="28BD2063"/>
    <w:rsid w:val="28BE1833"/>
    <w:rsid w:val="28C130D1"/>
    <w:rsid w:val="28CA01D8"/>
    <w:rsid w:val="28CA642A"/>
    <w:rsid w:val="28D21505"/>
    <w:rsid w:val="28D50A2D"/>
    <w:rsid w:val="28D56B7C"/>
    <w:rsid w:val="28DE1ED5"/>
    <w:rsid w:val="28E15521"/>
    <w:rsid w:val="28E3573D"/>
    <w:rsid w:val="28E374EB"/>
    <w:rsid w:val="28E65517"/>
    <w:rsid w:val="28E76FDC"/>
    <w:rsid w:val="28EA2628"/>
    <w:rsid w:val="28EB4517"/>
    <w:rsid w:val="28F14099"/>
    <w:rsid w:val="28F75345"/>
    <w:rsid w:val="28F811E9"/>
    <w:rsid w:val="28F94CBB"/>
    <w:rsid w:val="29086F52"/>
    <w:rsid w:val="290C4C94"/>
    <w:rsid w:val="29127DD1"/>
    <w:rsid w:val="29161FA6"/>
    <w:rsid w:val="291D29FD"/>
    <w:rsid w:val="29206EB8"/>
    <w:rsid w:val="29310257"/>
    <w:rsid w:val="293726CA"/>
    <w:rsid w:val="293D1285"/>
    <w:rsid w:val="2940049A"/>
    <w:rsid w:val="29420EB1"/>
    <w:rsid w:val="29443F1B"/>
    <w:rsid w:val="29471828"/>
    <w:rsid w:val="294C6E3F"/>
    <w:rsid w:val="29534671"/>
    <w:rsid w:val="29595666"/>
    <w:rsid w:val="295A72F2"/>
    <w:rsid w:val="295C2DFA"/>
    <w:rsid w:val="296B2C8F"/>
    <w:rsid w:val="29827849"/>
    <w:rsid w:val="29874881"/>
    <w:rsid w:val="29883BEF"/>
    <w:rsid w:val="298C2582"/>
    <w:rsid w:val="298C3A8E"/>
    <w:rsid w:val="299060E2"/>
    <w:rsid w:val="29910CF5"/>
    <w:rsid w:val="29962E40"/>
    <w:rsid w:val="29995DFC"/>
    <w:rsid w:val="299B1B74"/>
    <w:rsid w:val="299D58EC"/>
    <w:rsid w:val="29A21154"/>
    <w:rsid w:val="29A917FA"/>
    <w:rsid w:val="29A929C2"/>
    <w:rsid w:val="29AE7AF9"/>
    <w:rsid w:val="29C03AD7"/>
    <w:rsid w:val="29C15A7E"/>
    <w:rsid w:val="29D11A3A"/>
    <w:rsid w:val="29D46E34"/>
    <w:rsid w:val="29DC16FD"/>
    <w:rsid w:val="29DF7CB3"/>
    <w:rsid w:val="29E325E0"/>
    <w:rsid w:val="29EE56A8"/>
    <w:rsid w:val="29F363AF"/>
    <w:rsid w:val="29F80D74"/>
    <w:rsid w:val="29FC1F88"/>
    <w:rsid w:val="29FF65A7"/>
    <w:rsid w:val="2A047719"/>
    <w:rsid w:val="2A0C4820"/>
    <w:rsid w:val="2A0E2346"/>
    <w:rsid w:val="2A111E36"/>
    <w:rsid w:val="2A135BAE"/>
    <w:rsid w:val="2A227FF4"/>
    <w:rsid w:val="2A247DBB"/>
    <w:rsid w:val="2A2E65DD"/>
    <w:rsid w:val="2A3006BC"/>
    <w:rsid w:val="2A337FFE"/>
    <w:rsid w:val="2A361AB2"/>
    <w:rsid w:val="2A3D0E7D"/>
    <w:rsid w:val="2A452503"/>
    <w:rsid w:val="2A484559"/>
    <w:rsid w:val="2A4915D0"/>
    <w:rsid w:val="2A4D10C0"/>
    <w:rsid w:val="2A50295E"/>
    <w:rsid w:val="2A59261C"/>
    <w:rsid w:val="2A5A37DD"/>
    <w:rsid w:val="2A5F5898"/>
    <w:rsid w:val="2A677CA8"/>
    <w:rsid w:val="2A69706E"/>
    <w:rsid w:val="2A812121"/>
    <w:rsid w:val="2A832D34"/>
    <w:rsid w:val="2A8A00B0"/>
    <w:rsid w:val="2A8C01EE"/>
    <w:rsid w:val="2A97233B"/>
    <w:rsid w:val="2AA169FC"/>
    <w:rsid w:val="2AA66A22"/>
    <w:rsid w:val="2AB70C85"/>
    <w:rsid w:val="2ABC6246"/>
    <w:rsid w:val="2ABE3D6C"/>
    <w:rsid w:val="2AC1385C"/>
    <w:rsid w:val="2ACD5ABD"/>
    <w:rsid w:val="2AD510B6"/>
    <w:rsid w:val="2AD900AD"/>
    <w:rsid w:val="2AD90BA6"/>
    <w:rsid w:val="2ADB0450"/>
    <w:rsid w:val="2ADE7705"/>
    <w:rsid w:val="2AE01F34"/>
    <w:rsid w:val="2AE12CF9"/>
    <w:rsid w:val="2AF94DA4"/>
    <w:rsid w:val="2B033E75"/>
    <w:rsid w:val="2B065713"/>
    <w:rsid w:val="2B073965"/>
    <w:rsid w:val="2B236E6B"/>
    <w:rsid w:val="2B2636BF"/>
    <w:rsid w:val="2B2D7144"/>
    <w:rsid w:val="2B373B1E"/>
    <w:rsid w:val="2B3B716B"/>
    <w:rsid w:val="2B4A3554"/>
    <w:rsid w:val="2B4C581C"/>
    <w:rsid w:val="2B4E6470"/>
    <w:rsid w:val="2B560E48"/>
    <w:rsid w:val="2B593A95"/>
    <w:rsid w:val="2B5B15BB"/>
    <w:rsid w:val="2B5D3585"/>
    <w:rsid w:val="2B5E10AB"/>
    <w:rsid w:val="2B683CD8"/>
    <w:rsid w:val="2B685DCD"/>
    <w:rsid w:val="2B6A3EF4"/>
    <w:rsid w:val="2B726905"/>
    <w:rsid w:val="2B7B1F76"/>
    <w:rsid w:val="2B7E549C"/>
    <w:rsid w:val="2B801C56"/>
    <w:rsid w:val="2B831FB3"/>
    <w:rsid w:val="2B967998"/>
    <w:rsid w:val="2B967E93"/>
    <w:rsid w:val="2B9B5E5B"/>
    <w:rsid w:val="2B9B765E"/>
    <w:rsid w:val="2BA74800"/>
    <w:rsid w:val="2BA936A8"/>
    <w:rsid w:val="2BAA2542"/>
    <w:rsid w:val="2BAC0068"/>
    <w:rsid w:val="2BAC1E16"/>
    <w:rsid w:val="2BAD231D"/>
    <w:rsid w:val="2BB0070D"/>
    <w:rsid w:val="2BB1742D"/>
    <w:rsid w:val="2BB37649"/>
    <w:rsid w:val="2BB7065F"/>
    <w:rsid w:val="2BBC33BA"/>
    <w:rsid w:val="2BBE1B4A"/>
    <w:rsid w:val="2BC2788C"/>
    <w:rsid w:val="2BC35ECA"/>
    <w:rsid w:val="2BC5112A"/>
    <w:rsid w:val="2BC5737C"/>
    <w:rsid w:val="2BCA4E1A"/>
    <w:rsid w:val="2BD02324"/>
    <w:rsid w:val="2BD355F5"/>
    <w:rsid w:val="2BD63337"/>
    <w:rsid w:val="2BD82C0B"/>
    <w:rsid w:val="2BDD46C6"/>
    <w:rsid w:val="2BDF043E"/>
    <w:rsid w:val="2BE5357A"/>
    <w:rsid w:val="2BEE68D3"/>
    <w:rsid w:val="2BF0264B"/>
    <w:rsid w:val="2BFC2476"/>
    <w:rsid w:val="2C02237E"/>
    <w:rsid w:val="2C027C88"/>
    <w:rsid w:val="2C0415FF"/>
    <w:rsid w:val="2C0530BD"/>
    <w:rsid w:val="2C071743"/>
    <w:rsid w:val="2C0C6D59"/>
    <w:rsid w:val="2C0D0457"/>
    <w:rsid w:val="2C161986"/>
    <w:rsid w:val="2C2220D9"/>
    <w:rsid w:val="2C2422F5"/>
    <w:rsid w:val="2C2C11A9"/>
    <w:rsid w:val="2C2C2F57"/>
    <w:rsid w:val="2C315A5A"/>
    <w:rsid w:val="2C3562B0"/>
    <w:rsid w:val="2C365B84"/>
    <w:rsid w:val="2C3E084B"/>
    <w:rsid w:val="2C424529"/>
    <w:rsid w:val="2C464019"/>
    <w:rsid w:val="2C4B1C25"/>
    <w:rsid w:val="2C4E1120"/>
    <w:rsid w:val="2C5129BE"/>
    <w:rsid w:val="2C552BD0"/>
    <w:rsid w:val="2C5A3F68"/>
    <w:rsid w:val="2C5C383D"/>
    <w:rsid w:val="2C5D1363"/>
    <w:rsid w:val="2C5F50DB"/>
    <w:rsid w:val="2C622E1D"/>
    <w:rsid w:val="2C660DE9"/>
    <w:rsid w:val="2C66290D"/>
    <w:rsid w:val="2C6737E0"/>
    <w:rsid w:val="2C6D70D4"/>
    <w:rsid w:val="2C7C3EDF"/>
    <w:rsid w:val="2C7C5C8D"/>
    <w:rsid w:val="2C815BF8"/>
    <w:rsid w:val="2C864D5D"/>
    <w:rsid w:val="2C8A6F15"/>
    <w:rsid w:val="2C8B5ED0"/>
    <w:rsid w:val="2C8C39F6"/>
    <w:rsid w:val="2CA42CDA"/>
    <w:rsid w:val="2CA70830"/>
    <w:rsid w:val="2CA71EDE"/>
    <w:rsid w:val="2CAC6BBE"/>
    <w:rsid w:val="2CB01DDA"/>
    <w:rsid w:val="2CB045F2"/>
    <w:rsid w:val="2CB516B1"/>
    <w:rsid w:val="2CB573F1"/>
    <w:rsid w:val="2CC57804"/>
    <w:rsid w:val="2CC82C80"/>
    <w:rsid w:val="2CDA29B3"/>
    <w:rsid w:val="2CDD1E68"/>
    <w:rsid w:val="2CDE24A4"/>
    <w:rsid w:val="2CDF446E"/>
    <w:rsid w:val="2CE61358"/>
    <w:rsid w:val="2CEB696E"/>
    <w:rsid w:val="2CF15C36"/>
    <w:rsid w:val="2CFE2B46"/>
    <w:rsid w:val="2D023AC7"/>
    <w:rsid w:val="2D0637A8"/>
    <w:rsid w:val="2D104627"/>
    <w:rsid w:val="2D12214D"/>
    <w:rsid w:val="2D1934DC"/>
    <w:rsid w:val="2D1A7254"/>
    <w:rsid w:val="2D214C54"/>
    <w:rsid w:val="2D236108"/>
    <w:rsid w:val="2D241E80"/>
    <w:rsid w:val="2D2C4010"/>
    <w:rsid w:val="2D320A41"/>
    <w:rsid w:val="2D3B78F6"/>
    <w:rsid w:val="2D3C0C59"/>
    <w:rsid w:val="2D426ED6"/>
    <w:rsid w:val="2D4367AA"/>
    <w:rsid w:val="2D4E247D"/>
    <w:rsid w:val="2D4F6EFD"/>
    <w:rsid w:val="2D522A8E"/>
    <w:rsid w:val="2D6329A9"/>
    <w:rsid w:val="2D637B50"/>
    <w:rsid w:val="2D6D0FAE"/>
    <w:rsid w:val="2D6F43B5"/>
    <w:rsid w:val="2D714FD8"/>
    <w:rsid w:val="2D766C38"/>
    <w:rsid w:val="2D7909AF"/>
    <w:rsid w:val="2D7B5F44"/>
    <w:rsid w:val="2D83304B"/>
    <w:rsid w:val="2D865CBC"/>
    <w:rsid w:val="2D865EFD"/>
    <w:rsid w:val="2D870D8D"/>
    <w:rsid w:val="2D9016E9"/>
    <w:rsid w:val="2D947006"/>
    <w:rsid w:val="2D997F86"/>
    <w:rsid w:val="2D9E56F5"/>
    <w:rsid w:val="2DB17BB8"/>
    <w:rsid w:val="2DBA12B4"/>
    <w:rsid w:val="2DBB4593"/>
    <w:rsid w:val="2DBE4083"/>
    <w:rsid w:val="2DD97388"/>
    <w:rsid w:val="2DE17B4B"/>
    <w:rsid w:val="2DEE27CB"/>
    <w:rsid w:val="2DF06932"/>
    <w:rsid w:val="2DF950BB"/>
    <w:rsid w:val="2DFB7085"/>
    <w:rsid w:val="2DFD23B2"/>
    <w:rsid w:val="2E0B3CB5"/>
    <w:rsid w:val="2E0E0B66"/>
    <w:rsid w:val="2E0F397A"/>
    <w:rsid w:val="2E141EF5"/>
    <w:rsid w:val="2E187C37"/>
    <w:rsid w:val="2E1A575D"/>
    <w:rsid w:val="2E1B7727"/>
    <w:rsid w:val="2E293BF2"/>
    <w:rsid w:val="2E2C5491"/>
    <w:rsid w:val="2E3031D3"/>
    <w:rsid w:val="2E3A195C"/>
    <w:rsid w:val="2E3B6FDF"/>
    <w:rsid w:val="2E3E510A"/>
    <w:rsid w:val="2E424CB4"/>
    <w:rsid w:val="2E494294"/>
    <w:rsid w:val="2E4F03E8"/>
    <w:rsid w:val="2E5C3FC8"/>
    <w:rsid w:val="2E5E5FDC"/>
    <w:rsid w:val="2E6649C2"/>
    <w:rsid w:val="2E667F96"/>
    <w:rsid w:val="2E690493"/>
    <w:rsid w:val="2E693FEF"/>
    <w:rsid w:val="2E7263B8"/>
    <w:rsid w:val="2E755089"/>
    <w:rsid w:val="2E755888"/>
    <w:rsid w:val="2E756E38"/>
    <w:rsid w:val="2E7C1194"/>
    <w:rsid w:val="2E8226AB"/>
    <w:rsid w:val="2E8250B1"/>
    <w:rsid w:val="2E8D23D3"/>
    <w:rsid w:val="2E9077CD"/>
    <w:rsid w:val="2E9A064C"/>
    <w:rsid w:val="2E9D013C"/>
    <w:rsid w:val="2EA627E9"/>
    <w:rsid w:val="2EA9088F"/>
    <w:rsid w:val="2EAA1D29"/>
    <w:rsid w:val="2EB01C1E"/>
    <w:rsid w:val="2EB21A4B"/>
    <w:rsid w:val="2EBD70F0"/>
    <w:rsid w:val="2EC102CF"/>
    <w:rsid w:val="2EC21951"/>
    <w:rsid w:val="2EC4391B"/>
    <w:rsid w:val="2EC8514E"/>
    <w:rsid w:val="2ECB6A58"/>
    <w:rsid w:val="2ECE6548"/>
    <w:rsid w:val="2EE87609"/>
    <w:rsid w:val="2EEA15D4"/>
    <w:rsid w:val="2EED69CE"/>
    <w:rsid w:val="2EEF68AE"/>
    <w:rsid w:val="2EF109F7"/>
    <w:rsid w:val="2EF11059"/>
    <w:rsid w:val="2EF81211"/>
    <w:rsid w:val="2EFC1307"/>
    <w:rsid w:val="2F056713"/>
    <w:rsid w:val="2F0710CD"/>
    <w:rsid w:val="2F097580"/>
    <w:rsid w:val="2F0F103A"/>
    <w:rsid w:val="2F106B60"/>
    <w:rsid w:val="2F1523C9"/>
    <w:rsid w:val="2F283EAA"/>
    <w:rsid w:val="2F2A7C22"/>
    <w:rsid w:val="2F320B6B"/>
    <w:rsid w:val="2F333D3D"/>
    <w:rsid w:val="2F3A3BDD"/>
    <w:rsid w:val="2F3E36CD"/>
    <w:rsid w:val="2F3E6A26"/>
    <w:rsid w:val="2F4131BE"/>
    <w:rsid w:val="2F416D1A"/>
    <w:rsid w:val="2F453950"/>
    <w:rsid w:val="2F50491D"/>
    <w:rsid w:val="2F51692D"/>
    <w:rsid w:val="2F527179"/>
    <w:rsid w:val="2F5326D9"/>
    <w:rsid w:val="2F594063"/>
    <w:rsid w:val="2F6A0524"/>
    <w:rsid w:val="2F6C2C52"/>
    <w:rsid w:val="2F6F1AD9"/>
    <w:rsid w:val="2F745341"/>
    <w:rsid w:val="2F75643D"/>
    <w:rsid w:val="2F7A4FE1"/>
    <w:rsid w:val="2F81180C"/>
    <w:rsid w:val="2F8310E0"/>
    <w:rsid w:val="2F8A246F"/>
    <w:rsid w:val="2F8A7B73"/>
    <w:rsid w:val="2F8C4439"/>
    <w:rsid w:val="2F8D6403"/>
    <w:rsid w:val="2F947791"/>
    <w:rsid w:val="2F971030"/>
    <w:rsid w:val="2F98613C"/>
    <w:rsid w:val="2F9B28CE"/>
    <w:rsid w:val="2F9C03F4"/>
    <w:rsid w:val="2F9E5F1A"/>
    <w:rsid w:val="2FAB0637"/>
    <w:rsid w:val="2FB75AD9"/>
    <w:rsid w:val="2FBF4C28"/>
    <w:rsid w:val="2FC040E2"/>
    <w:rsid w:val="2FC54BD5"/>
    <w:rsid w:val="2FC736C3"/>
    <w:rsid w:val="2FCA23FB"/>
    <w:rsid w:val="2FD065E6"/>
    <w:rsid w:val="2FD96870"/>
    <w:rsid w:val="2FDB2CCA"/>
    <w:rsid w:val="2FDE27BA"/>
    <w:rsid w:val="2FE204FD"/>
    <w:rsid w:val="2FE813FF"/>
    <w:rsid w:val="2FED0C50"/>
    <w:rsid w:val="2FF10740"/>
    <w:rsid w:val="2FF417D9"/>
    <w:rsid w:val="2FF87CE2"/>
    <w:rsid w:val="2FFD5337"/>
    <w:rsid w:val="30055F99"/>
    <w:rsid w:val="301601A6"/>
    <w:rsid w:val="301A5EE8"/>
    <w:rsid w:val="301D1535"/>
    <w:rsid w:val="301F11A1"/>
    <w:rsid w:val="3027135E"/>
    <w:rsid w:val="302C1778"/>
    <w:rsid w:val="302C41BF"/>
    <w:rsid w:val="3034687E"/>
    <w:rsid w:val="30354AC1"/>
    <w:rsid w:val="303845C1"/>
    <w:rsid w:val="30470360"/>
    <w:rsid w:val="304765B2"/>
    <w:rsid w:val="304B2CD7"/>
    <w:rsid w:val="304C1E1A"/>
    <w:rsid w:val="304E60C9"/>
    <w:rsid w:val="30564A47"/>
    <w:rsid w:val="305807BF"/>
    <w:rsid w:val="30580BC9"/>
    <w:rsid w:val="305C17DC"/>
    <w:rsid w:val="305D4027"/>
    <w:rsid w:val="305D7B83"/>
    <w:rsid w:val="30677CC3"/>
    <w:rsid w:val="3069477A"/>
    <w:rsid w:val="30696528"/>
    <w:rsid w:val="306C499E"/>
    <w:rsid w:val="306D1CDD"/>
    <w:rsid w:val="3071362F"/>
    <w:rsid w:val="30717AD3"/>
    <w:rsid w:val="307750E9"/>
    <w:rsid w:val="30790215"/>
    <w:rsid w:val="307F7AFA"/>
    <w:rsid w:val="30856D74"/>
    <w:rsid w:val="30874C00"/>
    <w:rsid w:val="3088482C"/>
    <w:rsid w:val="30963095"/>
    <w:rsid w:val="309A0DD7"/>
    <w:rsid w:val="309F26DC"/>
    <w:rsid w:val="30A210BB"/>
    <w:rsid w:val="30A47560"/>
    <w:rsid w:val="30B005FB"/>
    <w:rsid w:val="30B06208"/>
    <w:rsid w:val="30B654E5"/>
    <w:rsid w:val="30B6764F"/>
    <w:rsid w:val="30C16364"/>
    <w:rsid w:val="30C3032E"/>
    <w:rsid w:val="30C916BD"/>
    <w:rsid w:val="30CB4154"/>
    <w:rsid w:val="30D2231F"/>
    <w:rsid w:val="30D64795"/>
    <w:rsid w:val="30DE7DF6"/>
    <w:rsid w:val="30E14826"/>
    <w:rsid w:val="30E6401D"/>
    <w:rsid w:val="30E67A18"/>
    <w:rsid w:val="30E97669"/>
    <w:rsid w:val="30EC3B26"/>
    <w:rsid w:val="30FC62CE"/>
    <w:rsid w:val="30FE1366"/>
    <w:rsid w:val="31077AEF"/>
    <w:rsid w:val="310E0E7D"/>
    <w:rsid w:val="311E2ED7"/>
    <w:rsid w:val="311F01AA"/>
    <w:rsid w:val="31283E9E"/>
    <w:rsid w:val="313528AE"/>
    <w:rsid w:val="31363C5A"/>
    <w:rsid w:val="313A7EC4"/>
    <w:rsid w:val="313C67CB"/>
    <w:rsid w:val="31462D0D"/>
    <w:rsid w:val="314F0BAC"/>
    <w:rsid w:val="31523460"/>
    <w:rsid w:val="315619EE"/>
    <w:rsid w:val="315C449C"/>
    <w:rsid w:val="315F16D9"/>
    <w:rsid w:val="316D3DF6"/>
    <w:rsid w:val="31776293"/>
    <w:rsid w:val="317C0BB2"/>
    <w:rsid w:val="317D2F0E"/>
    <w:rsid w:val="31812F03"/>
    <w:rsid w:val="31880C30"/>
    <w:rsid w:val="31897A1D"/>
    <w:rsid w:val="318A49A8"/>
    <w:rsid w:val="318F76FD"/>
    <w:rsid w:val="31975317"/>
    <w:rsid w:val="319C0B7F"/>
    <w:rsid w:val="31AA26BD"/>
    <w:rsid w:val="31B02BC3"/>
    <w:rsid w:val="31B5579D"/>
    <w:rsid w:val="31B61C41"/>
    <w:rsid w:val="31B82709"/>
    <w:rsid w:val="31B9703B"/>
    <w:rsid w:val="31BE16BE"/>
    <w:rsid w:val="31C64C77"/>
    <w:rsid w:val="31CA56EC"/>
    <w:rsid w:val="31D05482"/>
    <w:rsid w:val="31D77C6C"/>
    <w:rsid w:val="31D82DA0"/>
    <w:rsid w:val="31D976DD"/>
    <w:rsid w:val="31E00A6C"/>
    <w:rsid w:val="31E06CBE"/>
    <w:rsid w:val="31E340B8"/>
    <w:rsid w:val="31E72B18"/>
    <w:rsid w:val="31E83DC4"/>
    <w:rsid w:val="31E87920"/>
    <w:rsid w:val="31EA3AD2"/>
    <w:rsid w:val="31EC7411"/>
    <w:rsid w:val="31F167D5"/>
    <w:rsid w:val="31F73668"/>
    <w:rsid w:val="31FB0829"/>
    <w:rsid w:val="31FB58A6"/>
    <w:rsid w:val="31FE5396"/>
    <w:rsid w:val="320329AC"/>
    <w:rsid w:val="320E382B"/>
    <w:rsid w:val="321446BC"/>
    <w:rsid w:val="32144BB9"/>
    <w:rsid w:val="3229664C"/>
    <w:rsid w:val="322C5A5F"/>
    <w:rsid w:val="322E7F73"/>
    <w:rsid w:val="32307F91"/>
    <w:rsid w:val="32340DB8"/>
    <w:rsid w:val="323B68C8"/>
    <w:rsid w:val="323C0139"/>
    <w:rsid w:val="32400B34"/>
    <w:rsid w:val="324803BF"/>
    <w:rsid w:val="324A2389"/>
    <w:rsid w:val="324F79A0"/>
    <w:rsid w:val="32537490"/>
    <w:rsid w:val="325762E9"/>
    <w:rsid w:val="325A081E"/>
    <w:rsid w:val="325F4087"/>
    <w:rsid w:val="32690A61"/>
    <w:rsid w:val="326C0551"/>
    <w:rsid w:val="32774C9D"/>
    <w:rsid w:val="327F6965"/>
    <w:rsid w:val="32892EB1"/>
    <w:rsid w:val="32902492"/>
    <w:rsid w:val="3291620A"/>
    <w:rsid w:val="329B0E37"/>
    <w:rsid w:val="329B2482"/>
    <w:rsid w:val="329E63D6"/>
    <w:rsid w:val="329E6876"/>
    <w:rsid w:val="32AA557F"/>
    <w:rsid w:val="32AC63FD"/>
    <w:rsid w:val="32AF0F16"/>
    <w:rsid w:val="32BA12BD"/>
    <w:rsid w:val="32BB5035"/>
    <w:rsid w:val="32BD0DAD"/>
    <w:rsid w:val="32BF68D3"/>
    <w:rsid w:val="32C20171"/>
    <w:rsid w:val="32C263C3"/>
    <w:rsid w:val="32C4213C"/>
    <w:rsid w:val="32C65398"/>
    <w:rsid w:val="32CA5D21"/>
    <w:rsid w:val="32CC7242"/>
    <w:rsid w:val="32CF16F0"/>
    <w:rsid w:val="32D103B5"/>
    <w:rsid w:val="32D22AAA"/>
    <w:rsid w:val="32D3286F"/>
    <w:rsid w:val="32D51F02"/>
    <w:rsid w:val="32D74F8B"/>
    <w:rsid w:val="32DB1C5F"/>
    <w:rsid w:val="32DC07E9"/>
    <w:rsid w:val="32E011BC"/>
    <w:rsid w:val="32F81DE5"/>
    <w:rsid w:val="32FF4F22"/>
    <w:rsid w:val="330864CC"/>
    <w:rsid w:val="33093FF2"/>
    <w:rsid w:val="3310712F"/>
    <w:rsid w:val="33143E72"/>
    <w:rsid w:val="331A0E28"/>
    <w:rsid w:val="33244988"/>
    <w:rsid w:val="333015F2"/>
    <w:rsid w:val="33353039"/>
    <w:rsid w:val="33354DE7"/>
    <w:rsid w:val="33360E83"/>
    <w:rsid w:val="333A4076"/>
    <w:rsid w:val="333C43C8"/>
    <w:rsid w:val="334362DF"/>
    <w:rsid w:val="334B6320"/>
    <w:rsid w:val="33501C21"/>
    <w:rsid w:val="335039CF"/>
    <w:rsid w:val="33550C7E"/>
    <w:rsid w:val="33572FB0"/>
    <w:rsid w:val="33574D5E"/>
    <w:rsid w:val="33661445"/>
    <w:rsid w:val="33721B98"/>
    <w:rsid w:val="33723946"/>
    <w:rsid w:val="33751688"/>
    <w:rsid w:val="337551E4"/>
    <w:rsid w:val="33784CD4"/>
    <w:rsid w:val="33791178"/>
    <w:rsid w:val="3381002D"/>
    <w:rsid w:val="33811DDB"/>
    <w:rsid w:val="33880521"/>
    <w:rsid w:val="33884C89"/>
    <w:rsid w:val="33955886"/>
    <w:rsid w:val="339715FE"/>
    <w:rsid w:val="33985E4B"/>
    <w:rsid w:val="339C09C3"/>
    <w:rsid w:val="33A73C0B"/>
    <w:rsid w:val="33A930DF"/>
    <w:rsid w:val="33AF6948"/>
    <w:rsid w:val="33BA52ED"/>
    <w:rsid w:val="33D04B10"/>
    <w:rsid w:val="33D26ADA"/>
    <w:rsid w:val="33D934D4"/>
    <w:rsid w:val="33D94D15"/>
    <w:rsid w:val="33F05F81"/>
    <w:rsid w:val="33FE2F6A"/>
    <w:rsid w:val="340D18C0"/>
    <w:rsid w:val="340E07E5"/>
    <w:rsid w:val="34154EC0"/>
    <w:rsid w:val="34164C19"/>
    <w:rsid w:val="3417273F"/>
    <w:rsid w:val="341964B7"/>
    <w:rsid w:val="341D53C2"/>
    <w:rsid w:val="34235BF7"/>
    <w:rsid w:val="3424665F"/>
    <w:rsid w:val="342C1B96"/>
    <w:rsid w:val="342D3D10"/>
    <w:rsid w:val="34325630"/>
    <w:rsid w:val="34360E17"/>
    <w:rsid w:val="343A2E06"/>
    <w:rsid w:val="343A6584"/>
    <w:rsid w:val="343B642D"/>
    <w:rsid w:val="343E5F1E"/>
    <w:rsid w:val="3442156A"/>
    <w:rsid w:val="3449546D"/>
    <w:rsid w:val="344C4CE6"/>
    <w:rsid w:val="346314E0"/>
    <w:rsid w:val="346911EC"/>
    <w:rsid w:val="346F4329"/>
    <w:rsid w:val="34766943"/>
    <w:rsid w:val="34790D04"/>
    <w:rsid w:val="347A5636"/>
    <w:rsid w:val="348345EA"/>
    <w:rsid w:val="34852CE8"/>
    <w:rsid w:val="348558FB"/>
    <w:rsid w:val="348B094A"/>
    <w:rsid w:val="34922D65"/>
    <w:rsid w:val="34944148"/>
    <w:rsid w:val="34955E0D"/>
    <w:rsid w:val="34967B08"/>
    <w:rsid w:val="349B511E"/>
    <w:rsid w:val="34A51AF9"/>
    <w:rsid w:val="34A75871"/>
    <w:rsid w:val="34CE1050"/>
    <w:rsid w:val="34D16D92"/>
    <w:rsid w:val="34D83C7C"/>
    <w:rsid w:val="34DD7FD7"/>
    <w:rsid w:val="34DF18A1"/>
    <w:rsid w:val="34E76749"/>
    <w:rsid w:val="34EA0F7E"/>
    <w:rsid w:val="34EA672F"/>
    <w:rsid w:val="34EB400E"/>
    <w:rsid w:val="34EF0FC6"/>
    <w:rsid w:val="34F14D3E"/>
    <w:rsid w:val="34F175AC"/>
    <w:rsid w:val="34F32864"/>
    <w:rsid w:val="34F76440"/>
    <w:rsid w:val="34FA7124"/>
    <w:rsid w:val="34FF38FF"/>
    <w:rsid w:val="35011425"/>
    <w:rsid w:val="35084A5A"/>
    <w:rsid w:val="350C584B"/>
    <w:rsid w:val="350E6182"/>
    <w:rsid w:val="3511259B"/>
    <w:rsid w:val="35303AB8"/>
    <w:rsid w:val="35327830"/>
    <w:rsid w:val="35361996"/>
    <w:rsid w:val="353B0B96"/>
    <w:rsid w:val="353D7ECD"/>
    <w:rsid w:val="3547401B"/>
    <w:rsid w:val="354B26A0"/>
    <w:rsid w:val="354B444E"/>
    <w:rsid w:val="354B6B44"/>
    <w:rsid w:val="355F439E"/>
    <w:rsid w:val="355F7A83"/>
    <w:rsid w:val="356117C0"/>
    <w:rsid w:val="35613C72"/>
    <w:rsid w:val="35645510"/>
    <w:rsid w:val="35690197"/>
    <w:rsid w:val="356B39F2"/>
    <w:rsid w:val="356E638F"/>
    <w:rsid w:val="35700359"/>
    <w:rsid w:val="35702107"/>
    <w:rsid w:val="35753BC1"/>
    <w:rsid w:val="3576042A"/>
    <w:rsid w:val="35777939"/>
    <w:rsid w:val="357C378E"/>
    <w:rsid w:val="35845BB2"/>
    <w:rsid w:val="358833D3"/>
    <w:rsid w:val="358A04BA"/>
    <w:rsid w:val="358A1913"/>
    <w:rsid w:val="358C5FA8"/>
    <w:rsid w:val="3592207D"/>
    <w:rsid w:val="35957DBF"/>
    <w:rsid w:val="359A3628"/>
    <w:rsid w:val="35A436A6"/>
    <w:rsid w:val="35A65B28"/>
    <w:rsid w:val="35A729BD"/>
    <w:rsid w:val="35AB313F"/>
    <w:rsid w:val="35B446E9"/>
    <w:rsid w:val="35B77D36"/>
    <w:rsid w:val="35BF241C"/>
    <w:rsid w:val="35BF4E3C"/>
    <w:rsid w:val="35C0308E"/>
    <w:rsid w:val="35C15DF1"/>
    <w:rsid w:val="35C6441D"/>
    <w:rsid w:val="35C661CB"/>
    <w:rsid w:val="35D2691D"/>
    <w:rsid w:val="35D648E1"/>
    <w:rsid w:val="35DF103A"/>
    <w:rsid w:val="35E04276"/>
    <w:rsid w:val="35E14DB3"/>
    <w:rsid w:val="35E234DE"/>
    <w:rsid w:val="35E36D7D"/>
    <w:rsid w:val="35E86141"/>
    <w:rsid w:val="35E87EEF"/>
    <w:rsid w:val="35EA1EB9"/>
    <w:rsid w:val="35F168B6"/>
    <w:rsid w:val="35F726A4"/>
    <w:rsid w:val="35FF1C9C"/>
    <w:rsid w:val="3600792F"/>
    <w:rsid w:val="36074A7F"/>
    <w:rsid w:val="360D3DFA"/>
    <w:rsid w:val="360F1920"/>
    <w:rsid w:val="361C5DEB"/>
    <w:rsid w:val="36317AE8"/>
    <w:rsid w:val="36331F6A"/>
    <w:rsid w:val="36386BF4"/>
    <w:rsid w:val="36580A84"/>
    <w:rsid w:val="36614A28"/>
    <w:rsid w:val="366524CE"/>
    <w:rsid w:val="366A2FFA"/>
    <w:rsid w:val="36765003"/>
    <w:rsid w:val="367B6FB5"/>
    <w:rsid w:val="367E6F64"/>
    <w:rsid w:val="3683531E"/>
    <w:rsid w:val="36897924"/>
    <w:rsid w:val="368E43CC"/>
    <w:rsid w:val="36923549"/>
    <w:rsid w:val="36985DB9"/>
    <w:rsid w:val="3699743B"/>
    <w:rsid w:val="36A858D0"/>
    <w:rsid w:val="36AE1141"/>
    <w:rsid w:val="36AE1EFF"/>
    <w:rsid w:val="36AF3103"/>
    <w:rsid w:val="36B75FBF"/>
    <w:rsid w:val="36B800CA"/>
    <w:rsid w:val="36BD0C45"/>
    <w:rsid w:val="36C941C4"/>
    <w:rsid w:val="36CA098C"/>
    <w:rsid w:val="36CA5847"/>
    <w:rsid w:val="36D05553"/>
    <w:rsid w:val="36D16BD5"/>
    <w:rsid w:val="36D641EB"/>
    <w:rsid w:val="36DA1F2E"/>
    <w:rsid w:val="36DB7A54"/>
    <w:rsid w:val="36EA766D"/>
    <w:rsid w:val="36F42713"/>
    <w:rsid w:val="36FF1994"/>
    <w:rsid w:val="37024FE0"/>
    <w:rsid w:val="37157131"/>
    <w:rsid w:val="37164F30"/>
    <w:rsid w:val="37176727"/>
    <w:rsid w:val="371A3A35"/>
    <w:rsid w:val="371A67CE"/>
    <w:rsid w:val="371B2546"/>
    <w:rsid w:val="371E516A"/>
    <w:rsid w:val="37247B3B"/>
    <w:rsid w:val="372C4753"/>
    <w:rsid w:val="372D5981"/>
    <w:rsid w:val="37335AE2"/>
    <w:rsid w:val="373A088D"/>
    <w:rsid w:val="37405466"/>
    <w:rsid w:val="37427AD3"/>
    <w:rsid w:val="3744173B"/>
    <w:rsid w:val="374750E9"/>
    <w:rsid w:val="37492C50"/>
    <w:rsid w:val="3750295A"/>
    <w:rsid w:val="37503F9E"/>
    <w:rsid w:val="37531CE0"/>
    <w:rsid w:val="375515B4"/>
    <w:rsid w:val="3755424A"/>
    <w:rsid w:val="375B2943"/>
    <w:rsid w:val="377162A5"/>
    <w:rsid w:val="377A54BF"/>
    <w:rsid w:val="377C2FE5"/>
    <w:rsid w:val="377C30F4"/>
    <w:rsid w:val="377C62BE"/>
    <w:rsid w:val="37831A01"/>
    <w:rsid w:val="378620B5"/>
    <w:rsid w:val="378B3228"/>
    <w:rsid w:val="378B76CC"/>
    <w:rsid w:val="378C441F"/>
    <w:rsid w:val="37930F72"/>
    <w:rsid w:val="379453F2"/>
    <w:rsid w:val="37964132"/>
    <w:rsid w:val="379F3B1C"/>
    <w:rsid w:val="37B95FE7"/>
    <w:rsid w:val="37C01999"/>
    <w:rsid w:val="37CD3411"/>
    <w:rsid w:val="37D348D5"/>
    <w:rsid w:val="37D44BCF"/>
    <w:rsid w:val="37DC7F27"/>
    <w:rsid w:val="37DD75E9"/>
    <w:rsid w:val="37E00298"/>
    <w:rsid w:val="37E144BE"/>
    <w:rsid w:val="37E312B6"/>
    <w:rsid w:val="37EB4955"/>
    <w:rsid w:val="37ED3EE3"/>
    <w:rsid w:val="37F17D1B"/>
    <w:rsid w:val="37F214F9"/>
    <w:rsid w:val="37F42A61"/>
    <w:rsid w:val="37F7266B"/>
    <w:rsid w:val="37FE2818"/>
    <w:rsid w:val="38022311"/>
    <w:rsid w:val="38080D1C"/>
    <w:rsid w:val="381E22EE"/>
    <w:rsid w:val="38206066"/>
    <w:rsid w:val="382471D8"/>
    <w:rsid w:val="382A0958"/>
    <w:rsid w:val="382B0567"/>
    <w:rsid w:val="383218F5"/>
    <w:rsid w:val="383564AA"/>
    <w:rsid w:val="383640AE"/>
    <w:rsid w:val="383B4C4E"/>
    <w:rsid w:val="385775AE"/>
    <w:rsid w:val="38593326"/>
    <w:rsid w:val="38602906"/>
    <w:rsid w:val="386046B4"/>
    <w:rsid w:val="386A108F"/>
    <w:rsid w:val="386B4E07"/>
    <w:rsid w:val="386D1B9B"/>
    <w:rsid w:val="38763ED8"/>
    <w:rsid w:val="388859B9"/>
    <w:rsid w:val="388A1731"/>
    <w:rsid w:val="388A29E5"/>
    <w:rsid w:val="388D2FD0"/>
    <w:rsid w:val="3894610C"/>
    <w:rsid w:val="389D14F6"/>
    <w:rsid w:val="38AF1198"/>
    <w:rsid w:val="38AF6920"/>
    <w:rsid w:val="38B13162"/>
    <w:rsid w:val="38B302F9"/>
    <w:rsid w:val="38B95DB6"/>
    <w:rsid w:val="38C5276A"/>
    <w:rsid w:val="38C97C97"/>
    <w:rsid w:val="38D539D2"/>
    <w:rsid w:val="38EA21D0"/>
    <w:rsid w:val="38F12CD3"/>
    <w:rsid w:val="38F60B75"/>
    <w:rsid w:val="38F66CB3"/>
    <w:rsid w:val="38F94775"/>
    <w:rsid w:val="39001EC6"/>
    <w:rsid w:val="39092B0C"/>
    <w:rsid w:val="39167469"/>
    <w:rsid w:val="39180AEB"/>
    <w:rsid w:val="392751D2"/>
    <w:rsid w:val="392971ED"/>
    <w:rsid w:val="39316051"/>
    <w:rsid w:val="39325651"/>
    <w:rsid w:val="39330871"/>
    <w:rsid w:val="39335925"/>
    <w:rsid w:val="393671C3"/>
    <w:rsid w:val="39486B76"/>
    <w:rsid w:val="395D6E46"/>
    <w:rsid w:val="395E6D83"/>
    <w:rsid w:val="395F2BBE"/>
    <w:rsid w:val="39602492"/>
    <w:rsid w:val="39627FB8"/>
    <w:rsid w:val="39651AE0"/>
    <w:rsid w:val="39681232"/>
    <w:rsid w:val="3973370F"/>
    <w:rsid w:val="397845BB"/>
    <w:rsid w:val="397A3554"/>
    <w:rsid w:val="397F500E"/>
    <w:rsid w:val="398E4E20"/>
    <w:rsid w:val="399647E7"/>
    <w:rsid w:val="39972053"/>
    <w:rsid w:val="399C796E"/>
    <w:rsid w:val="39A16D33"/>
    <w:rsid w:val="39A71E6F"/>
    <w:rsid w:val="39AC4D26"/>
    <w:rsid w:val="39C26CA9"/>
    <w:rsid w:val="39C62C3D"/>
    <w:rsid w:val="39CD5D7A"/>
    <w:rsid w:val="39D43EAE"/>
    <w:rsid w:val="39EF7F12"/>
    <w:rsid w:val="39F02433"/>
    <w:rsid w:val="39F349A4"/>
    <w:rsid w:val="39F41558"/>
    <w:rsid w:val="39F6132E"/>
    <w:rsid w:val="39FE0DF6"/>
    <w:rsid w:val="3A06303A"/>
    <w:rsid w:val="3A064DE8"/>
    <w:rsid w:val="3A086314"/>
    <w:rsid w:val="3A0B68A2"/>
    <w:rsid w:val="3A114E8D"/>
    <w:rsid w:val="3A1324C0"/>
    <w:rsid w:val="3A1F310B"/>
    <w:rsid w:val="3A282FB0"/>
    <w:rsid w:val="3A296D28"/>
    <w:rsid w:val="3A2B484E"/>
    <w:rsid w:val="3A3C63F4"/>
    <w:rsid w:val="3A3E27D3"/>
    <w:rsid w:val="3A5F0CB3"/>
    <w:rsid w:val="3A663AD8"/>
    <w:rsid w:val="3A872856"/>
    <w:rsid w:val="3A8F302F"/>
    <w:rsid w:val="3A96260F"/>
    <w:rsid w:val="3A9643BE"/>
    <w:rsid w:val="3A9B19D4"/>
    <w:rsid w:val="3AA06FEA"/>
    <w:rsid w:val="3AA82343"/>
    <w:rsid w:val="3AAC3E2E"/>
    <w:rsid w:val="3AB24F6F"/>
    <w:rsid w:val="3AB605BC"/>
    <w:rsid w:val="3AC70A1B"/>
    <w:rsid w:val="3AC727C9"/>
    <w:rsid w:val="3AC86014"/>
    <w:rsid w:val="3ACA4067"/>
    <w:rsid w:val="3ACB3A85"/>
    <w:rsid w:val="3ACE7FFB"/>
    <w:rsid w:val="3AD13648"/>
    <w:rsid w:val="3AD35612"/>
    <w:rsid w:val="3AD60C5E"/>
    <w:rsid w:val="3ADB44C6"/>
    <w:rsid w:val="3ADC3D9A"/>
    <w:rsid w:val="3ADE7B13"/>
    <w:rsid w:val="3AE315CD"/>
    <w:rsid w:val="3AE3422F"/>
    <w:rsid w:val="3AE710BD"/>
    <w:rsid w:val="3AEA295B"/>
    <w:rsid w:val="3AED0A90"/>
    <w:rsid w:val="3AF235BE"/>
    <w:rsid w:val="3AF47336"/>
    <w:rsid w:val="3B023801"/>
    <w:rsid w:val="3B0357CB"/>
    <w:rsid w:val="3B051543"/>
    <w:rsid w:val="3B0532F1"/>
    <w:rsid w:val="3B091033"/>
    <w:rsid w:val="3B094DAD"/>
    <w:rsid w:val="3B0C4680"/>
    <w:rsid w:val="3B0D21A6"/>
    <w:rsid w:val="3B14620F"/>
    <w:rsid w:val="3B1A3241"/>
    <w:rsid w:val="3B275439"/>
    <w:rsid w:val="3B2E0A9A"/>
    <w:rsid w:val="3B351E28"/>
    <w:rsid w:val="3B3763D1"/>
    <w:rsid w:val="3B516536"/>
    <w:rsid w:val="3B567FF1"/>
    <w:rsid w:val="3B5A799A"/>
    <w:rsid w:val="3B5E2A01"/>
    <w:rsid w:val="3B6405FB"/>
    <w:rsid w:val="3B6A7640"/>
    <w:rsid w:val="3B793FC8"/>
    <w:rsid w:val="3B7F12F6"/>
    <w:rsid w:val="3B8B1A48"/>
    <w:rsid w:val="3B8C57C0"/>
    <w:rsid w:val="3B8E1539"/>
    <w:rsid w:val="3B902943"/>
    <w:rsid w:val="3B936B4F"/>
    <w:rsid w:val="3B9603ED"/>
    <w:rsid w:val="3B984165"/>
    <w:rsid w:val="3B9C02D4"/>
    <w:rsid w:val="3BA32CDC"/>
    <w:rsid w:val="3BA64AD4"/>
    <w:rsid w:val="3BA71E9A"/>
    <w:rsid w:val="3BAB20EB"/>
    <w:rsid w:val="3BB20947"/>
    <w:rsid w:val="3BB7451B"/>
    <w:rsid w:val="3BBB7854"/>
    <w:rsid w:val="3BBF7944"/>
    <w:rsid w:val="3BC17703"/>
    <w:rsid w:val="3BDD17AC"/>
    <w:rsid w:val="3BE11C36"/>
    <w:rsid w:val="3BE178BA"/>
    <w:rsid w:val="3BE37A2F"/>
    <w:rsid w:val="3BE43F0B"/>
    <w:rsid w:val="3BE90D7D"/>
    <w:rsid w:val="3BF375EE"/>
    <w:rsid w:val="3BF567EE"/>
    <w:rsid w:val="3BFC4508"/>
    <w:rsid w:val="3BFD2C81"/>
    <w:rsid w:val="3C05086E"/>
    <w:rsid w:val="3C0B2B89"/>
    <w:rsid w:val="3C11463E"/>
    <w:rsid w:val="3C12216A"/>
    <w:rsid w:val="3C147F51"/>
    <w:rsid w:val="3C17152E"/>
    <w:rsid w:val="3C1C5647"/>
    <w:rsid w:val="3C2E6878"/>
    <w:rsid w:val="3C2F6E1E"/>
    <w:rsid w:val="3C3814A4"/>
    <w:rsid w:val="3C4B2DA2"/>
    <w:rsid w:val="3C4B742A"/>
    <w:rsid w:val="3C4C18D2"/>
    <w:rsid w:val="3C4F64BA"/>
    <w:rsid w:val="3C5207B8"/>
    <w:rsid w:val="3C557CE8"/>
    <w:rsid w:val="3C5943F6"/>
    <w:rsid w:val="3C616C4D"/>
    <w:rsid w:val="3C65673D"/>
    <w:rsid w:val="3C677CC8"/>
    <w:rsid w:val="3C6932A9"/>
    <w:rsid w:val="3C7571DA"/>
    <w:rsid w:val="3C7649A9"/>
    <w:rsid w:val="3C771FCD"/>
    <w:rsid w:val="3C7E77FF"/>
    <w:rsid w:val="3C81102A"/>
    <w:rsid w:val="3C8161A1"/>
    <w:rsid w:val="3C8B5A78"/>
    <w:rsid w:val="3C8F5568"/>
    <w:rsid w:val="3C926E07"/>
    <w:rsid w:val="3C964B49"/>
    <w:rsid w:val="3C9D0785"/>
    <w:rsid w:val="3CA3103C"/>
    <w:rsid w:val="3CAE7E87"/>
    <w:rsid w:val="3CB05A14"/>
    <w:rsid w:val="3CB46D7D"/>
    <w:rsid w:val="3CBB66DE"/>
    <w:rsid w:val="3CBC20D5"/>
    <w:rsid w:val="3CC176EC"/>
    <w:rsid w:val="3CC21908"/>
    <w:rsid w:val="3CC4059B"/>
    <w:rsid w:val="3CC571DC"/>
    <w:rsid w:val="3CD94A35"/>
    <w:rsid w:val="3CDA245A"/>
    <w:rsid w:val="3CDA5141"/>
    <w:rsid w:val="3CDE204C"/>
    <w:rsid w:val="3CE05DC4"/>
    <w:rsid w:val="3CE26CE4"/>
    <w:rsid w:val="3CE75791"/>
    <w:rsid w:val="3CE82ECA"/>
    <w:rsid w:val="3CEA2C84"/>
    <w:rsid w:val="3CF72289"/>
    <w:rsid w:val="3CFB49AC"/>
    <w:rsid w:val="3CFD6976"/>
    <w:rsid w:val="3D035900"/>
    <w:rsid w:val="3D037D04"/>
    <w:rsid w:val="3D0658AE"/>
    <w:rsid w:val="3D1811D9"/>
    <w:rsid w:val="3D1A19E6"/>
    <w:rsid w:val="3D1E06B7"/>
    <w:rsid w:val="3D2008B6"/>
    <w:rsid w:val="3D2042DD"/>
    <w:rsid w:val="3D2263DC"/>
    <w:rsid w:val="3D251A29"/>
    <w:rsid w:val="3D29776B"/>
    <w:rsid w:val="3D3A5723"/>
    <w:rsid w:val="3D3B749E"/>
    <w:rsid w:val="3D3D6D72"/>
    <w:rsid w:val="3D3E0D3C"/>
    <w:rsid w:val="3D45031D"/>
    <w:rsid w:val="3D4A148F"/>
    <w:rsid w:val="3D54230E"/>
    <w:rsid w:val="3D5642D8"/>
    <w:rsid w:val="3D597924"/>
    <w:rsid w:val="3D5A3866"/>
    <w:rsid w:val="3D5A5671"/>
    <w:rsid w:val="3D605248"/>
    <w:rsid w:val="3D6407A3"/>
    <w:rsid w:val="3D752009"/>
    <w:rsid w:val="3D77074D"/>
    <w:rsid w:val="3D8175A7"/>
    <w:rsid w:val="3D880A49"/>
    <w:rsid w:val="3D8A5D30"/>
    <w:rsid w:val="3D8C1AA8"/>
    <w:rsid w:val="3D8C6BEE"/>
    <w:rsid w:val="3D915310"/>
    <w:rsid w:val="3D9559C0"/>
    <w:rsid w:val="3D9D1ABA"/>
    <w:rsid w:val="3D9E2D29"/>
    <w:rsid w:val="3DB35FC5"/>
    <w:rsid w:val="3DB40787"/>
    <w:rsid w:val="3DC254CA"/>
    <w:rsid w:val="3DC37D5F"/>
    <w:rsid w:val="3DC456E6"/>
    <w:rsid w:val="3DC47494"/>
    <w:rsid w:val="3DCE4649"/>
    <w:rsid w:val="3DD47A3F"/>
    <w:rsid w:val="3DDD67A7"/>
    <w:rsid w:val="3DE25B6C"/>
    <w:rsid w:val="3DE80BC1"/>
    <w:rsid w:val="3DF5589F"/>
    <w:rsid w:val="3E0E145B"/>
    <w:rsid w:val="3E10092B"/>
    <w:rsid w:val="3E1C107E"/>
    <w:rsid w:val="3E1D4AF4"/>
    <w:rsid w:val="3E285C74"/>
    <w:rsid w:val="3E2919ED"/>
    <w:rsid w:val="3E32264F"/>
    <w:rsid w:val="3E371EAB"/>
    <w:rsid w:val="3E3A1E43"/>
    <w:rsid w:val="3E3A7756"/>
    <w:rsid w:val="3E3C527C"/>
    <w:rsid w:val="3E4B1963"/>
    <w:rsid w:val="3E530817"/>
    <w:rsid w:val="3E5535C2"/>
    <w:rsid w:val="3E5537F5"/>
    <w:rsid w:val="3E5A7DF8"/>
    <w:rsid w:val="3E5D681E"/>
    <w:rsid w:val="3E622809"/>
    <w:rsid w:val="3E642A25"/>
    <w:rsid w:val="3E6D18D9"/>
    <w:rsid w:val="3E6E73FF"/>
    <w:rsid w:val="3E720C9E"/>
    <w:rsid w:val="3E734A16"/>
    <w:rsid w:val="3E757F45"/>
    <w:rsid w:val="3E823CCF"/>
    <w:rsid w:val="3E860BED"/>
    <w:rsid w:val="3E88226F"/>
    <w:rsid w:val="3E887885"/>
    <w:rsid w:val="3E8D0365"/>
    <w:rsid w:val="3E8E72A4"/>
    <w:rsid w:val="3E8F1FB6"/>
    <w:rsid w:val="3E8F34F6"/>
    <w:rsid w:val="3E942603"/>
    <w:rsid w:val="3E9C5D1B"/>
    <w:rsid w:val="3EB05C6A"/>
    <w:rsid w:val="3EB47508"/>
    <w:rsid w:val="3EBF23B6"/>
    <w:rsid w:val="3EC7548D"/>
    <w:rsid w:val="3ECF7E9E"/>
    <w:rsid w:val="3EDA0523"/>
    <w:rsid w:val="3EDF3ED6"/>
    <w:rsid w:val="3EE6343A"/>
    <w:rsid w:val="3EE819BF"/>
    <w:rsid w:val="3EE85404"/>
    <w:rsid w:val="3EEF6792"/>
    <w:rsid w:val="3EF06066"/>
    <w:rsid w:val="3EF9316D"/>
    <w:rsid w:val="3EFE4C27"/>
    <w:rsid w:val="3F0636A5"/>
    <w:rsid w:val="3F065722"/>
    <w:rsid w:val="3F0B4C4E"/>
    <w:rsid w:val="3F12422F"/>
    <w:rsid w:val="3F1C2AFD"/>
    <w:rsid w:val="3F2521B4"/>
    <w:rsid w:val="3F284589"/>
    <w:rsid w:val="3F2A1578"/>
    <w:rsid w:val="3F2D72BA"/>
    <w:rsid w:val="3F2E142E"/>
    <w:rsid w:val="3F2F1E2C"/>
    <w:rsid w:val="3F47212A"/>
    <w:rsid w:val="3F4D3FD0"/>
    <w:rsid w:val="3F505786"/>
    <w:rsid w:val="3F53097E"/>
    <w:rsid w:val="3F536D21"/>
    <w:rsid w:val="3F546088"/>
    <w:rsid w:val="3F582062"/>
    <w:rsid w:val="3F591AF7"/>
    <w:rsid w:val="3F5B7984"/>
    <w:rsid w:val="3F5C5DCF"/>
    <w:rsid w:val="3F636838"/>
    <w:rsid w:val="3F696545"/>
    <w:rsid w:val="3F6C1B91"/>
    <w:rsid w:val="3F7153F9"/>
    <w:rsid w:val="3F746C97"/>
    <w:rsid w:val="3F755AE5"/>
    <w:rsid w:val="3F760C61"/>
    <w:rsid w:val="3F7911BB"/>
    <w:rsid w:val="3F7A243C"/>
    <w:rsid w:val="3F7B3322"/>
    <w:rsid w:val="3F883942"/>
    <w:rsid w:val="3F8F762D"/>
    <w:rsid w:val="3F9115F7"/>
    <w:rsid w:val="3F923139"/>
    <w:rsid w:val="3F9B2476"/>
    <w:rsid w:val="3FA05CDE"/>
    <w:rsid w:val="3FA23805"/>
    <w:rsid w:val="3FA263B9"/>
    <w:rsid w:val="3FA532F5"/>
    <w:rsid w:val="3FA56E51"/>
    <w:rsid w:val="3FAC01DF"/>
    <w:rsid w:val="3FAE3F57"/>
    <w:rsid w:val="3FAE4556"/>
    <w:rsid w:val="3FB84DD6"/>
    <w:rsid w:val="3FB95534"/>
    <w:rsid w:val="3FBD5FFA"/>
    <w:rsid w:val="3FC01EDD"/>
    <w:rsid w:val="3FC4377B"/>
    <w:rsid w:val="3FD303AA"/>
    <w:rsid w:val="3FE84DE8"/>
    <w:rsid w:val="3FEB6F5A"/>
    <w:rsid w:val="3FEE25A6"/>
    <w:rsid w:val="3FF658FE"/>
    <w:rsid w:val="40057874"/>
    <w:rsid w:val="40073668"/>
    <w:rsid w:val="400A4133"/>
    <w:rsid w:val="40226913"/>
    <w:rsid w:val="402C30CE"/>
    <w:rsid w:val="402E6E46"/>
    <w:rsid w:val="4037219F"/>
    <w:rsid w:val="4047091E"/>
    <w:rsid w:val="4047615A"/>
    <w:rsid w:val="404A6ACE"/>
    <w:rsid w:val="40503261"/>
    <w:rsid w:val="40565EA5"/>
    <w:rsid w:val="405D772B"/>
    <w:rsid w:val="4064173C"/>
    <w:rsid w:val="40646D0C"/>
    <w:rsid w:val="40657EF7"/>
    <w:rsid w:val="406665E0"/>
    <w:rsid w:val="407451A1"/>
    <w:rsid w:val="40750F19"/>
    <w:rsid w:val="407A6407"/>
    <w:rsid w:val="408570C9"/>
    <w:rsid w:val="40866C82"/>
    <w:rsid w:val="408F234A"/>
    <w:rsid w:val="4093398E"/>
    <w:rsid w:val="40970E8F"/>
    <w:rsid w:val="40B27A77"/>
    <w:rsid w:val="40B76E3C"/>
    <w:rsid w:val="40BC416D"/>
    <w:rsid w:val="40C003E6"/>
    <w:rsid w:val="40C13A4C"/>
    <w:rsid w:val="40C94DC1"/>
    <w:rsid w:val="40CF0629"/>
    <w:rsid w:val="40D338C9"/>
    <w:rsid w:val="40D46A6C"/>
    <w:rsid w:val="40DD77F0"/>
    <w:rsid w:val="40E15534"/>
    <w:rsid w:val="40E439A9"/>
    <w:rsid w:val="40F005A0"/>
    <w:rsid w:val="40F0234E"/>
    <w:rsid w:val="40F75FCE"/>
    <w:rsid w:val="410127AD"/>
    <w:rsid w:val="4105337E"/>
    <w:rsid w:val="410A340F"/>
    <w:rsid w:val="411A31B0"/>
    <w:rsid w:val="411C7249"/>
    <w:rsid w:val="411C75E7"/>
    <w:rsid w:val="41202C33"/>
    <w:rsid w:val="412546ED"/>
    <w:rsid w:val="4127345E"/>
    <w:rsid w:val="412A1038"/>
    <w:rsid w:val="412C782A"/>
    <w:rsid w:val="41314705"/>
    <w:rsid w:val="41344930"/>
    <w:rsid w:val="41364C50"/>
    <w:rsid w:val="413C5593"/>
    <w:rsid w:val="41466C19"/>
    <w:rsid w:val="414A5F02"/>
    <w:rsid w:val="414F176A"/>
    <w:rsid w:val="414F3518"/>
    <w:rsid w:val="41526BD3"/>
    <w:rsid w:val="415421CC"/>
    <w:rsid w:val="41594397"/>
    <w:rsid w:val="415B3C6B"/>
    <w:rsid w:val="41620091"/>
    <w:rsid w:val="41635215"/>
    <w:rsid w:val="41650F8E"/>
    <w:rsid w:val="41652D3C"/>
    <w:rsid w:val="416C1D58"/>
    <w:rsid w:val="416D5A63"/>
    <w:rsid w:val="416D7EBA"/>
    <w:rsid w:val="416E0817"/>
    <w:rsid w:val="416F7716"/>
    <w:rsid w:val="41720FB5"/>
    <w:rsid w:val="41735459"/>
    <w:rsid w:val="4177481D"/>
    <w:rsid w:val="418036D2"/>
    <w:rsid w:val="41840B99"/>
    <w:rsid w:val="418C152C"/>
    <w:rsid w:val="41931657"/>
    <w:rsid w:val="41967399"/>
    <w:rsid w:val="419B2CF0"/>
    <w:rsid w:val="41A90E7A"/>
    <w:rsid w:val="41AE46E3"/>
    <w:rsid w:val="41BD4926"/>
    <w:rsid w:val="41CC6917"/>
    <w:rsid w:val="41D41C6F"/>
    <w:rsid w:val="41D81760"/>
    <w:rsid w:val="41E2438C"/>
    <w:rsid w:val="41FC33B4"/>
    <w:rsid w:val="41FF6CEC"/>
    <w:rsid w:val="4200449D"/>
    <w:rsid w:val="4202058A"/>
    <w:rsid w:val="420C31B7"/>
    <w:rsid w:val="421026D2"/>
    <w:rsid w:val="421164D6"/>
    <w:rsid w:val="4212479A"/>
    <w:rsid w:val="42156510"/>
    <w:rsid w:val="422453DD"/>
    <w:rsid w:val="42245E94"/>
    <w:rsid w:val="422624CB"/>
    <w:rsid w:val="422B5D33"/>
    <w:rsid w:val="422E312E"/>
    <w:rsid w:val="42313785"/>
    <w:rsid w:val="423A3BCC"/>
    <w:rsid w:val="423A7D24"/>
    <w:rsid w:val="423C442F"/>
    <w:rsid w:val="42452703"/>
    <w:rsid w:val="4249440B"/>
    <w:rsid w:val="424E57D2"/>
    <w:rsid w:val="42575CC9"/>
    <w:rsid w:val="425828A0"/>
    <w:rsid w:val="425B14DE"/>
    <w:rsid w:val="425B54AD"/>
    <w:rsid w:val="425D1C65"/>
    <w:rsid w:val="425F0D31"/>
    <w:rsid w:val="4267663F"/>
    <w:rsid w:val="42701998"/>
    <w:rsid w:val="42725710"/>
    <w:rsid w:val="42756FAE"/>
    <w:rsid w:val="427C658F"/>
    <w:rsid w:val="427E438D"/>
    <w:rsid w:val="42832E56"/>
    <w:rsid w:val="428E597C"/>
    <w:rsid w:val="42954972"/>
    <w:rsid w:val="429F402B"/>
    <w:rsid w:val="42B26C49"/>
    <w:rsid w:val="42B30E8D"/>
    <w:rsid w:val="42BA70B7"/>
    <w:rsid w:val="42BD1DBE"/>
    <w:rsid w:val="42C35F5F"/>
    <w:rsid w:val="42CB3072"/>
    <w:rsid w:val="42D206E8"/>
    <w:rsid w:val="42DA1507"/>
    <w:rsid w:val="42DC41D0"/>
    <w:rsid w:val="42DE4B54"/>
    <w:rsid w:val="42E87780"/>
    <w:rsid w:val="42EB54C2"/>
    <w:rsid w:val="42EC53ED"/>
    <w:rsid w:val="43000F6E"/>
    <w:rsid w:val="43040332"/>
    <w:rsid w:val="43042D00"/>
    <w:rsid w:val="43056584"/>
    <w:rsid w:val="43065E58"/>
    <w:rsid w:val="43097150"/>
    <w:rsid w:val="430E099B"/>
    <w:rsid w:val="43140575"/>
    <w:rsid w:val="43160791"/>
    <w:rsid w:val="43170066"/>
    <w:rsid w:val="43185E18"/>
    <w:rsid w:val="43246C01"/>
    <w:rsid w:val="432A7D99"/>
    <w:rsid w:val="432B58BF"/>
    <w:rsid w:val="43346E69"/>
    <w:rsid w:val="4335673E"/>
    <w:rsid w:val="43366850"/>
    <w:rsid w:val="43394480"/>
    <w:rsid w:val="43397FDC"/>
    <w:rsid w:val="433A6FE6"/>
    <w:rsid w:val="433C7ECB"/>
    <w:rsid w:val="433D0CA1"/>
    <w:rsid w:val="43413334"/>
    <w:rsid w:val="43421586"/>
    <w:rsid w:val="43480868"/>
    <w:rsid w:val="4350713C"/>
    <w:rsid w:val="43566DE0"/>
    <w:rsid w:val="4359067E"/>
    <w:rsid w:val="435E3EE6"/>
    <w:rsid w:val="436653E0"/>
    <w:rsid w:val="4367609D"/>
    <w:rsid w:val="436808C1"/>
    <w:rsid w:val="436A222D"/>
    <w:rsid w:val="436B215F"/>
    <w:rsid w:val="4372019A"/>
    <w:rsid w:val="43770B04"/>
    <w:rsid w:val="438C0A54"/>
    <w:rsid w:val="438F5E4E"/>
    <w:rsid w:val="439637A4"/>
    <w:rsid w:val="43993170"/>
    <w:rsid w:val="43996CCD"/>
    <w:rsid w:val="439D67BD"/>
    <w:rsid w:val="43A01E09"/>
    <w:rsid w:val="43A604B4"/>
    <w:rsid w:val="43AF4742"/>
    <w:rsid w:val="43B228DE"/>
    <w:rsid w:val="43BB6C43"/>
    <w:rsid w:val="43C37AAF"/>
    <w:rsid w:val="43C4431A"/>
    <w:rsid w:val="43DF61E6"/>
    <w:rsid w:val="43E07956"/>
    <w:rsid w:val="43E3754B"/>
    <w:rsid w:val="43EB20D4"/>
    <w:rsid w:val="43EE526A"/>
    <w:rsid w:val="43EE7018"/>
    <w:rsid w:val="43FF4213"/>
    <w:rsid w:val="44033AE3"/>
    <w:rsid w:val="4404683C"/>
    <w:rsid w:val="440634CD"/>
    <w:rsid w:val="44093E52"/>
    <w:rsid w:val="44114AB5"/>
    <w:rsid w:val="4411703E"/>
    <w:rsid w:val="442465F9"/>
    <w:rsid w:val="442F5620"/>
    <w:rsid w:val="44315157"/>
    <w:rsid w:val="44366C11"/>
    <w:rsid w:val="44384737"/>
    <w:rsid w:val="443A225E"/>
    <w:rsid w:val="443B7D84"/>
    <w:rsid w:val="443D58AA"/>
    <w:rsid w:val="44400ECD"/>
    <w:rsid w:val="44435D36"/>
    <w:rsid w:val="44444E8A"/>
    <w:rsid w:val="44446C38"/>
    <w:rsid w:val="444C0EE3"/>
    <w:rsid w:val="44517B2A"/>
    <w:rsid w:val="44557097"/>
    <w:rsid w:val="445C6678"/>
    <w:rsid w:val="445D5F4C"/>
    <w:rsid w:val="44632C94"/>
    <w:rsid w:val="44636911"/>
    <w:rsid w:val="44705C7F"/>
    <w:rsid w:val="44760DBC"/>
    <w:rsid w:val="44780FD8"/>
    <w:rsid w:val="448200B7"/>
    <w:rsid w:val="449D5006"/>
    <w:rsid w:val="44A040E0"/>
    <w:rsid w:val="44A26055"/>
    <w:rsid w:val="44A41DCD"/>
    <w:rsid w:val="44A8366B"/>
    <w:rsid w:val="44A92F3F"/>
    <w:rsid w:val="44AB7B96"/>
    <w:rsid w:val="44B03E3B"/>
    <w:rsid w:val="44B32010"/>
    <w:rsid w:val="44B419C5"/>
    <w:rsid w:val="44B738AE"/>
    <w:rsid w:val="44B951CC"/>
    <w:rsid w:val="44BC443C"/>
    <w:rsid w:val="44BD69EB"/>
    <w:rsid w:val="44C85ABB"/>
    <w:rsid w:val="44CA0D00"/>
    <w:rsid w:val="44CD14E0"/>
    <w:rsid w:val="44D160F3"/>
    <w:rsid w:val="44D951A1"/>
    <w:rsid w:val="44E4041B"/>
    <w:rsid w:val="44E4666D"/>
    <w:rsid w:val="44E65F41"/>
    <w:rsid w:val="44E67CEF"/>
    <w:rsid w:val="44EC107E"/>
    <w:rsid w:val="44EE3048"/>
    <w:rsid w:val="44EF11AB"/>
    <w:rsid w:val="44F20B0B"/>
    <w:rsid w:val="44F93EC7"/>
    <w:rsid w:val="44FA379B"/>
    <w:rsid w:val="44FB75C1"/>
    <w:rsid w:val="45014B29"/>
    <w:rsid w:val="4504286C"/>
    <w:rsid w:val="45062140"/>
    <w:rsid w:val="45070D3A"/>
    <w:rsid w:val="450A3BEF"/>
    <w:rsid w:val="4511099D"/>
    <w:rsid w:val="4517434D"/>
    <w:rsid w:val="45191711"/>
    <w:rsid w:val="451A5BEB"/>
    <w:rsid w:val="451E214A"/>
    <w:rsid w:val="451E521D"/>
    <w:rsid w:val="452E5F4C"/>
    <w:rsid w:val="45350C77"/>
    <w:rsid w:val="453A628D"/>
    <w:rsid w:val="453E3FCF"/>
    <w:rsid w:val="45435142"/>
    <w:rsid w:val="454F3AE7"/>
    <w:rsid w:val="454F62E1"/>
    <w:rsid w:val="455235D7"/>
    <w:rsid w:val="45570BED"/>
    <w:rsid w:val="455839AC"/>
    <w:rsid w:val="455B0481"/>
    <w:rsid w:val="45612018"/>
    <w:rsid w:val="456320C3"/>
    <w:rsid w:val="456B6447"/>
    <w:rsid w:val="456F4189"/>
    <w:rsid w:val="45717F01"/>
    <w:rsid w:val="457409C1"/>
    <w:rsid w:val="457C4AF8"/>
    <w:rsid w:val="458946E9"/>
    <w:rsid w:val="458C4D3B"/>
    <w:rsid w:val="458F482B"/>
    <w:rsid w:val="45905EAD"/>
    <w:rsid w:val="4590639F"/>
    <w:rsid w:val="459E4A6E"/>
    <w:rsid w:val="45A47C0E"/>
    <w:rsid w:val="45A73098"/>
    <w:rsid w:val="45AA51C1"/>
    <w:rsid w:val="45AC2160"/>
    <w:rsid w:val="45B24076"/>
    <w:rsid w:val="45B918A8"/>
    <w:rsid w:val="45BC5040"/>
    <w:rsid w:val="45BE2A1A"/>
    <w:rsid w:val="45C56F6D"/>
    <w:rsid w:val="45D278DA"/>
    <w:rsid w:val="45D92BCE"/>
    <w:rsid w:val="45E306D3"/>
    <w:rsid w:val="45E32481"/>
    <w:rsid w:val="45E71F71"/>
    <w:rsid w:val="45EA380F"/>
    <w:rsid w:val="45F0527E"/>
    <w:rsid w:val="45F428E0"/>
    <w:rsid w:val="45F75F2C"/>
    <w:rsid w:val="45FB1F43"/>
    <w:rsid w:val="45FC3D9C"/>
    <w:rsid w:val="45FC55D5"/>
    <w:rsid w:val="460074D7"/>
    <w:rsid w:val="46026DAB"/>
    <w:rsid w:val="460D5750"/>
    <w:rsid w:val="4614088C"/>
    <w:rsid w:val="461E170B"/>
    <w:rsid w:val="462211FB"/>
    <w:rsid w:val="46260664"/>
    <w:rsid w:val="462A4554"/>
    <w:rsid w:val="462E7BA0"/>
    <w:rsid w:val="46357180"/>
    <w:rsid w:val="46364CA7"/>
    <w:rsid w:val="46381AE1"/>
    <w:rsid w:val="46405B25"/>
    <w:rsid w:val="464078D3"/>
    <w:rsid w:val="464B69A4"/>
    <w:rsid w:val="46507A71"/>
    <w:rsid w:val="46577FD6"/>
    <w:rsid w:val="465F5FAB"/>
    <w:rsid w:val="4662784A"/>
    <w:rsid w:val="46690BD8"/>
    <w:rsid w:val="466C3416"/>
    <w:rsid w:val="46747BFB"/>
    <w:rsid w:val="46787D24"/>
    <w:rsid w:val="467F21AA"/>
    <w:rsid w:val="468B004E"/>
    <w:rsid w:val="468E6891"/>
    <w:rsid w:val="4690085B"/>
    <w:rsid w:val="46933EA7"/>
    <w:rsid w:val="469D2F78"/>
    <w:rsid w:val="46A165C4"/>
    <w:rsid w:val="46A25A97"/>
    <w:rsid w:val="46BA58D8"/>
    <w:rsid w:val="46BB51AC"/>
    <w:rsid w:val="46BC33FE"/>
    <w:rsid w:val="46C2653A"/>
    <w:rsid w:val="46C63F75"/>
    <w:rsid w:val="46C65B28"/>
    <w:rsid w:val="46CB66A7"/>
    <w:rsid w:val="46CE4EDF"/>
    <w:rsid w:val="46D544C0"/>
    <w:rsid w:val="46D955A7"/>
    <w:rsid w:val="46DD5122"/>
    <w:rsid w:val="46FC15B6"/>
    <w:rsid w:val="46FC7C9E"/>
    <w:rsid w:val="46FF153C"/>
    <w:rsid w:val="47046B53"/>
    <w:rsid w:val="470E6DF1"/>
    <w:rsid w:val="47133957"/>
    <w:rsid w:val="47170634"/>
    <w:rsid w:val="4720641B"/>
    <w:rsid w:val="472114B3"/>
    <w:rsid w:val="47232575"/>
    <w:rsid w:val="47281424"/>
    <w:rsid w:val="472D3D7B"/>
    <w:rsid w:val="47304D8B"/>
    <w:rsid w:val="473236C0"/>
    <w:rsid w:val="47327FA2"/>
    <w:rsid w:val="47331E95"/>
    <w:rsid w:val="473506EF"/>
    <w:rsid w:val="474927B8"/>
    <w:rsid w:val="47523D62"/>
    <w:rsid w:val="47540AF0"/>
    <w:rsid w:val="475A2DB7"/>
    <w:rsid w:val="475E44B5"/>
    <w:rsid w:val="47653A95"/>
    <w:rsid w:val="47666D96"/>
    <w:rsid w:val="47685334"/>
    <w:rsid w:val="477041E8"/>
    <w:rsid w:val="47705F96"/>
    <w:rsid w:val="47797541"/>
    <w:rsid w:val="4783216D"/>
    <w:rsid w:val="478C3F2D"/>
    <w:rsid w:val="47941C85"/>
    <w:rsid w:val="47947ED7"/>
    <w:rsid w:val="479559FD"/>
    <w:rsid w:val="479B3DF7"/>
    <w:rsid w:val="479F014F"/>
    <w:rsid w:val="47A07E0C"/>
    <w:rsid w:val="47AB5220"/>
    <w:rsid w:val="47AD0F98"/>
    <w:rsid w:val="47AF4D11"/>
    <w:rsid w:val="47B077A4"/>
    <w:rsid w:val="47B2035D"/>
    <w:rsid w:val="47B642F1"/>
    <w:rsid w:val="47B73BC5"/>
    <w:rsid w:val="47C307BC"/>
    <w:rsid w:val="47C36985"/>
    <w:rsid w:val="47D97D4C"/>
    <w:rsid w:val="47E0136E"/>
    <w:rsid w:val="47E30DFE"/>
    <w:rsid w:val="47E32C0C"/>
    <w:rsid w:val="47EA7AF7"/>
    <w:rsid w:val="47EB386F"/>
    <w:rsid w:val="47EE5F11"/>
    <w:rsid w:val="47EF335F"/>
    <w:rsid w:val="47F6293F"/>
    <w:rsid w:val="480D1A37"/>
    <w:rsid w:val="480F1C53"/>
    <w:rsid w:val="48111527"/>
    <w:rsid w:val="48150AC4"/>
    <w:rsid w:val="481B7AFF"/>
    <w:rsid w:val="481E7EFC"/>
    <w:rsid w:val="48200A85"/>
    <w:rsid w:val="4820176A"/>
    <w:rsid w:val="48220D44"/>
    <w:rsid w:val="48233009"/>
    <w:rsid w:val="48233E0B"/>
    <w:rsid w:val="482A10B1"/>
    <w:rsid w:val="482C0DD1"/>
    <w:rsid w:val="48401E0D"/>
    <w:rsid w:val="4847319B"/>
    <w:rsid w:val="484D0086"/>
    <w:rsid w:val="484D1BCD"/>
    <w:rsid w:val="484E4529"/>
    <w:rsid w:val="485366B9"/>
    <w:rsid w:val="485650AA"/>
    <w:rsid w:val="485B27A2"/>
    <w:rsid w:val="485D476D"/>
    <w:rsid w:val="48617359"/>
    <w:rsid w:val="4867383D"/>
    <w:rsid w:val="486A6E89"/>
    <w:rsid w:val="486D24D6"/>
    <w:rsid w:val="4870272E"/>
    <w:rsid w:val="487A531F"/>
    <w:rsid w:val="488066AD"/>
    <w:rsid w:val="488A3088"/>
    <w:rsid w:val="488F68F0"/>
    <w:rsid w:val="48952158"/>
    <w:rsid w:val="48981C49"/>
    <w:rsid w:val="48A06010"/>
    <w:rsid w:val="48A16E6B"/>
    <w:rsid w:val="48A71E8C"/>
    <w:rsid w:val="48AD6E5F"/>
    <w:rsid w:val="48B3438D"/>
    <w:rsid w:val="48B60321"/>
    <w:rsid w:val="48B819A3"/>
    <w:rsid w:val="48B92708"/>
    <w:rsid w:val="48BF5427"/>
    <w:rsid w:val="48C05E6E"/>
    <w:rsid w:val="48CC36A0"/>
    <w:rsid w:val="48CE4910"/>
    <w:rsid w:val="48CF384C"/>
    <w:rsid w:val="48D37C05"/>
    <w:rsid w:val="48D82045"/>
    <w:rsid w:val="48D83DF3"/>
    <w:rsid w:val="48DA7B6B"/>
    <w:rsid w:val="48E3317F"/>
    <w:rsid w:val="48F21359"/>
    <w:rsid w:val="48FD5F50"/>
    <w:rsid w:val="48FD7CFE"/>
    <w:rsid w:val="490137FC"/>
    <w:rsid w:val="4907292A"/>
    <w:rsid w:val="49090450"/>
    <w:rsid w:val="491A1B11"/>
    <w:rsid w:val="49203B12"/>
    <w:rsid w:val="49261002"/>
    <w:rsid w:val="49325BF9"/>
    <w:rsid w:val="4946542F"/>
    <w:rsid w:val="494871CB"/>
    <w:rsid w:val="495042D1"/>
    <w:rsid w:val="49555444"/>
    <w:rsid w:val="49560194"/>
    <w:rsid w:val="49583186"/>
    <w:rsid w:val="495A3FD8"/>
    <w:rsid w:val="495B1BCC"/>
    <w:rsid w:val="496739E7"/>
    <w:rsid w:val="496F2E06"/>
    <w:rsid w:val="4972249A"/>
    <w:rsid w:val="497C6E74"/>
    <w:rsid w:val="49804BB7"/>
    <w:rsid w:val="498608CF"/>
    <w:rsid w:val="49877AC4"/>
    <w:rsid w:val="49880B78"/>
    <w:rsid w:val="498D2E30"/>
    <w:rsid w:val="49942DA0"/>
    <w:rsid w:val="49951CE4"/>
    <w:rsid w:val="49A751E0"/>
    <w:rsid w:val="49AE0AD6"/>
    <w:rsid w:val="49AE5B6B"/>
    <w:rsid w:val="49B34E69"/>
    <w:rsid w:val="49B63BB4"/>
    <w:rsid w:val="49BB5E4E"/>
    <w:rsid w:val="49BC54C3"/>
    <w:rsid w:val="49C15D2B"/>
    <w:rsid w:val="49C36851"/>
    <w:rsid w:val="49C570E9"/>
    <w:rsid w:val="49CD5922"/>
    <w:rsid w:val="49D47E3A"/>
    <w:rsid w:val="49D53E1A"/>
    <w:rsid w:val="49D547D7"/>
    <w:rsid w:val="49D612E1"/>
    <w:rsid w:val="49D97E23"/>
    <w:rsid w:val="49DC7715"/>
    <w:rsid w:val="49DE7B2F"/>
    <w:rsid w:val="49E117CC"/>
    <w:rsid w:val="49E7523A"/>
    <w:rsid w:val="49EA64D4"/>
    <w:rsid w:val="49EF3AEA"/>
    <w:rsid w:val="49EF7646"/>
    <w:rsid w:val="49F46FFE"/>
    <w:rsid w:val="49F904C5"/>
    <w:rsid w:val="4A023139"/>
    <w:rsid w:val="4A050C18"/>
    <w:rsid w:val="4A084BAC"/>
    <w:rsid w:val="4A0B01F8"/>
    <w:rsid w:val="4A0B6D7E"/>
    <w:rsid w:val="4A0E3297"/>
    <w:rsid w:val="4A143551"/>
    <w:rsid w:val="4A1470AD"/>
    <w:rsid w:val="4A1B043B"/>
    <w:rsid w:val="4A1C41B3"/>
    <w:rsid w:val="4A201EF6"/>
    <w:rsid w:val="4A2319E6"/>
    <w:rsid w:val="4A3D4856"/>
    <w:rsid w:val="4A3E179B"/>
    <w:rsid w:val="4A4756D4"/>
    <w:rsid w:val="4A4A0D21"/>
    <w:rsid w:val="4A4B1D6D"/>
    <w:rsid w:val="4A5B1180"/>
    <w:rsid w:val="4A625C7D"/>
    <w:rsid w:val="4A655B5A"/>
    <w:rsid w:val="4A6A4F1F"/>
    <w:rsid w:val="4A7676E3"/>
    <w:rsid w:val="4A7B576F"/>
    <w:rsid w:val="4A7F2DB0"/>
    <w:rsid w:val="4A8C758B"/>
    <w:rsid w:val="4A8E3303"/>
    <w:rsid w:val="4A8E6E5F"/>
    <w:rsid w:val="4A914BA1"/>
    <w:rsid w:val="4A946440"/>
    <w:rsid w:val="4A9A4424"/>
    <w:rsid w:val="4A9B332A"/>
    <w:rsid w:val="4A9D63EB"/>
    <w:rsid w:val="4AA743C5"/>
    <w:rsid w:val="4AA77F21"/>
    <w:rsid w:val="4AA85A47"/>
    <w:rsid w:val="4AA93ACD"/>
    <w:rsid w:val="4AAC32DE"/>
    <w:rsid w:val="4AB76E76"/>
    <w:rsid w:val="4ABD1384"/>
    <w:rsid w:val="4AC07235"/>
    <w:rsid w:val="4ACE3700"/>
    <w:rsid w:val="4AD351BA"/>
    <w:rsid w:val="4AE7656F"/>
    <w:rsid w:val="4AEC0289"/>
    <w:rsid w:val="4AEE5B50"/>
    <w:rsid w:val="4AF33166"/>
    <w:rsid w:val="4AF55B92"/>
    <w:rsid w:val="4AF561A9"/>
    <w:rsid w:val="4AF60EA8"/>
    <w:rsid w:val="4AF84C20"/>
    <w:rsid w:val="4AFD5D93"/>
    <w:rsid w:val="4B0141C0"/>
    <w:rsid w:val="4B0431B8"/>
    <w:rsid w:val="4B052E99"/>
    <w:rsid w:val="4B0B43B8"/>
    <w:rsid w:val="4B0C4228"/>
    <w:rsid w:val="4B0E7FA0"/>
    <w:rsid w:val="4B166E55"/>
    <w:rsid w:val="4B1B26BD"/>
    <w:rsid w:val="4B1C0422"/>
    <w:rsid w:val="4B245A16"/>
    <w:rsid w:val="4B250506"/>
    <w:rsid w:val="4B3612A5"/>
    <w:rsid w:val="4B375749"/>
    <w:rsid w:val="4B413ED2"/>
    <w:rsid w:val="4B4B4D50"/>
    <w:rsid w:val="4B4E65EF"/>
    <w:rsid w:val="4B531E57"/>
    <w:rsid w:val="4B5A1437"/>
    <w:rsid w:val="4B5F25AA"/>
    <w:rsid w:val="4B63653E"/>
    <w:rsid w:val="4B6422B6"/>
    <w:rsid w:val="4B647BC0"/>
    <w:rsid w:val="4B667DDC"/>
    <w:rsid w:val="4B6B0F4E"/>
    <w:rsid w:val="4B751DCD"/>
    <w:rsid w:val="4B896E57"/>
    <w:rsid w:val="4B985DE6"/>
    <w:rsid w:val="4BA6642B"/>
    <w:rsid w:val="4BA97CC9"/>
    <w:rsid w:val="4BBA0128"/>
    <w:rsid w:val="4BBE19C6"/>
    <w:rsid w:val="4BBF77A5"/>
    <w:rsid w:val="4BC258E5"/>
    <w:rsid w:val="4BC348D2"/>
    <w:rsid w:val="4BC52E9D"/>
    <w:rsid w:val="4BC55E6E"/>
    <w:rsid w:val="4BC66ACD"/>
    <w:rsid w:val="4BCE3FFA"/>
    <w:rsid w:val="4BD82B52"/>
    <w:rsid w:val="4BDA60D4"/>
    <w:rsid w:val="4BDF36EB"/>
    <w:rsid w:val="4BE3142D"/>
    <w:rsid w:val="4BE60F1D"/>
    <w:rsid w:val="4BE7508D"/>
    <w:rsid w:val="4BEA27BB"/>
    <w:rsid w:val="4BEB02E1"/>
    <w:rsid w:val="4BF8115A"/>
    <w:rsid w:val="4BFA22D2"/>
    <w:rsid w:val="4C0A7E3B"/>
    <w:rsid w:val="4C0C7344"/>
    <w:rsid w:val="4C0E0524"/>
    <w:rsid w:val="4C101AF6"/>
    <w:rsid w:val="4C161BA4"/>
    <w:rsid w:val="4C180D98"/>
    <w:rsid w:val="4C183189"/>
    <w:rsid w:val="4C194E4E"/>
    <w:rsid w:val="4C2866BD"/>
    <w:rsid w:val="4C292E1E"/>
    <w:rsid w:val="4C2A0E0A"/>
    <w:rsid w:val="4C3457E4"/>
    <w:rsid w:val="4C35155C"/>
    <w:rsid w:val="4C3B3017"/>
    <w:rsid w:val="4C3C5B7B"/>
    <w:rsid w:val="4C4243A5"/>
    <w:rsid w:val="4C455C43"/>
    <w:rsid w:val="4C46376A"/>
    <w:rsid w:val="4C481C5C"/>
    <w:rsid w:val="4C4A0649"/>
    <w:rsid w:val="4C5916EF"/>
    <w:rsid w:val="4C621CC7"/>
    <w:rsid w:val="4C667968"/>
    <w:rsid w:val="4C692DD3"/>
    <w:rsid w:val="4C6A38FC"/>
    <w:rsid w:val="4C6B4F7E"/>
    <w:rsid w:val="4C6E1BF6"/>
    <w:rsid w:val="4C6F0F12"/>
    <w:rsid w:val="4C7E5ECA"/>
    <w:rsid w:val="4C854292"/>
    <w:rsid w:val="4C876AA5"/>
    <w:rsid w:val="4C8C5620"/>
    <w:rsid w:val="4C901594"/>
    <w:rsid w:val="4C907FF8"/>
    <w:rsid w:val="4CA26BF2"/>
    <w:rsid w:val="4CB136CE"/>
    <w:rsid w:val="4CB6269D"/>
    <w:rsid w:val="4CB84667"/>
    <w:rsid w:val="4CBD57DA"/>
    <w:rsid w:val="4CC01CD0"/>
    <w:rsid w:val="4CC4400D"/>
    <w:rsid w:val="4CCB656F"/>
    <w:rsid w:val="4CCE21A6"/>
    <w:rsid w:val="4CCE3E8B"/>
    <w:rsid w:val="4CCE5C39"/>
    <w:rsid w:val="4CCE78AE"/>
    <w:rsid w:val="4CD46FC7"/>
    <w:rsid w:val="4CD91B17"/>
    <w:rsid w:val="4CDA2830"/>
    <w:rsid w:val="4CE4720A"/>
    <w:rsid w:val="4CE73A9B"/>
    <w:rsid w:val="4CEC60BF"/>
    <w:rsid w:val="4CF03E01"/>
    <w:rsid w:val="4CF3744D"/>
    <w:rsid w:val="4CF5766A"/>
    <w:rsid w:val="4CFB09F8"/>
    <w:rsid w:val="4D021D86"/>
    <w:rsid w:val="4D023B34"/>
    <w:rsid w:val="4D07114B"/>
    <w:rsid w:val="4D0E00FB"/>
    <w:rsid w:val="4D127FA2"/>
    <w:rsid w:val="4D176606"/>
    <w:rsid w:val="4D1A0E7E"/>
    <w:rsid w:val="4D1B213B"/>
    <w:rsid w:val="4D1E52BF"/>
    <w:rsid w:val="4D27359B"/>
    <w:rsid w:val="4D2910C1"/>
    <w:rsid w:val="4D2A75BC"/>
    <w:rsid w:val="4D2C6E03"/>
    <w:rsid w:val="4D2E7A28"/>
    <w:rsid w:val="4D3D5DE0"/>
    <w:rsid w:val="4D431FC6"/>
    <w:rsid w:val="4D465BF0"/>
    <w:rsid w:val="4D4C4DB0"/>
    <w:rsid w:val="4D4E0B28"/>
    <w:rsid w:val="4D5472B2"/>
    <w:rsid w:val="4D5A5584"/>
    <w:rsid w:val="4D616AAD"/>
    <w:rsid w:val="4D6640C3"/>
    <w:rsid w:val="4D6B16DA"/>
    <w:rsid w:val="4D6B3488"/>
    <w:rsid w:val="4D785BA5"/>
    <w:rsid w:val="4D812CAB"/>
    <w:rsid w:val="4D815731"/>
    <w:rsid w:val="4D901140"/>
    <w:rsid w:val="4D997E9D"/>
    <w:rsid w:val="4D9F6881"/>
    <w:rsid w:val="4DA07250"/>
    <w:rsid w:val="4DAD1CF2"/>
    <w:rsid w:val="4DB841F3"/>
    <w:rsid w:val="4DBA7F74"/>
    <w:rsid w:val="4DBE64E6"/>
    <w:rsid w:val="4DC82688"/>
    <w:rsid w:val="4DC94652"/>
    <w:rsid w:val="4DD56551"/>
    <w:rsid w:val="4DE20B7B"/>
    <w:rsid w:val="4DE60D60"/>
    <w:rsid w:val="4DE84AD8"/>
    <w:rsid w:val="4DE90991"/>
    <w:rsid w:val="4DE96463"/>
    <w:rsid w:val="4DEC4FB0"/>
    <w:rsid w:val="4DF350AE"/>
    <w:rsid w:val="4DF74D1B"/>
    <w:rsid w:val="4DF96CE5"/>
    <w:rsid w:val="4DFA480C"/>
    <w:rsid w:val="4E075D8A"/>
    <w:rsid w:val="4E173437"/>
    <w:rsid w:val="4E191136"/>
    <w:rsid w:val="4E2E26FA"/>
    <w:rsid w:val="4E2F6BAB"/>
    <w:rsid w:val="4E3917D8"/>
    <w:rsid w:val="4E481A1B"/>
    <w:rsid w:val="4E4A7541"/>
    <w:rsid w:val="4E4C6637"/>
    <w:rsid w:val="4E59652E"/>
    <w:rsid w:val="4E683E6B"/>
    <w:rsid w:val="4E6A373F"/>
    <w:rsid w:val="4E704ACE"/>
    <w:rsid w:val="4E720846"/>
    <w:rsid w:val="4E742810"/>
    <w:rsid w:val="4E791BD4"/>
    <w:rsid w:val="4E873E13"/>
    <w:rsid w:val="4E8C2F64"/>
    <w:rsid w:val="4E8F2204"/>
    <w:rsid w:val="4E945F89"/>
    <w:rsid w:val="4E981192"/>
    <w:rsid w:val="4E9B7D9D"/>
    <w:rsid w:val="4EA03605"/>
    <w:rsid w:val="4EA07161"/>
    <w:rsid w:val="4EA74993"/>
    <w:rsid w:val="4EAC1FAA"/>
    <w:rsid w:val="4EB250E6"/>
    <w:rsid w:val="4EB26E94"/>
    <w:rsid w:val="4EB27EC1"/>
    <w:rsid w:val="4EB3158A"/>
    <w:rsid w:val="4EB356D2"/>
    <w:rsid w:val="4EB45892"/>
    <w:rsid w:val="4EB726FD"/>
    <w:rsid w:val="4EB86BA1"/>
    <w:rsid w:val="4EB90FE0"/>
    <w:rsid w:val="4EB96475"/>
    <w:rsid w:val="4EBD5F65"/>
    <w:rsid w:val="4EC00FAD"/>
    <w:rsid w:val="4EC76DE4"/>
    <w:rsid w:val="4EC866B8"/>
    <w:rsid w:val="4ECC7F56"/>
    <w:rsid w:val="4ED111A5"/>
    <w:rsid w:val="4ED27537"/>
    <w:rsid w:val="4EDB463D"/>
    <w:rsid w:val="4EDE1D36"/>
    <w:rsid w:val="4EE2777A"/>
    <w:rsid w:val="4EE41F09"/>
    <w:rsid w:val="4EE46167"/>
    <w:rsid w:val="4EE47996"/>
    <w:rsid w:val="4EE61720"/>
    <w:rsid w:val="4EE966E9"/>
    <w:rsid w:val="4EEF633A"/>
    <w:rsid w:val="4EF23735"/>
    <w:rsid w:val="4EF25FB2"/>
    <w:rsid w:val="4EF46B5C"/>
    <w:rsid w:val="4EF676C9"/>
    <w:rsid w:val="4EF74E7E"/>
    <w:rsid w:val="4EF80279"/>
    <w:rsid w:val="4EFB6A8D"/>
    <w:rsid w:val="4F0022F6"/>
    <w:rsid w:val="4F0771E0"/>
    <w:rsid w:val="4F1418FD"/>
    <w:rsid w:val="4F22226C"/>
    <w:rsid w:val="4F275AD4"/>
    <w:rsid w:val="4F2A2ECF"/>
    <w:rsid w:val="4F3A5808"/>
    <w:rsid w:val="4F3A75B6"/>
    <w:rsid w:val="4F3E697A"/>
    <w:rsid w:val="4F463A70"/>
    <w:rsid w:val="4F4D1978"/>
    <w:rsid w:val="4F4F0B87"/>
    <w:rsid w:val="4F5043C9"/>
    <w:rsid w:val="4F50502B"/>
    <w:rsid w:val="4F512D50"/>
    <w:rsid w:val="4F522BAE"/>
    <w:rsid w:val="4F530677"/>
    <w:rsid w:val="4F563CC4"/>
    <w:rsid w:val="4F5B00D5"/>
    <w:rsid w:val="4F6208BA"/>
    <w:rsid w:val="4F652159"/>
    <w:rsid w:val="4F727554"/>
    <w:rsid w:val="4F754A92"/>
    <w:rsid w:val="4F7A28DF"/>
    <w:rsid w:val="4F7A49B1"/>
    <w:rsid w:val="4F7F321A"/>
    <w:rsid w:val="4F7F72B7"/>
    <w:rsid w:val="4F8B1BBF"/>
    <w:rsid w:val="4F8E16AF"/>
    <w:rsid w:val="4F8F2B89"/>
    <w:rsid w:val="4F9843DC"/>
    <w:rsid w:val="4F9D5D96"/>
    <w:rsid w:val="4F9D6DFD"/>
    <w:rsid w:val="4F9F566B"/>
    <w:rsid w:val="4FA64C4B"/>
    <w:rsid w:val="4FA669F9"/>
    <w:rsid w:val="4FB568C9"/>
    <w:rsid w:val="4FB8497E"/>
    <w:rsid w:val="4FB87E9E"/>
    <w:rsid w:val="4FBA06F6"/>
    <w:rsid w:val="4FBA4253"/>
    <w:rsid w:val="4FBC621D"/>
    <w:rsid w:val="4FC60C92"/>
    <w:rsid w:val="4FC62A8C"/>
    <w:rsid w:val="4FC7696F"/>
    <w:rsid w:val="4FD25A40"/>
    <w:rsid w:val="4FDB68B7"/>
    <w:rsid w:val="4FDF63AF"/>
    <w:rsid w:val="4FE20F0D"/>
    <w:rsid w:val="4FE50A60"/>
    <w:rsid w:val="4FE51552"/>
    <w:rsid w:val="4FE83A7D"/>
    <w:rsid w:val="4FEC6A9E"/>
    <w:rsid w:val="4FF04118"/>
    <w:rsid w:val="4FF12FC1"/>
    <w:rsid w:val="50054708"/>
    <w:rsid w:val="50055CD2"/>
    <w:rsid w:val="50123E00"/>
    <w:rsid w:val="50125E3D"/>
    <w:rsid w:val="50165AC6"/>
    <w:rsid w:val="501778F7"/>
    <w:rsid w:val="50192045"/>
    <w:rsid w:val="501A1231"/>
    <w:rsid w:val="501A2F43"/>
    <w:rsid w:val="502232C7"/>
    <w:rsid w:val="50223905"/>
    <w:rsid w:val="502400E6"/>
    <w:rsid w:val="502F6BAC"/>
    <w:rsid w:val="50304257"/>
    <w:rsid w:val="50355FCF"/>
    <w:rsid w:val="50362125"/>
    <w:rsid w:val="50454464"/>
    <w:rsid w:val="50463D38"/>
    <w:rsid w:val="50466613"/>
    <w:rsid w:val="504A7CCC"/>
    <w:rsid w:val="504B57F2"/>
    <w:rsid w:val="50504C4B"/>
    <w:rsid w:val="50595A9B"/>
    <w:rsid w:val="505C7A00"/>
    <w:rsid w:val="505D3E4A"/>
    <w:rsid w:val="505E46A4"/>
    <w:rsid w:val="505F4DFA"/>
    <w:rsid w:val="50633831"/>
    <w:rsid w:val="50697CFA"/>
    <w:rsid w:val="506B0588"/>
    <w:rsid w:val="50746AF7"/>
    <w:rsid w:val="507D771B"/>
    <w:rsid w:val="508277C2"/>
    <w:rsid w:val="50854860"/>
    <w:rsid w:val="50940F47"/>
    <w:rsid w:val="5095081C"/>
    <w:rsid w:val="5095298B"/>
    <w:rsid w:val="509C261D"/>
    <w:rsid w:val="509C6E7C"/>
    <w:rsid w:val="509F650B"/>
    <w:rsid w:val="50A12278"/>
    <w:rsid w:val="50A80A49"/>
    <w:rsid w:val="50AB6AEF"/>
    <w:rsid w:val="50AB7C3F"/>
    <w:rsid w:val="50AC140F"/>
    <w:rsid w:val="50B60EBE"/>
    <w:rsid w:val="50B67110"/>
    <w:rsid w:val="50C730CB"/>
    <w:rsid w:val="50E517A3"/>
    <w:rsid w:val="50EE6B8C"/>
    <w:rsid w:val="50EF2622"/>
    <w:rsid w:val="50F044D2"/>
    <w:rsid w:val="50F43794"/>
    <w:rsid w:val="50FC089B"/>
    <w:rsid w:val="51025EB1"/>
    <w:rsid w:val="51051E45"/>
    <w:rsid w:val="5107796B"/>
    <w:rsid w:val="510936E3"/>
    <w:rsid w:val="511107EA"/>
    <w:rsid w:val="51112598"/>
    <w:rsid w:val="511827FB"/>
    <w:rsid w:val="51200A2D"/>
    <w:rsid w:val="51204589"/>
    <w:rsid w:val="51273544"/>
    <w:rsid w:val="51343C08"/>
    <w:rsid w:val="513E0EB3"/>
    <w:rsid w:val="5141377E"/>
    <w:rsid w:val="51450494"/>
    <w:rsid w:val="51497F84"/>
    <w:rsid w:val="514C40F4"/>
    <w:rsid w:val="51542485"/>
    <w:rsid w:val="5156444F"/>
    <w:rsid w:val="515801C7"/>
    <w:rsid w:val="515B3813"/>
    <w:rsid w:val="5162104E"/>
    <w:rsid w:val="51654692"/>
    <w:rsid w:val="51666F41"/>
    <w:rsid w:val="516778E2"/>
    <w:rsid w:val="516C0D62"/>
    <w:rsid w:val="516E79EA"/>
    <w:rsid w:val="51703763"/>
    <w:rsid w:val="5171236B"/>
    <w:rsid w:val="517308B7"/>
    <w:rsid w:val="518035FA"/>
    <w:rsid w:val="518B234A"/>
    <w:rsid w:val="518C7E71"/>
    <w:rsid w:val="518E66BB"/>
    <w:rsid w:val="5190129C"/>
    <w:rsid w:val="519805C3"/>
    <w:rsid w:val="519F6F01"/>
    <w:rsid w:val="51A028E6"/>
    <w:rsid w:val="51A27694"/>
    <w:rsid w:val="51A967FF"/>
    <w:rsid w:val="51AF590D"/>
    <w:rsid w:val="51B03B5F"/>
    <w:rsid w:val="51B51175"/>
    <w:rsid w:val="51C162D2"/>
    <w:rsid w:val="51C23892"/>
    <w:rsid w:val="51C4760A"/>
    <w:rsid w:val="51C770FB"/>
    <w:rsid w:val="51C92E73"/>
    <w:rsid w:val="51D27F79"/>
    <w:rsid w:val="51D53F96"/>
    <w:rsid w:val="51D57E89"/>
    <w:rsid w:val="51E3650C"/>
    <w:rsid w:val="51E42CF2"/>
    <w:rsid w:val="51E934AE"/>
    <w:rsid w:val="51FF4AE6"/>
    <w:rsid w:val="52065D53"/>
    <w:rsid w:val="520774F7"/>
    <w:rsid w:val="52100AA2"/>
    <w:rsid w:val="52147923"/>
    <w:rsid w:val="52157E66"/>
    <w:rsid w:val="52197F39"/>
    <w:rsid w:val="522462FB"/>
    <w:rsid w:val="522D1654"/>
    <w:rsid w:val="522F1386"/>
    <w:rsid w:val="52306A4E"/>
    <w:rsid w:val="523429E2"/>
    <w:rsid w:val="5236391B"/>
    <w:rsid w:val="52377DDC"/>
    <w:rsid w:val="52426781"/>
    <w:rsid w:val="52466C8E"/>
    <w:rsid w:val="52481FEA"/>
    <w:rsid w:val="524B3888"/>
    <w:rsid w:val="524F15CA"/>
    <w:rsid w:val="52505342"/>
    <w:rsid w:val="526112FD"/>
    <w:rsid w:val="526D4335"/>
    <w:rsid w:val="526F5DA1"/>
    <w:rsid w:val="527F3531"/>
    <w:rsid w:val="527F476D"/>
    <w:rsid w:val="52833022"/>
    <w:rsid w:val="528374C6"/>
    <w:rsid w:val="52881FDE"/>
    <w:rsid w:val="528C44CE"/>
    <w:rsid w:val="528F6BDC"/>
    <w:rsid w:val="52923265"/>
    <w:rsid w:val="5299285F"/>
    <w:rsid w:val="529945F3"/>
    <w:rsid w:val="529B78C2"/>
    <w:rsid w:val="529C40E3"/>
    <w:rsid w:val="52A1729B"/>
    <w:rsid w:val="52A631B4"/>
    <w:rsid w:val="52A764B3"/>
    <w:rsid w:val="52B4142D"/>
    <w:rsid w:val="52B94C95"/>
    <w:rsid w:val="52BB6C5F"/>
    <w:rsid w:val="52BE22AC"/>
    <w:rsid w:val="52BE272E"/>
    <w:rsid w:val="52C95EB2"/>
    <w:rsid w:val="52CA29FF"/>
    <w:rsid w:val="52D022F3"/>
    <w:rsid w:val="52D16020"/>
    <w:rsid w:val="52D7511B"/>
    <w:rsid w:val="52DB4C0C"/>
    <w:rsid w:val="52DC2732"/>
    <w:rsid w:val="52E11D34"/>
    <w:rsid w:val="52E27CFC"/>
    <w:rsid w:val="52F63558"/>
    <w:rsid w:val="52F67C97"/>
    <w:rsid w:val="530323B4"/>
    <w:rsid w:val="53071EA5"/>
    <w:rsid w:val="530F1502"/>
    <w:rsid w:val="53144479"/>
    <w:rsid w:val="531719BC"/>
    <w:rsid w:val="53237F02"/>
    <w:rsid w:val="53293249"/>
    <w:rsid w:val="533662E6"/>
    <w:rsid w:val="53397B84"/>
    <w:rsid w:val="53422EDD"/>
    <w:rsid w:val="534327B1"/>
    <w:rsid w:val="534529CD"/>
    <w:rsid w:val="534D3630"/>
    <w:rsid w:val="534F1156"/>
    <w:rsid w:val="53663A59"/>
    <w:rsid w:val="536D0096"/>
    <w:rsid w:val="53705D63"/>
    <w:rsid w:val="53793FBA"/>
    <w:rsid w:val="537E0075"/>
    <w:rsid w:val="538928BA"/>
    <w:rsid w:val="539D6365"/>
    <w:rsid w:val="53A039CC"/>
    <w:rsid w:val="53A10A51"/>
    <w:rsid w:val="53A1505A"/>
    <w:rsid w:val="53A5604D"/>
    <w:rsid w:val="53AB6CD4"/>
    <w:rsid w:val="53B13BBE"/>
    <w:rsid w:val="53B2032E"/>
    <w:rsid w:val="53B8313E"/>
    <w:rsid w:val="53B86CFB"/>
    <w:rsid w:val="53C007AE"/>
    <w:rsid w:val="53CA7952"/>
    <w:rsid w:val="53CE4770"/>
    <w:rsid w:val="53D02297"/>
    <w:rsid w:val="53D17F12"/>
    <w:rsid w:val="53D56FB0"/>
    <w:rsid w:val="53E06252"/>
    <w:rsid w:val="53E126F6"/>
    <w:rsid w:val="53E3402E"/>
    <w:rsid w:val="53E34AE9"/>
    <w:rsid w:val="53E40955"/>
    <w:rsid w:val="53F046E7"/>
    <w:rsid w:val="53F54A4D"/>
    <w:rsid w:val="53FA7313"/>
    <w:rsid w:val="53FC02D7"/>
    <w:rsid w:val="53FD6E04"/>
    <w:rsid w:val="5402441A"/>
    <w:rsid w:val="540309ED"/>
    <w:rsid w:val="5406215C"/>
    <w:rsid w:val="54063E08"/>
    <w:rsid w:val="540830A3"/>
    <w:rsid w:val="540C5299"/>
    <w:rsid w:val="540D253F"/>
    <w:rsid w:val="5410495A"/>
    <w:rsid w:val="541128AF"/>
    <w:rsid w:val="541A79B6"/>
    <w:rsid w:val="541C169C"/>
    <w:rsid w:val="541C3791"/>
    <w:rsid w:val="541D3002"/>
    <w:rsid w:val="54297BF9"/>
    <w:rsid w:val="543437E8"/>
    <w:rsid w:val="543842E0"/>
    <w:rsid w:val="54420CBA"/>
    <w:rsid w:val="544E17E7"/>
    <w:rsid w:val="54596C3D"/>
    <w:rsid w:val="5460757A"/>
    <w:rsid w:val="546724CF"/>
    <w:rsid w:val="546D4598"/>
    <w:rsid w:val="547370C6"/>
    <w:rsid w:val="54776BB6"/>
    <w:rsid w:val="547F7ED4"/>
    <w:rsid w:val="548B440F"/>
    <w:rsid w:val="54901A26"/>
    <w:rsid w:val="5495528E"/>
    <w:rsid w:val="54964C34"/>
    <w:rsid w:val="54A36E74"/>
    <w:rsid w:val="54A454D1"/>
    <w:rsid w:val="54AE00FE"/>
    <w:rsid w:val="54B020C8"/>
    <w:rsid w:val="54BA4CF5"/>
    <w:rsid w:val="54BD30C7"/>
    <w:rsid w:val="54C409BC"/>
    <w:rsid w:val="54C65448"/>
    <w:rsid w:val="54CC2F9D"/>
    <w:rsid w:val="54CC5154"/>
    <w:rsid w:val="54CC5781"/>
    <w:rsid w:val="54CC7FCF"/>
    <w:rsid w:val="54D51B2F"/>
    <w:rsid w:val="54E104D3"/>
    <w:rsid w:val="54E16725"/>
    <w:rsid w:val="54E51D72"/>
    <w:rsid w:val="54EC75A4"/>
    <w:rsid w:val="54ED50CA"/>
    <w:rsid w:val="54F11786"/>
    <w:rsid w:val="54F55D2D"/>
    <w:rsid w:val="54F63F7F"/>
    <w:rsid w:val="54F73313"/>
    <w:rsid w:val="54F80955"/>
    <w:rsid w:val="54FB1595"/>
    <w:rsid w:val="54FC799C"/>
    <w:rsid w:val="550146D2"/>
    <w:rsid w:val="55052414"/>
    <w:rsid w:val="550775C4"/>
    <w:rsid w:val="550A17D8"/>
    <w:rsid w:val="550F6DEF"/>
    <w:rsid w:val="551156AD"/>
    <w:rsid w:val="551268DF"/>
    <w:rsid w:val="55181DC8"/>
    <w:rsid w:val="55232925"/>
    <w:rsid w:val="55260F35"/>
    <w:rsid w:val="55264138"/>
    <w:rsid w:val="55306D65"/>
    <w:rsid w:val="55320D2F"/>
    <w:rsid w:val="55376345"/>
    <w:rsid w:val="553C67AE"/>
    <w:rsid w:val="55402401"/>
    <w:rsid w:val="55433011"/>
    <w:rsid w:val="55466588"/>
    <w:rsid w:val="55483D0E"/>
    <w:rsid w:val="554F7B33"/>
    <w:rsid w:val="555170A7"/>
    <w:rsid w:val="555313D1"/>
    <w:rsid w:val="55576F8D"/>
    <w:rsid w:val="55603AEE"/>
    <w:rsid w:val="5560589C"/>
    <w:rsid w:val="5560764A"/>
    <w:rsid w:val="556A04C9"/>
    <w:rsid w:val="55733821"/>
    <w:rsid w:val="557650C0"/>
    <w:rsid w:val="5579070C"/>
    <w:rsid w:val="5579695E"/>
    <w:rsid w:val="55862E04"/>
    <w:rsid w:val="5587536D"/>
    <w:rsid w:val="55967510"/>
    <w:rsid w:val="559A7000"/>
    <w:rsid w:val="559B174B"/>
    <w:rsid w:val="55A57753"/>
    <w:rsid w:val="55A734CB"/>
    <w:rsid w:val="55B160F8"/>
    <w:rsid w:val="55B41744"/>
    <w:rsid w:val="55BE25C3"/>
    <w:rsid w:val="55CE0CF4"/>
    <w:rsid w:val="55E069DD"/>
    <w:rsid w:val="55E71B19"/>
    <w:rsid w:val="55FF6E63"/>
    <w:rsid w:val="56053BFE"/>
    <w:rsid w:val="5609748A"/>
    <w:rsid w:val="56116B96"/>
    <w:rsid w:val="5612303A"/>
    <w:rsid w:val="562A542D"/>
    <w:rsid w:val="562E14F6"/>
    <w:rsid w:val="56351B99"/>
    <w:rsid w:val="563A60ED"/>
    <w:rsid w:val="563D5BDD"/>
    <w:rsid w:val="56451E27"/>
    <w:rsid w:val="565076BF"/>
    <w:rsid w:val="565847C5"/>
    <w:rsid w:val="56602CE9"/>
    <w:rsid w:val="5661367A"/>
    <w:rsid w:val="56657728"/>
    <w:rsid w:val="56682C5A"/>
    <w:rsid w:val="566969D2"/>
    <w:rsid w:val="567C6706"/>
    <w:rsid w:val="567F77D7"/>
    <w:rsid w:val="569752EE"/>
    <w:rsid w:val="56A1616C"/>
    <w:rsid w:val="56AC0020"/>
    <w:rsid w:val="56B0015D"/>
    <w:rsid w:val="56B22A9C"/>
    <w:rsid w:val="56B37C4E"/>
    <w:rsid w:val="56BD3A2F"/>
    <w:rsid w:val="56BF4844"/>
    <w:rsid w:val="56C65BD3"/>
    <w:rsid w:val="56D13F81"/>
    <w:rsid w:val="56D4580D"/>
    <w:rsid w:val="56D52FCB"/>
    <w:rsid w:val="56D57B90"/>
    <w:rsid w:val="56DF4869"/>
    <w:rsid w:val="56E458CB"/>
    <w:rsid w:val="56E66275"/>
    <w:rsid w:val="56E909A3"/>
    <w:rsid w:val="56EB2B69"/>
    <w:rsid w:val="56EB73E7"/>
    <w:rsid w:val="56F52014"/>
    <w:rsid w:val="56FB5DFE"/>
    <w:rsid w:val="57034731"/>
    <w:rsid w:val="570404A9"/>
    <w:rsid w:val="570D3802"/>
    <w:rsid w:val="57103F7B"/>
    <w:rsid w:val="5712706A"/>
    <w:rsid w:val="57162195"/>
    <w:rsid w:val="571E7ECD"/>
    <w:rsid w:val="5720543F"/>
    <w:rsid w:val="57264364"/>
    <w:rsid w:val="572648C3"/>
    <w:rsid w:val="57266671"/>
    <w:rsid w:val="572A59C9"/>
    <w:rsid w:val="57372C72"/>
    <w:rsid w:val="573C3AA9"/>
    <w:rsid w:val="573C5E95"/>
    <w:rsid w:val="573E7E5F"/>
    <w:rsid w:val="573F181A"/>
    <w:rsid w:val="574014E1"/>
    <w:rsid w:val="574C432A"/>
    <w:rsid w:val="57580D8B"/>
    <w:rsid w:val="576509B7"/>
    <w:rsid w:val="576A5A23"/>
    <w:rsid w:val="576B2935"/>
    <w:rsid w:val="57764522"/>
    <w:rsid w:val="577E46FF"/>
    <w:rsid w:val="5780751F"/>
    <w:rsid w:val="578C2978"/>
    <w:rsid w:val="578C4726"/>
    <w:rsid w:val="579C7865"/>
    <w:rsid w:val="579D4B86"/>
    <w:rsid w:val="57A23F4A"/>
    <w:rsid w:val="57AA1051"/>
    <w:rsid w:val="57AE7355"/>
    <w:rsid w:val="57B72A76"/>
    <w:rsid w:val="57BE0BA6"/>
    <w:rsid w:val="57C3426C"/>
    <w:rsid w:val="57CE1F93"/>
    <w:rsid w:val="57CE3A63"/>
    <w:rsid w:val="57EA60D9"/>
    <w:rsid w:val="57EA769F"/>
    <w:rsid w:val="57F66044"/>
    <w:rsid w:val="58022C3B"/>
    <w:rsid w:val="58070237"/>
    <w:rsid w:val="581110D0"/>
    <w:rsid w:val="58160494"/>
    <w:rsid w:val="58173D6A"/>
    <w:rsid w:val="58201313"/>
    <w:rsid w:val="58226E39"/>
    <w:rsid w:val="582B6252"/>
    <w:rsid w:val="58331046"/>
    <w:rsid w:val="58331FA0"/>
    <w:rsid w:val="583A0626"/>
    <w:rsid w:val="583B7EFB"/>
    <w:rsid w:val="58417C07"/>
    <w:rsid w:val="58433A16"/>
    <w:rsid w:val="584B45E2"/>
    <w:rsid w:val="584C035A"/>
    <w:rsid w:val="584E40D2"/>
    <w:rsid w:val="584E4415"/>
    <w:rsid w:val="585C1383"/>
    <w:rsid w:val="585F62DF"/>
    <w:rsid w:val="58690F0C"/>
    <w:rsid w:val="586B07E0"/>
    <w:rsid w:val="586C6306"/>
    <w:rsid w:val="58725E54"/>
    <w:rsid w:val="587B479B"/>
    <w:rsid w:val="588743D1"/>
    <w:rsid w:val="5887701A"/>
    <w:rsid w:val="58935F89"/>
    <w:rsid w:val="5898359F"/>
    <w:rsid w:val="589C19E2"/>
    <w:rsid w:val="58A91308"/>
    <w:rsid w:val="58B21E57"/>
    <w:rsid w:val="58B55EFF"/>
    <w:rsid w:val="58BD2444"/>
    <w:rsid w:val="58BD62AC"/>
    <w:rsid w:val="58C03FAC"/>
    <w:rsid w:val="58C61EBA"/>
    <w:rsid w:val="58C94981"/>
    <w:rsid w:val="58D50606"/>
    <w:rsid w:val="58D73E22"/>
    <w:rsid w:val="58D8399B"/>
    <w:rsid w:val="58DD297F"/>
    <w:rsid w:val="58E74A93"/>
    <w:rsid w:val="58E93C5B"/>
    <w:rsid w:val="58E95BA9"/>
    <w:rsid w:val="58EB4BB9"/>
    <w:rsid w:val="58F1799D"/>
    <w:rsid w:val="58F46597"/>
    <w:rsid w:val="58F509F1"/>
    <w:rsid w:val="58FA6008"/>
    <w:rsid w:val="58FC7A43"/>
    <w:rsid w:val="59012EF2"/>
    <w:rsid w:val="59044790"/>
    <w:rsid w:val="590C30E5"/>
    <w:rsid w:val="591500BB"/>
    <w:rsid w:val="5916046F"/>
    <w:rsid w:val="5919023C"/>
    <w:rsid w:val="59196980"/>
    <w:rsid w:val="591A2206"/>
    <w:rsid w:val="591F781C"/>
    <w:rsid w:val="59224398"/>
    <w:rsid w:val="59277747"/>
    <w:rsid w:val="5928493D"/>
    <w:rsid w:val="592B4413"/>
    <w:rsid w:val="59305585"/>
    <w:rsid w:val="593D3027"/>
    <w:rsid w:val="594151E3"/>
    <w:rsid w:val="594455DB"/>
    <w:rsid w:val="59447D77"/>
    <w:rsid w:val="594828CF"/>
    <w:rsid w:val="59484FC5"/>
    <w:rsid w:val="594F1EAF"/>
    <w:rsid w:val="594F3C5E"/>
    <w:rsid w:val="5954555B"/>
    <w:rsid w:val="595504FD"/>
    <w:rsid w:val="59590F80"/>
    <w:rsid w:val="595C637A"/>
    <w:rsid w:val="595D6DC9"/>
    <w:rsid w:val="595E6596"/>
    <w:rsid w:val="59605E6B"/>
    <w:rsid w:val="59657925"/>
    <w:rsid w:val="59657E79"/>
    <w:rsid w:val="596D20D3"/>
    <w:rsid w:val="596D4A2C"/>
    <w:rsid w:val="597B52F1"/>
    <w:rsid w:val="597E09E7"/>
    <w:rsid w:val="59800E3A"/>
    <w:rsid w:val="598569DF"/>
    <w:rsid w:val="59861649"/>
    <w:rsid w:val="598633F7"/>
    <w:rsid w:val="59875AED"/>
    <w:rsid w:val="598A7782"/>
    <w:rsid w:val="598C3104"/>
    <w:rsid w:val="59940F7F"/>
    <w:rsid w:val="59945B14"/>
    <w:rsid w:val="59967ADE"/>
    <w:rsid w:val="599B2D70"/>
    <w:rsid w:val="599E0308"/>
    <w:rsid w:val="599F407F"/>
    <w:rsid w:val="59A315EF"/>
    <w:rsid w:val="59A541C5"/>
    <w:rsid w:val="59A57D21"/>
    <w:rsid w:val="59A71CEC"/>
    <w:rsid w:val="59B241EC"/>
    <w:rsid w:val="59B40CC3"/>
    <w:rsid w:val="59B63CDD"/>
    <w:rsid w:val="59BB12F3"/>
    <w:rsid w:val="59C0439F"/>
    <w:rsid w:val="59C75EEA"/>
    <w:rsid w:val="59C97E52"/>
    <w:rsid w:val="59CC0CCD"/>
    <w:rsid w:val="59CF12F0"/>
    <w:rsid w:val="59D2488F"/>
    <w:rsid w:val="59E44CE4"/>
    <w:rsid w:val="59E940B2"/>
    <w:rsid w:val="59F56EEF"/>
    <w:rsid w:val="59F82547"/>
    <w:rsid w:val="59F95D48"/>
    <w:rsid w:val="5A00764E"/>
    <w:rsid w:val="5A0740B4"/>
    <w:rsid w:val="5A0C471A"/>
    <w:rsid w:val="5A0C5FF2"/>
    <w:rsid w:val="5A111A57"/>
    <w:rsid w:val="5A132EDD"/>
    <w:rsid w:val="5A1629CD"/>
    <w:rsid w:val="5A166E71"/>
    <w:rsid w:val="5A2F3094"/>
    <w:rsid w:val="5A3B0686"/>
    <w:rsid w:val="5A427C66"/>
    <w:rsid w:val="5A4968FF"/>
    <w:rsid w:val="5A4A548B"/>
    <w:rsid w:val="5A584D94"/>
    <w:rsid w:val="5A6279C1"/>
    <w:rsid w:val="5A643739"/>
    <w:rsid w:val="5A696FA1"/>
    <w:rsid w:val="5A6A4AC7"/>
    <w:rsid w:val="5A710FF0"/>
    <w:rsid w:val="5A736BAA"/>
    <w:rsid w:val="5A7476F4"/>
    <w:rsid w:val="5A767910"/>
    <w:rsid w:val="5A7F0572"/>
    <w:rsid w:val="5A81253D"/>
    <w:rsid w:val="5A9D6323"/>
    <w:rsid w:val="5AB346C0"/>
    <w:rsid w:val="5AB53F94"/>
    <w:rsid w:val="5AB87F28"/>
    <w:rsid w:val="5ABA3CA0"/>
    <w:rsid w:val="5ABC3568"/>
    <w:rsid w:val="5ABE2233"/>
    <w:rsid w:val="5AC4067B"/>
    <w:rsid w:val="5AC661A1"/>
    <w:rsid w:val="5AC73CC7"/>
    <w:rsid w:val="5ACB37B8"/>
    <w:rsid w:val="5AD84127"/>
    <w:rsid w:val="5ADA29F0"/>
    <w:rsid w:val="5ADE1F73"/>
    <w:rsid w:val="5AE605F2"/>
    <w:rsid w:val="5AE64A95"/>
    <w:rsid w:val="5AE825BC"/>
    <w:rsid w:val="5AEA1ACC"/>
    <w:rsid w:val="5AEA7C17"/>
    <w:rsid w:val="5AEC6D21"/>
    <w:rsid w:val="5AF50676"/>
    <w:rsid w:val="5AFA603B"/>
    <w:rsid w:val="5B0D3DD0"/>
    <w:rsid w:val="5B0E1654"/>
    <w:rsid w:val="5B123195"/>
    <w:rsid w:val="5B150ED7"/>
    <w:rsid w:val="5B18483E"/>
    <w:rsid w:val="5B1C2265"/>
    <w:rsid w:val="5B242EC8"/>
    <w:rsid w:val="5B280C0A"/>
    <w:rsid w:val="5B294982"/>
    <w:rsid w:val="5B351579"/>
    <w:rsid w:val="5B366A24"/>
    <w:rsid w:val="5B372BFB"/>
    <w:rsid w:val="5B495359"/>
    <w:rsid w:val="5B4D4C03"/>
    <w:rsid w:val="5B5419FF"/>
    <w:rsid w:val="5B5A4B3C"/>
    <w:rsid w:val="5B5C4D58"/>
    <w:rsid w:val="5B5F03A4"/>
    <w:rsid w:val="5B6360E6"/>
    <w:rsid w:val="5B647768"/>
    <w:rsid w:val="5B647B21"/>
    <w:rsid w:val="5B661732"/>
    <w:rsid w:val="5B6B1CD1"/>
    <w:rsid w:val="5B7115BF"/>
    <w:rsid w:val="5B765E19"/>
    <w:rsid w:val="5B7B3430"/>
    <w:rsid w:val="5B7E7DD5"/>
    <w:rsid w:val="5B8322E4"/>
    <w:rsid w:val="5B883F60"/>
    <w:rsid w:val="5B8964E5"/>
    <w:rsid w:val="5B8F0B6B"/>
    <w:rsid w:val="5B973BCF"/>
    <w:rsid w:val="5B991B08"/>
    <w:rsid w:val="5B9B13DC"/>
    <w:rsid w:val="5B9B48CB"/>
    <w:rsid w:val="5BA109BC"/>
    <w:rsid w:val="5BA612E4"/>
    <w:rsid w:val="5BAA161F"/>
    <w:rsid w:val="5BAA7871"/>
    <w:rsid w:val="5BAF30D9"/>
    <w:rsid w:val="5BB62A08"/>
    <w:rsid w:val="5BB64468"/>
    <w:rsid w:val="5BC00E43"/>
    <w:rsid w:val="5BC27747"/>
    <w:rsid w:val="5BC36B85"/>
    <w:rsid w:val="5BC54CF3"/>
    <w:rsid w:val="5BC74F34"/>
    <w:rsid w:val="5BD91F04"/>
    <w:rsid w:val="5BDB3ECE"/>
    <w:rsid w:val="5BDB7A2A"/>
    <w:rsid w:val="5BDE18D5"/>
    <w:rsid w:val="5BDE39BF"/>
    <w:rsid w:val="5BDF5D95"/>
    <w:rsid w:val="5BE2700B"/>
    <w:rsid w:val="5BEE548C"/>
    <w:rsid w:val="5BFE196B"/>
    <w:rsid w:val="5BFE7528"/>
    <w:rsid w:val="5C084598"/>
    <w:rsid w:val="5C0C052C"/>
    <w:rsid w:val="5C0C22DA"/>
    <w:rsid w:val="5C1B076F"/>
    <w:rsid w:val="5C25514A"/>
    <w:rsid w:val="5C272C70"/>
    <w:rsid w:val="5C292700"/>
    <w:rsid w:val="5C367357"/>
    <w:rsid w:val="5C390BF5"/>
    <w:rsid w:val="5C3B4017"/>
    <w:rsid w:val="5C3E620B"/>
    <w:rsid w:val="5C4358A6"/>
    <w:rsid w:val="5C4E46A0"/>
    <w:rsid w:val="5C523DB5"/>
    <w:rsid w:val="5C553C81"/>
    <w:rsid w:val="5C6312D9"/>
    <w:rsid w:val="5C64746D"/>
    <w:rsid w:val="5C672BCA"/>
    <w:rsid w:val="5C6A7000"/>
    <w:rsid w:val="5C6B34A4"/>
    <w:rsid w:val="5C741C2D"/>
    <w:rsid w:val="5C794708"/>
    <w:rsid w:val="5C7A0CAF"/>
    <w:rsid w:val="5C8F6A67"/>
    <w:rsid w:val="5C9347A9"/>
    <w:rsid w:val="5C983B6D"/>
    <w:rsid w:val="5C9A78E6"/>
    <w:rsid w:val="5CA16E0D"/>
    <w:rsid w:val="5CA22C3E"/>
    <w:rsid w:val="5CA2679A"/>
    <w:rsid w:val="5CA50038"/>
    <w:rsid w:val="5CA6628A"/>
    <w:rsid w:val="5CA70254"/>
    <w:rsid w:val="5CAE513F"/>
    <w:rsid w:val="5CAF2C65"/>
    <w:rsid w:val="5CAF3AF1"/>
    <w:rsid w:val="5CB70498"/>
    <w:rsid w:val="5CB87D6C"/>
    <w:rsid w:val="5CBC3D00"/>
    <w:rsid w:val="5CBD5382"/>
    <w:rsid w:val="5CC21514"/>
    <w:rsid w:val="5CC25C15"/>
    <w:rsid w:val="5CC74453"/>
    <w:rsid w:val="5CC97269"/>
    <w:rsid w:val="5CCD715D"/>
    <w:rsid w:val="5CD1707F"/>
    <w:rsid w:val="5CD8040E"/>
    <w:rsid w:val="5CDC6607"/>
    <w:rsid w:val="5CE16980"/>
    <w:rsid w:val="5CE2303B"/>
    <w:rsid w:val="5CE9261B"/>
    <w:rsid w:val="5CE96177"/>
    <w:rsid w:val="5CEC5C67"/>
    <w:rsid w:val="5CF07506"/>
    <w:rsid w:val="5CF1327E"/>
    <w:rsid w:val="5CF36FF6"/>
    <w:rsid w:val="5CF826E3"/>
    <w:rsid w:val="5CFA0384"/>
    <w:rsid w:val="5CFD7E74"/>
    <w:rsid w:val="5D0E5BDE"/>
    <w:rsid w:val="5D107997"/>
    <w:rsid w:val="5D124C89"/>
    <w:rsid w:val="5D177188"/>
    <w:rsid w:val="5D221689"/>
    <w:rsid w:val="5D261179"/>
    <w:rsid w:val="5D2B49E2"/>
    <w:rsid w:val="5D2C48AB"/>
    <w:rsid w:val="5D2E002E"/>
    <w:rsid w:val="5D310D37"/>
    <w:rsid w:val="5D364063"/>
    <w:rsid w:val="5D415FB3"/>
    <w:rsid w:val="5D45533F"/>
    <w:rsid w:val="5D465377"/>
    <w:rsid w:val="5D573A29"/>
    <w:rsid w:val="5D69550A"/>
    <w:rsid w:val="5D6B1282"/>
    <w:rsid w:val="5D6B3030"/>
    <w:rsid w:val="5D6F2B20"/>
    <w:rsid w:val="5D704AEA"/>
    <w:rsid w:val="5D7A3582"/>
    <w:rsid w:val="5D7E5B9C"/>
    <w:rsid w:val="5D845EA0"/>
    <w:rsid w:val="5D881E34"/>
    <w:rsid w:val="5D8A56AE"/>
    <w:rsid w:val="5D922D7E"/>
    <w:rsid w:val="5D984C8F"/>
    <w:rsid w:val="5D9C143B"/>
    <w:rsid w:val="5D9C3CE1"/>
    <w:rsid w:val="5DA12EF6"/>
    <w:rsid w:val="5DA402F0"/>
    <w:rsid w:val="5DA622BA"/>
    <w:rsid w:val="5DAB5B22"/>
    <w:rsid w:val="5DAE75E4"/>
    <w:rsid w:val="5DBE7604"/>
    <w:rsid w:val="5DC310BE"/>
    <w:rsid w:val="5DC4767F"/>
    <w:rsid w:val="5DC664B8"/>
    <w:rsid w:val="5DD305B6"/>
    <w:rsid w:val="5DD9035E"/>
    <w:rsid w:val="5DDC3F2E"/>
    <w:rsid w:val="5DDD2180"/>
    <w:rsid w:val="5DE03A1E"/>
    <w:rsid w:val="5DED7EE9"/>
    <w:rsid w:val="5DFB0858"/>
    <w:rsid w:val="5DFF4991"/>
    <w:rsid w:val="5E007C1C"/>
    <w:rsid w:val="5E064456"/>
    <w:rsid w:val="5E146B93"/>
    <w:rsid w:val="5E1831B8"/>
    <w:rsid w:val="5E1B6804"/>
    <w:rsid w:val="5E20206C"/>
    <w:rsid w:val="5E24360A"/>
    <w:rsid w:val="5E2467F1"/>
    <w:rsid w:val="5E2961B0"/>
    <w:rsid w:val="5E2A2EEB"/>
    <w:rsid w:val="5E3339B3"/>
    <w:rsid w:val="5E34084B"/>
    <w:rsid w:val="5E341674"/>
    <w:rsid w:val="5E360964"/>
    <w:rsid w:val="5E361890"/>
    <w:rsid w:val="5E391380"/>
    <w:rsid w:val="5E420235"/>
    <w:rsid w:val="5E490BDD"/>
    <w:rsid w:val="5E4E4E2C"/>
    <w:rsid w:val="5E540219"/>
    <w:rsid w:val="5E5E642F"/>
    <w:rsid w:val="5E5F293B"/>
    <w:rsid w:val="5E624433"/>
    <w:rsid w:val="5E655CD1"/>
    <w:rsid w:val="5E6B2763"/>
    <w:rsid w:val="5E6C580F"/>
    <w:rsid w:val="5E761C8C"/>
    <w:rsid w:val="5E794835"/>
    <w:rsid w:val="5E82796C"/>
    <w:rsid w:val="5E8425FB"/>
    <w:rsid w:val="5E8C7702"/>
    <w:rsid w:val="5E946AFE"/>
    <w:rsid w:val="5E957DF3"/>
    <w:rsid w:val="5EA909D5"/>
    <w:rsid w:val="5EAC56AE"/>
    <w:rsid w:val="5EB40B8C"/>
    <w:rsid w:val="5EB6652D"/>
    <w:rsid w:val="5EBA601D"/>
    <w:rsid w:val="5EBE53E1"/>
    <w:rsid w:val="5EC155FD"/>
    <w:rsid w:val="5EC24ED2"/>
    <w:rsid w:val="5EC63891"/>
    <w:rsid w:val="5ECB0A99"/>
    <w:rsid w:val="5ECC7AFE"/>
    <w:rsid w:val="5ECE7D1A"/>
    <w:rsid w:val="5ECF3015"/>
    <w:rsid w:val="5ED864A3"/>
    <w:rsid w:val="5EDA66BF"/>
    <w:rsid w:val="5EDB41E5"/>
    <w:rsid w:val="5EDF3CD6"/>
    <w:rsid w:val="5EE035AA"/>
    <w:rsid w:val="5EE66E12"/>
    <w:rsid w:val="5EE71D2C"/>
    <w:rsid w:val="5EFA4F3B"/>
    <w:rsid w:val="5EFB45B3"/>
    <w:rsid w:val="5EFD415C"/>
    <w:rsid w:val="5F0279C4"/>
    <w:rsid w:val="5F0701F4"/>
    <w:rsid w:val="5F105478"/>
    <w:rsid w:val="5F1A2B43"/>
    <w:rsid w:val="5F215981"/>
    <w:rsid w:val="5F2416E8"/>
    <w:rsid w:val="5F2E2567"/>
    <w:rsid w:val="5F2E5CDC"/>
    <w:rsid w:val="5F3202A9"/>
    <w:rsid w:val="5F3258F4"/>
    <w:rsid w:val="5F357D99"/>
    <w:rsid w:val="5F393ECE"/>
    <w:rsid w:val="5F3C2ED6"/>
    <w:rsid w:val="5F3F29C6"/>
    <w:rsid w:val="5F5737A7"/>
    <w:rsid w:val="5F5C5326"/>
    <w:rsid w:val="5F5D2E4C"/>
    <w:rsid w:val="5F5F4E16"/>
    <w:rsid w:val="5F630463"/>
    <w:rsid w:val="5F6E6E08"/>
    <w:rsid w:val="5F7408C2"/>
    <w:rsid w:val="5F7F7267"/>
    <w:rsid w:val="5F812FDF"/>
    <w:rsid w:val="5F81737A"/>
    <w:rsid w:val="5F830B05"/>
    <w:rsid w:val="5F8B1768"/>
    <w:rsid w:val="5F9B43F5"/>
    <w:rsid w:val="5F9E76ED"/>
    <w:rsid w:val="5FA25CD8"/>
    <w:rsid w:val="5FA63E4A"/>
    <w:rsid w:val="5FAA49AB"/>
    <w:rsid w:val="5FB16255"/>
    <w:rsid w:val="5FB3249A"/>
    <w:rsid w:val="5FB837BB"/>
    <w:rsid w:val="5FB94527"/>
    <w:rsid w:val="5FBF1411"/>
    <w:rsid w:val="5FBF673F"/>
    <w:rsid w:val="5FD0353C"/>
    <w:rsid w:val="5FD4310E"/>
    <w:rsid w:val="5FD50C35"/>
    <w:rsid w:val="5FDA449D"/>
    <w:rsid w:val="5FDD67C9"/>
    <w:rsid w:val="5FDE21DF"/>
    <w:rsid w:val="5FEA2932"/>
    <w:rsid w:val="5FFA069B"/>
    <w:rsid w:val="600225BA"/>
    <w:rsid w:val="600357A2"/>
    <w:rsid w:val="600529E2"/>
    <w:rsid w:val="600A4D82"/>
    <w:rsid w:val="600D56C1"/>
    <w:rsid w:val="601114CB"/>
    <w:rsid w:val="6017124D"/>
    <w:rsid w:val="60172596"/>
    <w:rsid w:val="601B6F8F"/>
    <w:rsid w:val="601C6864"/>
    <w:rsid w:val="60285208"/>
    <w:rsid w:val="602F47E9"/>
    <w:rsid w:val="60343BAD"/>
    <w:rsid w:val="603B13E0"/>
    <w:rsid w:val="60471B32"/>
    <w:rsid w:val="60487659"/>
    <w:rsid w:val="604F0C94"/>
    <w:rsid w:val="60677905"/>
    <w:rsid w:val="60711AC0"/>
    <w:rsid w:val="6074044E"/>
    <w:rsid w:val="60765F74"/>
    <w:rsid w:val="607E307A"/>
    <w:rsid w:val="609300C1"/>
    <w:rsid w:val="609D5BF6"/>
    <w:rsid w:val="60A1086B"/>
    <w:rsid w:val="60A32AE1"/>
    <w:rsid w:val="60A76A75"/>
    <w:rsid w:val="60AA2C8E"/>
    <w:rsid w:val="60AA3E6F"/>
    <w:rsid w:val="60B3541A"/>
    <w:rsid w:val="60BE791B"/>
    <w:rsid w:val="60C2740B"/>
    <w:rsid w:val="60C942B1"/>
    <w:rsid w:val="60CC405A"/>
    <w:rsid w:val="60D84E80"/>
    <w:rsid w:val="60EC742C"/>
    <w:rsid w:val="60F33A68"/>
    <w:rsid w:val="60F376EA"/>
    <w:rsid w:val="60F65306"/>
    <w:rsid w:val="60F8107F"/>
    <w:rsid w:val="6105554A"/>
    <w:rsid w:val="6107553A"/>
    <w:rsid w:val="610E43FE"/>
    <w:rsid w:val="61151C31"/>
    <w:rsid w:val="612615FD"/>
    <w:rsid w:val="612821C6"/>
    <w:rsid w:val="612E29D1"/>
    <w:rsid w:val="61333E65"/>
    <w:rsid w:val="613528A4"/>
    <w:rsid w:val="61357BDD"/>
    <w:rsid w:val="6138591F"/>
    <w:rsid w:val="613A3445"/>
    <w:rsid w:val="613A4D1B"/>
    <w:rsid w:val="613C15A9"/>
    <w:rsid w:val="61410E47"/>
    <w:rsid w:val="61412A26"/>
    <w:rsid w:val="615362B5"/>
    <w:rsid w:val="615564D1"/>
    <w:rsid w:val="61650242"/>
    <w:rsid w:val="616B7AA3"/>
    <w:rsid w:val="61776447"/>
    <w:rsid w:val="6190212D"/>
    <w:rsid w:val="619A6768"/>
    <w:rsid w:val="61A44D62"/>
    <w:rsid w:val="61AD0038"/>
    <w:rsid w:val="61B96A60"/>
    <w:rsid w:val="61BB4C0A"/>
    <w:rsid w:val="61BC3E5A"/>
    <w:rsid w:val="61BF1B9C"/>
    <w:rsid w:val="61BF7DEE"/>
    <w:rsid w:val="61C15914"/>
    <w:rsid w:val="61C40F61"/>
    <w:rsid w:val="61CB3AA0"/>
    <w:rsid w:val="61CD6067"/>
    <w:rsid w:val="61CE3B8D"/>
    <w:rsid w:val="61D041BE"/>
    <w:rsid w:val="61D309FB"/>
    <w:rsid w:val="61E215D8"/>
    <w:rsid w:val="61E5533E"/>
    <w:rsid w:val="61E635CD"/>
    <w:rsid w:val="61E86918"/>
    <w:rsid w:val="61F65EA9"/>
    <w:rsid w:val="62062F55"/>
    <w:rsid w:val="620D2908"/>
    <w:rsid w:val="62126170"/>
    <w:rsid w:val="62156418"/>
    <w:rsid w:val="621B3775"/>
    <w:rsid w:val="621C2B4B"/>
    <w:rsid w:val="621F43E9"/>
    <w:rsid w:val="622163B3"/>
    <w:rsid w:val="62243CCE"/>
    <w:rsid w:val="622540F5"/>
    <w:rsid w:val="62280248"/>
    <w:rsid w:val="62326812"/>
    <w:rsid w:val="62360E39"/>
    <w:rsid w:val="62364782"/>
    <w:rsid w:val="623A64E3"/>
    <w:rsid w:val="623B7475"/>
    <w:rsid w:val="623C143F"/>
    <w:rsid w:val="624D53FA"/>
    <w:rsid w:val="62500A46"/>
    <w:rsid w:val="6256605D"/>
    <w:rsid w:val="62586279"/>
    <w:rsid w:val="626A1B08"/>
    <w:rsid w:val="626D15F8"/>
    <w:rsid w:val="62740BD9"/>
    <w:rsid w:val="62777EC9"/>
    <w:rsid w:val="627961EF"/>
    <w:rsid w:val="627B7B16"/>
    <w:rsid w:val="62800FE1"/>
    <w:rsid w:val="62802EC2"/>
    <w:rsid w:val="6285766B"/>
    <w:rsid w:val="629238D0"/>
    <w:rsid w:val="62960B4F"/>
    <w:rsid w:val="629D0130"/>
    <w:rsid w:val="629D3C8C"/>
    <w:rsid w:val="62A31A64"/>
    <w:rsid w:val="62AC3ECF"/>
    <w:rsid w:val="62B301E8"/>
    <w:rsid w:val="62B80AC5"/>
    <w:rsid w:val="62D41677"/>
    <w:rsid w:val="62D51500"/>
    <w:rsid w:val="62D60F4C"/>
    <w:rsid w:val="62D82F16"/>
    <w:rsid w:val="62D90454"/>
    <w:rsid w:val="62DA4EE0"/>
    <w:rsid w:val="62DB0C58"/>
    <w:rsid w:val="62E06BAC"/>
    <w:rsid w:val="62E573E1"/>
    <w:rsid w:val="62EC4C13"/>
    <w:rsid w:val="62F53AC8"/>
    <w:rsid w:val="62F85366"/>
    <w:rsid w:val="62FB4F93"/>
    <w:rsid w:val="62FC41ED"/>
    <w:rsid w:val="62FE04A2"/>
    <w:rsid w:val="63055B47"/>
    <w:rsid w:val="630737FB"/>
    <w:rsid w:val="63097573"/>
    <w:rsid w:val="630A5099"/>
    <w:rsid w:val="630A6E47"/>
    <w:rsid w:val="630F26B0"/>
    <w:rsid w:val="63133F4E"/>
    <w:rsid w:val="63141A74"/>
    <w:rsid w:val="6318712A"/>
    <w:rsid w:val="631D4DCC"/>
    <w:rsid w:val="631E6A95"/>
    <w:rsid w:val="632074F8"/>
    <w:rsid w:val="632239E5"/>
    <w:rsid w:val="632860C6"/>
    <w:rsid w:val="63325730"/>
    <w:rsid w:val="63332842"/>
    <w:rsid w:val="63424833"/>
    <w:rsid w:val="634B193A"/>
    <w:rsid w:val="634B3481"/>
    <w:rsid w:val="634E0140"/>
    <w:rsid w:val="634E2217"/>
    <w:rsid w:val="634E31D8"/>
    <w:rsid w:val="635A7DCF"/>
    <w:rsid w:val="635B76A3"/>
    <w:rsid w:val="635F53E5"/>
    <w:rsid w:val="63660F98"/>
    <w:rsid w:val="636B1FDC"/>
    <w:rsid w:val="63776917"/>
    <w:rsid w:val="6381535B"/>
    <w:rsid w:val="63865E2D"/>
    <w:rsid w:val="638766EA"/>
    <w:rsid w:val="6394356A"/>
    <w:rsid w:val="63A31776"/>
    <w:rsid w:val="63C416EC"/>
    <w:rsid w:val="63C61B2C"/>
    <w:rsid w:val="63CB2508"/>
    <w:rsid w:val="63CD53A2"/>
    <w:rsid w:val="63CE0093"/>
    <w:rsid w:val="63D40BE9"/>
    <w:rsid w:val="63D60252"/>
    <w:rsid w:val="63DD455C"/>
    <w:rsid w:val="63EA5DC5"/>
    <w:rsid w:val="63F024E1"/>
    <w:rsid w:val="63F5327F"/>
    <w:rsid w:val="640103BA"/>
    <w:rsid w:val="640970FF"/>
    <w:rsid w:val="640F21F9"/>
    <w:rsid w:val="64102431"/>
    <w:rsid w:val="64137F7D"/>
    <w:rsid w:val="641E704E"/>
    <w:rsid w:val="64283A29"/>
    <w:rsid w:val="642A277A"/>
    <w:rsid w:val="642A59AC"/>
    <w:rsid w:val="642E6B65"/>
    <w:rsid w:val="642F125B"/>
    <w:rsid w:val="64322AF9"/>
    <w:rsid w:val="643537D5"/>
    <w:rsid w:val="64354398"/>
    <w:rsid w:val="64373C6C"/>
    <w:rsid w:val="643C6CB2"/>
    <w:rsid w:val="644545DB"/>
    <w:rsid w:val="64485E79"/>
    <w:rsid w:val="644A1BF1"/>
    <w:rsid w:val="644B3CE4"/>
    <w:rsid w:val="644C12F0"/>
    <w:rsid w:val="644C46C0"/>
    <w:rsid w:val="64504A31"/>
    <w:rsid w:val="645072C8"/>
    <w:rsid w:val="64526CF8"/>
    <w:rsid w:val="6454579C"/>
    <w:rsid w:val="64560EF9"/>
    <w:rsid w:val="64563599"/>
    <w:rsid w:val="64591E34"/>
    <w:rsid w:val="64616F3B"/>
    <w:rsid w:val="6468651B"/>
    <w:rsid w:val="646F78AA"/>
    <w:rsid w:val="647E57E0"/>
    <w:rsid w:val="64874BF3"/>
    <w:rsid w:val="648D5F08"/>
    <w:rsid w:val="6492262F"/>
    <w:rsid w:val="64925346"/>
    <w:rsid w:val="649371F1"/>
    <w:rsid w:val="64963088"/>
    <w:rsid w:val="64967A11"/>
    <w:rsid w:val="64A31301"/>
    <w:rsid w:val="64A37553"/>
    <w:rsid w:val="64A5243A"/>
    <w:rsid w:val="64AD03D2"/>
    <w:rsid w:val="64AF1B57"/>
    <w:rsid w:val="64B03FEB"/>
    <w:rsid w:val="64B60849"/>
    <w:rsid w:val="64B67287"/>
    <w:rsid w:val="64BF3A86"/>
    <w:rsid w:val="64C5396E"/>
    <w:rsid w:val="64C5571C"/>
    <w:rsid w:val="64CD45D0"/>
    <w:rsid w:val="64D240D6"/>
    <w:rsid w:val="64DA6761"/>
    <w:rsid w:val="64DD4813"/>
    <w:rsid w:val="64E2007C"/>
    <w:rsid w:val="64E21E2A"/>
    <w:rsid w:val="64F531DE"/>
    <w:rsid w:val="6502071E"/>
    <w:rsid w:val="650A3BF1"/>
    <w:rsid w:val="65167D25"/>
    <w:rsid w:val="651E4E2C"/>
    <w:rsid w:val="651E78CD"/>
    <w:rsid w:val="65222B6E"/>
    <w:rsid w:val="652276FB"/>
    <w:rsid w:val="65246D5E"/>
    <w:rsid w:val="65270184"/>
    <w:rsid w:val="65312DB1"/>
    <w:rsid w:val="65332685"/>
    <w:rsid w:val="6535464F"/>
    <w:rsid w:val="65366619"/>
    <w:rsid w:val="65373578"/>
    <w:rsid w:val="653B3C30"/>
    <w:rsid w:val="65420B1A"/>
    <w:rsid w:val="654523B9"/>
    <w:rsid w:val="65497A4E"/>
    <w:rsid w:val="654E74BF"/>
    <w:rsid w:val="65501489"/>
    <w:rsid w:val="65516FAF"/>
    <w:rsid w:val="65562818"/>
    <w:rsid w:val="6573322E"/>
    <w:rsid w:val="65764C68"/>
    <w:rsid w:val="657917E6"/>
    <w:rsid w:val="65831215"/>
    <w:rsid w:val="65842EE1"/>
    <w:rsid w:val="65864EAB"/>
    <w:rsid w:val="65870C23"/>
    <w:rsid w:val="658904F7"/>
    <w:rsid w:val="658A6D4E"/>
    <w:rsid w:val="658B24C1"/>
    <w:rsid w:val="659B1187"/>
    <w:rsid w:val="659C1AB4"/>
    <w:rsid w:val="65A17F37"/>
    <w:rsid w:val="65A6554D"/>
    <w:rsid w:val="65A65EBA"/>
    <w:rsid w:val="65A75F77"/>
    <w:rsid w:val="65A83860"/>
    <w:rsid w:val="65A92D82"/>
    <w:rsid w:val="65AC71C9"/>
    <w:rsid w:val="65AE7F5E"/>
    <w:rsid w:val="65B14D2C"/>
    <w:rsid w:val="65BE60C9"/>
    <w:rsid w:val="65BF660F"/>
    <w:rsid w:val="65C854C3"/>
    <w:rsid w:val="65CA10B5"/>
    <w:rsid w:val="65D025CA"/>
    <w:rsid w:val="65D04378"/>
    <w:rsid w:val="65D5623B"/>
    <w:rsid w:val="65D65DEC"/>
    <w:rsid w:val="65D679BA"/>
    <w:rsid w:val="65E25E59"/>
    <w:rsid w:val="65E41CF9"/>
    <w:rsid w:val="65E9368C"/>
    <w:rsid w:val="65FC6F1B"/>
    <w:rsid w:val="66014531"/>
    <w:rsid w:val="66044022"/>
    <w:rsid w:val="66140739"/>
    <w:rsid w:val="66145186"/>
    <w:rsid w:val="66183441"/>
    <w:rsid w:val="66195D1F"/>
    <w:rsid w:val="661A55F3"/>
    <w:rsid w:val="661E6AA0"/>
    <w:rsid w:val="661F0E5C"/>
    <w:rsid w:val="66214BD4"/>
    <w:rsid w:val="6623094C"/>
    <w:rsid w:val="662841B4"/>
    <w:rsid w:val="662B7800"/>
    <w:rsid w:val="662C1D3F"/>
    <w:rsid w:val="66304757"/>
    <w:rsid w:val="663A3EE7"/>
    <w:rsid w:val="664A356D"/>
    <w:rsid w:val="664A74D4"/>
    <w:rsid w:val="664F0CB2"/>
    <w:rsid w:val="66522FDF"/>
    <w:rsid w:val="665B6338"/>
    <w:rsid w:val="665D4746"/>
    <w:rsid w:val="665E7EBC"/>
    <w:rsid w:val="666176C6"/>
    <w:rsid w:val="66630D48"/>
    <w:rsid w:val="66660838"/>
    <w:rsid w:val="66666A8A"/>
    <w:rsid w:val="66685B88"/>
    <w:rsid w:val="666A58BA"/>
    <w:rsid w:val="666F3B91"/>
    <w:rsid w:val="6670605E"/>
    <w:rsid w:val="667411A7"/>
    <w:rsid w:val="6679056C"/>
    <w:rsid w:val="6682323D"/>
    <w:rsid w:val="668A509E"/>
    <w:rsid w:val="668F7867"/>
    <w:rsid w:val="66915F13"/>
    <w:rsid w:val="6694184A"/>
    <w:rsid w:val="66996E60"/>
    <w:rsid w:val="669A62B6"/>
    <w:rsid w:val="669C5616"/>
    <w:rsid w:val="66A6332B"/>
    <w:rsid w:val="66B07D06"/>
    <w:rsid w:val="66B141AA"/>
    <w:rsid w:val="66B21CD0"/>
    <w:rsid w:val="66B23A7E"/>
    <w:rsid w:val="66B477F6"/>
    <w:rsid w:val="66C37A39"/>
    <w:rsid w:val="66C67529"/>
    <w:rsid w:val="66C778EF"/>
    <w:rsid w:val="66CD4D5B"/>
    <w:rsid w:val="66D02F0C"/>
    <w:rsid w:val="66D53B2B"/>
    <w:rsid w:val="66D93700"/>
    <w:rsid w:val="66D954AE"/>
    <w:rsid w:val="66DB1226"/>
    <w:rsid w:val="66DC0AFB"/>
    <w:rsid w:val="66E11011"/>
    <w:rsid w:val="66E16111"/>
    <w:rsid w:val="66E64842"/>
    <w:rsid w:val="66E8749F"/>
    <w:rsid w:val="66ED0F5A"/>
    <w:rsid w:val="66EF305F"/>
    <w:rsid w:val="66F0778C"/>
    <w:rsid w:val="66F26570"/>
    <w:rsid w:val="670818F0"/>
    <w:rsid w:val="671F124A"/>
    <w:rsid w:val="67317098"/>
    <w:rsid w:val="67334BBF"/>
    <w:rsid w:val="67346B89"/>
    <w:rsid w:val="67355F85"/>
    <w:rsid w:val="673B1CC5"/>
    <w:rsid w:val="673E6B48"/>
    <w:rsid w:val="67430B7A"/>
    <w:rsid w:val="67431CE1"/>
    <w:rsid w:val="67475618"/>
    <w:rsid w:val="674943E2"/>
    <w:rsid w:val="676034DA"/>
    <w:rsid w:val="67680058"/>
    <w:rsid w:val="676906C2"/>
    <w:rsid w:val="676A25AA"/>
    <w:rsid w:val="676A4358"/>
    <w:rsid w:val="6773046C"/>
    <w:rsid w:val="6778337E"/>
    <w:rsid w:val="677A0A3F"/>
    <w:rsid w:val="677A33C6"/>
    <w:rsid w:val="677E783A"/>
    <w:rsid w:val="67803C5A"/>
    <w:rsid w:val="678278F4"/>
    <w:rsid w:val="678371C8"/>
    <w:rsid w:val="67902011"/>
    <w:rsid w:val="67951EA4"/>
    <w:rsid w:val="6796339F"/>
    <w:rsid w:val="679D472E"/>
    <w:rsid w:val="679F0C48"/>
    <w:rsid w:val="679F5D10"/>
    <w:rsid w:val="67AE2497"/>
    <w:rsid w:val="67AF7FBD"/>
    <w:rsid w:val="67B101D9"/>
    <w:rsid w:val="67B3016B"/>
    <w:rsid w:val="67B33F51"/>
    <w:rsid w:val="67B35F85"/>
    <w:rsid w:val="67BC0C30"/>
    <w:rsid w:val="67C47F0C"/>
    <w:rsid w:val="67C717C9"/>
    <w:rsid w:val="67C73559"/>
    <w:rsid w:val="67CB3049"/>
    <w:rsid w:val="67DA2AA8"/>
    <w:rsid w:val="67E81E4D"/>
    <w:rsid w:val="67E84370"/>
    <w:rsid w:val="67EB7247"/>
    <w:rsid w:val="67EE0AE5"/>
    <w:rsid w:val="67F63281"/>
    <w:rsid w:val="67F72090"/>
    <w:rsid w:val="67F85E08"/>
    <w:rsid w:val="67FA392E"/>
    <w:rsid w:val="68000819"/>
    <w:rsid w:val="68093B71"/>
    <w:rsid w:val="6813679E"/>
    <w:rsid w:val="68150768"/>
    <w:rsid w:val="681F6961"/>
    <w:rsid w:val="682077A3"/>
    <w:rsid w:val="68224C33"/>
    <w:rsid w:val="682B1D3A"/>
    <w:rsid w:val="682D70B0"/>
    <w:rsid w:val="682E5386"/>
    <w:rsid w:val="683722F0"/>
    <w:rsid w:val="68376930"/>
    <w:rsid w:val="683F3A37"/>
    <w:rsid w:val="684150B9"/>
    <w:rsid w:val="68464DC5"/>
    <w:rsid w:val="685079F2"/>
    <w:rsid w:val="68534DEC"/>
    <w:rsid w:val="68586A58"/>
    <w:rsid w:val="685C7FAA"/>
    <w:rsid w:val="685E210F"/>
    <w:rsid w:val="685F3791"/>
    <w:rsid w:val="68610A2F"/>
    <w:rsid w:val="68680898"/>
    <w:rsid w:val="686E7D63"/>
    <w:rsid w:val="68703BF0"/>
    <w:rsid w:val="68805514"/>
    <w:rsid w:val="68810835"/>
    <w:rsid w:val="688431F8"/>
    <w:rsid w:val="688B27D8"/>
    <w:rsid w:val="68923B67"/>
    <w:rsid w:val="68955405"/>
    <w:rsid w:val="68965C7B"/>
    <w:rsid w:val="689A0C6D"/>
    <w:rsid w:val="689B3FAD"/>
    <w:rsid w:val="689C6793"/>
    <w:rsid w:val="68A67612"/>
    <w:rsid w:val="68A870F9"/>
    <w:rsid w:val="68AD09A1"/>
    <w:rsid w:val="68AF4719"/>
    <w:rsid w:val="68C006D4"/>
    <w:rsid w:val="68C36416"/>
    <w:rsid w:val="68CF31CA"/>
    <w:rsid w:val="68D423D1"/>
    <w:rsid w:val="68D51CA5"/>
    <w:rsid w:val="68D545C8"/>
    <w:rsid w:val="68D61B92"/>
    <w:rsid w:val="68DF7F23"/>
    <w:rsid w:val="68E343C2"/>
    <w:rsid w:val="68EB3277"/>
    <w:rsid w:val="68F0088D"/>
    <w:rsid w:val="68F44821"/>
    <w:rsid w:val="68F55DD5"/>
    <w:rsid w:val="68FB3C7F"/>
    <w:rsid w:val="68FC5484"/>
    <w:rsid w:val="69004F74"/>
    <w:rsid w:val="69085BD7"/>
    <w:rsid w:val="690A5DF3"/>
    <w:rsid w:val="69124926"/>
    <w:rsid w:val="69276DCF"/>
    <w:rsid w:val="692C5D69"/>
    <w:rsid w:val="69316E2F"/>
    <w:rsid w:val="69333B64"/>
    <w:rsid w:val="693410C2"/>
    <w:rsid w:val="69382960"/>
    <w:rsid w:val="693E3CEF"/>
    <w:rsid w:val="69434E61"/>
    <w:rsid w:val="69441D0F"/>
    <w:rsid w:val="694A5CC6"/>
    <w:rsid w:val="694B3263"/>
    <w:rsid w:val="694E2071"/>
    <w:rsid w:val="69592FFE"/>
    <w:rsid w:val="696038C5"/>
    <w:rsid w:val="69603C65"/>
    <w:rsid w:val="696204B6"/>
    <w:rsid w:val="6962178B"/>
    <w:rsid w:val="696879DB"/>
    <w:rsid w:val="696971CE"/>
    <w:rsid w:val="696C085C"/>
    <w:rsid w:val="696F1F2A"/>
    <w:rsid w:val="69766163"/>
    <w:rsid w:val="69766FE4"/>
    <w:rsid w:val="69787200"/>
    <w:rsid w:val="697A3B33"/>
    <w:rsid w:val="697B11E1"/>
    <w:rsid w:val="6985191D"/>
    <w:rsid w:val="698A2A90"/>
    <w:rsid w:val="698C4A5A"/>
    <w:rsid w:val="698E07D2"/>
    <w:rsid w:val="698E432E"/>
    <w:rsid w:val="6991660C"/>
    <w:rsid w:val="699E02E9"/>
    <w:rsid w:val="699F6438"/>
    <w:rsid w:val="69A00347"/>
    <w:rsid w:val="69A27DD9"/>
    <w:rsid w:val="69AA3B64"/>
    <w:rsid w:val="69AE2C22"/>
    <w:rsid w:val="69AE677E"/>
    <w:rsid w:val="69C75644"/>
    <w:rsid w:val="69C829D2"/>
    <w:rsid w:val="69CA10DE"/>
    <w:rsid w:val="69CA7330"/>
    <w:rsid w:val="69CB37D4"/>
    <w:rsid w:val="69D1246D"/>
    <w:rsid w:val="69D40451"/>
    <w:rsid w:val="69D44760"/>
    <w:rsid w:val="69DD291F"/>
    <w:rsid w:val="69DF4B8A"/>
    <w:rsid w:val="69ED349A"/>
    <w:rsid w:val="69EE74C3"/>
    <w:rsid w:val="69F068C7"/>
    <w:rsid w:val="69F50851"/>
    <w:rsid w:val="69FF6FDA"/>
    <w:rsid w:val="6A107439"/>
    <w:rsid w:val="6A116D0D"/>
    <w:rsid w:val="6A1F142A"/>
    <w:rsid w:val="6A242EE4"/>
    <w:rsid w:val="6A243740"/>
    <w:rsid w:val="6A27138B"/>
    <w:rsid w:val="6A280967"/>
    <w:rsid w:val="6A3824EC"/>
    <w:rsid w:val="6A3A7777"/>
    <w:rsid w:val="6A3C1FDC"/>
    <w:rsid w:val="6A413A96"/>
    <w:rsid w:val="6A520EC7"/>
    <w:rsid w:val="6A6D0440"/>
    <w:rsid w:val="6A7A2B04"/>
    <w:rsid w:val="6A7E25F5"/>
    <w:rsid w:val="6A7E7D25"/>
    <w:rsid w:val="6A7F45BF"/>
    <w:rsid w:val="6A8120E5"/>
    <w:rsid w:val="6A815C41"/>
    <w:rsid w:val="6A837C0B"/>
    <w:rsid w:val="6A881AD2"/>
    <w:rsid w:val="6A8D0A8A"/>
    <w:rsid w:val="6A8D2838"/>
    <w:rsid w:val="6A8F31F4"/>
    <w:rsid w:val="6A9613BE"/>
    <w:rsid w:val="6A995680"/>
    <w:rsid w:val="6A9D6258"/>
    <w:rsid w:val="6A9E2C97"/>
    <w:rsid w:val="6A9E67F3"/>
    <w:rsid w:val="6AA302AD"/>
    <w:rsid w:val="6AAB53B4"/>
    <w:rsid w:val="6AAF6C52"/>
    <w:rsid w:val="6AB00488"/>
    <w:rsid w:val="6AB26651"/>
    <w:rsid w:val="6AB97AD1"/>
    <w:rsid w:val="6ABC311D"/>
    <w:rsid w:val="6AC067E6"/>
    <w:rsid w:val="6AC16985"/>
    <w:rsid w:val="6AC2055B"/>
    <w:rsid w:val="6AC942C2"/>
    <w:rsid w:val="6ACB15B2"/>
    <w:rsid w:val="6ACB7804"/>
    <w:rsid w:val="6ACF2E50"/>
    <w:rsid w:val="6ACF7B20"/>
    <w:rsid w:val="6AD340E4"/>
    <w:rsid w:val="6AD71DE6"/>
    <w:rsid w:val="6ADF3DEA"/>
    <w:rsid w:val="6AEF704E"/>
    <w:rsid w:val="6AF42FB2"/>
    <w:rsid w:val="6AF723A7"/>
    <w:rsid w:val="6AF87E20"/>
    <w:rsid w:val="6AFC5C0F"/>
    <w:rsid w:val="6AFD2D1F"/>
    <w:rsid w:val="6AFE7291"/>
    <w:rsid w:val="6B040620"/>
    <w:rsid w:val="6B0A3E88"/>
    <w:rsid w:val="6B144D07"/>
    <w:rsid w:val="6B144E19"/>
    <w:rsid w:val="6B19231D"/>
    <w:rsid w:val="6B1E07FF"/>
    <w:rsid w:val="6B322639"/>
    <w:rsid w:val="6B327A3A"/>
    <w:rsid w:val="6B347157"/>
    <w:rsid w:val="6B351A22"/>
    <w:rsid w:val="6B5276F7"/>
    <w:rsid w:val="6B5E0F18"/>
    <w:rsid w:val="6B621F16"/>
    <w:rsid w:val="6B657311"/>
    <w:rsid w:val="6B6A0DCB"/>
    <w:rsid w:val="6B6C68F1"/>
    <w:rsid w:val="6B6F63E1"/>
    <w:rsid w:val="6B715CB5"/>
    <w:rsid w:val="6B737C7F"/>
    <w:rsid w:val="6B76151E"/>
    <w:rsid w:val="6B767770"/>
    <w:rsid w:val="6B7D4A67"/>
    <w:rsid w:val="6B8754D9"/>
    <w:rsid w:val="6B8E2A3F"/>
    <w:rsid w:val="6B99520C"/>
    <w:rsid w:val="6B9D6AAA"/>
    <w:rsid w:val="6BAC75D4"/>
    <w:rsid w:val="6BC404DB"/>
    <w:rsid w:val="6BC524A5"/>
    <w:rsid w:val="6BC77FCB"/>
    <w:rsid w:val="6BCE135A"/>
    <w:rsid w:val="6BCF0C2E"/>
    <w:rsid w:val="6BD34BC2"/>
    <w:rsid w:val="6BD526E8"/>
    <w:rsid w:val="6BD821D8"/>
    <w:rsid w:val="6BD83F86"/>
    <w:rsid w:val="6BE1670A"/>
    <w:rsid w:val="6BE831E3"/>
    <w:rsid w:val="6BF40694"/>
    <w:rsid w:val="6BF608B1"/>
    <w:rsid w:val="6BFD579B"/>
    <w:rsid w:val="6C042FCD"/>
    <w:rsid w:val="6C060AF4"/>
    <w:rsid w:val="6C0D39DA"/>
    <w:rsid w:val="6C121606"/>
    <w:rsid w:val="6C1400EF"/>
    <w:rsid w:val="6C1A634D"/>
    <w:rsid w:val="6C216930"/>
    <w:rsid w:val="6C2F3405"/>
    <w:rsid w:val="6C3163C4"/>
    <w:rsid w:val="6C382C77"/>
    <w:rsid w:val="6C4038DA"/>
    <w:rsid w:val="6C427652"/>
    <w:rsid w:val="6C45573D"/>
    <w:rsid w:val="6C4909E0"/>
    <w:rsid w:val="6C5555D7"/>
    <w:rsid w:val="6C57349E"/>
    <w:rsid w:val="6C583BB5"/>
    <w:rsid w:val="6C636474"/>
    <w:rsid w:val="6C636C38"/>
    <w:rsid w:val="6C643AD8"/>
    <w:rsid w:val="6C663340"/>
    <w:rsid w:val="6C68355C"/>
    <w:rsid w:val="6C695056"/>
    <w:rsid w:val="6C6A2DAE"/>
    <w:rsid w:val="6C6D2921"/>
    <w:rsid w:val="6C7041BF"/>
    <w:rsid w:val="6C727F37"/>
    <w:rsid w:val="6C7D68DC"/>
    <w:rsid w:val="6C81461E"/>
    <w:rsid w:val="6C861C34"/>
    <w:rsid w:val="6C89702F"/>
    <w:rsid w:val="6C8E2E00"/>
    <w:rsid w:val="6C9003BD"/>
    <w:rsid w:val="6C922387"/>
    <w:rsid w:val="6C9327E9"/>
    <w:rsid w:val="6C9D0D2C"/>
    <w:rsid w:val="6C9D5AD7"/>
    <w:rsid w:val="6C9F4AA4"/>
    <w:rsid w:val="6CA247C8"/>
    <w:rsid w:val="6CA36342"/>
    <w:rsid w:val="6CA4030D"/>
    <w:rsid w:val="6CA976D1"/>
    <w:rsid w:val="6CB0280D"/>
    <w:rsid w:val="6CB93DB8"/>
    <w:rsid w:val="6CBA6410"/>
    <w:rsid w:val="6CBD4F2A"/>
    <w:rsid w:val="6CBE317C"/>
    <w:rsid w:val="6CCA7D73"/>
    <w:rsid w:val="6CD7423E"/>
    <w:rsid w:val="6CD97FB6"/>
    <w:rsid w:val="6CE10C19"/>
    <w:rsid w:val="6CED5810"/>
    <w:rsid w:val="6CF16CAD"/>
    <w:rsid w:val="6CF905F1"/>
    <w:rsid w:val="6CFF164F"/>
    <w:rsid w:val="6D082649"/>
    <w:rsid w:val="6D0D7C60"/>
    <w:rsid w:val="6D0E6A69"/>
    <w:rsid w:val="6D13184C"/>
    <w:rsid w:val="6D1361D6"/>
    <w:rsid w:val="6D142D9C"/>
    <w:rsid w:val="6D1A7968"/>
    <w:rsid w:val="6D1F1741"/>
    <w:rsid w:val="6D21370B"/>
    <w:rsid w:val="6D260D22"/>
    <w:rsid w:val="6D2B2B4B"/>
    <w:rsid w:val="6D3236B1"/>
    <w:rsid w:val="6D323B6A"/>
    <w:rsid w:val="6D361187"/>
    <w:rsid w:val="6D3A657B"/>
    <w:rsid w:val="6D3C6797"/>
    <w:rsid w:val="6D3E606B"/>
    <w:rsid w:val="6D45389E"/>
    <w:rsid w:val="6D4573FA"/>
    <w:rsid w:val="6D464F20"/>
    <w:rsid w:val="6D4C05EA"/>
    <w:rsid w:val="6D4D2752"/>
    <w:rsid w:val="6D4D4500"/>
    <w:rsid w:val="6D573C58"/>
    <w:rsid w:val="6D594C53"/>
    <w:rsid w:val="6D602485"/>
    <w:rsid w:val="6D611D5A"/>
    <w:rsid w:val="6D6655C2"/>
    <w:rsid w:val="6D673814"/>
    <w:rsid w:val="6D68758C"/>
    <w:rsid w:val="6D6A50B2"/>
    <w:rsid w:val="6D763A57"/>
    <w:rsid w:val="6D793547"/>
    <w:rsid w:val="6D7C6B93"/>
    <w:rsid w:val="6D7E0B5E"/>
    <w:rsid w:val="6D8A4AC4"/>
    <w:rsid w:val="6D8C04F0"/>
    <w:rsid w:val="6D8E3228"/>
    <w:rsid w:val="6D8E60E0"/>
    <w:rsid w:val="6D954625"/>
    <w:rsid w:val="6D967C55"/>
    <w:rsid w:val="6DA22A9E"/>
    <w:rsid w:val="6DA46816"/>
    <w:rsid w:val="6DA73C10"/>
    <w:rsid w:val="6DA85BDA"/>
    <w:rsid w:val="6DA947E3"/>
    <w:rsid w:val="6DB1683D"/>
    <w:rsid w:val="6DB34098"/>
    <w:rsid w:val="6DB545B6"/>
    <w:rsid w:val="6DBB76BC"/>
    <w:rsid w:val="6DC937EF"/>
    <w:rsid w:val="6DCD1426"/>
    <w:rsid w:val="6DD055F7"/>
    <w:rsid w:val="6DD1575A"/>
    <w:rsid w:val="6DD4077E"/>
    <w:rsid w:val="6DD7421E"/>
    <w:rsid w:val="6DE02FB4"/>
    <w:rsid w:val="6DE54739"/>
    <w:rsid w:val="6DE85FD7"/>
    <w:rsid w:val="6DEB6B57"/>
    <w:rsid w:val="6DEE0F1C"/>
    <w:rsid w:val="6DEF7365"/>
    <w:rsid w:val="6DF40E20"/>
    <w:rsid w:val="6DF42BCE"/>
    <w:rsid w:val="6DF826BE"/>
    <w:rsid w:val="6DF833ED"/>
    <w:rsid w:val="6E001573"/>
    <w:rsid w:val="6E006EE3"/>
    <w:rsid w:val="6E0B63F5"/>
    <w:rsid w:val="6E0D64EA"/>
    <w:rsid w:val="6E1B63AC"/>
    <w:rsid w:val="6E26547D"/>
    <w:rsid w:val="6E2C05BA"/>
    <w:rsid w:val="6E2E4332"/>
    <w:rsid w:val="6E2E60E0"/>
    <w:rsid w:val="6E31797E"/>
    <w:rsid w:val="6E414065"/>
    <w:rsid w:val="6E4817FD"/>
    <w:rsid w:val="6E49116B"/>
    <w:rsid w:val="6E514CED"/>
    <w:rsid w:val="6E526272"/>
    <w:rsid w:val="6E55366C"/>
    <w:rsid w:val="6E5C0E9F"/>
    <w:rsid w:val="6E626B7B"/>
    <w:rsid w:val="6E641B01"/>
    <w:rsid w:val="6E672517"/>
    <w:rsid w:val="6E6A230F"/>
    <w:rsid w:val="6E6C09B6"/>
    <w:rsid w:val="6E7066F8"/>
    <w:rsid w:val="6E7D2BC3"/>
    <w:rsid w:val="6E8118E6"/>
    <w:rsid w:val="6E8201DA"/>
    <w:rsid w:val="6E8403F6"/>
    <w:rsid w:val="6E8421A4"/>
    <w:rsid w:val="6E8C2E06"/>
    <w:rsid w:val="6E97570D"/>
    <w:rsid w:val="6E9817AB"/>
    <w:rsid w:val="6E9879FD"/>
    <w:rsid w:val="6E995880"/>
    <w:rsid w:val="6E9F6FDD"/>
    <w:rsid w:val="6EA63EC8"/>
    <w:rsid w:val="6EAE5472"/>
    <w:rsid w:val="6EB011EB"/>
    <w:rsid w:val="6EB04C24"/>
    <w:rsid w:val="6EB563D5"/>
    <w:rsid w:val="6EB56801"/>
    <w:rsid w:val="6EBB7CB2"/>
    <w:rsid w:val="6EBC193D"/>
    <w:rsid w:val="6EBD2C4C"/>
    <w:rsid w:val="6EC46A44"/>
    <w:rsid w:val="6ED24CBD"/>
    <w:rsid w:val="6ED26D8F"/>
    <w:rsid w:val="6ED529FF"/>
    <w:rsid w:val="6ED556C9"/>
    <w:rsid w:val="6ED92677"/>
    <w:rsid w:val="6EDC1FE0"/>
    <w:rsid w:val="6EDE3573"/>
    <w:rsid w:val="6EDE7B06"/>
    <w:rsid w:val="6EE113A4"/>
    <w:rsid w:val="6EE11DBF"/>
    <w:rsid w:val="6EE449F0"/>
    <w:rsid w:val="6EEF08DC"/>
    <w:rsid w:val="6F0357BE"/>
    <w:rsid w:val="6F045092"/>
    <w:rsid w:val="6F085AB1"/>
    <w:rsid w:val="6F0A08FB"/>
    <w:rsid w:val="6F0D1373"/>
    <w:rsid w:val="6F0E05E2"/>
    <w:rsid w:val="6F15104E"/>
    <w:rsid w:val="6F152DFC"/>
    <w:rsid w:val="6F173B21"/>
    <w:rsid w:val="6F2179F2"/>
    <w:rsid w:val="6F225983"/>
    <w:rsid w:val="6F345437"/>
    <w:rsid w:val="6F375468"/>
    <w:rsid w:val="6F3B4F58"/>
    <w:rsid w:val="6F3C5AED"/>
    <w:rsid w:val="6F4048E8"/>
    <w:rsid w:val="6F4162E7"/>
    <w:rsid w:val="6F435BBB"/>
    <w:rsid w:val="6F4656AB"/>
    <w:rsid w:val="6F481423"/>
    <w:rsid w:val="6F4B4A6F"/>
    <w:rsid w:val="6F5002D8"/>
    <w:rsid w:val="6F5C0A2B"/>
    <w:rsid w:val="6F6049BF"/>
    <w:rsid w:val="6F616041"/>
    <w:rsid w:val="6F6E5AC9"/>
    <w:rsid w:val="6F74709C"/>
    <w:rsid w:val="6F885CC3"/>
    <w:rsid w:val="6F8C57B4"/>
    <w:rsid w:val="6F960C48"/>
    <w:rsid w:val="6F9836F2"/>
    <w:rsid w:val="6F984159"/>
    <w:rsid w:val="6F9B1553"/>
    <w:rsid w:val="6FA32A83"/>
    <w:rsid w:val="6FAE744E"/>
    <w:rsid w:val="6FAF4FFE"/>
    <w:rsid w:val="6FB16FC8"/>
    <w:rsid w:val="6FBC771B"/>
    <w:rsid w:val="6FBE7937"/>
    <w:rsid w:val="6FC565D0"/>
    <w:rsid w:val="6FCF56A0"/>
    <w:rsid w:val="6FD607DD"/>
    <w:rsid w:val="6FD64C81"/>
    <w:rsid w:val="6FDB5DF3"/>
    <w:rsid w:val="6FDD7DBD"/>
    <w:rsid w:val="6FDE58E3"/>
    <w:rsid w:val="6FE34CFE"/>
    <w:rsid w:val="6FF05465"/>
    <w:rsid w:val="6FF46EB5"/>
    <w:rsid w:val="6FFC5590"/>
    <w:rsid w:val="70082960"/>
    <w:rsid w:val="701337DF"/>
    <w:rsid w:val="70141305"/>
    <w:rsid w:val="701632CF"/>
    <w:rsid w:val="701D01BA"/>
    <w:rsid w:val="70205EFC"/>
    <w:rsid w:val="70271038"/>
    <w:rsid w:val="70335C2F"/>
    <w:rsid w:val="70342829"/>
    <w:rsid w:val="70382495"/>
    <w:rsid w:val="70412B49"/>
    <w:rsid w:val="70415934"/>
    <w:rsid w:val="704240C4"/>
    <w:rsid w:val="70433998"/>
    <w:rsid w:val="704C0A9F"/>
    <w:rsid w:val="7050688C"/>
    <w:rsid w:val="705C7B65"/>
    <w:rsid w:val="706662FB"/>
    <w:rsid w:val="706758D9"/>
    <w:rsid w:val="706C2EEF"/>
    <w:rsid w:val="706D1DD0"/>
    <w:rsid w:val="70706AC7"/>
    <w:rsid w:val="707675E8"/>
    <w:rsid w:val="70785D38"/>
    <w:rsid w:val="707D6EAA"/>
    <w:rsid w:val="70814BED"/>
    <w:rsid w:val="70856B87"/>
    <w:rsid w:val="708C17E3"/>
    <w:rsid w:val="70923DAD"/>
    <w:rsid w:val="709A5CAE"/>
    <w:rsid w:val="709A7A5C"/>
    <w:rsid w:val="70A24B63"/>
    <w:rsid w:val="70A66C1F"/>
    <w:rsid w:val="70A84389"/>
    <w:rsid w:val="70A93302"/>
    <w:rsid w:val="70B75955"/>
    <w:rsid w:val="70BE77E0"/>
    <w:rsid w:val="70CA7AB5"/>
    <w:rsid w:val="70D50A94"/>
    <w:rsid w:val="70D527EE"/>
    <w:rsid w:val="70D7799E"/>
    <w:rsid w:val="70DF5DB7"/>
    <w:rsid w:val="70EA74D1"/>
    <w:rsid w:val="70F24EA2"/>
    <w:rsid w:val="70F33611"/>
    <w:rsid w:val="70F3716D"/>
    <w:rsid w:val="70F63350"/>
    <w:rsid w:val="70FC2E9F"/>
    <w:rsid w:val="710B6BAC"/>
    <w:rsid w:val="710C7A14"/>
    <w:rsid w:val="71121CE9"/>
    <w:rsid w:val="71125845"/>
    <w:rsid w:val="711D29BB"/>
    <w:rsid w:val="71213CDA"/>
    <w:rsid w:val="71235CA4"/>
    <w:rsid w:val="712B6906"/>
    <w:rsid w:val="712D6B22"/>
    <w:rsid w:val="713056CE"/>
    <w:rsid w:val="71325EE7"/>
    <w:rsid w:val="713559D7"/>
    <w:rsid w:val="7137174F"/>
    <w:rsid w:val="713779A1"/>
    <w:rsid w:val="713C6D66"/>
    <w:rsid w:val="71443E13"/>
    <w:rsid w:val="714F6A99"/>
    <w:rsid w:val="715A4658"/>
    <w:rsid w:val="715B5300"/>
    <w:rsid w:val="715C7408"/>
    <w:rsid w:val="715E0A8A"/>
    <w:rsid w:val="716137D1"/>
    <w:rsid w:val="716360A0"/>
    <w:rsid w:val="71686ACA"/>
    <w:rsid w:val="71752277"/>
    <w:rsid w:val="71771EAB"/>
    <w:rsid w:val="71775FF0"/>
    <w:rsid w:val="717A163C"/>
    <w:rsid w:val="71810F15"/>
    <w:rsid w:val="71816E6E"/>
    <w:rsid w:val="71864485"/>
    <w:rsid w:val="718B3849"/>
    <w:rsid w:val="718C1A9B"/>
    <w:rsid w:val="718D75C1"/>
    <w:rsid w:val="719429D3"/>
    <w:rsid w:val="719E357C"/>
    <w:rsid w:val="71A16BC9"/>
    <w:rsid w:val="71A3464D"/>
    <w:rsid w:val="71A9654E"/>
    <w:rsid w:val="71B40FF2"/>
    <w:rsid w:val="71B65059"/>
    <w:rsid w:val="71BB2380"/>
    <w:rsid w:val="71BC3A02"/>
    <w:rsid w:val="71C07997"/>
    <w:rsid w:val="71D00CF8"/>
    <w:rsid w:val="71D074AE"/>
    <w:rsid w:val="71D27F8A"/>
    <w:rsid w:val="71D97200"/>
    <w:rsid w:val="71DB0960"/>
    <w:rsid w:val="71DE7E1D"/>
    <w:rsid w:val="71E13469"/>
    <w:rsid w:val="71E511AB"/>
    <w:rsid w:val="71EC078C"/>
    <w:rsid w:val="71EE4283"/>
    <w:rsid w:val="71F45598"/>
    <w:rsid w:val="71F907B3"/>
    <w:rsid w:val="71FE226D"/>
    <w:rsid w:val="720A6E64"/>
    <w:rsid w:val="720D3607"/>
    <w:rsid w:val="72120D13"/>
    <w:rsid w:val="721B4BCD"/>
    <w:rsid w:val="722E2B52"/>
    <w:rsid w:val="72367C59"/>
    <w:rsid w:val="723B187D"/>
    <w:rsid w:val="72435ED2"/>
    <w:rsid w:val="72464254"/>
    <w:rsid w:val="724C7DB5"/>
    <w:rsid w:val="7252295C"/>
    <w:rsid w:val="72527B6F"/>
    <w:rsid w:val="725325B9"/>
    <w:rsid w:val="72553024"/>
    <w:rsid w:val="72587BCF"/>
    <w:rsid w:val="725E4ABA"/>
    <w:rsid w:val="726245AA"/>
    <w:rsid w:val="726332DB"/>
    <w:rsid w:val="72693B8A"/>
    <w:rsid w:val="726B5B54"/>
    <w:rsid w:val="727367B7"/>
    <w:rsid w:val="727A5D97"/>
    <w:rsid w:val="727C0DAB"/>
    <w:rsid w:val="727F515C"/>
    <w:rsid w:val="72862EE6"/>
    <w:rsid w:val="728A7731"/>
    <w:rsid w:val="728C5ACB"/>
    <w:rsid w:val="72907369"/>
    <w:rsid w:val="72967173"/>
    <w:rsid w:val="729C3A0F"/>
    <w:rsid w:val="72A050D2"/>
    <w:rsid w:val="72A20F01"/>
    <w:rsid w:val="72A252EE"/>
    <w:rsid w:val="72AB7C8C"/>
    <w:rsid w:val="72AC1CC9"/>
    <w:rsid w:val="72AE3C93"/>
    <w:rsid w:val="72B666A4"/>
    <w:rsid w:val="72BA2638"/>
    <w:rsid w:val="72BB3CBA"/>
    <w:rsid w:val="72BC006D"/>
    <w:rsid w:val="72C214EC"/>
    <w:rsid w:val="72C2329A"/>
    <w:rsid w:val="72C4042E"/>
    <w:rsid w:val="72CB03A1"/>
    <w:rsid w:val="72D059B7"/>
    <w:rsid w:val="72D918A4"/>
    <w:rsid w:val="72DD00D4"/>
    <w:rsid w:val="72E254FD"/>
    <w:rsid w:val="72E256EB"/>
    <w:rsid w:val="72E476B5"/>
    <w:rsid w:val="72E70AF9"/>
    <w:rsid w:val="72EB7F9B"/>
    <w:rsid w:val="72F711D9"/>
    <w:rsid w:val="72FD0776"/>
    <w:rsid w:val="72FF6166"/>
    <w:rsid w:val="73013DC3"/>
    <w:rsid w:val="73073246"/>
    <w:rsid w:val="730833A3"/>
    <w:rsid w:val="730A2168"/>
    <w:rsid w:val="730B446C"/>
    <w:rsid w:val="730E028E"/>
    <w:rsid w:val="73110BF2"/>
    <w:rsid w:val="73122968"/>
    <w:rsid w:val="731D4975"/>
    <w:rsid w:val="731E2BC7"/>
    <w:rsid w:val="731F06ED"/>
    <w:rsid w:val="731F5D5E"/>
    <w:rsid w:val="73224D2A"/>
    <w:rsid w:val="73261A7B"/>
    <w:rsid w:val="73267CCD"/>
    <w:rsid w:val="7329156C"/>
    <w:rsid w:val="732D105C"/>
    <w:rsid w:val="732E1B3E"/>
    <w:rsid w:val="73320420"/>
    <w:rsid w:val="73334198"/>
    <w:rsid w:val="733B0348"/>
    <w:rsid w:val="733E6CD6"/>
    <w:rsid w:val="7341409D"/>
    <w:rsid w:val="734343DB"/>
    <w:rsid w:val="734939BC"/>
    <w:rsid w:val="7349576A"/>
    <w:rsid w:val="734E2D80"/>
    <w:rsid w:val="73544A99"/>
    <w:rsid w:val="735A1725"/>
    <w:rsid w:val="735E1215"/>
    <w:rsid w:val="73602A54"/>
    <w:rsid w:val="736665EB"/>
    <w:rsid w:val="736C5A42"/>
    <w:rsid w:val="7370416D"/>
    <w:rsid w:val="73724CC1"/>
    <w:rsid w:val="7375655F"/>
    <w:rsid w:val="73797DFD"/>
    <w:rsid w:val="737A0308"/>
    <w:rsid w:val="737C78ED"/>
    <w:rsid w:val="737E5413"/>
    <w:rsid w:val="73867028"/>
    <w:rsid w:val="73871191"/>
    <w:rsid w:val="738C0B7F"/>
    <w:rsid w:val="738D5656"/>
    <w:rsid w:val="738E13CF"/>
    <w:rsid w:val="738F4B72"/>
    <w:rsid w:val="73935567"/>
    <w:rsid w:val="739B4217"/>
    <w:rsid w:val="73A330CC"/>
    <w:rsid w:val="73A34E7A"/>
    <w:rsid w:val="73A40BF2"/>
    <w:rsid w:val="73AB1DC2"/>
    <w:rsid w:val="73AB1F81"/>
    <w:rsid w:val="73AB3D2F"/>
    <w:rsid w:val="73AD5CF9"/>
    <w:rsid w:val="73AF1A71"/>
    <w:rsid w:val="73B40E35"/>
    <w:rsid w:val="73BC23E0"/>
    <w:rsid w:val="73BE3A62"/>
    <w:rsid w:val="73C21CCE"/>
    <w:rsid w:val="73C31078"/>
    <w:rsid w:val="73C51AD5"/>
    <w:rsid w:val="73C54FAE"/>
    <w:rsid w:val="73C8361F"/>
    <w:rsid w:val="73DB0AB8"/>
    <w:rsid w:val="73DB2866"/>
    <w:rsid w:val="73DF5122"/>
    <w:rsid w:val="73E01C2A"/>
    <w:rsid w:val="73E13BF4"/>
    <w:rsid w:val="73E21E46"/>
    <w:rsid w:val="73E62FB9"/>
    <w:rsid w:val="73E84F83"/>
    <w:rsid w:val="73EB4388"/>
    <w:rsid w:val="73ED07EB"/>
    <w:rsid w:val="73ED2599"/>
    <w:rsid w:val="73F97190"/>
    <w:rsid w:val="73FF1C70"/>
    <w:rsid w:val="74017DF2"/>
    <w:rsid w:val="740451C1"/>
    <w:rsid w:val="740718AD"/>
    <w:rsid w:val="7407365B"/>
    <w:rsid w:val="740A314B"/>
    <w:rsid w:val="741065D0"/>
    <w:rsid w:val="74123DAE"/>
    <w:rsid w:val="74177616"/>
    <w:rsid w:val="7419513C"/>
    <w:rsid w:val="741C69DA"/>
    <w:rsid w:val="741E793C"/>
    <w:rsid w:val="742038A8"/>
    <w:rsid w:val="74211CB7"/>
    <w:rsid w:val="74215492"/>
    <w:rsid w:val="74270717"/>
    <w:rsid w:val="743259DC"/>
    <w:rsid w:val="74351843"/>
    <w:rsid w:val="74381A66"/>
    <w:rsid w:val="74384BB9"/>
    <w:rsid w:val="74404DBF"/>
    <w:rsid w:val="74424693"/>
    <w:rsid w:val="744B042D"/>
    <w:rsid w:val="744D3038"/>
    <w:rsid w:val="744D4DE6"/>
    <w:rsid w:val="745636D1"/>
    <w:rsid w:val="745919DD"/>
    <w:rsid w:val="745E3944"/>
    <w:rsid w:val="74634609"/>
    <w:rsid w:val="7467234B"/>
    <w:rsid w:val="74696AFD"/>
    <w:rsid w:val="746A1E3C"/>
    <w:rsid w:val="746A5778"/>
    <w:rsid w:val="746E5774"/>
    <w:rsid w:val="74805318"/>
    <w:rsid w:val="749649DF"/>
    <w:rsid w:val="749C7DAB"/>
    <w:rsid w:val="749F7D37"/>
    <w:rsid w:val="74A071E1"/>
    <w:rsid w:val="74A07283"/>
    <w:rsid w:val="74A4534E"/>
    <w:rsid w:val="74A964C0"/>
    <w:rsid w:val="74AE3AD6"/>
    <w:rsid w:val="74B03CF2"/>
    <w:rsid w:val="74B11A4D"/>
    <w:rsid w:val="74B135C7"/>
    <w:rsid w:val="74B44E65"/>
    <w:rsid w:val="74BD01BD"/>
    <w:rsid w:val="74C4779E"/>
    <w:rsid w:val="74C7103C"/>
    <w:rsid w:val="74C95442"/>
    <w:rsid w:val="74CC51F7"/>
    <w:rsid w:val="74D13C69"/>
    <w:rsid w:val="74DA2B1D"/>
    <w:rsid w:val="74DB6895"/>
    <w:rsid w:val="74DC4650"/>
    <w:rsid w:val="74DF48A8"/>
    <w:rsid w:val="74DF7075"/>
    <w:rsid w:val="74E335AE"/>
    <w:rsid w:val="74E87E7F"/>
    <w:rsid w:val="74E938A0"/>
    <w:rsid w:val="74EB49E5"/>
    <w:rsid w:val="74F156F0"/>
    <w:rsid w:val="74F50266"/>
    <w:rsid w:val="74FA5DED"/>
    <w:rsid w:val="74FD0E6B"/>
    <w:rsid w:val="75005F3E"/>
    <w:rsid w:val="750162FC"/>
    <w:rsid w:val="75041948"/>
    <w:rsid w:val="7504558C"/>
    <w:rsid w:val="750675FC"/>
    <w:rsid w:val="7510653F"/>
    <w:rsid w:val="751853F4"/>
    <w:rsid w:val="751F2C26"/>
    <w:rsid w:val="752244C4"/>
    <w:rsid w:val="752975C2"/>
    <w:rsid w:val="75297601"/>
    <w:rsid w:val="7530273D"/>
    <w:rsid w:val="753560A8"/>
    <w:rsid w:val="753A0A69"/>
    <w:rsid w:val="753A7A60"/>
    <w:rsid w:val="753D4A43"/>
    <w:rsid w:val="753F6E24"/>
    <w:rsid w:val="75422471"/>
    <w:rsid w:val="754B01C1"/>
    <w:rsid w:val="754D7793"/>
    <w:rsid w:val="754E0D4A"/>
    <w:rsid w:val="754E52B9"/>
    <w:rsid w:val="75510906"/>
    <w:rsid w:val="75515760"/>
    <w:rsid w:val="75526B58"/>
    <w:rsid w:val="75565ABB"/>
    <w:rsid w:val="75575F1C"/>
    <w:rsid w:val="7564688B"/>
    <w:rsid w:val="756D3991"/>
    <w:rsid w:val="756E3266"/>
    <w:rsid w:val="75752846"/>
    <w:rsid w:val="757840E4"/>
    <w:rsid w:val="757F403F"/>
    <w:rsid w:val="75834F63"/>
    <w:rsid w:val="758C7B52"/>
    <w:rsid w:val="758D3E77"/>
    <w:rsid w:val="758D7B90"/>
    <w:rsid w:val="75932CCC"/>
    <w:rsid w:val="759444C9"/>
    <w:rsid w:val="759727BC"/>
    <w:rsid w:val="759F2814"/>
    <w:rsid w:val="759F3C57"/>
    <w:rsid w:val="75BC229B"/>
    <w:rsid w:val="75BE5F9B"/>
    <w:rsid w:val="75BF1D13"/>
    <w:rsid w:val="75C4520C"/>
    <w:rsid w:val="75C8506C"/>
    <w:rsid w:val="75D25EEA"/>
    <w:rsid w:val="75D42201"/>
    <w:rsid w:val="75DA6B4D"/>
    <w:rsid w:val="75E35A02"/>
    <w:rsid w:val="75E63744"/>
    <w:rsid w:val="75E8126A"/>
    <w:rsid w:val="75EC30C0"/>
    <w:rsid w:val="75EC57CB"/>
    <w:rsid w:val="75F06371"/>
    <w:rsid w:val="75F12C70"/>
    <w:rsid w:val="760360A4"/>
    <w:rsid w:val="76051E1C"/>
    <w:rsid w:val="76082DD5"/>
    <w:rsid w:val="76164029"/>
    <w:rsid w:val="761C0F14"/>
    <w:rsid w:val="76206C56"/>
    <w:rsid w:val="76285B0A"/>
    <w:rsid w:val="762A53DF"/>
    <w:rsid w:val="762B6F47"/>
    <w:rsid w:val="763224E5"/>
    <w:rsid w:val="7634625D"/>
    <w:rsid w:val="7635099D"/>
    <w:rsid w:val="7641501B"/>
    <w:rsid w:val="76483D90"/>
    <w:rsid w:val="764B30D6"/>
    <w:rsid w:val="764D5FAF"/>
    <w:rsid w:val="764F523E"/>
    <w:rsid w:val="76567BAC"/>
    <w:rsid w:val="765A164B"/>
    <w:rsid w:val="76607052"/>
    <w:rsid w:val="7662101C"/>
    <w:rsid w:val="766B4556"/>
    <w:rsid w:val="766D79C1"/>
    <w:rsid w:val="767E572A"/>
    <w:rsid w:val="76875EB9"/>
    <w:rsid w:val="76962A74"/>
    <w:rsid w:val="769A6A08"/>
    <w:rsid w:val="76C05D43"/>
    <w:rsid w:val="76C25EBC"/>
    <w:rsid w:val="76C515AB"/>
    <w:rsid w:val="76CA36EF"/>
    <w:rsid w:val="76D95BA9"/>
    <w:rsid w:val="76E063E5"/>
    <w:rsid w:val="76E8557B"/>
    <w:rsid w:val="76FE0619"/>
    <w:rsid w:val="770B0978"/>
    <w:rsid w:val="770C7339"/>
    <w:rsid w:val="771240EC"/>
    <w:rsid w:val="771F2A69"/>
    <w:rsid w:val="772207AC"/>
    <w:rsid w:val="77297D8C"/>
    <w:rsid w:val="772B7660"/>
    <w:rsid w:val="772C5C56"/>
    <w:rsid w:val="77347783"/>
    <w:rsid w:val="774C0236"/>
    <w:rsid w:val="774E15A1"/>
    <w:rsid w:val="775317FA"/>
    <w:rsid w:val="775D17E4"/>
    <w:rsid w:val="775D7E03"/>
    <w:rsid w:val="7762504C"/>
    <w:rsid w:val="7763329E"/>
    <w:rsid w:val="776668EA"/>
    <w:rsid w:val="776963DA"/>
    <w:rsid w:val="776B3F01"/>
    <w:rsid w:val="77732DB5"/>
    <w:rsid w:val="77762421"/>
    <w:rsid w:val="777C4360"/>
    <w:rsid w:val="777F175A"/>
    <w:rsid w:val="77811976"/>
    <w:rsid w:val="77876861"/>
    <w:rsid w:val="77884AB3"/>
    <w:rsid w:val="77894387"/>
    <w:rsid w:val="7791148D"/>
    <w:rsid w:val="77950F7E"/>
    <w:rsid w:val="77AD0F06"/>
    <w:rsid w:val="77AD62C7"/>
    <w:rsid w:val="77AE12A3"/>
    <w:rsid w:val="77AE203F"/>
    <w:rsid w:val="77B04009"/>
    <w:rsid w:val="77B56B1F"/>
    <w:rsid w:val="77B75398"/>
    <w:rsid w:val="77B77E65"/>
    <w:rsid w:val="77BE04D4"/>
    <w:rsid w:val="77C046ED"/>
    <w:rsid w:val="77C875A5"/>
    <w:rsid w:val="77C90C27"/>
    <w:rsid w:val="77C97FE8"/>
    <w:rsid w:val="77D01FB6"/>
    <w:rsid w:val="77D221D2"/>
    <w:rsid w:val="77D47B26"/>
    <w:rsid w:val="77E45B7F"/>
    <w:rsid w:val="77E65C7D"/>
    <w:rsid w:val="77E67A2B"/>
    <w:rsid w:val="77EE6388"/>
    <w:rsid w:val="77F20932"/>
    <w:rsid w:val="77F24622"/>
    <w:rsid w:val="77F55EC0"/>
    <w:rsid w:val="780215B6"/>
    <w:rsid w:val="780A47CE"/>
    <w:rsid w:val="780F09F4"/>
    <w:rsid w:val="78160310"/>
    <w:rsid w:val="78197E01"/>
    <w:rsid w:val="781D0B0B"/>
    <w:rsid w:val="781F6A99"/>
    <w:rsid w:val="7824725F"/>
    <w:rsid w:val="782567A5"/>
    <w:rsid w:val="782B532F"/>
    <w:rsid w:val="783562BD"/>
    <w:rsid w:val="783B7D77"/>
    <w:rsid w:val="784F3822"/>
    <w:rsid w:val="785A3658"/>
    <w:rsid w:val="785B3F75"/>
    <w:rsid w:val="785C1A9B"/>
    <w:rsid w:val="786372CE"/>
    <w:rsid w:val="786C03F9"/>
    <w:rsid w:val="78762B5D"/>
    <w:rsid w:val="78770683"/>
    <w:rsid w:val="787E5EB6"/>
    <w:rsid w:val="78857A6D"/>
    <w:rsid w:val="788A4EF4"/>
    <w:rsid w:val="788F29EF"/>
    <w:rsid w:val="78900F2E"/>
    <w:rsid w:val="78917997"/>
    <w:rsid w:val="7892370F"/>
    <w:rsid w:val="789631FF"/>
    <w:rsid w:val="78A13B8E"/>
    <w:rsid w:val="78A53442"/>
    <w:rsid w:val="78A90480"/>
    <w:rsid w:val="78B67C22"/>
    <w:rsid w:val="78B76AB6"/>
    <w:rsid w:val="78B87B40"/>
    <w:rsid w:val="78BB4A14"/>
    <w:rsid w:val="78BD00D2"/>
    <w:rsid w:val="78C456B6"/>
    <w:rsid w:val="78C75CED"/>
    <w:rsid w:val="78CE2999"/>
    <w:rsid w:val="78CF226D"/>
    <w:rsid w:val="78D30460"/>
    <w:rsid w:val="78DC4CE5"/>
    <w:rsid w:val="78DE2BD4"/>
    <w:rsid w:val="78E108E3"/>
    <w:rsid w:val="78E201F2"/>
    <w:rsid w:val="78EF0236"/>
    <w:rsid w:val="79020895"/>
    <w:rsid w:val="790243F1"/>
    <w:rsid w:val="79050385"/>
    <w:rsid w:val="79053EE1"/>
    <w:rsid w:val="79077C59"/>
    <w:rsid w:val="791669CA"/>
    <w:rsid w:val="79206F6D"/>
    <w:rsid w:val="792123B9"/>
    <w:rsid w:val="792317CC"/>
    <w:rsid w:val="79246B42"/>
    <w:rsid w:val="792979E6"/>
    <w:rsid w:val="79386064"/>
    <w:rsid w:val="793A002E"/>
    <w:rsid w:val="793D4955"/>
    <w:rsid w:val="794013BD"/>
    <w:rsid w:val="794762A8"/>
    <w:rsid w:val="79492020"/>
    <w:rsid w:val="79586707"/>
    <w:rsid w:val="795A5AA5"/>
    <w:rsid w:val="795E2CD5"/>
    <w:rsid w:val="79667075"/>
    <w:rsid w:val="797057FE"/>
    <w:rsid w:val="79752E15"/>
    <w:rsid w:val="79806766"/>
    <w:rsid w:val="798B6ADC"/>
    <w:rsid w:val="798B6DBB"/>
    <w:rsid w:val="79927E6B"/>
    <w:rsid w:val="799A0ACD"/>
    <w:rsid w:val="799E6406"/>
    <w:rsid w:val="79A96F62"/>
    <w:rsid w:val="79AD59A6"/>
    <w:rsid w:val="79CD68A2"/>
    <w:rsid w:val="79CE780B"/>
    <w:rsid w:val="79D20267"/>
    <w:rsid w:val="79D50A31"/>
    <w:rsid w:val="79DA711C"/>
    <w:rsid w:val="79E239E1"/>
    <w:rsid w:val="79E8095B"/>
    <w:rsid w:val="79EA1A55"/>
    <w:rsid w:val="79EB1329"/>
    <w:rsid w:val="79F86E61"/>
    <w:rsid w:val="79FA77BE"/>
    <w:rsid w:val="79FC1788"/>
    <w:rsid w:val="7A036672"/>
    <w:rsid w:val="7A097A01"/>
    <w:rsid w:val="7A0B1290"/>
    <w:rsid w:val="7A0E0E2F"/>
    <w:rsid w:val="7A146AD1"/>
    <w:rsid w:val="7A15284A"/>
    <w:rsid w:val="7A155C62"/>
    <w:rsid w:val="7A2378D5"/>
    <w:rsid w:val="7A2D7B93"/>
    <w:rsid w:val="7A3238C6"/>
    <w:rsid w:val="7A364017"/>
    <w:rsid w:val="7A3727C0"/>
    <w:rsid w:val="7A410F49"/>
    <w:rsid w:val="7A436D07"/>
    <w:rsid w:val="7A4822D7"/>
    <w:rsid w:val="7A4A42A1"/>
    <w:rsid w:val="7A56097B"/>
    <w:rsid w:val="7A5C5D83"/>
    <w:rsid w:val="7A5E0151"/>
    <w:rsid w:val="7A5E7D4D"/>
    <w:rsid w:val="7A6C56B9"/>
    <w:rsid w:val="7A70621A"/>
    <w:rsid w:val="7A7E03EF"/>
    <w:rsid w:val="7A8265E1"/>
    <w:rsid w:val="7A9674E6"/>
    <w:rsid w:val="7A9E283F"/>
    <w:rsid w:val="7AA47C9E"/>
    <w:rsid w:val="7AC73B44"/>
    <w:rsid w:val="7ADE5A2D"/>
    <w:rsid w:val="7AF70983"/>
    <w:rsid w:val="7AFD1314"/>
    <w:rsid w:val="7B0903EC"/>
    <w:rsid w:val="7B0C77A9"/>
    <w:rsid w:val="7B0F7244"/>
    <w:rsid w:val="7B1914D1"/>
    <w:rsid w:val="7B1D7C08"/>
    <w:rsid w:val="7B1E128A"/>
    <w:rsid w:val="7B2965AD"/>
    <w:rsid w:val="7B2F1872"/>
    <w:rsid w:val="7B360537"/>
    <w:rsid w:val="7B3E36DA"/>
    <w:rsid w:val="7B446B80"/>
    <w:rsid w:val="7B4B0FCF"/>
    <w:rsid w:val="7B542EFE"/>
    <w:rsid w:val="7B580C40"/>
    <w:rsid w:val="7B686D42"/>
    <w:rsid w:val="7B690757"/>
    <w:rsid w:val="7B6E20DB"/>
    <w:rsid w:val="7B7315D6"/>
    <w:rsid w:val="7B7F7F7B"/>
    <w:rsid w:val="7B841746"/>
    <w:rsid w:val="7B851309"/>
    <w:rsid w:val="7B8E6410"/>
    <w:rsid w:val="7B9466A0"/>
    <w:rsid w:val="7B9706D2"/>
    <w:rsid w:val="7B9A3006"/>
    <w:rsid w:val="7B9F23CB"/>
    <w:rsid w:val="7BA67BFD"/>
    <w:rsid w:val="7BA93249"/>
    <w:rsid w:val="7BBA0470"/>
    <w:rsid w:val="7BBA7205"/>
    <w:rsid w:val="7BC613EA"/>
    <w:rsid w:val="7BC830EC"/>
    <w:rsid w:val="7BD548A5"/>
    <w:rsid w:val="7BDE7397"/>
    <w:rsid w:val="7BE2675B"/>
    <w:rsid w:val="7BE2731E"/>
    <w:rsid w:val="7BEC3136"/>
    <w:rsid w:val="7BEE5100"/>
    <w:rsid w:val="7BF07940"/>
    <w:rsid w:val="7BF30969"/>
    <w:rsid w:val="7BFC15CB"/>
    <w:rsid w:val="7C016BE2"/>
    <w:rsid w:val="7C0677AB"/>
    <w:rsid w:val="7C09018C"/>
    <w:rsid w:val="7C0B32A7"/>
    <w:rsid w:val="7C120D88"/>
    <w:rsid w:val="7C122B9D"/>
    <w:rsid w:val="7C3212D0"/>
    <w:rsid w:val="7C321491"/>
    <w:rsid w:val="7C350F81"/>
    <w:rsid w:val="7C376AA7"/>
    <w:rsid w:val="7C480CB4"/>
    <w:rsid w:val="7C4E5B9F"/>
    <w:rsid w:val="7C5036C5"/>
    <w:rsid w:val="7C5C650E"/>
    <w:rsid w:val="7C6158D2"/>
    <w:rsid w:val="7C63164A"/>
    <w:rsid w:val="7C646B79"/>
    <w:rsid w:val="7C6C5AC7"/>
    <w:rsid w:val="7C70702C"/>
    <w:rsid w:val="7C792C1C"/>
    <w:rsid w:val="7C7C095E"/>
    <w:rsid w:val="7C7C270C"/>
    <w:rsid w:val="7C7E0232"/>
    <w:rsid w:val="7C8415C1"/>
    <w:rsid w:val="7C8B294F"/>
    <w:rsid w:val="7C9712F4"/>
    <w:rsid w:val="7C9A2564"/>
    <w:rsid w:val="7C9B5288"/>
    <w:rsid w:val="7CA04DA9"/>
    <w:rsid w:val="7CA83501"/>
    <w:rsid w:val="7CAA54CB"/>
    <w:rsid w:val="7CAA58C0"/>
    <w:rsid w:val="7CB349EB"/>
    <w:rsid w:val="7CB93960"/>
    <w:rsid w:val="7CBC6FAC"/>
    <w:rsid w:val="7CC42336"/>
    <w:rsid w:val="7CC540B3"/>
    <w:rsid w:val="7CC6544B"/>
    <w:rsid w:val="7CC7607D"/>
    <w:rsid w:val="7CCF0A8E"/>
    <w:rsid w:val="7CD2057E"/>
    <w:rsid w:val="7CE34539"/>
    <w:rsid w:val="7CE54755"/>
    <w:rsid w:val="7CE56503"/>
    <w:rsid w:val="7CE83F67"/>
    <w:rsid w:val="7CF130FA"/>
    <w:rsid w:val="7CF21A34"/>
    <w:rsid w:val="7D00333D"/>
    <w:rsid w:val="7D0239FF"/>
    <w:rsid w:val="7D044D32"/>
    <w:rsid w:val="7D0C1CE2"/>
    <w:rsid w:val="7D0D15B6"/>
    <w:rsid w:val="7D112738"/>
    <w:rsid w:val="7D143E86"/>
    <w:rsid w:val="7D2012E9"/>
    <w:rsid w:val="7D252DA4"/>
    <w:rsid w:val="7D326018"/>
    <w:rsid w:val="7D3877DB"/>
    <w:rsid w:val="7D3923AB"/>
    <w:rsid w:val="7D3D1E9B"/>
    <w:rsid w:val="7D423956"/>
    <w:rsid w:val="7D456FA2"/>
    <w:rsid w:val="7D4C0934"/>
    <w:rsid w:val="7D581E17"/>
    <w:rsid w:val="7D5B67C5"/>
    <w:rsid w:val="7D5D253D"/>
    <w:rsid w:val="7D5E40CD"/>
    <w:rsid w:val="7D5E69F6"/>
    <w:rsid w:val="7D6531A0"/>
    <w:rsid w:val="7D661B36"/>
    <w:rsid w:val="7D697134"/>
    <w:rsid w:val="7D6A07B6"/>
    <w:rsid w:val="7D6E5865"/>
    <w:rsid w:val="7D6F1533"/>
    <w:rsid w:val="7D70547C"/>
    <w:rsid w:val="7D7D04EA"/>
    <w:rsid w:val="7D853842"/>
    <w:rsid w:val="7D8F5150"/>
    <w:rsid w:val="7D913F95"/>
    <w:rsid w:val="7D951CD7"/>
    <w:rsid w:val="7DA273D6"/>
    <w:rsid w:val="7DA3290A"/>
    <w:rsid w:val="7DA912DF"/>
    <w:rsid w:val="7DAD6842"/>
    <w:rsid w:val="7DB12889"/>
    <w:rsid w:val="7DB61C4E"/>
    <w:rsid w:val="7DC3365B"/>
    <w:rsid w:val="7DC41F1A"/>
    <w:rsid w:val="7DCB56F9"/>
    <w:rsid w:val="7DCD56F2"/>
    <w:rsid w:val="7DD24E03"/>
    <w:rsid w:val="7DD55965"/>
    <w:rsid w:val="7DDA3B8E"/>
    <w:rsid w:val="7DDC7705"/>
    <w:rsid w:val="7DDC7906"/>
    <w:rsid w:val="7DE22A43"/>
    <w:rsid w:val="7DE247F1"/>
    <w:rsid w:val="7DE92023"/>
    <w:rsid w:val="7DEC38C1"/>
    <w:rsid w:val="7DED547E"/>
    <w:rsid w:val="7DF05160"/>
    <w:rsid w:val="7DF34C50"/>
    <w:rsid w:val="7DF51AFF"/>
    <w:rsid w:val="7DF863A2"/>
    <w:rsid w:val="7E005AD7"/>
    <w:rsid w:val="7E01736D"/>
    <w:rsid w:val="7E0724A9"/>
    <w:rsid w:val="7E2117BD"/>
    <w:rsid w:val="7E215319"/>
    <w:rsid w:val="7E265025"/>
    <w:rsid w:val="7E2968C4"/>
    <w:rsid w:val="7E326118"/>
    <w:rsid w:val="7E337E8D"/>
    <w:rsid w:val="7E355268"/>
    <w:rsid w:val="7E3C70DD"/>
    <w:rsid w:val="7E4159BB"/>
    <w:rsid w:val="7E4D25B2"/>
    <w:rsid w:val="7E584AB3"/>
    <w:rsid w:val="7E5E656D"/>
    <w:rsid w:val="7E5F4093"/>
    <w:rsid w:val="7E6416AA"/>
    <w:rsid w:val="7E657E8A"/>
    <w:rsid w:val="7E682F48"/>
    <w:rsid w:val="7E6A3164"/>
    <w:rsid w:val="7E7044F2"/>
    <w:rsid w:val="7E7062A0"/>
    <w:rsid w:val="7E7304FE"/>
    <w:rsid w:val="7E76496D"/>
    <w:rsid w:val="7E7C2111"/>
    <w:rsid w:val="7E87409C"/>
    <w:rsid w:val="7E8B6C36"/>
    <w:rsid w:val="7E9755DB"/>
    <w:rsid w:val="7E991289"/>
    <w:rsid w:val="7E9C52E7"/>
    <w:rsid w:val="7EA36676"/>
    <w:rsid w:val="7EA5274C"/>
    <w:rsid w:val="7EA5496F"/>
    <w:rsid w:val="7EA633B5"/>
    <w:rsid w:val="7EAA3560"/>
    <w:rsid w:val="7EAA7A04"/>
    <w:rsid w:val="7EAC28C5"/>
    <w:rsid w:val="7EAF501B"/>
    <w:rsid w:val="7EB1405E"/>
    <w:rsid w:val="7EBA6E3F"/>
    <w:rsid w:val="7EBC703A"/>
    <w:rsid w:val="7EC31BC0"/>
    <w:rsid w:val="7ED22AB7"/>
    <w:rsid w:val="7ED54355"/>
    <w:rsid w:val="7ED625A7"/>
    <w:rsid w:val="7ED76320"/>
    <w:rsid w:val="7ED82CEC"/>
    <w:rsid w:val="7EE60311"/>
    <w:rsid w:val="7EEB5E8F"/>
    <w:rsid w:val="7EF23C75"/>
    <w:rsid w:val="7EF90044"/>
    <w:rsid w:val="7F001CE7"/>
    <w:rsid w:val="7F006137"/>
    <w:rsid w:val="7F037115"/>
    <w:rsid w:val="7F061181"/>
    <w:rsid w:val="7F0C2D8A"/>
    <w:rsid w:val="7F10538E"/>
    <w:rsid w:val="7F180505"/>
    <w:rsid w:val="7F196938"/>
    <w:rsid w:val="7F1E7AAB"/>
    <w:rsid w:val="7F3648B6"/>
    <w:rsid w:val="7F3B0DCF"/>
    <w:rsid w:val="7F3C6183"/>
    <w:rsid w:val="7F4D62ED"/>
    <w:rsid w:val="7F4E65E2"/>
    <w:rsid w:val="7F5259A6"/>
    <w:rsid w:val="7F5434CC"/>
    <w:rsid w:val="7F5D1B61"/>
    <w:rsid w:val="7F5E72DA"/>
    <w:rsid w:val="7F6A1A27"/>
    <w:rsid w:val="7F6E0A32"/>
    <w:rsid w:val="7F6F47AA"/>
    <w:rsid w:val="7F71407E"/>
    <w:rsid w:val="7F74591C"/>
    <w:rsid w:val="7F7A192A"/>
    <w:rsid w:val="7F827676"/>
    <w:rsid w:val="7F8A41C7"/>
    <w:rsid w:val="7F8C2C66"/>
    <w:rsid w:val="7F91160B"/>
    <w:rsid w:val="7F930498"/>
    <w:rsid w:val="7F963AE5"/>
    <w:rsid w:val="7F9E0BEB"/>
    <w:rsid w:val="7FA678FB"/>
    <w:rsid w:val="7FA96E85"/>
    <w:rsid w:val="7FAC50B6"/>
    <w:rsid w:val="7FAF4BA7"/>
    <w:rsid w:val="7FB36445"/>
    <w:rsid w:val="7FC167BA"/>
    <w:rsid w:val="7FC5261C"/>
    <w:rsid w:val="7FC53407"/>
    <w:rsid w:val="7FC56178"/>
    <w:rsid w:val="7FC95651"/>
    <w:rsid w:val="7FD15524"/>
    <w:rsid w:val="7FD83CB6"/>
    <w:rsid w:val="7FE47E50"/>
    <w:rsid w:val="7FE64B79"/>
    <w:rsid w:val="7FE9455C"/>
    <w:rsid w:val="7FF8654D"/>
    <w:rsid w:val="7FF9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iPriority="0" w:name="HTML Keyboard" w:locked="1"/>
    <w:lsdException w:qFormat="1" w:unhideWhenUsed="0" w:uiPriority="0" w:semiHidden="0" w:name="HTML Preformatted" w:locked="1"/>
    <w:lsdException w:unhideWhenUsed="0" w:uiPriority="0" w:semiHidden="0" w:name="HTML Sample" w:locked="1"/>
    <w:lsdException w:qFormat="1"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99" w:semiHidden="0" w:name="Table Grid"/>
    <w:lsdException w:qFormat="1" w:unhideWhenUsed="0" w:uiPriority="0" w:semiHidden="0"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109"/>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2"/>
    <w:next w:val="3"/>
    <w:link w:val="76"/>
    <w:qFormat/>
    <w:locked/>
    <w:uiPriority w:val="0"/>
    <w:pPr>
      <w:keepLines/>
      <w:spacing w:before="260" w:after="260" w:line="416" w:lineRule="auto"/>
      <w:outlineLvl w:val="1"/>
    </w:pPr>
    <w:rPr>
      <w:rFonts w:ascii="Arial" w:hAnsi="Arial"/>
      <w:sz w:val="32"/>
      <w:szCs w:val="32"/>
    </w:rPr>
  </w:style>
  <w:style w:type="paragraph" w:styleId="5">
    <w:name w:val="heading 3"/>
    <w:basedOn w:val="4"/>
    <w:next w:val="3"/>
    <w:link w:val="49"/>
    <w:autoRedefine/>
    <w:semiHidden/>
    <w:unhideWhenUsed/>
    <w:qFormat/>
    <w:locked/>
    <w:uiPriority w:val="0"/>
    <w:pPr>
      <w:outlineLvl w:val="2"/>
    </w:pPr>
  </w:style>
  <w:style w:type="paragraph" w:styleId="6">
    <w:name w:val="heading 4"/>
    <w:basedOn w:val="1"/>
    <w:next w:val="1"/>
    <w:qFormat/>
    <w:locked/>
    <w:uiPriority w:val="0"/>
    <w:pPr>
      <w:keepNext/>
      <w:keepLines/>
      <w:numPr>
        <w:ilvl w:val="3"/>
        <w:numId w:val="1"/>
      </w:numPr>
      <w:tabs>
        <w:tab w:val="left" w:pos="567"/>
      </w:tabs>
      <w:spacing w:line="360" w:lineRule="auto"/>
      <w:outlineLvl w:val="3"/>
    </w:pPr>
    <w:rPr>
      <w:b/>
      <w:bCs/>
      <w:szCs w:val="28"/>
    </w:rPr>
  </w:style>
  <w:style w:type="paragraph" w:styleId="7">
    <w:name w:val="heading 7"/>
    <w:basedOn w:val="1"/>
    <w:next w:val="1"/>
    <w:link w:val="160"/>
    <w:qFormat/>
    <w:locked/>
    <w:uiPriority w:val="0"/>
    <w:pPr>
      <w:keepNext/>
      <w:keepLines/>
      <w:tabs>
        <w:tab w:val="left" w:pos="3360"/>
      </w:tabs>
      <w:spacing w:before="240" w:after="64" w:line="320" w:lineRule="auto"/>
      <w:ind w:left="1296" w:hanging="288"/>
      <w:outlineLvl w:val="6"/>
    </w:pPr>
    <w:rPr>
      <w:rFonts w:eastAsia="CSϸ" w:cs="华文中宋"/>
      <w:b/>
      <w:bCs/>
      <w:sz w:val="24"/>
    </w:rPr>
  </w:style>
  <w:style w:type="paragraph" w:styleId="8">
    <w:name w:val="heading 8"/>
    <w:basedOn w:val="1"/>
    <w:next w:val="1"/>
    <w:link w:val="161"/>
    <w:autoRedefine/>
    <w:qFormat/>
    <w:locked/>
    <w:uiPriority w:val="0"/>
    <w:pPr>
      <w:keepNext/>
      <w:keepLines/>
      <w:tabs>
        <w:tab w:val="left" w:pos="3780"/>
      </w:tabs>
      <w:spacing w:before="240" w:after="64" w:line="320" w:lineRule="auto"/>
      <w:ind w:left="1440" w:hanging="432"/>
      <w:outlineLvl w:val="7"/>
    </w:pPr>
    <w:rPr>
      <w:rFonts w:ascii="方正大标宋_GBK" w:hAnsi="方正大标宋_GBK" w:eastAsia="”“Times New Roman”“" w:cs="华文中宋"/>
      <w:sz w:val="24"/>
    </w:rPr>
  </w:style>
  <w:style w:type="paragraph" w:styleId="9">
    <w:name w:val="heading 9"/>
    <w:basedOn w:val="1"/>
    <w:next w:val="1"/>
    <w:link w:val="162"/>
    <w:qFormat/>
    <w:locked/>
    <w:uiPriority w:val="0"/>
    <w:pPr>
      <w:keepNext/>
      <w:keepLines/>
      <w:tabs>
        <w:tab w:val="left" w:pos="4200"/>
      </w:tabs>
      <w:spacing w:before="240" w:after="64" w:line="320" w:lineRule="auto"/>
      <w:ind w:left="4200" w:hanging="420"/>
      <w:outlineLvl w:val="8"/>
    </w:pPr>
    <w:rPr>
      <w:rFonts w:ascii="Arial" w:hAnsi="Arial" w:eastAsia="黑体"/>
      <w:szCs w:val="21"/>
    </w:rPr>
  </w:style>
  <w:style w:type="character" w:default="1" w:styleId="37">
    <w:name w:val="Default Paragraph Font"/>
    <w:autoRedefine/>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3">
    <w:name w:val="报告正文"/>
    <w:basedOn w:val="1"/>
    <w:qFormat/>
    <w:uiPriority w:val="0"/>
    <w:pPr>
      <w:adjustRightInd w:val="0"/>
      <w:snapToGrid w:val="0"/>
    </w:pPr>
    <w:rPr>
      <w:rFonts w:ascii="楷体_GB2312"/>
      <w:szCs w:val="20"/>
    </w:rPr>
  </w:style>
  <w:style w:type="paragraph" w:styleId="10">
    <w:name w:val="Normal Indent"/>
    <w:basedOn w:val="1"/>
    <w:link w:val="78"/>
    <w:qFormat/>
    <w:locked/>
    <w:uiPriority w:val="0"/>
    <w:pPr>
      <w:ind w:firstLine="420" w:firstLineChars="200"/>
    </w:pPr>
  </w:style>
  <w:style w:type="paragraph" w:styleId="11">
    <w:name w:val="caption"/>
    <w:basedOn w:val="1"/>
    <w:next w:val="1"/>
    <w:link w:val="79"/>
    <w:qFormat/>
    <w:locked/>
    <w:uiPriority w:val="0"/>
    <w:pPr>
      <w:widowControl/>
      <w:spacing w:before="152" w:after="160"/>
      <w:jc w:val="center"/>
    </w:pPr>
    <w:rPr>
      <w:rFonts w:ascii="黑体" w:hAnsi="宋体" w:eastAsia="黑体" w:cs="Arial"/>
      <w:kern w:val="0"/>
      <w:sz w:val="24"/>
      <w:szCs w:val="20"/>
    </w:rPr>
  </w:style>
  <w:style w:type="paragraph" w:styleId="12">
    <w:name w:val="Document Map"/>
    <w:basedOn w:val="1"/>
    <w:link w:val="89"/>
    <w:qFormat/>
    <w:locked/>
    <w:uiPriority w:val="0"/>
    <w:pPr>
      <w:shd w:val="clear" w:color="auto" w:fill="000080"/>
    </w:pPr>
    <w:rPr>
      <w:szCs w:val="20"/>
    </w:rPr>
  </w:style>
  <w:style w:type="paragraph" w:styleId="13">
    <w:name w:val="annotation text"/>
    <w:basedOn w:val="1"/>
    <w:link w:val="58"/>
    <w:qFormat/>
    <w:uiPriority w:val="0"/>
    <w:pPr>
      <w:jc w:val="left"/>
    </w:pPr>
    <w:rPr>
      <w:kern w:val="0"/>
      <w:sz w:val="24"/>
      <w:szCs w:val="20"/>
    </w:rPr>
  </w:style>
  <w:style w:type="paragraph" w:styleId="14">
    <w:name w:val="Salutation"/>
    <w:basedOn w:val="1"/>
    <w:next w:val="1"/>
    <w:semiHidden/>
    <w:qFormat/>
    <w:locked/>
    <w:uiPriority w:val="0"/>
  </w:style>
  <w:style w:type="paragraph" w:styleId="15">
    <w:name w:val="Body Text 3"/>
    <w:basedOn w:val="1"/>
    <w:link w:val="132"/>
    <w:unhideWhenUsed/>
    <w:qFormat/>
    <w:locked/>
    <w:uiPriority w:val="0"/>
    <w:pPr>
      <w:spacing w:after="120"/>
    </w:pPr>
    <w:rPr>
      <w:sz w:val="16"/>
      <w:szCs w:val="16"/>
    </w:rPr>
  </w:style>
  <w:style w:type="paragraph" w:styleId="16">
    <w:name w:val="Body Text"/>
    <w:basedOn w:val="1"/>
    <w:link w:val="57"/>
    <w:qFormat/>
    <w:uiPriority w:val="0"/>
    <w:pPr>
      <w:widowControl/>
      <w:snapToGrid w:val="0"/>
      <w:spacing w:before="60" w:after="160" w:line="259" w:lineRule="auto"/>
      <w:ind w:right="113"/>
    </w:pPr>
    <w:rPr>
      <w:kern w:val="0"/>
      <w:sz w:val="18"/>
      <w:szCs w:val="20"/>
    </w:rPr>
  </w:style>
  <w:style w:type="paragraph" w:styleId="17">
    <w:name w:val="Body Text Indent"/>
    <w:basedOn w:val="1"/>
    <w:link w:val="66"/>
    <w:qFormat/>
    <w:uiPriority w:val="0"/>
    <w:pPr>
      <w:spacing w:after="120"/>
      <w:ind w:left="420" w:leftChars="200"/>
    </w:pPr>
    <w:rPr>
      <w:kern w:val="0"/>
      <w:sz w:val="24"/>
      <w:szCs w:val="20"/>
    </w:rPr>
  </w:style>
  <w:style w:type="paragraph" w:styleId="18">
    <w:name w:val="toc 3"/>
    <w:basedOn w:val="1"/>
    <w:next w:val="1"/>
    <w:unhideWhenUsed/>
    <w:qFormat/>
    <w:locked/>
    <w:uiPriority w:val="39"/>
    <w:pPr>
      <w:ind w:left="840" w:leftChars="400"/>
    </w:pPr>
    <w:rPr>
      <w:szCs w:val="20"/>
    </w:rPr>
  </w:style>
  <w:style w:type="paragraph" w:styleId="19">
    <w:name w:val="Plain Text"/>
    <w:basedOn w:val="1"/>
    <w:next w:val="1"/>
    <w:link w:val="71"/>
    <w:qFormat/>
    <w:locked/>
    <w:uiPriority w:val="99"/>
    <w:rPr>
      <w:rFonts w:ascii="宋体" w:hAnsi="Courier New" w:cs="Courier New"/>
      <w:szCs w:val="21"/>
    </w:rPr>
  </w:style>
  <w:style w:type="paragraph" w:styleId="20">
    <w:name w:val="Date"/>
    <w:basedOn w:val="1"/>
    <w:next w:val="1"/>
    <w:link w:val="53"/>
    <w:autoRedefine/>
    <w:qFormat/>
    <w:uiPriority w:val="0"/>
    <w:pPr>
      <w:ind w:left="100" w:leftChars="2500"/>
    </w:pPr>
    <w:rPr>
      <w:kern w:val="0"/>
      <w:sz w:val="24"/>
      <w:szCs w:val="20"/>
    </w:rPr>
  </w:style>
  <w:style w:type="paragraph" w:styleId="21">
    <w:name w:val="Body Text Indent 2"/>
    <w:basedOn w:val="1"/>
    <w:link w:val="75"/>
    <w:qFormat/>
    <w:locked/>
    <w:uiPriority w:val="0"/>
    <w:pPr>
      <w:spacing w:after="120" w:line="480" w:lineRule="auto"/>
      <w:ind w:left="420" w:leftChars="200"/>
    </w:pPr>
  </w:style>
  <w:style w:type="paragraph" w:styleId="22">
    <w:name w:val="Balloon Text"/>
    <w:basedOn w:val="1"/>
    <w:link w:val="62"/>
    <w:qFormat/>
    <w:uiPriority w:val="0"/>
    <w:rPr>
      <w:kern w:val="0"/>
      <w:sz w:val="18"/>
      <w:szCs w:val="20"/>
    </w:rPr>
  </w:style>
  <w:style w:type="paragraph" w:styleId="23">
    <w:name w:val="footer"/>
    <w:basedOn w:val="1"/>
    <w:link w:val="52"/>
    <w:qFormat/>
    <w:uiPriority w:val="99"/>
    <w:pPr>
      <w:tabs>
        <w:tab w:val="center" w:pos="4153"/>
        <w:tab w:val="right" w:pos="8306"/>
      </w:tabs>
      <w:snapToGrid w:val="0"/>
      <w:jc w:val="left"/>
    </w:pPr>
    <w:rPr>
      <w:kern w:val="0"/>
      <w:sz w:val="18"/>
      <w:szCs w:val="20"/>
    </w:rPr>
  </w:style>
  <w:style w:type="paragraph" w:styleId="24">
    <w:name w:val="header"/>
    <w:basedOn w:val="1"/>
    <w:link w:val="64"/>
    <w:qFormat/>
    <w:uiPriority w:val="0"/>
    <w:pPr>
      <w:pBdr>
        <w:bottom w:val="single" w:color="auto" w:sz="6" w:space="1"/>
      </w:pBdr>
      <w:tabs>
        <w:tab w:val="center" w:pos="4153"/>
        <w:tab w:val="right" w:pos="8306"/>
      </w:tabs>
      <w:snapToGrid w:val="0"/>
      <w:jc w:val="center"/>
    </w:pPr>
    <w:rPr>
      <w:kern w:val="0"/>
      <w:sz w:val="18"/>
      <w:szCs w:val="20"/>
    </w:rPr>
  </w:style>
  <w:style w:type="paragraph" w:styleId="25">
    <w:name w:val="toc 1"/>
    <w:basedOn w:val="1"/>
    <w:next w:val="1"/>
    <w:qFormat/>
    <w:locked/>
    <w:uiPriority w:val="39"/>
    <w:pPr>
      <w:spacing w:line="360" w:lineRule="auto"/>
    </w:pPr>
    <w:rPr>
      <w:rFonts w:eastAsia="黑体"/>
      <w:sz w:val="24"/>
      <w:szCs w:val="20"/>
    </w:rPr>
  </w:style>
  <w:style w:type="paragraph" w:styleId="26">
    <w:name w:val="List"/>
    <w:basedOn w:val="1"/>
    <w:qFormat/>
    <w:locked/>
    <w:uiPriority w:val="0"/>
    <w:pPr>
      <w:ind w:left="200" w:hanging="200" w:hangingChars="200"/>
      <w:contextualSpacing/>
    </w:pPr>
  </w:style>
  <w:style w:type="paragraph" w:styleId="27">
    <w:name w:val="toc 2"/>
    <w:basedOn w:val="1"/>
    <w:next w:val="1"/>
    <w:qFormat/>
    <w:locked/>
    <w:uiPriority w:val="0"/>
    <w:pPr>
      <w:spacing w:line="360" w:lineRule="auto"/>
      <w:ind w:left="100" w:leftChars="100"/>
    </w:pPr>
    <w:rPr>
      <w:rFonts w:eastAsia="黑体"/>
    </w:rPr>
  </w:style>
  <w:style w:type="paragraph" w:styleId="28">
    <w:name w:val="HTML Preformatted"/>
    <w:basedOn w:val="1"/>
    <w:link w:val="7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9">
    <w:name w:val="Normal (Web)"/>
    <w:basedOn w:val="1"/>
    <w:link w:val="55"/>
    <w:autoRedefine/>
    <w:qFormat/>
    <w:uiPriority w:val="0"/>
    <w:pPr>
      <w:widowControl/>
      <w:spacing w:before="100" w:beforeAutospacing="1" w:after="100" w:afterAutospacing="1"/>
      <w:jc w:val="left"/>
    </w:pPr>
    <w:rPr>
      <w:rFonts w:ascii="宋体" w:hAnsi="宋体"/>
      <w:kern w:val="0"/>
      <w:sz w:val="24"/>
      <w:szCs w:val="20"/>
    </w:rPr>
  </w:style>
  <w:style w:type="paragraph" w:styleId="30">
    <w:name w:val="Title"/>
    <w:basedOn w:val="1"/>
    <w:next w:val="1"/>
    <w:link w:val="110"/>
    <w:autoRedefine/>
    <w:qFormat/>
    <w:locked/>
    <w:uiPriority w:val="0"/>
    <w:pPr>
      <w:spacing w:before="240" w:after="60"/>
      <w:jc w:val="center"/>
      <w:outlineLvl w:val="0"/>
    </w:pPr>
    <w:rPr>
      <w:rFonts w:asciiTheme="majorHAnsi" w:hAnsiTheme="majorHAnsi" w:cstheme="majorBidi"/>
      <w:b/>
      <w:bCs/>
      <w:sz w:val="32"/>
      <w:szCs w:val="32"/>
    </w:rPr>
  </w:style>
  <w:style w:type="paragraph" w:styleId="31">
    <w:name w:val="annotation subject"/>
    <w:basedOn w:val="13"/>
    <w:next w:val="13"/>
    <w:link w:val="63"/>
    <w:autoRedefine/>
    <w:semiHidden/>
    <w:qFormat/>
    <w:uiPriority w:val="0"/>
    <w:rPr>
      <w:b/>
    </w:rPr>
  </w:style>
  <w:style w:type="paragraph" w:styleId="32">
    <w:name w:val="Body Text First Indent"/>
    <w:basedOn w:val="16"/>
    <w:link w:val="105"/>
    <w:qFormat/>
    <w:locked/>
    <w:uiPriority w:val="0"/>
    <w:pPr>
      <w:widowControl w:val="0"/>
      <w:snapToGrid/>
      <w:spacing w:before="0" w:after="120" w:line="240" w:lineRule="auto"/>
      <w:ind w:right="0" w:firstLine="420" w:firstLineChars="100"/>
    </w:pPr>
    <w:rPr>
      <w:kern w:val="2"/>
      <w:sz w:val="21"/>
    </w:rPr>
  </w:style>
  <w:style w:type="paragraph" w:styleId="33">
    <w:name w:val="Body Text First Indent 2"/>
    <w:basedOn w:val="17"/>
    <w:next w:val="32"/>
    <w:link w:val="88"/>
    <w:qFormat/>
    <w:locked/>
    <w:uiPriority w:val="0"/>
    <w:pPr>
      <w:ind w:firstLine="420" w:firstLineChars="200"/>
    </w:pPr>
    <w:rPr>
      <w:kern w:val="2"/>
      <w:sz w:val="21"/>
    </w:rPr>
  </w:style>
  <w:style w:type="table" w:styleId="35">
    <w:name w:val="Table Grid"/>
    <w:basedOn w:val="3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Table Theme"/>
    <w:basedOn w:val="34"/>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tcBorders>
          <w:top w:val="single" w:color="auto" w:sz="12" w:space="0"/>
          <w:left w:val="nil"/>
          <w:bottom w:val="nil"/>
          <w:right w:val="nil"/>
          <w:insideH w:val="nil"/>
          <w:insideV w:val="nil"/>
          <w:tl2br w:val="nil"/>
          <w:tr2bl w:val="nil"/>
        </w:tcBorders>
      </w:tcPr>
    </w:tblStylePr>
    <w:tblStylePr w:type="lastRow">
      <w:tcPr>
        <w:tcBorders>
          <w:top w:val="nil"/>
          <w:left w:val="nil"/>
          <w:bottom w:val="single" w:color="auto" w:sz="12" w:space="0"/>
          <w:right w:val="nil"/>
          <w:insideH w:val="nil"/>
          <w:insideV w:val="nil"/>
          <w:tl2br w:val="nil"/>
          <w:tr2bl w:val="nil"/>
        </w:tcBorders>
      </w:tcPr>
    </w:tblStylePr>
    <w:tblStylePr w:type="firstCol">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tcPr>
    </w:tblStylePr>
  </w:style>
  <w:style w:type="character" w:styleId="38">
    <w:name w:val="Strong"/>
    <w:qFormat/>
    <w:locked/>
    <w:uiPriority w:val="0"/>
    <w:rPr>
      <w:b/>
      <w:bCs/>
    </w:rPr>
  </w:style>
  <w:style w:type="character" w:styleId="39">
    <w:name w:val="page number"/>
    <w:basedOn w:val="37"/>
    <w:qFormat/>
    <w:locked/>
    <w:uiPriority w:val="0"/>
  </w:style>
  <w:style w:type="character" w:styleId="40">
    <w:name w:val="Emphasis"/>
    <w:qFormat/>
    <w:locked/>
    <w:uiPriority w:val="0"/>
    <w:rPr>
      <w:rFonts w:ascii="宋体" w:hAnsi="宋体" w:eastAsia="Times New Roman"/>
      <w:i/>
      <w:sz w:val="21"/>
    </w:rPr>
  </w:style>
  <w:style w:type="character" w:styleId="41">
    <w:name w:val="HTML Typewriter"/>
    <w:qFormat/>
    <w:locked/>
    <w:uiPriority w:val="0"/>
    <w:rPr>
      <w:rFonts w:ascii="宋体" w:hAnsi="宋体" w:eastAsia="宋体"/>
      <w:sz w:val="24"/>
    </w:rPr>
  </w:style>
  <w:style w:type="character" w:styleId="42">
    <w:name w:val="Hyperlink"/>
    <w:qFormat/>
    <w:locked/>
    <w:uiPriority w:val="99"/>
    <w:rPr>
      <w:color w:val="136EC2"/>
      <w:u w:val="single"/>
    </w:rPr>
  </w:style>
  <w:style w:type="character" w:styleId="43">
    <w:name w:val="annotation reference"/>
    <w:semiHidden/>
    <w:qFormat/>
    <w:uiPriority w:val="0"/>
    <w:rPr>
      <w:sz w:val="21"/>
    </w:rPr>
  </w:style>
  <w:style w:type="paragraph" w:customStyle="1" w:styleId="44">
    <w:name w:val="Default"/>
    <w:basedOn w:val="45"/>
    <w:qFormat/>
    <w:uiPriority w:val="0"/>
    <w:pPr>
      <w:autoSpaceDE w:val="0"/>
      <w:autoSpaceDN w:val="0"/>
    </w:pPr>
    <w:rPr>
      <w:rFonts w:hAnsi="Calibri" w:cs="宋体"/>
      <w:color w:val="000000"/>
      <w:sz w:val="24"/>
    </w:rPr>
  </w:style>
  <w:style w:type="paragraph" w:customStyle="1" w:styleId="45">
    <w:name w:val="纯文本1"/>
    <w:basedOn w:val="1"/>
    <w:semiHidden/>
    <w:qFormat/>
    <w:uiPriority w:val="0"/>
    <w:pPr>
      <w:adjustRightInd w:val="0"/>
      <w:textAlignment w:val="baseline"/>
    </w:pPr>
    <w:rPr>
      <w:rFonts w:ascii="宋体" w:hAnsi="Courier New"/>
    </w:rPr>
  </w:style>
  <w:style w:type="paragraph" w:customStyle="1" w:styleId="46">
    <w:name w:val="xl2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Lines="0" w:afterAutospacing="1" w:line="240" w:lineRule="auto"/>
      <w:ind w:firstLine="0" w:firstLineChars="0"/>
      <w:jc w:val="center"/>
    </w:pPr>
    <w:rPr>
      <w:rFonts w:ascii="Arial Unicode MS" w:hAnsi="Arial Unicode MS" w:eastAsia="Arial Unicode MS" w:cs="Arial Unicode MS"/>
      <w:kern w:val="0"/>
      <w:sz w:val="24"/>
      <w:szCs w:val="24"/>
    </w:rPr>
  </w:style>
  <w:style w:type="paragraph" w:customStyle="1" w:styleId="47">
    <w:name w:val="mjb2019"/>
    <w:basedOn w:val="10"/>
    <w:next w:val="1"/>
    <w:link w:val="48"/>
    <w:autoRedefine/>
    <w:qFormat/>
    <w:uiPriority w:val="0"/>
    <w:pPr>
      <w:spacing w:line="360" w:lineRule="auto"/>
      <w:ind w:firstLine="200"/>
      <w:jc w:val="left"/>
    </w:pPr>
    <w:rPr>
      <w:bCs/>
      <w:kern w:val="0"/>
      <w:sz w:val="24"/>
      <w:szCs w:val="32"/>
    </w:rPr>
  </w:style>
  <w:style w:type="character" w:customStyle="1" w:styleId="48">
    <w:name w:val="mjb2019 Char"/>
    <w:link w:val="47"/>
    <w:autoRedefine/>
    <w:qFormat/>
    <w:uiPriority w:val="0"/>
    <w:rPr>
      <w:bCs/>
      <w:kern w:val="0"/>
      <w:sz w:val="24"/>
      <w:szCs w:val="32"/>
    </w:rPr>
  </w:style>
  <w:style w:type="character" w:customStyle="1" w:styleId="49">
    <w:name w:val="标题 3 字符"/>
    <w:basedOn w:val="37"/>
    <w:link w:val="5"/>
    <w:semiHidden/>
    <w:qFormat/>
    <w:uiPriority w:val="0"/>
    <w:rPr>
      <w:b/>
      <w:bCs/>
      <w:kern w:val="2"/>
      <w:sz w:val="32"/>
      <w:szCs w:val="32"/>
    </w:rPr>
  </w:style>
  <w:style w:type="paragraph" w:customStyle="1" w:styleId="50">
    <w:name w:val="图表名称"/>
    <w:next w:val="3"/>
    <w:autoRedefine/>
    <w:qFormat/>
    <w:uiPriority w:val="0"/>
    <w:pPr>
      <w:spacing w:line="360" w:lineRule="auto"/>
      <w:jc w:val="center"/>
    </w:pPr>
    <w:rPr>
      <w:rFonts w:ascii="Calibri" w:hAnsi="Calibri" w:eastAsia="宋体" w:cs="Calibri"/>
      <w:b/>
      <w:bCs/>
      <w:kern w:val="2"/>
      <w:sz w:val="21"/>
      <w:szCs w:val="28"/>
      <w:lang w:val="en-US" w:eastAsia="zh-CN" w:bidi="ar-SA"/>
    </w:rPr>
  </w:style>
  <w:style w:type="paragraph" w:customStyle="1" w:styleId="51">
    <w:name w:val="正文 首行缩进:  2 字符"/>
    <w:basedOn w:val="1"/>
    <w:qFormat/>
    <w:uiPriority w:val="0"/>
    <w:pPr>
      <w:ind w:firstLine="579" w:firstLineChars="200"/>
    </w:pPr>
    <w:rPr>
      <w:rFonts w:cs="宋体"/>
      <w:sz w:val="28"/>
      <w:szCs w:val="20"/>
    </w:rPr>
  </w:style>
  <w:style w:type="character" w:customStyle="1" w:styleId="52">
    <w:name w:val="页脚 字符1"/>
    <w:link w:val="23"/>
    <w:qFormat/>
    <w:locked/>
    <w:uiPriority w:val="99"/>
    <w:rPr>
      <w:sz w:val="18"/>
    </w:rPr>
  </w:style>
  <w:style w:type="character" w:customStyle="1" w:styleId="53">
    <w:name w:val="日期 字符1"/>
    <w:link w:val="20"/>
    <w:qFormat/>
    <w:locked/>
    <w:uiPriority w:val="0"/>
    <w:rPr>
      <w:rFonts w:ascii="Times New Roman" w:hAnsi="Times New Roman" w:eastAsia="宋体"/>
      <w:sz w:val="24"/>
    </w:rPr>
  </w:style>
  <w:style w:type="character" w:customStyle="1" w:styleId="54">
    <w:name w:val="页脚 字符"/>
    <w:basedOn w:val="37"/>
    <w:qFormat/>
    <w:uiPriority w:val="99"/>
  </w:style>
  <w:style w:type="character" w:customStyle="1" w:styleId="55">
    <w:name w:val="普通(网站) 字符"/>
    <w:link w:val="29"/>
    <w:autoRedefine/>
    <w:qFormat/>
    <w:locked/>
    <w:uiPriority w:val="0"/>
    <w:rPr>
      <w:rFonts w:ascii="宋体" w:hAnsi="宋体" w:eastAsia="宋体"/>
      <w:sz w:val="24"/>
    </w:rPr>
  </w:style>
  <w:style w:type="character" w:customStyle="1" w:styleId="56">
    <w:name w:val="正文文本 字符1"/>
    <w:semiHidden/>
    <w:qFormat/>
    <w:uiPriority w:val="0"/>
    <w:rPr>
      <w:rFonts w:ascii="Times New Roman" w:hAnsi="Times New Roman" w:eastAsia="宋体"/>
      <w:sz w:val="24"/>
    </w:rPr>
  </w:style>
  <w:style w:type="character" w:customStyle="1" w:styleId="57">
    <w:name w:val="正文文本 字符"/>
    <w:link w:val="16"/>
    <w:autoRedefine/>
    <w:qFormat/>
    <w:locked/>
    <w:uiPriority w:val="0"/>
    <w:rPr>
      <w:sz w:val="18"/>
    </w:rPr>
  </w:style>
  <w:style w:type="character" w:customStyle="1" w:styleId="58">
    <w:name w:val="批注文字 字符"/>
    <w:link w:val="13"/>
    <w:autoRedefine/>
    <w:qFormat/>
    <w:locked/>
    <w:uiPriority w:val="0"/>
    <w:rPr>
      <w:rFonts w:ascii="Times New Roman" w:hAnsi="Times New Roman" w:eastAsia="宋体"/>
      <w:sz w:val="24"/>
    </w:rPr>
  </w:style>
  <w:style w:type="character" w:customStyle="1" w:styleId="59">
    <w:name w:val="表格 Char"/>
    <w:link w:val="60"/>
    <w:qFormat/>
    <w:locked/>
    <w:uiPriority w:val="0"/>
    <w:rPr>
      <w:rFonts w:ascii="宋体"/>
      <w:sz w:val="21"/>
    </w:rPr>
  </w:style>
  <w:style w:type="paragraph" w:customStyle="1" w:styleId="60">
    <w:name w:val="表格"/>
    <w:basedOn w:val="10"/>
    <w:link w:val="59"/>
    <w:autoRedefine/>
    <w:qFormat/>
    <w:uiPriority w:val="0"/>
    <w:pPr>
      <w:adjustRightInd w:val="0"/>
      <w:snapToGrid w:val="0"/>
      <w:spacing w:beforeLines="10" w:afterLines="10" w:line="259" w:lineRule="auto"/>
      <w:jc w:val="center"/>
    </w:pPr>
    <w:rPr>
      <w:rFonts w:ascii="宋体"/>
      <w:kern w:val="0"/>
      <w:szCs w:val="20"/>
    </w:rPr>
  </w:style>
  <w:style w:type="character" w:customStyle="1" w:styleId="61">
    <w:name w:val="日期 字符"/>
    <w:semiHidden/>
    <w:qFormat/>
    <w:uiPriority w:val="0"/>
    <w:rPr>
      <w:rFonts w:ascii="Times New Roman" w:hAnsi="Times New Roman" w:eastAsia="宋体"/>
      <w:sz w:val="24"/>
    </w:rPr>
  </w:style>
  <w:style w:type="character" w:customStyle="1" w:styleId="62">
    <w:name w:val="批注框文本 字符"/>
    <w:link w:val="22"/>
    <w:autoRedefine/>
    <w:qFormat/>
    <w:locked/>
    <w:uiPriority w:val="0"/>
    <w:rPr>
      <w:rFonts w:ascii="Times New Roman" w:hAnsi="Times New Roman" w:eastAsia="宋体"/>
      <w:sz w:val="18"/>
    </w:rPr>
  </w:style>
  <w:style w:type="character" w:customStyle="1" w:styleId="63">
    <w:name w:val="批注主题 字符"/>
    <w:link w:val="31"/>
    <w:autoRedefine/>
    <w:semiHidden/>
    <w:qFormat/>
    <w:locked/>
    <w:uiPriority w:val="0"/>
    <w:rPr>
      <w:rFonts w:ascii="Times New Roman" w:hAnsi="Times New Roman" w:eastAsia="宋体"/>
      <w:b/>
      <w:kern w:val="2"/>
      <w:sz w:val="24"/>
    </w:rPr>
  </w:style>
  <w:style w:type="character" w:customStyle="1" w:styleId="64">
    <w:name w:val="页眉 字符"/>
    <w:link w:val="24"/>
    <w:autoRedefine/>
    <w:qFormat/>
    <w:locked/>
    <w:uiPriority w:val="0"/>
    <w:rPr>
      <w:sz w:val="18"/>
    </w:rPr>
  </w:style>
  <w:style w:type="character" w:customStyle="1" w:styleId="65">
    <w:name w:val="批注文字 字符1"/>
    <w:semiHidden/>
    <w:qFormat/>
    <w:uiPriority w:val="0"/>
    <w:rPr>
      <w:rFonts w:ascii="Times New Roman" w:hAnsi="Times New Roman" w:eastAsia="宋体"/>
      <w:sz w:val="24"/>
    </w:rPr>
  </w:style>
  <w:style w:type="character" w:customStyle="1" w:styleId="66">
    <w:name w:val="正文文本缩进 字符"/>
    <w:link w:val="17"/>
    <w:qFormat/>
    <w:locked/>
    <w:uiPriority w:val="0"/>
    <w:rPr>
      <w:rFonts w:ascii="Times New Roman" w:hAnsi="Times New Roman" w:eastAsia="宋体"/>
      <w:sz w:val="24"/>
    </w:rPr>
  </w:style>
  <w:style w:type="paragraph" w:customStyle="1" w:styleId="67">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69">
    <w:name w:val="BBB"/>
    <w:basedOn w:val="1"/>
    <w:autoRedefine/>
    <w:qFormat/>
    <w:uiPriority w:val="99"/>
    <w:pPr>
      <w:widowControl/>
      <w:jc w:val="center"/>
    </w:pPr>
    <w:rPr>
      <w:rFonts w:ascii="宋体" w:hAnsi="宋体" w:eastAsiaTheme="minorEastAsia" w:cstheme="minorBidi"/>
      <w:color w:val="000000"/>
      <w:kern w:val="0"/>
      <w:szCs w:val="20"/>
    </w:rPr>
  </w:style>
  <w:style w:type="paragraph" w:customStyle="1" w:styleId="70">
    <w:name w:val="AAA"/>
    <w:basedOn w:val="1"/>
    <w:autoRedefine/>
    <w:qFormat/>
    <w:uiPriority w:val="0"/>
    <w:pPr>
      <w:ind w:firstLine="200" w:firstLineChars="200"/>
      <w:contextualSpacing/>
    </w:pPr>
    <w:rPr>
      <w:rFonts w:ascii="宋体" w:hAnsi="宋体" w:eastAsiaTheme="minorEastAsia" w:cstheme="minorBidi"/>
      <w:snapToGrid w:val="0"/>
      <w:color w:val="000000"/>
      <w:kern w:val="0"/>
      <w:sz w:val="24"/>
      <w:szCs w:val="20"/>
    </w:rPr>
  </w:style>
  <w:style w:type="character" w:customStyle="1" w:styleId="71">
    <w:name w:val="纯文本 字符1"/>
    <w:link w:val="19"/>
    <w:qFormat/>
    <w:uiPriority w:val="0"/>
    <w:rPr>
      <w:rFonts w:ascii="宋体" w:hAnsi="Courier New" w:cs="Courier New"/>
      <w:kern w:val="2"/>
      <w:sz w:val="21"/>
      <w:szCs w:val="21"/>
    </w:rPr>
  </w:style>
  <w:style w:type="character" w:customStyle="1" w:styleId="72">
    <w:name w:val="纯文本 Char1"/>
    <w:basedOn w:val="37"/>
    <w:autoRedefine/>
    <w:qFormat/>
    <w:uiPriority w:val="0"/>
    <w:rPr>
      <w:rFonts w:ascii="宋体" w:hAnsi="Courier New" w:cs="Courier New"/>
      <w:kern w:val="2"/>
      <w:sz w:val="21"/>
      <w:szCs w:val="21"/>
    </w:rPr>
  </w:style>
  <w:style w:type="table" w:customStyle="1" w:styleId="73">
    <w:name w:val="报告书标准表格"/>
    <w:basedOn w:val="34"/>
    <w:qFormat/>
    <w:uiPriority w:val="0"/>
    <w:pPr>
      <w:jc w:val="center"/>
    </w:pPr>
    <w:rPr>
      <w:rFonts w:eastAsia="Times New Roman"/>
      <w:sz w:val="21"/>
    </w:rPr>
    <w:tblPr>
      <w:tblBorders>
        <w:top w:val="single" w:color="auto" w:sz="12" w:space="0"/>
        <w:bottom w:val="single" w:color="auto" w:sz="12" w:space="0"/>
        <w:insideH w:val="single" w:color="auto" w:sz="4" w:space="0"/>
        <w:insideV w:val="single" w:color="auto" w:sz="4" w:space="0"/>
      </w:tblBorders>
    </w:tblPr>
    <w:tcPr>
      <w:vAlign w:val="center"/>
    </w:tcPr>
  </w:style>
  <w:style w:type="character" w:customStyle="1" w:styleId="74">
    <w:name w:val="HTML 预设格式 字符"/>
    <w:basedOn w:val="37"/>
    <w:link w:val="28"/>
    <w:autoRedefine/>
    <w:qFormat/>
    <w:uiPriority w:val="0"/>
    <w:rPr>
      <w:rFonts w:ascii="黑体" w:hAnsi="Courier New" w:eastAsia="黑体" w:cs="Courier New"/>
    </w:rPr>
  </w:style>
  <w:style w:type="character" w:customStyle="1" w:styleId="75">
    <w:name w:val="正文文本缩进 2 字符"/>
    <w:basedOn w:val="37"/>
    <w:link w:val="21"/>
    <w:autoRedefine/>
    <w:qFormat/>
    <w:uiPriority w:val="0"/>
    <w:rPr>
      <w:kern w:val="2"/>
      <w:sz w:val="21"/>
      <w:szCs w:val="24"/>
    </w:rPr>
  </w:style>
  <w:style w:type="character" w:customStyle="1" w:styleId="76">
    <w:name w:val="标题 2 字符"/>
    <w:basedOn w:val="37"/>
    <w:link w:val="4"/>
    <w:autoRedefine/>
    <w:qFormat/>
    <w:uiPriority w:val="0"/>
    <w:rPr>
      <w:rFonts w:ascii="Arial" w:hAnsi="Arial" w:eastAsia="黑体"/>
      <w:b/>
      <w:bCs/>
      <w:kern w:val="2"/>
      <w:sz w:val="32"/>
      <w:szCs w:val="32"/>
    </w:rPr>
  </w:style>
  <w:style w:type="character" w:customStyle="1" w:styleId="77">
    <w:name w:val="font61"/>
    <w:qFormat/>
    <w:uiPriority w:val="0"/>
    <w:rPr>
      <w:rFonts w:hint="eastAsia" w:ascii="宋体" w:hAnsi="宋体" w:eastAsia="宋体" w:cs="宋体"/>
      <w:b/>
      <w:color w:val="000000"/>
      <w:sz w:val="21"/>
      <w:szCs w:val="21"/>
      <w:u w:val="none"/>
    </w:rPr>
  </w:style>
  <w:style w:type="character" w:customStyle="1" w:styleId="78">
    <w:name w:val="正文缩进 字符"/>
    <w:link w:val="10"/>
    <w:autoRedefine/>
    <w:qFormat/>
    <w:uiPriority w:val="0"/>
    <w:rPr>
      <w:kern w:val="2"/>
      <w:sz w:val="21"/>
      <w:szCs w:val="24"/>
    </w:rPr>
  </w:style>
  <w:style w:type="character" w:customStyle="1" w:styleId="79">
    <w:name w:val="题注 字符"/>
    <w:link w:val="11"/>
    <w:qFormat/>
    <w:uiPriority w:val="0"/>
    <w:rPr>
      <w:rFonts w:ascii="黑体" w:hAnsi="宋体" w:eastAsia="黑体" w:cs="Arial"/>
      <w:sz w:val="24"/>
    </w:rPr>
  </w:style>
  <w:style w:type="character" w:customStyle="1" w:styleId="80">
    <w:name w:val="0-Meng Char"/>
    <w:basedOn w:val="37"/>
    <w:link w:val="81"/>
    <w:qFormat/>
    <w:uiPriority w:val="0"/>
    <w:rPr>
      <w:rFonts w:ascii="方正宋三简体" w:hAnsi="方正宋三简体" w:cs="方正宋三简体"/>
      <w:sz w:val="24"/>
      <w:szCs w:val="24"/>
    </w:rPr>
  </w:style>
  <w:style w:type="paragraph" w:customStyle="1" w:styleId="81">
    <w:name w:val="0-Meng"/>
    <w:basedOn w:val="82"/>
    <w:next w:val="1"/>
    <w:link w:val="80"/>
    <w:qFormat/>
    <w:uiPriority w:val="0"/>
    <w:pPr>
      <w:ind w:firstLine="200"/>
    </w:pPr>
    <w:rPr>
      <w:rFonts w:ascii="方正宋三简体" w:hAnsi="方正宋三简体" w:cs="方正宋三简体"/>
      <w:b w:val="0"/>
      <w:kern w:val="0"/>
      <w:sz w:val="24"/>
      <w:szCs w:val="24"/>
    </w:rPr>
  </w:style>
  <w:style w:type="paragraph" w:customStyle="1" w:styleId="82">
    <w:name w:val="Char1"/>
    <w:basedOn w:val="1"/>
    <w:autoRedefine/>
    <w:qFormat/>
    <w:uiPriority w:val="0"/>
    <w:pPr>
      <w:snapToGrid w:val="0"/>
      <w:spacing w:line="360" w:lineRule="auto"/>
      <w:ind w:firstLine="529" w:firstLineChars="200"/>
    </w:pPr>
    <w:rPr>
      <w:rFonts w:ascii="宋体" w:hAnsi="宋体"/>
      <w:b/>
      <w:szCs w:val="20"/>
    </w:rPr>
  </w:style>
  <w:style w:type="character" w:customStyle="1" w:styleId="83">
    <w:name w:val="font11"/>
    <w:basedOn w:val="37"/>
    <w:autoRedefine/>
    <w:qFormat/>
    <w:uiPriority w:val="0"/>
    <w:rPr>
      <w:rFonts w:hint="default" w:ascii="Times New Roman" w:hAnsi="Times New Roman" w:cs="Times New Roman"/>
      <w:b/>
      <w:color w:val="000000"/>
      <w:sz w:val="21"/>
      <w:szCs w:val="21"/>
      <w:u w:val="none"/>
      <w:vertAlign w:val="subscript"/>
    </w:rPr>
  </w:style>
  <w:style w:type="character" w:customStyle="1" w:styleId="84">
    <w:name w:val="Meng Char"/>
    <w:link w:val="85"/>
    <w:autoRedefine/>
    <w:qFormat/>
    <w:uiPriority w:val="0"/>
    <w:rPr>
      <w:rFonts w:hAnsi="宋体"/>
      <w:sz w:val="24"/>
      <w:szCs w:val="24"/>
    </w:rPr>
  </w:style>
  <w:style w:type="paragraph" w:customStyle="1" w:styleId="85">
    <w:name w:val="Meng"/>
    <w:basedOn w:val="1"/>
    <w:link w:val="84"/>
    <w:qFormat/>
    <w:uiPriority w:val="0"/>
    <w:pPr>
      <w:spacing w:line="360" w:lineRule="auto"/>
      <w:ind w:firstLine="200" w:firstLineChars="200"/>
    </w:pPr>
    <w:rPr>
      <w:rFonts w:hAnsi="宋体"/>
      <w:kern w:val="0"/>
      <w:sz w:val="24"/>
    </w:rPr>
  </w:style>
  <w:style w:type="character" w:customStyle="1" w:styleId="86">
    <w:name w:val="size13"/>
    <w:basedOn w:val="37"/>
    <w:autoRedefine/>
    <w:qFormat/>
    <w:uiPriority w:val="0"/>
    <w:rPr>
      <w:sz w:val="24"/>
      <w:szCs w:val="20"/>
    </w:rPr>
  </w:style>
  <w:style w:type="character" w:customStyle="1" w:styleId="87">
    <w:name w:val="font51"/>
    <w:qFormat/>
    <w:uiPriority w:val="0"/>
    <w:rPr>
      <w:rFonts w:hint="default" w:ascii="Times New Roman" w:hAnsi="Times New Roman" w:cs="Times New Roman"/>
      <w:b/>
      <w:color w:val="000000"/>
      <w:sz w:val="21"/>
      <w:szCs w:val="21"/>
      <w:u w:val="none"/>
    </w:rPr>
  </w:style>
  <w:style w:type="character" w:customStyle="1" w:styleId="88">
    <w:name w:val="正文文本首行缩进 2 字符"/>
    <w:basedOn w:val="66"/>
    <w:link w:val="33"/>
    <w:qFormat/>
    <w:uiPriority w:val="0"/>
    <w:rPr>
      <w:rFonts w:ascii="Times New Roman" w:hAnsi="Times New Roman" w:eastAsia="宋体"/>
      <w:kern w:val="2"/>
      <w:sz w:val="21"/>
    </w:rPr>
  </w:style>
  <w:style w:type="character" w:customStyle="1" w:styleId="89">
    <w:name w:val="文档结构图 字符"/>
    <w:basedOn w:val="37"/>
    <w:link w:val="12"/>
    <w:autoRedefine/>
    <w:qFormat/>
    <w:uiPriority w:val="0"/>
    <w:rPr>
      <w:kern w:val="2"/>
      <w:sz w:val="21"/>
      <w:shd w:val="clear" w:color="auto" w:fill="000080"/>
    </w:rPr>
  </w:style>
  <w:style w:type="paragraph" w:customStyle="1" w:styleId="90">
    <w:name w:val="中文报告书样式"/>
    <w:basedOn w:val="1"/>
    <w:autoRedefine/>
    <w:qFormat/>
    <w:uiPriority w:val="0"/>
    <w:pPr>
      <w:adjustRightInd w:val="0"/>
      <w:spacing w:line="420" w:lineRule="atLeast"/>
      <w:textAlignment w:val="baseline"/>
    </w:pPr>
    <w:rPr>
      <w:kern w:val="24"/>
      <w:sz w:val="24"/>
      <w:szCs w:val="20"/>
    </w:rPr>
  </w:style>
  <w:style w:type="paragraph" w:customStyle="1" w:styleId="91">
    <w:name w:val="Char"/>
    <w:basedOn w:val="1"/>
    <w:autoRedefine/>
    <w:qFormat/>
    <w:uiPriority w:val="0"/>
  </w:style>
  <w:style w:type="paragraph" w:customStyle="1" w:styleId="92">
    <w:name w:val="Char Char Char Char"/>
    <w:basedOn w:val="1"/>
    <w:autoRedefine/>
    <w:qFormat/>
    <w:uiPriority w:val="0"/>
    <w:pPr>
      <w:ind w:firstLine="480" w:firstLineChars="200"/>
    </w:pPr>
    <w:rPr>
      <w:rFonts w:ascii="宋体"/>
      <w:sz w:val="28"/>
    </w:rPr>
  </w:style>
  <w:style w:type="paragraph" w:customStyle="1" w:styleId="93">
    <w:name w:val="Char1 Char Char Char Char Char Char"/>
    <w:basedOn w:val="1"/>
    <w:autoRedefine/>
    <w:semiHidden/>
    <w:qFormat/>
    <w:uiPriority w:val="0"/>
    <w:pPr>
      <w:spacing w:before="50" w:beforeLines="50" w:after="50" w:afterLines="50" w:line="360" w:lineRule="auto"/>
      <w:ind w:firstLine="200" w:firstLineChars="200"/>
    </w:pPr>
    <w:rPr>
      <w:rFonts w:ascii="宋体" w:hAnsi="宋体" w:cs="宋体"/>
      <w:sz w:val="24"/>
    </w:rPr>
  </w:style>
  <w:style w:type="paragraph" w:customStyle="1" w:styleId="94">
    <w:name w:val="样式 首行缩进"/>
    <w:basedOn w:val="1"/>
    <w:autoRedefine/>
    <w:qFormat/>
    <w:uiPriority w:val="0"/>
    <w:pPr>
      <w:ind w:firstLine="551"/>
    </w:pPr>
    <w:rPr>
      <w:rFonts w:ascii="仿宋_GB2312" w:eastAsia="仿宋_GB2312" w:cs="宋体"/>
      <w:sz w:val="28"/>
      <w:szCs w:val="20"/>
    </w:rPr>
  </w:style>
  <w:style w:type="paragraph" w:customStyle="1" w:styleId="95">
    <w:name w:val="正文（韶关规划）"/>
    <w:basedOn w:val="33"/>
    <w:autoRedefine/>
    <w:qFormat/>
    <w:uiPriority w:val="0"/>
    <w:pPr>
      <w:tabs>
        <w:tab w:val="left" w:pos="7996"/>
      </w:tabs>
      <w:autoSpaceDE w:val="0"/>
      <w:autoSpaceDN w:val="0"/>
      <w:adjustRightInd w:val="0"/>
      <w:snapToGrid w:val="0"/>
      <w:spacing w:before="156" w:beforeLines="50" w:line="360" w:lineRule="auto"/>
      <w:ind w:left="0" w:leftChars="0" w:firstLine="480"/>
      <w:jc w:val="left"/>
    </w:pPr>
    <w:rPr>
      <w:rFonts w:ascii="宋体" w:hAnsi="宋体"/>
      <w:kern w:val="0"/>
      <w:sz w:val="24"/>
      <w:szCs w:val="24"/>
    </w:rPr>
  </w:style>
  <w:style w:type="paragraph" w:customStyle="1" w:styleId="96">
    <w:name w:val="font7"/>
    <w:basedOn w:val="1"/>
    <w:qFormat/>
    <w:uiPriority w:val="0"/>
    <w:pPr>
      <w:widowControl/>
      <w:spacing w:before="100" w:beforeAutospacing="1" w:after="100" w:afterAutospacing="1"/>
      <w:jc w:val="left"/>
    </w:pPr>
    <w:rPr>
      <w:rFonts w:hint="eastAsia" w:ascii="仿宋_GB2312" w:hAnsi="宋体" w:eastAsia="仿宋_GB2312"/>
      <w:kern w:val="0"/>
      <w:sz w:val="20"/>
      <w:szCs w:val="20"/>
    </w:rPr>
  </w:style>
  <w:style w:type="paragraph" w:customStyle="1" w:styleId="97">
    <w:name w:val="Char1 Char Char1 Char"/>
    <w:basedOn w:val="1"/>
    <w:qFormat/>
    <w:uiPriority w:val="0"/>
    <w:pPr>
      <w:adjustRightInd w:val="0"/>
      <w:snapToGrid w:val="0"/>
      <w:spacing w:line="400" w:lineRule="exact"/>
      <w:ind w:firstLine="200" w:firstLineChars="200"/>
    </w:pPr>
    <w:rPr>
      <w:sz w:val="24"/>
      <w:szCs w:val="20"/>
    </w:rPr>
  </w:style>
  <w:style w:type="paragraph" w:customStyle="1" w:styleId="98">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ZW"/>
    <w:basedOn w:val="1"/>
    <w:autoRedefine/>
    <w:qFormat/>
    <w:uiPriority w:val="0"/>
    <w:pPr>
      <w:spacing w:line="360" w:lineRule="auto"/>
      <w:ind w:firstLine="512" w:firstLineChars="200"/>
    </w:pPr>
    <w:rPr>
      <w:spacing w:val="6"/>
      <w:kern w:val="0"/>
      <w:sz w:val="24"/>
    </w:rPr>
  </w:style>
  <w:style w:type="paragraph" w:customStyle="1" w:styleId="100">
    <w:name w:val="表格内容（左）"/>
    <w:basedOn w:val="1"/>
    <w:autoRedefine/>
    <w:qFormat/>
    <w:uiPriority w:val="0"/>
    <w:pPr>
      <w:spacing w:line="0" w:lineRule="atLeast"/>
      <w:jc w:val="left"/>
    </w:pPr>
    <w:rPr>
      <w:rFonts w:ascii="仿宋_GB2312" w:eastAsia="仿宋_GB2312" w:cs="宋体"/>
      <w:szCs w:val="21"/>
    </w:rPr>
  </w:style>
  <w:style w:type="table" w:customStyle="1" w:styleId="101">
    <w:name w:val="表格样式1"/>
    <w:basedOn w:val="35"/>
    <w:autoRedefine/>
    <w:qFormat/>
    <w:uiPriority w:val="0"/>
    <w:pPr>
      <w:widowControl w:val="0"/>
      <w:jc w:val="both"/>
    </w:pPr>
    <w:tblPr>
      <w:tblBorders>
        <w:top w:val="single" w:color="auto" w:sz="12" w:space="0"/>
        <w:left w:val="single" w:color="auto" w:sz="12" w:space="0"/>
        <w:bottom w:val="single" w:color="auto" w:sz="12" w:space="0"/>
        <w:right w:val="single" w:color="auto" w:sz="12" w:space="0"/>
      </w:tblBorders>
    </w:tblPr>
  </w:style>
  <w:style w:type="character" w:styleId="102">
    <w:name w:val="Placeholder Text"/>
    <w:basedOn w:val="37"/>
    <w:unhideWhenUsed/>
    <w:qFormat/>
    <w:uiPriority w:val="99"/>
    <w:rPr>
      <w:color w:val="808080"/>
    </w:rPr>
  </w:style>
  <w:style w:type="paragraph" w:customStyle="1" w:styleId="103">
    <w:name w:val="正文1"/>
    <w:basedOn w:val="1"/>
    <w:link w:val="104"/>
    <w:autoRedefine/>
    <w:qFormat/>
    <w:uiPriority w:val="0"/>
    <w:pPr>
      <w:adjustRightInd w:val="0"/>
      <w:spacing w:line="480" w:lineRule="exact"/>
      <w:textAlignment w:val="baseline"/>
    </w:pPr>
    <w:rPr>
      <w:spacing w:val="-2"/>
      <w:kern w:val="0"/>
      <w:sz w:val="28"/>
      <w:szCs w:val="20"/>
    </w:rPr>
  </w:style>
  <w:style w:type="character" w:customStyle="1" w:styleId="104">
    <w:name w:val="正文 Char"/>
    <w:link w:val="103"/>
    <w:qFormat/>
    <w:uiPriority w:val="0"/>
    <w:rPr>
      <w:spacing w:val="-2"/>
      <w:sz w:val="28"/>
    </w:rPr>
  </w:style>
  <w:style w:type="character" w:customStyle="1" w:styleId="105">
    <w:name w:val="正文文本首行缩进 字符"/>
    <w:link w:val="32"/>
    <w:qFormat/>
    <w:uiPriority w:val="0"/>
    <w:rPr>
      <w:kern w:val="2"/>
      <w:sz w:val="21"/>
    </w:rPr>
  </w:style>
  <w:style w:type="character" w:customStyle="1" w:styleId="106">
    <w:name w:val="正文首行缩进 Char1"/>
    <w:basedOn w:val="57"/>
    <w:autoRedefine/>
    <w:qFormat/>
    <w:uiPriority w:val="0"/>
    <w:rPr>
      <w:kern w:val="2"/>
      <w:sz w:val="21"/>
      <w:szCs w:val="24"/>
    </w:rPr>
  </w:style>
  <w:style w:type="paragraph" w:customStyle="1" w:styleId="107">
    <w:name w:val="黏贴"/>
    <w:autoRedefine/>
    <w:qFormat/>
    <w:uiPriority w:val="0"/>
    <w:rPr>
      <w:rFonts w:ascii="方正宋三简体" w:hAnsi="方正宋三简体" w:eastAsia="楷体_GB2312" w:cs="方正宋三简体"/>
      <w:kern w:val="2"/>
      <w:sz w:val="18"/>
      <w:szCs w:val="24"/>
      <w:lang w:val="en-US" w:eastAsia="zh-CN" w:bidi="ar-SA"/>
    </w:rPr>
  </w:style>
  <w:style w:type="paragraph" w:customStyle="1" w:styleId="108">
    <w:name w:val="普通(网站)1"/>
    <w:basedOn w:val="1"/>
    <w:autoRedefine/>
    <w:qFormat/>
    <w:uiPriority w:val="0"/>
    <w:pPr>
      <w:widowControl/>
      <w:spacing w:before="100" w:beforeAutospacing="1" w:after="100" w:afterAutospacing="1" w:line="360" w:lineRule="auto"/>
      <w:ind w:firstLine="506" w:firstLineChars="200"/>
      <w:jc w:val="left"/>
    </w:pPr>
    <w:rPr>
      <w:rFonts w:ascii="宋体" w:hAnsi="宋体"/>
      <w:kern w:val="0"/>
      <w:sz w:val="24"/>
    </w:rPr>
  </w:style>
  <w:style w:type="character" w:customStyle="1" w:styleId="109">
    <w:name w:val="标题 1 字符"/>
    <w:basedOn w:val="37"/>
    <w:link w:val="2"/>
    <w:qFormat/>
    <w:uiPriority w:val="0"/>
    <w:rPr>
      <w:rFonts w:eastAsia="黑体"/>
      <w:b/>
      <w:bCs/>
      <w:color w:val="000000"/>
      <w:kern w:val="44"/>
      <w:sz w:val="30"/>
      <w:szCs w:val="30"/>
    </w:rPr>
  </w:style>
  <w:style w:type="character" w:customStyle="1" w:styleId="110">
    <w:name w:val="标题 字符"/>
    <w:basedOn w:val="37"/>
    <w:link w:val="30"/>
    <w:qFormat/>
    <w:uiPriority w:val="0"/>
    <w:rPr>
      <w:rFonts w:asciiTheme="majorHAnsi" w:hAnsiTheme="majorHAnsi" w:cstheme="majorBidi"/>
      <w:b/>
      <w:bCs/>
      <w:kern w:val="2"/>
      <w:sz w:val="32"/>
      <w:szCs w:val="32"/>
    </w:rPr>
  </w:style>
  <w:style w:type="paragraph" w:customStyle="1" w:styleId="111">
    <w:name w:val="样式 表格 32 + 首行缩进:  2 字符"/>
    <w:basedOn w:val="1"/>
    <w:autoRedefine/>
    <w:qFormat/>
    <w:uiPriority w:val="0"/>
    <w:pPr>
      <w:autoSpaceDE w:val="0"/>
      <w:autoSpaceDN w:val="0"/>
      <w:adjustRightInd w:val="0"/>
      <w:spacing w:line="0" w:lineRule="atLeast"/>
      <w:jc w:val="center"/>
      <w:textAlignment w:val="baseline"/>
    </w:pPr>
    <w:rPr>
      <w:rFonts w:ascii="Calibri" w:hAnsi="Calibri"/>
      <w:kern w:val="0"/>
      <w:szCs w:val="21"/>
    </w:rPr>
  </w:style>
  <w:style w:type="character" w:customStyle="1" w:styleId="112">
    <w:name w:val="font111"/>
    <w:basedOn w:val="37"/>
    <w:autoRedefine/>
    <w:qFormat/>
    <w:uiPriority w:val="0"/>
    <w:rPr>
      <w:rFonts w:hint="eastAsia" w:ascii="宋体" w:hAnsi="宋体" w:eastAsia="宋体" w:cs="宋体"/>
      <w:color w:val="000000"/>
      <w:sz w:val="21"/>
      <w:szCs w:val="21"/>
      <w:u w:val="none"/>
    </w:rPr>
  </w:style>
  <w:style w:type="character" w:customStyle="1" w:styleId="113">
    <w:name w:val="font101"/>
    <w:basedOn w:val="37"/>
    <w:autoRedefine/>
    <w:qFormat/>
    <w:uiPriority w:val="0"/>
    <w:rPr>
      <w:rFonts w:hint="eastAsia" w:ascii="宋体" w:hAnsi="宋体" w:eastAsia="宋体" w:cs="宋体"/>
      <w:color w:val="000000"/>
      <w:sz w:val="21"/>
      <w:szCs w:val="21"/>
      <w:u w:val="none"/>
    </w:rPr>
  </w:style>
  <w:style w:type="paragraph" w:customStyle="1" w:styleId="114">
    <w:name w:val="0-表、图头"/>
    <w:basedOn w:val="1"/>
    <w:link w:val="124"/>
    <w:autoRedefine/>
    <w:qFormat/>
    <w:uiPriority w:val="0"/>
    <w:pPr>
      <w:jc w:val="center"/>
    </w:pPr>
    <w:rPr>
      <w:rFonts w:ascii="Calibri" w:hAnsi="Calibri" w:cs="Tahoma"/>
      <w:b/>
      <w:sz w:val="24"/>
    </w:rPr>
  </w:style>
  <w:style w:type="paragraph" w:customStyle="1" w:styleId="115">
    <w:name w:val="0孟的表格"/>
    <w:basedOn w:val="1"/>
    <w:next w:val="1"/>
    <w:link w:val="119"/>
    <w:autoRedefine/>
    <w:qFormat/>
    <w:uiPriority w:val="0"/>
    <w:pPr>
      <w:overflowPunct w:val="0"/>
      <w:snapToGrid w:val="0"/>
      <w:ind w:left="-1" w:leftChars="-1"/>
      <w:jc w:val="center"/>
    </w:pPr>
    <w:rPr>
      <w:rFonts w:ascii="Calibri" w:hAnsi="Calibri"/>
      <w:kern w:val="0"/>
      <w:szCs w:val="20"/>
    </w:rPr>
  </w:style>
  <w:style w:type="paragraph" w:customStyle="1" w:styleId="116">
    <w:name w:val="Char Char5 Char Char Char Char"/>
    <w:basedOn w:val="1"/>
    <w:autoRedefine/>
    <w:qFormat/>
    <w:uiPriority w:val="0"/>
  </w:style>
  <w:style w:type="character" w:customStyle="1" w:styleId="117">
    <w:name w:val="mjb2018 Char1"/>
    <w:link w:val="118"/>
    <w:autoRedefine/>
    <w:qFormat/>
    <w:uiPriority w:val="0"/>
    <w:rPr>
      <w:kern w:val="2"/>
      <w:szCs w:val="22"/>
    </w:rPr>
  </w:style>
  <w:style w:type="paragraph" w:customStyle="1" w:styleId="118">
    <w:name w:val="mjb2018"/>
    <w:basedOn w:val="1"/>
    <w:next w:val="1"/>
    <w:link w:val="117"/>
    <w:qFormat/>
    <w:uiPriority w:val="0"/>
    <w:pPr>
      <w:spacing w:line="360" w:lineRule="auto"/>
      <w:ind w:firstLine="200" w:firstLineChars="200"/>
    </w:pPr>
    <w:rPr>
      <w:sz w:val="20"/>
      <w:szCs w:val="22"/>
    </w:rPr>
  </w:style>
  <w:style w:type="character" w:customStyle="1" w:styleId="119">
    <w:name w:val="0孟的表格 Char"/>
    <w:link w:val="115"/>
    <w:autoRedefine/>
    <w:qFormat/>
    <w:uiPriority w:val="0"/>
    <w:rPr>
      <w:rFonts w:ascii="Calibri" w:hAnsi="Calibri"/>
      <w:sz w:val="21"/>
    </w:rPr>
  </w:style>
  <w:style w:type="paragraph" w:customStyle="1" w:styleId="120">
    <w:name w:val="TOC 标题1"/>
    <w:basedOn w:val="2"/>
    <w:next w:val="1"/>
    <w:autoRedefine/>
    <w:unhideWhenUsed/>
    <w:qFormat/>
    <w:uiPriority w:val="39"/>
    <w:pPr>
      <w:keepLines/>
      <w:widowControl/>
      <w:overflowPunct/>
      <w:snapToGrid/>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21">
    <w:name w:val="纯文本 字符"/>
    <w:autoRedefine/>
    <w:qFormat/>
    <w:uiPriority w:val="99"/>
    <w:rPr>
      <w:rFonts w:ascii="宋体" w:hAnsi="Courier New" w:cs="Courier New"/>
      <w:kern w:val="2"/>
      <w:sz w:val="21"/>
      <w:szCs w:val="21"/>
    </w:rPr>
  </w:style>
  <w:style w:type="paragraph" w:customStyle="1" w:styleId="122">
    <w:name w:val="表格内容格式"/>
    <w:basedOn w:val="1"/>
    <w:qFormat/>
    <w:uiPriority w:val="99"/>
    <w:pPr>
      <w:widowControl/>
      <w:adjustRightInd w:val="0"/>
      <w:jc w:val="center"/>
      <w:textAlignment w:val="baseline"/>
    </w:pPr>
    <w:rPr>
      <w:rFonts w:ascii="宋体" w:hAnsi="宋体"/>
      <w:snapToGrid w:val="0"/>
      <w:color w:val="000000"/>
      <w:kern w:val="0"/>
      <w:szCs w:val="20"/>
    </w:rPr>
  </w:style>
  <w:style w:type="paragraph" w:customStyle="1" w:styleId="123">
    <w:name w:val="表头及表尾"/>
    <w:autoRedefine/>
    <w:qFormat/>
    <w:uiPriority w:val="99"/>
    <w:pPr>
      <w:tabs>
        <w:tab w:val="center" w:pos="4200"/>
        <w:tab w:val="right" w:pos="8400"/>
      </w:tabs>
      <w:adjustRightInd w:val="0"/>
      <w:snapToGrid w:val="0"/>
      <w:jc w:val="center"/>
    </w:pPr>
    <w:rPr>
      <w:rFonts w:ascii="Times New Roman" w:hAnsi="Times New Roman" w:eastAsia="宋体" w:cs="Times New Roman"/>
      <w:b/>
      <w:snapToGrid w:val="0"/>
      <w:sz w:val="21"/>
      <w:szCs w:val="21"/>
      <w:lang w:val="en-US" w:eastAsia="zh-CN" w:bidi="ar-SA"/>
    </w:rPr>
  </w:style>
  <w:style w:type="character" w:customStyle="1" w:styleId="124">
    <w:name w:val="0-表、图头 Char"/>
    <w:link w:val="114"/>
    <w:qFormat/>
    <w:uiPriority w:val="0"/>
    <w:rPr>
      <w:rFonts w:ascii="Calibri" w:hAnsi="Calibri" w:cs="Tahoma"/>
      <w:b/>
      <w:kern w:val="2"/>
      <w:sz w:val="24"/>
      <w:szCs w:val="24"/>
    </w:rPr>
  </w:style>
  <w:style w:type="paragraph" w:customStyle="1" w:styleId="125">
    <w:name w:val="样式 0-Meng + Calibri 首行缩进:  2 字符"/>
    <w:basedOn w:val="81"/>
    <w:autoRedefine/>
    <w:qFormat/>
    <w:uiPriority w:val="0"/>
    <w:pPr>
      <w:snapToGrid/>
      <w:ind w:firstLine="472"/>
    </w:pPr>
    <w:rPr>
      <w:rFonts w:ascii="Times New Roman" w:hAnsi="Times New Roman" w:cs="宋体"/>
      <w:b/>
      <w:color w:val="000000"/>
      <w:spacing w:val="-2"/>
      <w:szCs w:val="20"/>
    </w:rPr>
  </w:style>
  <w:style w:type="paragraph" w:customStyle="1" w:styleId="126">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127">
    <w:name w:val="正文_18"/>
    <w:qFormat/>
    <w:uiPriority w:val="0"/>
    <w:pPr>
      <w:widowControl w:val="0"/>
      <w:jc w:val="both"/>
    </w:pPr>
    <w:rPr>
      <w:rFonts w:ascii="Calibri" w:hAnsi="Calibri" w:eastAsia="宋体" w:cs="Times New Roman"/>
      <w:kern w:val="2"/>
      <w:sz w:val="21"/>
      <w:lang w:val="en-US" w:eastAsia="zh-CN" w:bidi="ar-SA"/>
    </w:rPr>
  </w:style>
  <w:style w:type="paragraph" w:customStyle="1" w:styleId="128">
    <w:name w:val="0-sghks"/>
    <w:basedOn w:val="1"/>
    <w:next w:val="1"/>
    <w:link w:val="129"/>
    <w:qFormat/>
    <w:uiPriority w:val="0"/>
    <w:pPr>
      <w:spacing w:beforeLines="25" w:line="460" w:lineRule="exact"/>
      <w:ind w:firstLine="200" w:firstLineChars="200"/>
      <w:jc w:val="left"/>
    </w:pPr>
    <w:rPr>
      <w:kern w:val="0"/>
      <w:sz w:val="24"/>
      <w:szCs w:val="22"/>
      <w:lang w:eastAsia="en-US"/>
    </w:rPr>
  </w:style>
  <w:style w:type="character" w:customStyle="1" w:styleId="129">
    <w:name w:val="0-sghks Char"/>
    <w:link w:val="128"/>
    <w:autoRedefine/>
    <w:qFormat/>
    <w:uiPriority w:val="0"/>
    <w:rPr>
      <w:sz w:val="24"/>
      <w:szCs w:val="22"/>
      <w:lang w:eastAsia="en-US"/>
    </w:rPr>
  </w:style>
  <w:style w:type="paragraph" w:styleId="130">
    <w:name w:val="List Paragraph"/>
    <w:basedOn w:val="1"/>
    <w:autoRedefine/>
    <w:qFormat/>
    <w:uiPriority w:val="34"/>
    <w:pPr>
      <w:ind w:firstLine="420" w:firstLineChars="200"/>
    </w:pPr>
    <w:rPr>
      <w:szCs w:val="20"/>
    </w:rPr>
  </w:style>
  <w:style w:type="paragraph" w:customStyle="1" w:styleId="131">
    <w:name w:val="1"/>
    <w:basedOn w:val="1"/>
    <w:next w:val="15"/>
    <w:autoRedefine/>
    <w:qFormat/>
    <w:uiPriority w:val="0"/>
    <w:pPr>
      <w:spacing w:line="200" w:lineRule="exact"/>
    </w:pPr>
    <w:rPr>
      <w:sz w:val="18"/>
      <w:szCs w:val="20"/>
    </w:rPr>
  </w:style>
  <w:style w:type="character" w:customStyle="1" w:styleId="132">
    <w:name w:val="正文文本 3 字符"/>
    <w:basedOn w:val="37"/>
    <w:link w:val="15"/>
    <w:autoRedefine/>
    <w:qFormat/>
    <w:uiPriority w:val="0"/>
    <w:rPr>
      <w:kern w:val="2"/>
      <w:sz w:val="16"/>
      <w:szCs w:val="16"/>
    </w:rPr>
  </w:style>
  <w:style w:type="paragraph" w:customStyle="1" w:styleId="133">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134">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135">
    <w:name w:val="Table Paragraph"/>
    <w:basedOn w:val="1"/>
    <w:autoRedefine/>
    <w:qFormat/>
    <w:uiPriority w:val="0"/>
    <w:pPr>
      <w:jc w:val="left"/>
    </w:pPr>
    <w:rPr>
      <w:rFonts w:asciiTheme="minorHAnsi" w:hAnsiTheme="minorHAnsi" w:eastAsiaTheme="minorEastAsia" w:cstheme="minorBidi"/>
      <w:kern w:val="0"/>
      <w:sz w:val="22"/>
      <w:szCs w:val="22"/>
      <w:lang w:eastAsia="en-US"/>
    </w:rPr>
  </w:style>
  <w:style w:type="character" w:customStyle="1" w:styleId="136">
    <w:name w:val="正文文本 (2)_"/>
    <w:link w:val="137"/>
    <w:autoRedefine/>
    <w:qFormat/>
    <w:uiPriority w:val="0"/>
    <w:rPr>
      <w:rFonts w:ascii="MingLiU" w:eastAsia="MingLiU"/>
      <w:kern w:val="0"/>
      <w:sz w:val="26"/>
      <w:szCs w:val="26"/>
    </w:rPr>
  </w:style>
  <w:style w:type="paragraph" w:customStyle="1" w:styleId="137">
    <w:name w:val="正文文本 (2)1"/>
    <w:basedOn w:val="1"/>
    <w:link w:val="136"/>
    <w:autoRedefine/>
    <w:qFormat/>
    <w:uiPriority w:val="0"/>
    <w:pPr>
      <w:shd w:val="clear" w:color="auto" w:fill="FFFFFF"/>
      <w:spacing w:line="614" w:lineRule="exact"/>
      <w:jc w:val="center"/>
    </w:pPr>
    <w:rPr>
      <w:rFonts w:ascii="MingLiU" w:eastAsia="MingLiU"/>
      <w:kern w:val="0"/>
      <w:sz w:val="26"/>
      <w:szCs w:val="26"/>
    </w:rPr>
  </w:style>
  <w:style w:type="character" w:customStyle="1" w:styleId="138">
    <w:name w:val="fontstyle01"/>
    <w:qFormat/>
    <w:uiPriority w:val="0"/>
    <w:rPr>
      <w:rFonts w:hint="eastAsia" w:ascii="宋体" w:hAnsi="宋体" w:eastAsia="宋体"/>
      <w:color w:val="000000"/>
      <w:sz w:val="24"/>
      <w:szCs w:val="24"/>
    </w:rPr>
  </w:style>
  <w:style w:type="paragraph" w:customStyle="1" w:styleId="139">
    <w:name w:val="表格内容jophy"/>
    <w:basedOn w:val="1"/>
    <w:qFormat/>
    <w:uiPriority w:val="0"/>
    <w:pPr>
      <w:adjustRightInd w:val="0"/>
      <w:snapToGrid w:val="0"/>
      <w:jc w:val="center"/>
    </w:pPr>
    <w:rPr>
      <w:szCs w:val="18"/>
    </w:rPr>
  </w:style>
  <w:style w:type="paragraph" w:customStyle="1" w:styleId="140">
    <w:name w:val="Other|1"/>
    <w:basedOn w:val="1"/>
    <w:qFormat/>
    <w:uiPriority w:val="0"/>
    <w:pPr>
      <w:spacing w:line="343" w:lineRule="auto"/>
    </w:pPr>
    <w:rPr>
      <w:rFonts w:ascii="宋体" w:hAnsi="宋体" w:cs="宋体"/>
      <w:sz w:val="32"/>
      <w:szCs w:val="32"/>
      <w:lang w:val="zh-TW" w:eastAsia="zh-TW" w:bidi="zh-TW"/>
    </w:rPr>
  </w:style>
  <w:style w:type="character" w:customStyle="1" w:styleId="141">
    <w:name w:val="font71"/>
    <w:basedOn w:val="37"/>
    <w:qFormat/>
    <w:uiPriority w:val="0"/>
    <w:rPr>
      <w:rFonts w:hint="eastAsia" w:ascii="宋体" w:hAnsi="宋体" w:eastAsia="宋体" w:cs="宋体"/>
      <w:color w:val="000000"/>
      <w:sz w:val="21"/>
      <w:szCs w:val="21"/>
      <w:u w:val="none"/>
    </w:rPr>
  </w:style>
  <w:style w:type="character" w:customStyle="1" w:styleId="142">
    <w:name w:val="font91"/>
    <w:basedOn w:val="37"/>
    <w:autoRedefine/>
    <w:qFormat/>
    <w:uiPriority w:val="0"/>
    <w:rPr>
      <w:rFonts w:hint="eastAsia" w:ascii="宋体" w:hAnsi="宋体" w:eastAsia="宋体" w:cs="宋体"/>
      <w:color w:val="000000"/>
      <w:sz w:val="21"/>
      <w:szCs w:val="21"/>
      <w:u w:val="none"/>
    </w:rPr>
  </w:style>
  <w:style w:type="character" w:customStyle="1" w:styleId="143">
    <w:name w:val="font81"/>
    <w:basedOn w:val="37"/>
    <w:autoRedefine/>
    <w:qFormat/>
    <w:uiPriority w:val="0"/>
    <w:rPr>
      <w:rFonts w:hint="default" w:ascii="Times New Roman" w:hAnsi="Times New Roman" w:cs="Times New Roman"/>
      <w:color w:val="000000"/>
      <w:sz w:val="21"/>
      <w:szCs w:val="21"/>
      <w:u w:val="none"/>
    </w:rPr>
  </w:style>
  <w:style w:type="character" w:customStyle="1" w:styleId="144">
    <w:name w:val="font121"/>
    <w:basedOn w:val="37"/>
    <w:autoRedefine/>
    <w:qFormat/>
    <w:uiPriority w:val="0"/>
    <w:rPr>
      <w:rFonts w:hint="default" w:ascii="Times New Roman" w:hAnsi="Times New Roman" w:cs="Times New Roman"/>
      <w:color w:val="000000"/>
      <w:sz w:val="21"/>
      <w:szCs w:val="21"/>
      <w:u w:val="none"/>
    </w:rPr>
  </w:style>
  <w:style w:type="paragraph" w:customStyle="1" w:styleId="145">
    <w:name w:val="表格格式"/>
    <w:basedOn w:val="1"/>
    <w:qFormat/>
    <w:uiPriority w:val="0"/>
    <w:pPr>
      <w:jc w:val="center"/>
    </w:pPr>
  </w:style>
  <w:style w:type="paragraph" w:customStyle="1" w:styleId="146">
    <w:name w:val="WPSOffice手动目录 1"/>
    <w:autoRedefine/>
    <w:qFormat/>
    <w:uiPriority w:val="0"/>
    <w:rPr>
      <w:rFonts w:ascii="Times New Roman" w:hAnsi="Times New Roman" w:eastAsia="宋体" w:cs="Times New Roman"/>
      <w:lang w:val="en-US" w:eastAsia="zh-CN" w:bidi="ar-SA"/>
    </w:rPr>
  </w:style>
  <w:style w:type="paragraph" w:customStyle="1" w:styleId="147">
    <w:name w:val="样式 小四 首行缩进:  0.85 厘米 行距: 1.5 倍行距"/>
    <w:basedOn w:val="1"/>
    <w:qFormat/>
    <w:uiPriority w:val="0"/>
    <w:pPr>
      <w:adjustRightInd w:val="0"/>
      <w:ind w:firstLine="480"/>
      <w:textAlignment w:val="baseline"/>
    </w:pPr>
    <w:rPr>
      <w:rFonts w:cs="宋体"/>
      <w:szCs w:val="20"/>
    </w:rPr>
  </w:style>
  <w:style w:type="paragraph" w:customStyle="1" w:styleId="148">
    <w:name w:val="电镀正文"/>
    <w:basedOn w:val="10"/>
    <w:autoRedefine/>
    <w:qFormat/>
    <w:uiPriority w:val="0"/>
    <w:pPr>
      <w:spacing w:line="400" w:lineRule="exact"/>
      <w:ind w:firstLine="200"/>
    </w:pPr>
    <w:rPr>
      <w:rFonts w:ascii="楷体_GB2312" w:hAnsi="楷体_GB2312"/>
    </w:rPr>
  </w:style>
  <w:style w:type="table" w:customStyle="1" w:styleId="149">
    <w:name w:val="Table Normal"/>
    <w:autoRedefine/>
    <w:semiHidden/>
    <w:unhideWhenUsed/>
    <w:qFormat/>
    <w:uiPriority w:val="0"/>
    <w:tblPr>
      <w:tblCellMar>
        <w:top w:w="0" w:type="dxa"/>
        <w:left w:w="0" w:type="dxa"/>
        <w:bottom w:w="0" w:type="dxa"/>
        <w:right w:w="0" w:type="dxa"/>
      </w:tblCellMar>
    </w:tblPr>
  </w:style>
  <w:style w:type="paragraph" w:customStyle="1" w:styleId="150">
    <w:name w:val="表格内容"/>
    <w:basedOn w:val="1"/>
    <w:autoRedefine/>
    <w:qFormat/>
    <w:uiPriority w:val="0"/>
    <w:pPr>
      <w:spacing w:line="300" w:lineRule="auto"/>
      <w:jc w:val="center"/>
    </w:pPr>
    <w:rPr>
      <w:rFonts w:eastAsia="仿宋_GB2312"/>
    </w:rPr>
  </w:style>
  <w:style w:type="character" w:customStyle="1" w:styleId="151">
    <w:name w:val="font01"/>
    <w:basedOn w:val="37"/>
    <w:autoRedefine/>
    <w:qFormat/>
    <w:uiPriority w:val="0"/>
    <w:rPr>
      <w:rFonts w:hint="default" w:ascii="Times New Roman" w:hAnsi="Times New Roman" w:cs="Times New Roman"/>
      <w:b/>
      <w:bCs/>
      <w:color w:val="000000"/>
      <w:sz w:val="21"/>
      <w:szCs w:val="21"/>
      <w:u w:val="none"/>
      <w:vertAlign w:val="superscript"/>
    </w:rPr>
  </w:style>
  <w:style w:type="paragraph" w:customStyle="1" w:styleId="152">
    <w:name w:val="S表格文字"/>
    <w:basedOn w:val="32"/>
    <w:link w:val="153"/>
    <w:qFormat/>
    <w:uiPriority w:val="0"/>
    <w:pPr>
      <w:adjustRightInd w:val="0"/>
      <w:snapToGrid w:val="0"/>
      <w:spacing w:before="20" w:after="20"/>
      <w:ind w:firstLine="0" w:firstLineChars="0"/>
      <w:jc w:val="center"/>
    </w:pPr>
    <w:rPr>
      <w:lang w:val="zh-CN"/>
    </w:rPr>
  </w:style>
  <w:style w:type="character" w:customStyle="1" w:styleId="153">
    <w:name w:val="S表格文字 Char"/>
    <w:link w:val="152"/>
    <w:autoRedefine/>
    <w:qFormat/>
    <w:locked/>
    <w:uiPriority w:val="0"/>
    <w:rPr>
      <w:kern w:val="2"/>
      <w:sz w:val="21"/>
      <w:lang w:val="zh-CN" w:eastAsia="zh-CN"/>
    </w:rPr>
  </w:style>
  <w:style w:type="paragraph" w:customStyle="1" w:styleId="154">
    <w:name w:val="S表名图名"/>
    <w:basedOn w:val="1"/>
    <w:link w:val="155"/>
    <w:autoRedefine/>
    <w:qFormat/>
    <w:uiPriority w:val="1"/>
    <w:pPr>
      <w:adjustRightInd w:val="0"/>
      <w:snapToGrid w:val="0"/>
      <w:spacing w:line="480" w:lineRule="exact"/>
      <w:jc w:val="center"/>
    </w:pPr>
    <w:rPr>
      <w:b/>
      <w:sz w:val="24"/>
      <w:szCs w:val="23"/>
    </w:rPr>
  </w:style>
  <w:style w:type="character" w:customStyle="1" w:styleId="155">
    <w:name w:val="S表名图名 Char"/>
    <w:link w:val="154"/>
    <w:autoRedefine/>
    <w:qFormat/>
    <w:uiPriority w:val="1"/>
    <w:rPr>
      <w:b/>
      <w:kern w:val="2"/>
      <w:sz w:val="24"/>
      <w:szCs w:val="23"/>
    </w:rPr>
  </w:style>
  <w:style w:type="paragraph" w:customStyle="1" w:styleId="156">
    <w:name w:val="S报告正文"/>
    <w:basedOn w:val="1"/>
    <w:autoRedefine/>
    <w:qFormat/>
    <w:uiPriority w:val="0"/>
    <w:pPr>
      <w:adjustRightInd w:val="0"/>
      <w:snapToGrid w:val="0"/>
      <w:spacing w:line="480" w:lineRule="exact"/>
      <w:ind w:firstLine="510"/>
      <w:jc w:val="left"/>
    </w:pPr>
    <w:rPr>
      <w:sz w:val="24"/>
    </w:rPr>
  </w:style>
  <w:style w:type="paragraph" w:customStyle="1" w:styleId="157">
    <w:name w:val="Char Char5 Char Char Char Char1"/>
    <w:basedOn w:val="1"/>
    <w:qFormat/>
    <w:uiPriority w:val="0"/>
    <w:pPr>
      <w:spacing w:line="360" w:lineRule="auto"/>
    </w:pPr>
    <w:rPr>
      <w:rFonts w:cs="宋体"/>
      <w:spacing w:val="-2"/>
      <w:kern w:val="0"/>
      <w:sz w:val="24"/>
      <w:szCs w:val="20"/>
    </w:rPr>
  </w:style>
  <w:style w:type="paragraph" w:customStyle="1" w:styleId="158">
    <w:name w:val="样式 0-Meng +"/>
    <w:basedOn w:val="81"/>
    <w:link w:val="159"/>
    <w:qFormat/>
    <w:uiPriority w:val="0"/>
    <w:pPr>
      <w:snapToGrid/>
    </w:pPr>
    <w:rPr>
      <w:rFonts w:ascii="Times New Roman" w:hAnsi="Times New Roman"/>
      <w:color w:val="000000"/>
      <w:spacing w:val="8"/>
      <w:w w:val="105"/>
      <w:kern w:val="2"/>
    </w:rPr>
  </w:style>
  <w:style w:type="character" w:customStyle="1" w:styleId="159">
    <w:name w:val="样式 0-Meng + Char"/>
    <w:link w:val="158"/>
    <w:autoRedefine/>
    <w:qFormat/>
    <w:uiPriority w:val="0"/>
    <w:rPr>
      <w:rFonts w:cs="方正宋三简体"/>
      <w:color w:val="000000"/>
      <w:spacing w:val="8"/>
      <w:w w:val="105"/>
      <w:kern w:val="2"/>
      <w:sz w:val="24"/>
      <w:szCs w:val="24"/>
    </w:rPr>
  </w:style>
  <w:style w:type="character" w:customStyle="1" w:styleId="160">
    <w:name w:val="标题 7 字符"/>
    <w:basedOn w:val="37"/>
    <w:link w:val="7"/>
    <w:qFormat/>
    <w:uiPriority w:val="0"/>
    <w:rPr>
      <w:rFonts w:eastAsia="CSϸ" w:cs="华文中宋"/>
      <w:b/>
      <w:bCs/>
      <w:kern w:val="2"/>
      <w:sz w:val="24"/>
      <w:szCs w:val="24"/>
    </w:rPr>
  </w:style>
  <w:style w:type="character" w:customStyle="1" w:styleId="161">
    <w:name w:val="标题 8 字符"/>
    <w:basedOn w:val="37"/>
    <w:link w:val="8"/>
    <w:autoRedefine/>
    <w:qFormat/>
    <w:uiPriority w:val="0"/>
    <w:rPr>
      <w:rFonts w:ascii="方正大标宋_GBK" w:hAnsi="方正大标宋_GBK" w:eastAsia="”“Times New Roman”“" w:cs="华文中宋"/>
      <w:kern w:val="2"/>
      <w:sz w:val="24"/>
      <w:szCs w:val="24"/>
    </w:rPr>
  </w:style>
  <w:style w:type="character" w:customStyle="1" w:styleId="162">
    <w:name w:val="标题 9 字符"/>
    <w:basedOn w:val="37"/>
    <w:link w:val="9"/>
    <w:autoRedefine/>
    <w:qFormat/>
    <w:uiPriority w:val="0"/>
    <w:rPr>
      <w:rFonts w:ascii="Arial" w:hAnsi="Arial" w:eastAsia="黑体"/>
      <w:kern w:val="2"/>
      <w:sz w:val="21"/>
      <w:szCs w:val="21"/>
    </w:rPr>
  </w:style>
  <w:style w:type="paragraph" w:customStyle="1" w:styleId="163">
    <w:name w:val="Char Char Char Char Char Char1 Char"/>
    <w:basedOn w:val="1"/>
    <w:qFormat/>
    <w:uiPriority w:val="0"/>
    <w:rPr>
      <w:szCs w:val="22"/>
    </w:rPr>
  </w:style>
  <w:style w:type="paragraph" w:customStyle="1" w:styleId="164">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6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66">
    <w:name w:val="列出段落2"/>
    <w:basedOn w:val="1"/>
    <w:autoRedefine/>
    <w:qFormat/>
    <w:uiPriority w:val="0"/>
    <w:pPr>
      <w:ind w:firstLine="420" w:firstLineChars="200"/>
    </w:pPr>
    <w:rPr>
      <w:rFonts w:ascii="等线" w:hAnsi="等线" w:eastAsia="等线" w:cs="宋体"/>
      <w:szCs w:val="21"/>
    </w:rPr>
  </w:style>
  <w:style w:type="character" w:customStyle="1" w:styleId="167">
    <w:name w:val="15"/>
    <w:basedOn w:val="37"/>
    <w:qFormat/>
    <w:uiPriority w:val="0"/>
    <w:rPr>
      <w:rFonts w:hint="eastAsia" w:ascii="宋体" w:hAnsi="宋体" w:eastAsia="宋体"/>
      <w:color w:val="000000"/>
      <w:sz w:val="15"/>
      <w:szCs w:val="15"/>
      <w:vertAlign w:val="subscript"/>
    </w:rPr>
  </w:style>
  <w:style w:type="character" w:customStyle="1" w:styleId="168">
    <w:name w:val="16"/>
    <w:basedOn w:val="37"/>
    <w:qFormat/>
    <w:uiPriority w:val="0"/>
    <w:rPr>
      <w:rFonts w:hint="eastAsia" w:ascii="宋体" w:hAnsi="宋体" w:eastAsia="宋体"/>
      <w:color w:val="000000"/>
      <w:sz w:val="15"/>
      <w:szCs w:val="15"/>
      <w:vertAlign w:val="superscript"/>
    </w:rPr>
  </w:style>
  <w:style w:type="character" w:customStyle="1" w:styleId="169">
    <w:name w:val="17"/>
    <w:basedOn w:val="37"/>
    <w:autoRedefine/>
    <w:qFormat/>
    <w:uiPriority w:val="0"/>
    <w:rPr>
      <w:rFonts w:hint="eastAsia" w:ascii="宋体" w:hAnsi="宋体" w:eastAsia="宋体"/>
      <w:color w:val="000000"/>
      <w:sz w:val="20"/>
      <w:szCs w:val="20"/>
    </w:rPr>
  </w:style>
  <w:style w:type="paragraph" w:customStyle="1" w:styleId="170">
    <w:name w:val="正文首行缩进 21"/>
    <w:basedOn w:val="17"/>
    <w:autoRedefine/>
    <w:qFormat/>
    <w:uiPriority w:val="0"/>
    <w:pPr>
      <w:spacing w:before="100" w:beforeAutospacing="1"/>
      <w:ind w:firstLine="420" w:firstLineChars="200"/>
    </w:pPr>
    <w:rPr>
      <w:rFonts w:ascii="Calibri" w:hAnsi="Calibri"/>
      <w:kern w:val="2"/>
      <w:sz w:val="21"/>
      <w:szCs w:val="21"/>
    </w:rPr>
  </w:style>
  <w:style w:type="paragraph" w:customStyle="1" w:styleId="171">
    <w:name w:val="正文3"/>
    <w:autoRedefine/>
    <w:qFormat/>
    <w:uiPriority w:val="0"/>
    <w:pPr>
      <w:jc w:val="both"/>
    </w:pPr>
    <w:rPr>
      <w:rFonts w:ascii="Calibri" w:hAnsi="Calibri" w:eastAsia="宋体" w:cs="Calibri"/>
      <w:kern w:val="2"/>
      <w:sz w:val="21"/>
      <w:szCs w:val="21"/>
      <w:lang w:val="en-US" w:eastAsia="zh-CN" w:bidi="ar-SA"/>
    </w:rPr>
  </w:style>
  <w:style w:type="character" w:customStyle="1" w:styleId="172">
    <w:name w:val="font41"/>
    <w:basedOn w:val="37"/>
    <w:autoRedefine/>
    <w:qFormat/>
    <w:uiPriority w:val="0"/>
    <w:rPr>
      <w:rFonts w:hint="eastAsia" w:ascii="宋体" w:hAnsi="宋体" w:eastAsia="宋体"/>
      <w:color w:val="000000"/>
      <w:sz w:val="21"/>
      <w:szCs w:val="21"/>
      <w:u w:val="none"/>
    </w:rPr>
  </w:style>
  <w:style w:type="character" w:customStyle="1" w:styleId="173">
    <w:name w:val="font21"/>
    <w:basedOn w:val="37"/>
    <w:autoRedefine/>
    <w:qFormat/>
    <w:uiPriority w:val="0"/>
    <w:rPr>
      <w:rFonts w:hint="default" w:ascii="Times New Roman" w:hAnsi="Times New Roman" w:cs="Times New Roman"/>
      <w:color w:val="000000"/>
      <w:sz w:val="21"/>
      <w:szCs w:val="21"/>
      <w:u w:val="none"/>
      <w:vertAlign w:val="subscript"/>
    </w:rPr>
  </w:style>
  <w:style w:type="character" w:customStyle="1" w:styleId="174">
    <w:name w:val="font31"/>
    <w:basedOn w:val="37"/>
    <w:autoRedefine/>
    <w:qFormat/>
    <w:uiPriority w:val="0"/>
    <w:rPr>
      <w:rFonts w:hint="default" w:ascii="Times New Roman" w:hAnsi="Times New Roman" w:cs="Times New Roman"/>
      <w:color w:val="000000"/>
      <w:sz w:val="21"/>
      <w:szCs w:val="21"/>
      <w:u w:val="none"/>
    </w:rPr>
  </w:style>
  <w:style w:type="paragraph" w:customStyle="1" w:styleId="175">
    <w:name w:val="正文5"/>
    <w:basedOn w:val="1"/>
    <w:autoRedefine/>
    <w:qFormat/>
    <w:uiPriority w:val="0"/>
    <w:pPr>
      <w:widowControl/>
    </w:pPr>
    <w:rPr>
      <w:szCs w:val="21"/>
    </w:rPr>
  </w:style>
  <w:style w:type="paragraph" w:customStyle="1" w:styleId="176">
    <w:name w:val="正文4"/>
    <w:autoRedefine/>
    <w:qFormat/>
    <w:uiPriority w:val="0"/>
    <w:pPr>
      <w:jc w:val="both"/>
    </w:pPr>
    <w:rPr>
      <w:rFonts w:ascii="Calibri" w:hAnsi="Calibri" w:eastAsia="宋体" w:cs="Calibri"/>
      <w:kern w:val="2"/>
      <w:sz w:val="21"/>
      <w:szCs w:val="21"/>
      <w:lang w:val="en-US" w:eastAsia="zh-CN" w:bidi="ar-SA"/>
    </w:rPr>
  </w:style>
  <w:style w:type="table" w:customStyle="1" w:styleId="177">
    <w:name w:val="报告书标准表格2"/>
    <w:basedOn w:val="34"/>
    <w:autoRedefine/>
    <w:qFormat/>
    <w:uiPriority w:val="0"/>
    <w:pPr>
      <w:jc w:val="center"/>
    </w:pPr>
    <w:rPr>
      <w:rFonts w:eastAsia="Times New Roman"/>
    </w:r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178">
    <w:name w:val="正文6"/>
    <w:autoRedefine/>
    <w:qFormat/>
    <w:uiPriority w:val="0"/>
    <w:pPr>
      <w:jc w:val="both"/>
    </w:pPr>
    <w:rPr>
      <w:rFonts w:ascii="Calibri" w:hAnsi="Calibri" w:eastAsia="宋体" w:cs="Calibri"/>
      <w:kern w:val="2"/>
      <w:sz w:val="21"/>
      <w:szCs w:val="21"/>
      <w:lang w:val="en-US" w:eastAsia="zh-CN" w:bidi="ar-SA"/>
    </w:rPr>
  </w:style>
  <w:style w:type="paragraph" w:customStyle="1" w:styleId="179">
    <w:name w:val="05F凡式正文"/>
    <w:basedOn w:val="1"/>
    <w:autoRedefine/>
    <w:qFormat/>
    <w:uiPriority w:val="0"/>
    <w:pPr>
      <w:spacing w:line="360" w:lineRule="auto"/>
      <w:ind w:firstLine="720" w:firstLineChars="200"/>
    </w:pPr>
    <w:rPr>
      <w:rFonts w:ascii="Times New Roman" w:hAnsi="Times New Roman" w:eastAsia="宋体"/>
      <w:sz w:val="24"/>
    </w:rPr>
  </w:style>
  <w:style w:type="paragraph" w:customStyle="1" w:styleId="180">
    <w:name w:val="@正文"/>
    <w:basedOn w:val="1"/>
    <w:autoRedefine/>
    <w:qFormat/>
    <w:uiPriority w:val="0"/>
    <w:pPr>
      <w:adjustRightInd w:val="0"/>
      <w:snapToGrid w:val="0"/>
      <w:spacing w:line="360" w:lineRule="auto"/>
      <w:ind w:firstLine="200" w:firstLineChars="200"/>
    </w:pPr>
    <w:rPr>
      <w:sz w:val="28"/>
      <w:szCs w:val="20"/>
    </w:rPr>
  </w:style>
  <w:style w:type="paragraph" w:customStyle="1" w:styleId="181">
    <w:name w:val="表格标题"/>
    <w:basedOn w:val="11"/>
    <w:next w:val="182"/>
    <w:autoRedefine/>
    <w:qFormat/>
    <w:uiPriority w:val="0"/>
    <w:pPr>
      <w:keepNext/>
      <w:jc w:val="center"/>
    </w:pPr>
    <w:rPr>
      <w:rFonts w:ascii="Times New Roman" w:hAnsi="Times New Roman" w:eastAsia="宋体"/>
      <w:b/>
      <w:sz w:val="21"/>
    </w:rPr>
  </w:style>
  <w:style w:type="paragraph" w:customStyle="1" w:styleId="182">
    <w:name w:val="正文表格"/>
    <w:basedOn w:val="183"/>
    <w:next w:val="16"/>
    <w:autoRedefine/>
    <w:qFormat/>
    <w:uiPriority w:val="0"/>
    <w:pPr>
      <w:tabs>
        <w:tab w:val="left" w:pos="1080"/>
      </w:tabs>
      <w:spacing w:line="240" w:lineRule="auto"/>
      <w:ind w:firstLine="0" w:firstLineChars="0"/>
      <w:jc w:val="center"/>
    </w:pPr>
    <w:rPr>
      <w:sz w:val="21"/>
    </w:rPr>
  </w:style>
  <w:style w:type="paragraph" w:customStyle="1" w:styleId="183">
    <w:name w:val="文本正文"/>
    <w:basedOn w:val="1"/>
    <w:autoRedefine/>
    <w:qFormat/>
    <w:uiPriority w:val="0"/>
    <w:pPr>
      <w:spacing w:line="360" w:lineRule="auto"/>
      <w:ind w:firstLine="480" w:firstLineChars="200"/>
    </w:pPr>
    <w:rPr>
      <w:sz w:val="24"/>
      <w:szCs w:val="24"/>
    </w:rPr>
  </w:style>
  <w:style w:type="paragraph" w:customStyle="1" w:styleId="184">
    <w:name w:val="1文章"/>
    <w:basedOn w:val="1"/>
    <w:autoRedefine/>
    <w:qFormat/>
    <w:uiPriority w:val="0"/>
    <w:pPr>
      <w:widowControl w:val="0"/>
      <w:snapToGrid w:val="0"/>
      <w:spacing w:line="360" w:lineRule="auto"/>
      <w:ind w:firstLine="573"/>
      <w:jc w:val="both"/>
    </w:pPr>
    <w:rPr>
      <w:rFonts w:ascii="Times New Roman" w:hAnsi="Times New Roman" w:eastAsia="仿宋_GB2312" w:cs="Times New Roman"/>
      <w:kern w:val="2"/>
      <w:sz w:val="28"/>
      <w:szCs w:val="20"/>
    </w:rPr>
  </w:style>
  <w:style w:type="paragraph" w:customStyle="1" w:styleId="185">
    <w:name w:val="表格文字01"/>
    <w:basedOn w:val="1"/>
    <w:autoRedefine/>
    <w:qFormat/>
    <w:uiPriority w:val="0"/>
    <w:pPr>
      <w:wordWrap w:val="0"/>
      <w:overflowPunct w:val="0"/>
      <w:topLinePunct/>
      <w:jc w:val="center"/>
    </w:pPr>
    <w:rPr>
      <w:rFonts w:ascii="Calibri" w:hAnsi="Calibri"/>
      <w:snapToGrid w:val="0"/>
      <w:color w:val="000000"/>
      <w:sz w:val="21"/>
    </w:rPr>
  </w:style>
  <w:style w:type="table" w:customStyle="1" w:styleId="186">
    <w:name w:val="环评1"/>
    <w:basedOn w:val="34"/>
    <w:qFormat/>
    <w:uiPriority w:val="0"/>
    <w:pPr>
      <w:adjustRightInd w:val="0"/>
      <w:snapToGrid w:val="0"/>
      <w:jc w:val="center"/>
    </w:pPr>
    <w:rPr>
      <w:rFonts w:ascii="Times New Roman" w:hAnsi="Times New Roman" w:eastAsia="宋体" w:cs="Times New Roman"/>
      <w:kern w:val="0"/>
      <w:szCs w:val="20"/>
    </w:r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187">
    <w:name w:val="表格文字五"/>
    <w:basedOn w:val="1"/>
    <w:qFormat/>
    <w:uiPriority w:val="0"/>
    <w:pPr>
      <w:spacing w:line="240" w:lineRule="auto"/>
      <w:ind w:firstLine="0" w:firstLineChars="0"/>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F228E-0877-4ABF-879B-E6433180C62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17143</Words>
  <Characters>18659</Characters>
  <Lines>256</Lines>
  <Paragraphs>72</Paragraphs>
  <TotalTime>0</TotalTime>
  <ScaleCrop>false</ScaleCrop>
  <LinksUpToDate>false</LinksUpToDate>
  <CharactersWithSpaces>18859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2022-11-29T02:08:00Z</dcterms:created>
  <dc:creator>Administrator</dc:creator>
  <cp:lastModifiedBy>WPS_1551356113</cp:lastModifiedBy>
  <cp:lastPrinted>2023-12-19T03:31:00Z</cp:lastPrinted>
  <dcterms:modified xsi:type="dcterms:W3CDTF">2025-08-04T01:40:11Z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372028E6B51245DEADA7C7BFB8DE2BE9_13</vt:lpwstr>
  </property>
  <property fmtid="{D5CDD505-2E9C-101B-9397-08002B2CF9AE}" pid="4" name="KSOTemplateDocerSaveRecord">
    <vt:lpwstr>eyJoZGlkIjoiYWE3ODdhZjMwYzJhMmE2MjcwY2UzN2UxMjUwZTczY2EiLCJ1c2VySWQiOiI0ODcxNDM4MjUifQ==</vt:lpwstr>
  </property>
</Properties>
</file>