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41C11E0">
      <w:pPr>
        <w:rPr>
          <w:rFonts w:eastAsia="仿宋_GB2312"/>
          <w:color w:val="auto"/>
          <w:sz w:val="36"/>
          <w:szCs w:val="36"/>
          <w:highlight w:val="none"/>
        </w:rPr>
      </w:pPr>
    </w:p>
    <w:p w14:paraId="5B36E0D5">
      <w:pPr>
        <w:rPr>
          <w:rFonts w:eastAsia="仿宋_GB2312"/>
          <w:color w:val="auto"/>
          <w:sz w:val="36"/>
          <w:szCs w:val="36"/>
          <w:highlight w:val="none"/>
        </w:rPr>
      </w:pPr>
    </w:p>
    <w:p w14:paraId="3D29471E">
      <w:pPr>
        <w:rPr>
          <w:rFonts w:eastAsia="仿宋_GB2312"/>
          <w:color w:val="auto"/>
          <w:sz w:val="36"/>
          <w:szCs w:val="36"/>
          <w:highlight w:val="none"/>
        </w:rPr>
      </w:pPr>
    </w:p>
    <w:p w14:paraId="7CEB222D">
      <w:pPr>
        <w:rPr>
          <w:rFonts w:eastAsia="仿宋_GB2312"/>
          <w:color w:val="auto"/>
          <w:sz w:val="36"/>
          <w:szCs w:val="36"/>
          <w:highlight w:val="none"/>
        </w:rPr>
      </w:pPr>
    </w:p>
    <w:p w14:paraId="4EAF2A5A">
      <w:pPr>
        <w:rPr>
          <w:rFonts w:eastAsia="仿宋_GB2312"/>
          <w:color w:val="auto"/>
          <w:sz w:val="36"/>
          <w:szCs w:val="36"/>
          <w:highlight w:val="none"/>
        </w:rPr>
      </w:pPr>
    </w:p>
    <w:p w14:paraId="0205AB95">
      <w:pPr>
        <w:adjustRightInd w:val="0"/>
        <w:snapToGrid w:val="0"/>
        <w:spacing w:before="192" w:beforeLines="80"/>
        <w:jc w:val="center"/>
        <w:rPr>
          <w:rFonts w:eastAsia="楷体_GB2312"/>
          <w:bCs/>
          <w:color w:val="000000" w:themeColor="text1"/>
          <w:sz w:val="48"/>
          <w:szCs w:val="48"/>
          <w:highlight w:val="none"/>
          <w14:textFill>
            <w14:solidFill>
              <w14:schemeClr w14:val="tx1"/>
            </w14:solidFill>
          </w14:textFill>
        </w:rPr>
      </w:pPr>
      <w:bookmarkStart w:id="0" w:name="_Toc2079"/>
      <w:bookmarkStart w:id="1" w:name="_Toc16664"/>
      <w:bookmarkStart w:id="2" w:name="_Toc26650"/>
      <w:bookmarkStart w:id="3" w:name="_Toc26594"/>
      <w:bookmarkStart w:id="4" w:name="_Toc16851"/>
      <w:bookmarkStart w:id="5" w:name="_Toc4367"/>
      <w:bookmarkStart w:id="6" w:name="_Toc31483"/>
      <w:bookmarkStart w:id="7" w:name="_Toc31520"/>
      <w:r>
        <w:rPr>
          <w:rFonts w:eastAsia="楷体_GB2312"/>
          <w:bCs/>
          <w:color w:val="000000" w:themeColor="text1"/>
          <w:sz w:val="72"/>
          <w:szCs w:val="72"/>
          <w:highlight w:val="none"/>
          <w14:textFill>
            <w14:solidFill>
              <w14:schemeClr w14:val="tx1"/>
            </w14:solidFill>
          </w14:textFill>
        </w:rPr>
        <w:t>建设项目环境影响报告表</w:t>
      </w:r>
      <w:bookmarkEnd w:id="0"/>
      <w:bookmarkEnd w:id="1"/>
      <w:bookmarkEnd w:id="2"/>
      <w:bookmarkEnd w:id="3"/>
      <w:bookmarkEnd w:id="4"/>
      <w:bookmarkEnd w:id="5"/>
      <w:bookmarkEnd w:id="6"/>
      <w:bookmarkEnd w:id="7"/>
    </w:p>
    <w:p w14:paraId="26E7604C">
      <w:pPr>
        <w:adjustRightInd w:val="0"/>
        <w:snapToGrid w:val="0"/>
        <w:spacing w:before="192" w:beforeLines="80"/>
        <w:jc w:val="center"/>
        <w:rPr>
          <w:rFonts w:eastAsia="楷体_GB2312"/>
          <w:bCs/>
          <w:color w:val="auto"/>
          <w:sz w:val="48"/>
          <w:szCs w:val="48"/>
          <w:highlight w:val="none"/>
        </w:rPr>
      </w:pPr>
      <w:r>
        <w:rPr>
          <w:rFonts w:eastAsia="楷体_GB2312"/>
          <w:bCs/>
          <w:color w:val="auto"/>
          <w:sz w:val="48"/>
          <w:szCs w:val="48"/>
          <w:highlight w:val="none"/>
        </w:rPr>
        <w:t>（污染影响类）</w:t>
      </w:r>
    </w:p>
    <w:p w14:paraId="1DB0A77D">
      <w:pPr>
        <w:rPr>
          <w:color w:val="auto"/>
          <w:highlight w:val="none"/>
        </w:rPr>
      </w:pPr>
    </w:p>
    <w:p w14:paraId="2321F7C4">
      <w:pPr>
        <w:jc w:val="center"/>
        <w:rPr>
          <w:rFonts w:eastAsia="仿宋"/>
          <w:color w:val="auto"/>
          <w:sz w:val="52"/>
          <w:szCs w:val="52"/>
          <w:highlight w:val="none"/>
        </w:rPr>
      </w:pPr>
    </w:p>
    <w:p w14:paraId="64968FD9">
      <w:pPr>
        <w:ind w:firstLine="1040"/>
        <w:rPr>
          <w:rFonts w:eastAsia="仿宋"/>
          <w:color w:val="auto"/>
          <w:sz w:val="44"/>
          <w:szCs w:val="44"/>
          <w:highlight w:val="none"/>
        </w:rPr>
      </w:pPr>
    </w:p>
    <w:p w14:paraId="2058BB36">
      <w:pPr>
        <w:ind w:firstLine="1040"/>
        <w:rPr>
          <w:rFonts w:eastAsia="仿宋"/>
          <w:color w:val="auto"/>
          <w:sz w:val="44"/>
          <w:szCs w:val="44"/>
          <w:highlight w:val="none"/>
        </w:rPr>
      </w:pPr>
    </w:p>
    <w:p w14:paraId="3C3A5BC4">
      <w:pPr>
        <w:ind w:firstLine="1040"/>
        <w:rPr>
          <w:rFonts w:eastAsia="仿宋"/>
          <w:color w:val="auto"/>
          <w:sz w:val="44"/>
          <w:szCs w:val="44"/>
          <w:highlight w:val="none"/>
        </w:rPr>
      </w:pPr>
    </w:p>
    <w:p w14:paraId="36DC599B">
      <w:pPr>
        <w:ind w:firstLine="1040"/>
        <w:rPr>
          <w:rFonts w:eastAsia="仿宋"/>
          <w:color w:val="auto"/>
          <w:sz w:val="44"/>
          <w:szCs w:val="44"/>
          <w:highlight w:val="none"/>
        </w:rPr>
      </w:pPr>
    </w:p>
    <w:p w14:paraId="008EC328">
      <w:pPr>
        <w:adjustRightInd w:val="0"/>
        <w:snapToGrid w:val="0"/>
        <w:spacing w:line="288" w:lineRule="auto"/>
        <w:jc w:val="left"/>
        <w:rPr>
          <w:rFonts w:hint="default" w:eastAsia="仿宋_GB2312" w:cs="Times New Roman"/>
          <w:color w:val="auto"/>
          <w:sz w:val="36"/>
          <w:szCs w:val="36"/>
          <w:highlight w:val="none"/>
          <w:u w:val="single"/>
          <w:lang w:val="en-US" w:eastAsia="zh-CN"/>
        </w:rPr>
      </w:pPr>
      <w:r>
        <w:rPr>
          <w:rFonts w:eastAsia="仿宋_GB2312"/>
          <w:color w:val="auto"/>
          <w:sz w:val="36"/>
          <w:szCs w:val="36"/>
          <w:highlight w:val="none"/>
        </w:rPr>
        <w:t>项目名称：</w:t>
      </w:r>
      <w:r>
        <w:rPr>
          <w:rFonts w:hint="eastAsia" w:eastAsia="仿宋_GB2312" w:cs="Times New Roman"/>
          <w:color w:val="auto"/>
          <w:sz w:val="36"/>
          <w:szCs w:val="36"/>
          <w:highlight w:val="none"/>
          <w:u w:val="single"/>
          <w:lang w:val="en-US" w:eastAsia="zh-CN"/>
        </w:rPr>
        <w:t xml:space="preserve">      粤湘产业工业园集中供热项目      </w:t>
      </w:r>
    </w:p>
    <w:p w14:paraId="1EC6A8B0">
      <w:pPr>
        <w:adjustRightInd w:val="0"/>
        <w:snapToGrid w:val="0"/>
        <w:spacing w:line="288" w:lineRule="auto"/>
        <w:jc w:val="left"/>
        <w:rPr>
          <w:rFonts w:hint="default" w:eastAsia="仿宋_GB2312"/>
          <w:color w:val="auto"/>
          <w:sz w:val="36"/>
          <w:szCs w:val="36"/>
          <w:highlight w:val="none"/>
          <w:lang w:val="en-US"/>
        </w:rPr>
      </w:pPr>
      <w:r>
        <w:rPr>
          <w:rFonts w:eastAsia="仿宋_GB2312"/>
          <w:color w:val="auto"/>
          <w:sz w:val="36"/>
          <w:szCs w:val="36"/>
          <w:highlight w:val="none"/>
        </w:rPr>
        <w:t>建设单位（盖章）：</w:t>
      </w:r>
      <w:r>
        <w:rPr>
          <w:rFonts w:hint="eastAsia" w:eastAsia="仿宋_GB2312" w:cs="Times New Roman"/>
          <w:color w:val="auto"/>
          <w:sz w:val="36"/>
          <w:szCs w:val="36"/>
          <w:highlight w:val="none"/>
          <w:u w:val="single"/>
          <w:lang w:val="en-US" w:eastAsia="zh-CN"/>
        </w:rPr>
        <w:t>韶关市恒鹏超腾能源科技有限公司</w:t>
      </w:r>
    </w:p>
    <w:p w14:paraId="03C3861C">
      <w:pPr>
        <w:adjustRightInd w:val="0"/>
        <w:snapToGrid w:val="0"/>
        <w:spacing w:line="288" w:lineRule="auto"/>
        <w:jc w:val="left"/>
        <w:rPr>
          <w:rFonts w:hint="default" w:eastAsia="仿宋_GB2312"/>
          <w:color w:val="auto"/>
          <w:sz w:val="36"/>
          <w:szCs w:val="36"/>
          <w:highlight w:val="none"/>
          <w:u w:val="single"/>
          <w:lang w:val="en-US" w:eastAsia="zh-CN"/>
        </w:rPr>
      </w:pPr>
      <w:r>
        <w:rPr>
          <w:rFonts w:eastAsia="仿宋_GB2312"/>
          <w:color w:val="auto"/>
          <w:sz w:val="36"/>
          <w:szCs w:val="36"/>
          <w:highlight w:val="none"/>
        </w:rPr>
        <w:t>编制日期：</w:t>
      </w:r>
      <w:r>
        <w:rPr>
          <w:rFonts w:hint="eastAsia" w:eastAsia="仿宋_GB2312"/>
          <w:color w:val="auto"/>
          <w:sz w:val="36"/>
          <w:szCs w:val="36"/>
          <w:highlight w:val="none"/>
          <w:u w:val="single"/>
          <w:lang w:val="en-US" w:eastAsia="zh-CN"/>
        </w:rPr>
        <w:t xml:space="preserve">             </w:t>
      </w:r>
      <w:r>
        <w:rPr>
          <w:rFonts w:eastAsia="仿宋_GB2312"/>
          <w:color w:val="auto"/>
          <w:sz w:val="36"/>
          <w:szCs w:val="36"/>
          <w:highlight w:val="none"/>
          <w:u w:val="single"/>
        </w:rPr>
        <w:t>202</w:t>
      </w:r>
      <w:r>
        <w:rPr>
          <w:rFonts w:hint="eastAsia" w:eastAsia="仿宋_GB2312"/>
          <w:color w:val="auto"/>
          <w:sz w:val="36"/>
          <w:szCs w:val="36"/>
          <w:highlight w:val="none"/>
          <w:u w:val="single"/>
          <w:lang w:val="en-US" w:eastAsia="zh-CN"/>
        </w:rPr>
        <w:t>5</w:t>
      </w:r>
      <w:r>
        <w:rPr>
          <w:rFonts w:eastAsia="仿宋_GB2312"/>
          <w:color w:val="auto"/>
          <w:sz w:val="36"/>
          <w:szCs w:val="36"/>
          <w:highlight w:val="none"/>
          <w:u w:val="single"/>
        </w:rPr>
        <w:t>年</w:t>
      </w:r>
      <w:r>
        <w:rPr>
          <w:rFonts w:hint="eastAsia" w:eastAsia="仿宋_GB2312"/>
          <w:color w:val="auto"/>
          <w:sz w:val="36"/>
          <w:szCs w:val="36"/>
          <w:highlight w:val="none"/>
          <w:u w:val="single"/>
          <w:lang w:val="en-US" w:eastAsia="zh-CN"/>
        </w:rPr>
        <w:t>9</w:t>
      </w:r>
      <w:r>
        <w:rPr>
          <w:rFonts w:eastAsia="仿宋_GB2312"/>
          <w:color w:val="auto"/>
          <w:sz w:val="36"/>
          <w:szCs w:val="36"/>
          <w:highlight w:val="none"/>
          <w:u w:val="single"/>
        </w:rPr>
        <w:t>月</w:t>
      </w:r>
      <w:r>
        <w:rPr>
          <w:rFonts w:hint="eastAsia" w:eastAsia="仿宋_GB2312"/>
          <w:color w:val="auto"/>
          <w:sz w:val="36"/>
          <w:szCs w:val="36"/>
          <w:highlight w:val="none"/>
          <w:u w:val="single"/>
          <w:lang w:val="en-US" w:eastAsia="zh-CN"/>
        </w:rPr>
        <w:t xml:space="preserve">              </w:t>
      </w:r>
    </w:p>
    <w:p w14:paraId="1BF50D1A">
      <w:pPr>
        <w:adjustRightInd w:val="0"/>
        <w:snapToGrid w:val="0"/>
        <w:spacing w:line="288" w:lineRule="auto"/>
        <w:ind w:firstLine="1040"/>
        <w:jc w:val="center"/>
        <w:rPr>
          <w:rFonts w:eastAsia="仿宋_GB2312"/>
          <w:color w:val="auto"/>
          <w:sz w:val="36"/>
          <w:szCs w:val="36"/>
          <w:highlight w:val="none"/>
          <w:u w:val="single"/>
        </w:rPr>
      </w:pPr>
      <w:bookmarkStart w:id="8" w:name="_Hlk57884087"/>
    </w:p>
    <w:p w14:paraId="68E5031F">
      <w:pPr>
        <w:adjustRightInd w:val="0"/>
        <w:snapToGrid w:val="0"/>
        <w:spacing w:line="288" w:lineRule="auto"/>
        <w:ind w:firstLine="1040"/>
        <w:rPr>
          <w:rFonts w:eastAsia="仿宋_GB2312"/>
          <w:color w:val="auto"/>
          <w:sz w:val="36"/>
          <w:szCs w:val="36"/>
          <w:highlight w:val="none"/>
        </w:rPr>
      </w:pPr>
    </w:p>
    <w:p w14:paraId="0C04A990">
      <w:pPr>
        <w:adjustRightInd w:val="0"/>
        <w:snapToGrid w:val="0"/>
        <w:spacing w:line="288" w:lineRule="auto"/>
        <w:ind w:firstLine="1040"/>
        <w:rPr>
          <w:rFonts w:eastAsia="仿宋_GB2312"/>
          <w:color w:val="auto"/>
          <w:sz w:val="36"/>
          <w:szCs w:val="36"/>
          <w:highlight w:val="none"/>
        </w:rPr>
      </w:pPr>
    </w:p>
    <w:p w14:paraId="5EFC8C4B">
      <w:pPr>
        <w:adjustRightInd w:val="0"/>
        <w:snapToGrid w:val="0"/>
        <w:spacing w:line="288" w:lineRule="auto"/>
        <w:ind w:firstLine="1040"/>
        <w:rPr>
          <w:rFonts w:eastAsia="仿宋_GB2312"/>
          <w:color w:val="auto"/>
          <w:sz w:val="36"/>
          <w:szCs w:val="36"/>
          <w:highlight w:val="none"/>
        </w:rPr>
      </w:pPr>
    </w:p>
    <w:bookmarkEnd w:id="8"/>
    <w:p w14:paraId="3C42DE54">
      <w:pPr>
        <w:adjustRightInd w:val="0"/>
        <w:snapToGrid w:val="0"/>
        <w:spacing w:line="288" w:lineRule="auto"/>
        <w:jc w:val="center"/>
        <w:rPr>
          <w:rFonts w:eastAsia="楷体_GB2312"/>
          <w:color w:val="auto"/>
          <w:sz w:val="36"/>
          <w:szCs w:val="36"/>
          <w:highlight w:val="none"/>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eastAsia="楷体_GB2312"/>
          <w:color w:val="auto"/>
          <w:sz w:val="36"/>
          <w:szCs w:val="36"/>
          <w:highlight w:val="none"/>
        </w:rPr>
        <w:t>中华人民共和国生态环境部制</w:t>
      </w:r>
    </w:p>
    <w:sdt>
      <w:sdtPr>
        <w:rPr>
          <w:rFonts w:hint="eastAsia" w:ascii="黑体" w:hAnsi="黑体" w:eastAsia="黑体" w:cs="黑体"/>
          <w:kern w:val="2"/>
          <w:sz w:val="30"/>
          <w:szCs w:val="30"/>
          <w:highlight w:val="none"/>
          <w:lang w:val="en-US" w:eastAsia="zh-CN" w:bidi="ar-SA"/>
        </w:rPr>
        <w:id w:val="147458049"/>
        <w15:color w:val="DBDBDB"/>
        <w:docPartObj>
          <w:docPartGallery w:val="Table of Contents"/>
          <w:docPartUnique/>
        </w:docPartObj>
      </w:sdtPr>
      <w:sdtEndPr>
        <w:rPr>
          <w:rFonts w:hint="eastAsia" w:ascii="黑体" w:hAnsi="黑体" w:eastAsia="黑体" w:cs="黑体"/>
          <w:color w:val="auto"/>
          <w:kern w:val="2"/>
          <w:sz w:val="28"/>
          <w:szCs w:val="28"/>
          <w:highlight w:val="none"/>
          <w:lang w:val="en-US" w:eastAsia="zh-CN" w:bidi="ar-SA"/>
        </w:rPr>
      </w:sdtEndPr>
      <w:sdtContent>
        <w:p w14:paraId="577E768D">
          <w:pPr>
            <w:keepNext w:val="0"/>
            <w:keepLines w:val="0"/>
            <w:pageBreakBefore w:val="0"/>
            <w:widowControl w:val="0"/>
            <w:kinsoku/>
            <w:wordWrap/>
            <w:overflowPunct/>
            <w:topLinePunct w:val="0"/>
            <w:autoSpaceDE/>
            <w:autoSpaceDN/>
            <w:bidi w:val="0"/>
            <w:spacing w:before="0" w:after="0" w:line="360" w:lineRule="auto"/>
            <w:ind w:left="0" w:leftChars="0" w:right="0" w:rightChars="0" w:firstLine="0" w:firstLineChars="0"/>
            <w:jc w:val="center"/>
            <w:textAlignment w:val="auto"/>
            <w:rPr>
              <w:rFonts w:hint="eastAsia" w:ascii="黑体" w:hAnsi="黑体" w:eastAsia="黑体" w:cs="黑体"/>
              <w:sz w:val="30"/>
              <w:szCs w:val="30"/>
              <w:highlight w:val="none"/>
            </w:rPr>
          </w:pPr>
          <w:r>
            <w:rPr>
              <w:rFonts w:hint="eastAsia" w:ascii="黑体" w:hAnsi="黑体" w:eastAsia="黑体" w:cs="黑体"/>
              <w:sz w:val="30"/>
              <w:szCs w:val="30"/>
              <w:highlight w:val="none"/>
            </w:rPr>
            <w:t>目录</w:t>
          </w:r>
        </w:p>
        <w:p w14:paraId="75A1888F">
          <w:pPr>
            <w:pStyle w:val="22"/>
            <w:keepNext w:val="0"/>
            <w:keepLines w:val="0"/>
            <w:pageBreakBefore w:val="0"/>
            <w:widowControl w:val="0"/>
            <w:tabs>
              <w:tab w:val="right" w:leader="dot" w:pos="8844"/>
            </w:tabs>
            <w:kinsoku/>
            <w:wordWrap/>
            <w:overflowPunct/>
            <w:topLinePunct w:val="0"/>
            <w:autoSpaceDE/>
            <w:autoSpaceDN/>
            <w:bidi w:val="0"/>
            <w:spacing w:line="360" w:lineRule="auto"/>
            <w:ind w:left="0" w:leftChars="0" w:firstLine="0"/>
            <w:textAlignment w:val="auto"/>
            <w:rPr>
              <w:rFonts w:hint="default" w:ascii="Times New Roman" w:hAnsi="Times New Roman" w:eastAsia="黑体" w:cs="Times New Roman"/>
              <w:sz w:val="24"/>
              <w:szCs w:val="24"/>
              <w:highlight w:val="none"/>
            </w:rPr>
          </w:pPr>
          <w:r>
            <w:rPr>
              <w:rFonts w:hint="default" w:ascii="Times New Roman" w:hAnsi="Times New Roman" w:eastAsia="黑体" w:cs="Times New Roman"/>
              <w:color w:val="auto"/>
              <w:sz w:val="24"/>
              <w:szCs w:val="24"/>
              <w:highlight w:val="none"/>
            </w:rPr>
            <w:fldChar w:fldCharType="begin"/>
          </w:r>
          <w:r>
            <w:rPr>
              <w:rFonts w:hint="default" w:ascii="Times New Roman" w:hAnsi="Times New Roman" w:eastAsia="黑体" w:cs="Times New Roman"/>
              <w:color w:val="auto"/>
              <w:sz w:val="24"/>
              <w:szCs w:val="24"/>
              <w:highlight w:val="none"/>
            </w:rPr>
            <w:instrText xml:space="preserve">TOC \o "1-3" \h \u </w:instrText>
          </w:r>
          <w:r>
            <w:rPr>
              <w:rFonts w:hint="default" w:ascii="Times New Roman" w:hAnsi="Times New Roman" w:eastAsia="黑体" w:cs="Times New Roman"/>
              <w:color w:val="auto"/>
              <w:sz w:val="24"/>
              <w:szCs w:val="24"/>
              <w:highlight w:val="none"/>
            </w:rPr>
            <w:fldChar w:fldCharType="separate"/>
          </w:r>
          <w:r>
            <w:rPr>
              <w:rFonts w:hint="default" w:ascii="Times New Roman" w:hAnsi="Times New Roman" w:eastAsia="黑体" w:cs="Times New Roman"/>
              <w:color w:val="auto"/>
              <w:sz w:val="24"/>
              <w:szCs w:val="24"/>
              <w:highlight w:val="none"/>
            </w:rPr>
            <w:fldChar w:fldCharType="begin"/>
          </w:r>
          <w:r>
            <w:rPr>
              <w:rFonts w:hint="default" w:ascii="Times New Roman" w:hAnsi="Times New Roman" w:eastAsia="黑体" w:cs="Times New Roman"/>
              <w:sz w:val="24"/>
              <w:szCs w:val="24"/>
              <w:highlight w:val="none"/>
            </w:rPr>
            <w:instrText xml:space="preserve"> HYPERLINK \l _Toc25831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一、建设项目基本情况</w:t>
          </w:r>
          <w:r>
            <w:rPr>
              <w:rFonts w:hint="default" w:ascii="Times New Roman" w:hAnsi="Times New Roman" w:eastAsia="黑体" w:cs="Times New Roman"/>
              <w:sz w:val="24"/>
              <w:szCs w:val="24"/>
              <w:highlight w:val="none"/>
            </w:rPr>
            <w:tab/>
          </w:r>
          <w:r>
            <w:rPr>
              <w:rFonts w:hint="default" w:ascii="Times New Roman" w:hAnsi="Times New Roman" w:eastAsia="黑体" w:cs="Times New Roman"/>
              <w:sz w:val="24"/>
              <w:szCs w:val="24"/>
              <w:highlight w:val="none"/>
            </w:rPr>
            <w:fldChar w:fldCharType="begin"/>
          </w:r>
          <w:r>
            <w:rPr>
              <w:rFonts w:hint="default" w:ascii="Times New Roman" w:hAnsi="Times New Roman" w:eastAsia="黑体" w:cs="Times New Roman"/>
              <w:sz w:val="24"/>
              <w:szCs w:val="24"/>
              <w:highlight w:val="none"/>
            </w:rPr>
            <w:instrText xml:space="preserve"> PAGEREF _Toc25831 \h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1</w:t>
          </w:r>
          <w:r>
            <w:rPr>
              <w:rFonts w:hint="default" w:ascii="Times New Roman" w:hAnsi="Times New Roman" w:eastAsia="黑体" w:cs="Times New Roman"/>
              <w:sz w:val="24"/>
              <w:szCs w:val="24"/>
              <w:highlight w:val="none"/>
            </w:rPr>
            <w:fldChar w:fldCharType="end"/>
          </w:r>
          <w:r>
            <w:rPr>
              <w:rFonts w:hint="default" w:ascii="Times New Roman" w:hAnsi="Times New Roman" w:eastAsia="黑体" w:cs="Times New Roman"/>
              <w:color w:val="auto"/>
              <w:sz w:val="24"/>
              <w:szCs w:val="24"/>
              <w:highlight w:val="none"/>
            </w:rPr>
            <w:fldChar w:fldCharType="end"/>
          </w:r>
        </w:p>
        <w:p w14:paraId="0A30AB25">
          <w:pPr>
            <w:pStyle w:val="22"/>
            <w:keepNext w:val="0"/>
            <w:keepLines w:val="0"/>
            <w:pageBreakBefore w:val="0"/>
            <w:widowControl w:val="0"/>
            <w:tabs>
              <w:tab w:val="right" w:leader="dot" w:pos="8844"/>
            </w:tabs>
            <w:kinsoku/>
            <w:wordWrap/>
            <w:overflowPunct/>
            <w:topLinePunct w:val="0"/>
            <w:autoSpaceDE/>
            <w:autoSpaceDN/>
            <w:bidi w:val="0"/>
            <w:spacing w:line="360" w:lineRule="auto"/>
            <w:ind w:left="0" w:leftChars="0" w:firstLine="0"/>
            <w:textAlignment w:val="auto"/>
            <w:rPr>
              <w:rFonts w:hint="default" w:ascii="Times New Roman" w:hAnsi="Times New Roman" w:eastAsia="黑体" w:cs="Times New Roman"/>
              <w:sz w:val="24"/>
              <w:szCs w:val="24"/>
              <w:highlight w:val="none"/>
            </w:rPr>
          </w:pPr>
          <w:r>
            <w:rPr>
              <w:rFonts w:hint="default" w:ascii="Times New Roman" w:hAnsi="Times New Roman" w:eastAsia="黑体" w:cs="Times New Roman"/>
              <w:color w:val="auto"/>
              <w:sz w:val="24"/>
              <w:szCs w:val="24"/>
              <w:highlight w:val="none"/>
            </w:rPr>
            <w:fldChar w:fldCharType="begin"/>
          </w:r>
          <w:r>
            <w:rPr>
              <w:rFonts w:hint="default" w:ascii="Times New Roman" w:hAnsi="Times New Roman" w:eastAsia="黑体" w:cs="Times New Roman"/>
              <w:sz w:val="24"/>
              <w:szCs w:val="24"/>
              <w:highlight w:val="none"/>
            </w:rPr>
            <w:instrText xml:space="preserve"> HYPERLINK \l _Toc15534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二、建设项目工程分析</w:t>
          </w:r>
          <w:r>
            <w:rPr>
              <w:rFonts w:hint="default" w:ascii="Times New Roman" w:hAnsi="Times New Roman" w:eastAsia="黑体" w:cs="Times New Roman"/>
              <w:sz w:val="24"/>
              <w:szCs w:val="24"/>
              <w:highlight w:val="none"/>
            </w:rPr>
            <w:tab/>
          </w:r>
          <w:r>
            <w:rPr>
              <w:rFonts w:hint="default" w:ascii="Times New Roman" w:hAnsi="Times New Roman" w:eastAsia="黑体" w:cs="Times New Roman"/>
              <w:sz w:val="24"/>
              <w:szCs w:val="24"/>
              <w:highlight w:val="none"/>
            </w:rPr>
            <w:fldChar w:fldCharType="begin"/>
          </w:r>
          <w:r>
            <w:rPr>
              <w:rFonts w:hint="default" w:ascii="Times New Roman" w:hAnsi="Times New Roman" w:eastAsia="黑体" w:cs="Times New Roman"/>
              <w:sz w:val="24"/>
              <w:szCs w:val="24"/>
              <w:highlight w:val="none"/>
            </w:rPr>
            <w:instrText xml:space="preserve"> PAGEREF _Toc15534 \h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17</w:t>
          </w:r>
          <w:r>
            <w:rPr>
              <w:rFonts w:hint="default" w:ascii="Times New Roman" w:hAnsi="Times New Roman" w:eastAsia="黑体" w:cs="Times New Roman"/>
              <w:sz w:val="24"/>
              <w:szCs w:val="24"/>
              <w:highlight w:val="none"/>
            </w:rPr>
            <w:fldChar w:fldCharType="end"/>
          </w:r>
          <w:r>
            <w:rPr>
              <w:rFonts w:hint="default" w:ascii="Times New Roman" w:hAnsi="Times New Roman" w:eastAsia="黑体" w:cs="Times New Roman"/>
              <w:color w:val="auto"/>
              <w:sz w:val="24"/>
              <w:szCs w:val="24"/>
              <w:highlight w:val="none"/>
            </w:rPr>
            <w:fldChar w:fldCharType="end"/>
          </w:r>
        </w:p>
        <w:p w14:paraId="672601E6">
          <w:pPr>
            <w:pStyle w:val="22"/>
            <w:keepNext w:val="0"/>
            <w:keepLines w:val="0"/>
            <w:pageBreakBefore w:val="0"/>
            <w:widowControl w:val="0"/>
            <w:tabs>
              <w:tab w:val="right" w:leader="dot" w:pos="8844"/>
            </w:tabs>
            <w:kinsoku/>
            <w:wordWrap/>
            <w:overflowPunct/>
            <w:topLinePunct w:val="0"/>
            <w:autoSpaceDE/>
            <w:autoSpaceDN/>
            <w:bidi w:val="0"/>
            <w:spacing w:line="360" w:lineRule="auto"/>
            <w:ind w:left="0" w:leftChars="0" w:firstLine="0"/>
            <w:textAlignment w:val="auto"/>
            <w:rPr>
              <w:rFonts w:hint="default" w:ascii="Times New Roman" w:hAnsi="Times New Roman" w:eastAsia="黑体" w:cs="Times New Roman"/>
              <w:sz w:val="24"/>
              <w:szCs w:val="24"/>
              <w:highlight w:val="none"/>
            </w:rPr>
          </w:pPr>
          <w:r>
            <w:rPr>
              <w:rFonts w:hint="default" w:ascii="Times New Roman" w:hAnsi="Times New Roman" w:eastAsia="黑体" w:cs="Times New Roman"/>
              <w:color w:val="auto"/>
              <w:sz w:val="24"/>
              <w:szCs w:val="24"/>
              <w:highlight w:val="none"/>
            </w:rPr>
            <w:fldChar w:fldCharType="begin"/>
          </w:r>
          <w:r>
            <w:rPr>
              <w:rFonts w:hint="default" w:ascii="Times New Roman" w:hAnsi="Times New Roman" w:eastAsia="黑体" w:cs="Times New Roman"/>
              <w:sz w:val="24"/>
              <w:szCs w:val="24"/>
              <w:highlight w:val="none"/>
            </w:rPr>
            <w:instrText xml:space="preserve"> HYPERLINK \l _Toc19607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三、区域环境质量现状、环境保护目标及评价标准</w:t>
          </w:r>
          <w:r>
            <w:rPr>
              <w:rFonts w:hint="default" w:ascii="Times New Roman" w:hAnsi="Times New Roman" w:eastAsia="黑体" w:cs="Times New Roman"/>
              <w:sz w:val="24"/>
              <w:szCs w:val="24"/>
              <w:highlight w:val="none"/>
            </w:rPr>
            <w:tab/>
          </w:r>
          <w:r>
            <w:rPr>
              <w:rFonts w:hint="default" w:ascii="Times New Roman" w:hAnsi="Times New Roman" w:eastAsia="黑体" w:cs="Times New Roman"/>
              <w:sz w:val="24"/>
              <w:szCs w:val="24"/>
              <w:highlight w:val="none"/>
            </w:rPr>
            <w:fldChar w:fldCharType="begin"/>
          </w:r>
          <w:r>
            <w:rPr>
              <w:rFonts w:hint="default" w:ascii="Times New Roman" w:hAnsi="Times New Roman" w:eastAsia="黑体" w:cs="Times New Roman"/>
              <w:sz w:val="24"/>
              <w:szCs w:val="24"/>
              <w:highlight w:val="none"/>
            </w:rPr>
            <w:instrText xml:space="preserve"> PAGEREF _Toc19607 \h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26</w:t>
          </w:r>
          <w:r>
            <w:rPr>
              <w:rFonts w:hint="default" w:ascii="Times New Roman" w:hAnsi="Times New Roman" w:eastAsia="黑体" w:cs="Times New Roman"/>
              <w:sz w:val="24"/>
              <w:szCs w:val="24"/>
              <w:highlight w:val="none"/>
            </w:rPr>
            <w:fldChar w:fldCharType="end"/>
          </w:r>
          <w:r>
            <w:rPr>
              <w:rFonts w:hint="default" w:ascii="Times New Roman" w:hAnsi="Times New Roman" w:eastAsia="黑体" w:cs="Times New Roman"/>
              <w:color w:val="auto"/>
              <w:sz w:val="24"/>
              <w:szCs w:val="24"/>
              <w:highlight w:val="none"/>
            </w:rPr>
            <w:fldChar w:fldCharType="end"/>
          </w:r>
        </w:p>
        <w:p w14:paraId="46E02185">
          <w:pPr>
            <w:pStyle w:val="22"/>
            <w:keepNext w:val="0"/>
            <w:keepLines w:val="0"/>
            <w:pageBreakBefore w:val="0"/>
            <w:widowControl w:val="0"/>
            <w:tabs>
              <w:tab w:val="right" w:leader="dot" w:pos="8844"/>
            </w:tabs>
            <w:kinsoku/>
            <w:wordWrap/>
            <w:overflowPunct/>
            <w:topLinePunct w:val="0"/>
            <w:autoSpaceDE/>
            <w:autoSpaceDN/>
            <w:bidi w:val="0"/>
            <w:spacing w:line="360" w:lineRule="auto"/>
            <w:ind w:left="0" w:leftChars="0" w:firstLine="0"/>
            <w:textAlignment w:val="auto"/>
            <w:rPr>
              <w:rFonts w:hint="default" w:ascii="Times New Roman" w:hAnsi="Times New Roman" w:eastAsia="黑体" w:cs="Times New Roman"/>
              <w:sz w:val="24"/>
              <w:szCs w:val="24"/>
              <w:highlight w:val="none"/>
            </w:rPr>
          </w:pPr>
          <w:r>
            <w:rPr>
              <w:rFonts w:hint="default" w:ascii="Times New Roman" w:hAnsi="Times New Roman" w:eastAsia="黑体" w:cs="Times New Roman"/>
              <w:color w:val="auto"/>
              <w:sz w:val="24"/>
              <w:szCs w:val="24"/>
              <w:highlight w:val="none"/>
            </w:rPr>
            <w:fldChar w:fldCharType="begin"/>
          </w:r>
          <w:r>
            <w:rPr>
              <w:rFonts w:hint="default" w:ascii="Times New Roman" w:hAnsi="Times New Roman" w:eastAsia="黑体" w:cs="Times New Roman"/>
              <w:sz w:val="24"/>
              <w:szCs w:val="24"/>
              <w:highlight w:val="none"/>
            </w:rPr>
            <w:instrText xml:space="preserve"> HYPERLINK \l _Toc15220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四、主要环境影响和保护措施</w:t>
          </w:r>
          <w:r>
            <w:rPr>
              <w:rFonts w:hint="default" w:ascii="Times New Roman" w:hAnsi="Times New Roman" w:eastAsia="黑体" w:cs="Times New Roman"/>
              <w:sz w:val="24"/>
              <w:szCs w:val="24"/>
              <w:highlight w:val="none"/>
            </w:rPr>
            <w:tab/>
          </w:r>
          <w:r>
            <w:rPr>
              <w:rFonts w:hint="default" w:ascii="Times New Roman" w:hAnsi="Times New Roman" w:eastAsia="黑体" w:cs="Times New Roman"/>
              <w:sz w:val="24"/>
              <w:szCs w:val="24"/>
              <w:highlight w:val="none"/>
            </w:rPr>
            <w:fldChar w:fldCharType="begin"/>
          </w:r>
          <w:r>
            <w:rPr>
              <w:rFonts w:hint="default" w:ascii="Times New Roman" w:hAnsi="Times New Roman" w:eastAsia="黑体" w:cs="Times New Roman"/>
              <w:sz w:val="24"/>
              <w:szCs w:val="24"/>
              <w:highlight w:val="none"/>
            </w:rPr>
            <w:instrText xml:space="preserve"> PAGEREF _Toc15220 \h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31</w:t>
          </w:r>
          <w:r>
            <w:rPr>
              <w:rFonts w:hint="default" w:ascii="Times New Roman" w:hAnsi="Times New Roman" w:eastAsia="黑体" w:cs="Times New Roman"/>
              <w:sz w:val="24"/>
              <w:szCs w:val="24"/>
              <w:highlight w:val="none"/>
            </w:rPr>
            <w:fldChar w:fldCharType="end"/>
          </w:r>
          <w:r>
            <w:rPr>
              <w:rFonts w:hint="default" w:ascii="Times New Roman" w:hAnsi="Times New Roman" w:eastAsia="黑体" w:cs="Times New Roman"/>
              <w:color w:val="auto"/>
              <w:sz w:val="24"/>
              <w:szCs w:val="24"/>
              <w:highlight w:val="none"/>
            </w:rPr>
            <w:fldChar w:fldCharType="end"/>
          </w:r>
        </w:p>
        <w:p w14:paraId="5FD7BAF5">
          <w:pPr>
            <w:pStyle w:val="22"/>
            <w:keepNext w:val="0"/>
            <w:keepLines w:val="0"/>
            <w:pageBreakBefore w:val="0"/>
            <w:widowControl w:val="0"/>
            <w:tabs>
              <w:tab w:val="right" w:leader="dot" w:pos="8844"/>
            </w:tabs>
            <w:kinsoku/>
            <w:wordWrap/>
            <w:overflowPunct/>
            <w:topLinePunct w:val="0"/>
            <w:autoSpaceDE/>
            <w:autoSpaceDN/>
            <w:bidi w:val="0"/>
            <w:spacing w:line="360" w:lineRule="auto"/>
            <w:ind w:left="0" w:leftChars="0" w:firstLine="0"/>
            <w:textAlignment w:val="auto"/>
            <w:rPr>
              <w:rFonts w:hint="default" w:ascii="Times New Roman" w:hAnsi="Times New Roman" w:eastAsia="黑体" w:cs="Times New Roman"/>
              <w:sz w:val="24"/>
              <w:szCs w:val="24"/>
              <w:highlight w:val="none"/>
            </w:rPr>
          </w:pPr>
          <w:r>
            <w:rPr>
              <w:rFonts w:hint="default" w:ascii="Times New Roman" w:hAnsi="Times New Roman" w:eastAsia="黑体" w:cs="Times New Roman"/>
              <w:color w:val="auto"/>
              <w:sz w:val="24"/>
              <w:szCs w:val="24"/>
              <w:highlight w:val="none"/>
            </w:rPr>
            <w:fldChar w:fldCharType="begin"/>
          </w:r>
          <w:r>
            <w:rPr>
              <w:rFonts w:hint="default" w:ascii="Times New Roman" w:hAnsi="Times New Roman" w:eastAsia="黑体" w:cs="Times New Roman"/>
              <w:sz w:val="24"/>
              <w:szCs w:val="24"/>
              <w:highlight w:val="none"/>
            </w:rPr>
            <w:instrText xml:space="preserve"> HYPERLINK \l _Toc5381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五、 环境保护措施监督检查清单</w:t>
          </w:r>
          <w:r>
            <w:rPr>
              <w:rFonts w:hint="default" w:ascii="Times New Roman" w:hAnsi="Times New Roman" w:eastAsia="黑体" w:cs="Times New Roman"/>
              <w:sz w:val="24"/>
              <w:szCs w:val="24"/>
              <w:highlight w:val="none"/>
            </w:rPr>
            <w:tab/>
          </w:r>
          <w:r>
            <w:rPr>
              <w:rFonts w:hint="default" w:ascii="Times New Roman" w:hAnsi="Times New Roman" w:eastAsia="黑体" w:cs="Times New Roman"/>
              <w:sz w:val="24"/>
              <w:szCs w:val="24"/>
              <w:highlight w:val="none"/>
            </w:rPr>
            <w:fldChar w:fldCharType="begin"/>
          </w:r>
          <w:r>
            <w:rPr>
              <w:rFonts w:hint="default" w:ascii="Times New Roman" w:hAnsi="Times New Roman" w:eastAsia="黑体" w:cs="Times New Roman"/>
              <w:sz w:val="24"/>
              <w:szCs w:val="24"/>
              <w:highlight w:val="none"/>
            </w:rPr>
            <w:instrText xml:space="preserve"> PAGEREF _Toc5381 \h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54</w:t>
          </w:r>
          <w:r>
            <w:rPr>
              <w:rFonts w:hint="default" w:ascii="Times New Roman" w:hAnsi="Times New Roman" w:eastAsia="黑体" w:cs="Times New Roman"/>
              <w:sz w:val="24"/>
              <w:szCs w:val="24"/>
              <w:highlight w:val="none"/>
            </w:rPr>
            <w:fldChar w:fldCharType="end"/>
          </w:r>
          <w:r>
            <w:rPr>
              <w:rFonts w:hint="default" w:ascii="Times New Roman" w:hAnsi="Times New Roman" w:eastAsia="黑体" w:cs="Times New Roman"/>
              <w:color w:val="auto"/>
              <w:sz w:val="24"/>
              <w:szCs w:val="24"/>
              <w:highlight w:val="none"/>
            </w:rPr>
            <w:fldChar w:fldCharType="end"/>
          </w:r>
        </w:p>
        <w:p w14:paraId="431920C7">
          <w:pPr>
            <w:pStyle w:val="22"/>
            <w:keepNext w:val="0"/>
            <w:keepLines w:val="0"/>
            <w:pageBreakBefore w:val="0"/>
            <w:widowControl w:val="0"/>
            <w:tabs>
              <w:tab w:val="right" w:leader="dot" w:pos="8844"/>
            </w:tabs>
            <w:kinsoku/>
            <w:wordWrap/>
            <w:overflowPunct/>
            <w:topLinePunct w:val="0"/>
            <w:autoSpaceDE/>
            <w:autoSpaceDN/>
            <w:bidi w:val="0"/>
            <w:spacing w:line="360" w:lineRule="auto"/>
            <w:ind w:left="0" w:leftChars="0" w:firstLine="0"/>
            <w:textAlignment w:val="auto"/>
            <w:rPr>
              <w:rFonts w:hint="default" w:ascii="Times New Roman" w:hAnsi="Times New Roman" w:eastAsia="黑体" w:cs="Times New Roman"/>
              <w:sz w:val="24"/>
              <w:szCs w:val="24"/>
              <w:highlight w:val="none"/>
            </w:rPr>
          </w:pPr>
          <w:r>
            <w:rPr>
              <w:rFonts w:hint="default" w:ascii="Times New Roman" w:hAnsi="Times New Roman" w:eastAsia="黑体" w:cs="Times New Roman"/>
              <w:color w:val="auto"/>
              <w:sz w:val="24"/>
              <w:szCs w:val="24"/>
              <w:highlight w:val="none"/>
            </w:rPr>
            <w:fldChar w:fldCharType="begin"/>
          </w:r>
          <w:r>
            <w:rPr>
              <w:rFonts w:hint="default" w:ascii="Times New Roman" w:hAnsi="Times New Roman" w:eastAsia="黑体" w:cs="Times New Roman"/>
              <w:sz w:val="24"/>
              <w:szCs w:val="24"/>
              <w:highlight w:val="none"/>
            </w:rPr>
            <w:instrText xml:space="preserve"> HYPERLINK \l _Toc20486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bCs/>
              <w:kern w:val="44"/>
              <w:sz w:val="24"/>
              <w:szCs w:val="24"/>
              <w:highlight w:val="none"/>
              <w:lang w:val="en-US" w:eastAsia="zh-CN" w:bidi="ar-SA"/>
            </w:rPr>
            <w:t>六、结论</w:t>
          </w:r>
          <w:r>
            <w:rPr>
              <w:rFonts w:hint="default" w:ascii="Times New Roman" w:hAnsi="Times New Roman" w:eastAsia="黑体" w:cs="Times New Roman"/>
              <w:sz w:val="24"/>
              <w:szCs w:val="24"/>
              <w:highlight w:val="none"/>
            </w:rPr>
            <w:tab/>
          </w:r>
          <w:r>
            <w:rPr>
              <w:rFonts w:hint="default" w:ascii="Times New Roman" w:hAnsi="Times New Roman" w:eastAsia="黑体" w:cs="Times New Roman"/>
              <w:sz w:val="24"/>
              <w:szCs w:val="24"/>
              <w:highlight w:val="none"/>
            </w:rPr>
            <w:fldChar w:fldCharType="begin"/>
          </w:r>
          <w:r>
            <w:rPr>
              <w:rFonts w:hint="default" w:ascii="Times New Roman" w:hAnsi="Times New Roman" w:eastAsia="黑体" w:cs="Times New Roman"/>
              <w:sz w:val="24"/>
              <w:szCs w:val="24"/>
              <w:highlight w:val="none"/>
            </w:rPr>
            <w:instrText xml:space="preserve"> PAGEREF _Toc20486 \h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56</w:t>
          </w:r>
          <w:r>
            <w:rPr>
              <w:rFonts w:hint="default" w:ascii="Times New Roman" w:hAnsi="Times New Roman" w:eastAsia="黑体" w:cs="Times New Roman"/>
              <w:sz w:val="24"/>
              <w:szCs w:val="24"/>
              <w:highlight w:val="none"/>
            </w:rPr>
            <w:fldChar w:fldCharType="end"/>
          </w:r>
          <w:r>
            <w:rPr>
              <w:rFonts w:hint="default" w:ascii="Times New Roman" w:hAnsi="Times New Roman" w:eastAsia="黑体" w:cs="Times New Roman"/>
              <w:color w:val="auto"/>
              <w:sz w:val="24"/>
              <w:szCs w:val="24"/>
              <w:highlight w:val="none"/>
            </w:rPr>
            <w:fldChar w:fldCharType="end"/>
          </w:r>
        </w:p>
        <w:p w14:paraId="4E49E33D">
          <w:pPr>
            <w:pStyle w:val="22"/>
            <w:keepNext w:val="0"/>
            <w:keepLines w:val="0"/>
            <w:pageBreakBefore w:val="0"/>
            <w:widowControl w:val="0"/>
            <w:tabs>
              <w:tab w:val="right" w:leader="dot" w:pos="8844"/>
            </w:tabs>
            <w:kinsoku/>
            <w:wordWrap/>
            <w:overflowPunct/>
            <w:topLinePunct w:val="0"/>
            <w:autoSpaceDE/>
            <w:autoSpaceDN/>
            <w:bidi w:val="0"/>
            <w:spacing w:line="360" w:lineRule="auto"/>
            <w:ind w:left="0" w:leftChars="0" w:firstLine="0"/>
            <w:textAlignment w:val="auto"/>
            <w:rPr>
              <w:rFonts w:hint="default" w:ascii="Times New Roman" w:hAnsi="Times New Roman" w:eastAsia="黑体" w:cs="Times New Roman"/>
              <w:sz w:val="24"/>
              <w:szCs w:val="24"/>
              <w:highlight w:val="none"/>
            </w:rPr>
          </w:pPr>
          <w:r>
            <w:rPr>
              <w:rFonts w:hint="default" w:ascii="Times New Roman" w:hAnsi="Times New Roman" w:eastAsia="黑体" w:cs="Times New Roman"/>
              <w:color w:val="auto"/>
              <w:sz w:val="24"/>
              <w:szCs w:val="24"/>
              <w:highlight w:val="none"/>
            </w:rPr>
            <w:fldChar w:fldCharType="begin"/>
          </w:r>
          <w:r>
            <w:rPr>
              <w:rFonts w:hint="default" w:ascii="Times New Roman" w:hAnsi="Times New Roman" w:eastAsia="黑体" w:cs="Times New Roman"/>
              <w:sz w:val="24"/>
              <w:szCs w:val="24"/>
              <w:highlight w:val="none"/>
            </w:rPr>
            <w:instrText xml:space="preserve"> HYPERLINK \l _Toc22869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bCs/>
              <w:kern w:val="44"/>
              <w:sz w:val="24"/>
              <w:szCs w:val="24"/>
              <w:highlight w:val="none"/>
            </w:rPr>
            <w:t>附</w:t>
          </w:r>
          <w:r>
            <w:rPr>
              <w:rFonts w:hint="default" w:ascii="Times New Roman" w:hAnsi="Times New Roman" w:eastAsia="黑体" w:cs="Times New Roman"/>
              <w:bCs/>
              <w:kern w:val="44"/>
              <w:sz w:val="24"/>
              <w:szCs w:val="24"/>
              <w:highlight w:val="none"/>
              <w:lang w:eastAsia="zh-CN"/>
            </w:rPr>
            <w:t>图</w:t>
          </w:r>
          <w:r>
            <w:rPr>
              <w:rFonts w:hint="default" w:ascii="Times New Roman" w:hAnsi="Times New Roman" w:eastAsia="黑体" w:cs="Times New Roman"/>
              <w:bCs/>
              <w:kern w:val="44"/>
              <w:sz w:val="24"/>
              <w:szCs w:val="24"/>
              <w:highlight w:val="none"/>
            </w:rPr>
            <w:t>1</w:t>
          </w:r>
          <w:r>
            <w:rPr>
              <w:rFonts w:hint="default" w:ascii="Times New Roman" w:hAnsi="Times New Roman" w:eastAsia="黑体" w:cs="Times New Roman"/>
              <w:bCs/>
              <w:kern w:val="44"/>
              <w:sz w:val="24"/>
              <w:szCs w:val="24"/>
              <w:highlight w:val="none"/>
              <w:lang w:val="en-US" w:eastAsia="zh-CN"/>
            </w:rPr>
            <w:t>项目地理位置图</w:t>
          </w:r>
          <w:r>
            <w:rPr>
              <w:rFonts w:hint="default" w:ascii="Times New Roman" w:hAnsi="Times New Roman" w:eastAsia="黑体" w:cs="Times New Roman"/>
              <w:sz w:val="24"/>
              <w:szCs w:val="24"/>
              <w:highlight w:val="none"/>
            </w:rPr>
            <w:tab/>
          </w:r>
          <w:r>
            <w:rPr>
              <w:rFonts w:hint="default" w:ascii="Times New Roman" w:hAnsi="Times New Roman" w:eastAsia="黑体" w:cs="Times New Roman"/>
              <w:sz w:val="24"/>
              <w:szCs w:val="24"/>
              <w:highlight w:val="none"/>
            </w:rPr>
            <w:fldChar w:fldCharType="begin"/>
          </w:r>
          <w:r>
            <w:rPr>
              <w:rFonts w:hint="default" w:ascii="Times New Roman" w:hAnsi="Times New Roman" w:eastAsia="黑体" w:cs="Times New Roman"/>
              <w:sz w:val="24"/>
              <w:szCs w:val="24"/>
              <w:highlight w:val="none"/>
            </w:rPr>
            <w:instrText xml:space="preserve"> PAGEREF _Toc22869 \h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57</w:t>
          </w:r>
          <w:r>
            <w:rPr>
              <w:rFonts w:hint="default" w:ascii="Times New Roman" w:hAnsi="Times New Roman" w:eastAsia="黑体" w:cs="Times New Roman"/>
              <w:sz w:val="24"/>
              <w:szCs w:val="24"/>
              <w:highlight w:val="none"/>
            </w:rPr>
            <w:fldChar w:fldCharType="end"/>
          </w:r>
          <w:r>
            <w:rPr>
              <w:rFonts w:hint="default" w:ascii="Times New Roman" w:hAnsi="Times New Roman" w:eastAsia="黑体" w:cs="Times New Roman"/>
              <w:color w:val="auto"/>
              <w:sz w:val="24"/>
              <w:szCs w:val="24"/>
              <w:highlight w:val="none"/>
            </w:rPr>
            <w:fldChar w:fldCharType="end"/>
          </w:r>
        </w:p>
        <w:p w14:paraId="6A17B0C5">
          <w:pPr>
            <w:pStyle w:val="22"/>
            <w:keepNext w:val="0"/>
            <w:keepLines w:val="0"/>
            <w:pageBreakBefore w:val="0"/>
            <w:widowControl w:val="0"/>
            <w:tabs>
              <w:tab w:val="right" w:leader="dot" w:pos="8844"/>
            </w:tabs>
            <w:kinsoku/>
            <w:wordWrap/>
            <w:overflowPunct/>
            <w:topLinePunct w:val="0"/>
            <w:autoSpaceDE/>
            <w:autoSpaceDN/>
            <w:bidi w:val="0"/>
            <w:spacing w:line="360" w:lineRule="auto"/>
            <w:ind w:left="0" w:leftChars="0" w:firstLine="0"/>
            <w:textAlignment w:val="auto"/>
            <w:rPr>
              <w:rFonts w:hint="default" w:ascii="Times New Roman" w:hAnsi="Times New Roman" w:eastAsia="黑体" w:cs="Times New Roman"/>
              <w:sz w:val="24"/>
              <w:szCs w:val="24"/>
              <w:highlight w:val="none"/>
            </w:rPr>
          </w:pPr>
          <w:r>
            <w:rPr>
              <w:rFonts w:hint="default" w:ascii="Times New Roman" w:hAnsi="Times New Roman" w:eastAsia="黑体" w:cs="Times New Roman"/>
              <w:color w:val="auto"/>
              <w:sz w:val="24"/>
              <w:szCs w:val="24"/>
              <w:highlight w:val="none"/>
            </w:rPr>
            <w:fldChar w:fldCharType="begin"/>
          </w:r>
          <w:r>
            <w:rPr>
              <w:rFonts w:hint="default" w:ascii="Times New Roman" w:hAnsi="Times New Roman" w:eastAsia="黑体" w:cs="Times New Roman"/>
              <w:sz w:val="24"/>
              <w:szCs w:val="24"/>
              <w:highlight w:val="none"/>
            </w:rPr>
            <w:instrText xml:space="preserve"> HYPERLINK \l _Toc6698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bCs/>
              <w:kern w:val="44"/>
              <w:sz w:val="24"/>
              <w:szCs w:val="24"/>
              <w:highlight w:val="none"/>
            </w:rPr>
            <w:t>附</w:t>
          </w:r>
          <w:r>
            <w:rPr>
              <w:rFonts w:hint="default" w:ascii="Times New Roman" w:hAnsi="Times New Roman" w:eastAsia="黑体" w:cs="Times New Roman"/>
              <w:bCs/>
              <w:kern w:val="44"/>
              <w:sz w:val="24"/>
              <w:szCs w:val="24"/>
              <w:highlight w:val="none"/>
              <w:lang w:eastAsia="zh-CN"/>
            </w:rPr>
            <w:t>图</w:t>
          </w:r>
          <w:r>
            <w:rPr>
              <w:rFonts w:hint="default" w:ascii="Times New Roman" w:hAnsi="Times New Roman" w:eastAsia="黑体" w:cs="Times New Roman"/>
              <w:bCs/>
              <w:kern w:val="44"/>
              <w:sz w:val="24"/>
              <w:szCs w:val="24"/>
              <w:highlight w:val="none"/>
              <w:lang w:val="en-US" w:eastAsia="zh-CN"/>
            </w:rPr>
            <w:t>2本项目四至图</w:t>
          </w:r>
          <w:r>
            <w:rPr>
              <w:rFonts w:hint="default" w:ascii="Times New Roman" w:hAnsi="Times New Roman" w:eastAsia="黑体" w:cs="Times New Roman"/>
              <w:sz w:val="24"/>
              <w:szCs w:val="24"/>
              <w:highlight w:val="none"/>
            </w:rPr>
            <w:tab/>
          </w:r>
          <w:r>
            <w:rPr>
              <w:rFonts w:hint="default" w:ascii="Times New Roman" w:hAnsi="Times New Roman" w:eastAsia="黑体" w:cs="Times New Roman"/>
              <w:sz w:val="24"/>
              <w:szCs w:val="24"/>
              <w:highlight w:val="none"/>
            </w:rPr>
            <w:fldChar w:fldCharType="begin"/>
          </w:r>
          <w:r>
            <w:rPr>
              <w:rFonts w:hint="default" w:ascii="Times New Roman" w:hAnsi="Times New Roman" w:eastAsia="黑体" w:cs="Times New Roman"/>
              <w:sz w:val="24"/>
              <w:szCs w:val="24"/>
              <w:highlight w:val="none"/>
            </w:rPr>
            <w:instrText xml:space="preserve"> PAGEREF _Toc6698 \h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58</w:t>
          </w:r>
          <w:r>
            <w:rPr>
              <w:rFonts w:hint="default" w:ascii="Times New Roman" w:hAnsi="Times New Roman" w:eastAsia="黑体" w:cs="Times New Roman"/>
              <w:sz w:val="24"/>
              <w:szCs w:val="24"/>
              <w:highlight w:val="none"/>
            </w:rPr>
            <w:fldChar w:fldCharType="end"/>
          </w:r>
          <w:r>
            <w:rPr>
              <w:rFonts w:hint="default" w:ascii="Times New Roman" w:hAnsi="Times New Roman" w:eastAsia="黑体" w:cs="Times New Roman"/>
              <w:color w:val="auto"/>
              <w:sz w:val="24"/>
              <w:szCs w:val="24"/>
              <w:highlight w:val="none"/>
            </w:rPr>
            <w:fldChar w:fldCharType="end"/>
          </w:r>
        </w:p>
        <w:p w14:paraId="12870DDC">
          <w:pPr>
            <w:pStyle w:val="22"/>
            <w:keepNext w:val="0"/>
            <w:keepLines w:val="0"/>
            <w:pageBreakBefore w:val="0"/>
            <w:widowControl w:val="0"/>
            <w:tabs>
              <w:tab w:val="right" w:leader="dot" w:pos="8844"/>
            </w:tabs>
            <w:kinsoku/>
            <w:wordWrap/>
            <w:overflowPunct/>
            <w:topLinePunct w:val="0"/>
            <w:autoSpaceDE/>
            <w:autoSpaceDN/>
            <w:bidi w:val="0"/>
            <w:spacing w:line="360" w:lineRule="auto"/>
            <w:ind w:left="0" w:leftChars="0" w:firstLine="0"/>
            <w:textAlignment w:val="auto"/>
            <w:rPr>
              <w:rFonts w:hint="default" w:ascii="Times New Roman" w:hAnsi="Times New Roman" w:eastAsia="黑体" w:cs="Times New Roman"/>
              <w:sz w:val="24"/>
              <w:szCs w:val="24"/>
              <w:highlight w:val="none"/>
            </w:rPr>
          </w:pPr>
          <w:r>
            <w:rPr>
              <w:rFonts w:hint="default" w:ascii="Times New Roman" w:hAnsi="Times New Roman" w:eastAsia="黑体" w:cs="Times New Roman"/>
              <w:color w:val="auto"/>
              <w:sz w:val="24"/>
              <w:szCs w:val="24"/>
              <w:highlight w:val="none"/>
            </w:rPr>
            <w:fldChar w:fldCharType="begin"/>
          </w:r>
          <w:r>
            <w:rPr>
              <w:rFonts w:hint="default" w:ascii="Times New Roman" w:hAnsi="Times New Roman" w:eastAsia="黑体" w:cs="Times New Roman"/>
              <w:sz w:val="24"/>
              <w:szCs w:val="24"/>
              <w:highlight w:val="none"/>
            </w:rPr>
            <w:instrText xml:space="preserve"> HYPERLINK \l _Toc26385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bCs/>
              <w:kern w:val="44"/>
              <w:sz w:val="24"/>
              <w:szCs w:val="24"/>
              <w:highlight w:val="none"/>
            </w:rPr>
            <w:t>附</w:t>
          </w:r>
          <w:r>
            <w:rPr>
              <w:rFonts w:hint="default" w:ascii="Times New Roman" w:hAnsi="Times New Roman" w:eastAsia="黑体" w:cs="Times New Roman"/>
              <w:bCs/>
              <w:kern w:val="44"/>
              <w:sz w:val="24"/>
              <w:szCs w:val="24"/>
              <w:highlight w:val="none"/>
              <w:lang w:eastAsia="zh-CN"/>
            </w:rPr>
            <w:t>图</w:t>
          </w:r>
          <w:r>
            <w:rPr>
              <w:rFonts w:hint="default" w:ascii="Times New Roman" w:hAnsi="Times New Roman" w:eastAsia="黑体" w:cs="Times New Roman"/>
              <w:bCs/>
              <w:kern w:val="44"/>
              <w:sz w:val="24"/>
              <w:szCs w:val="24"/>
              <w:highlight w:val="none"/>
              <w:lang w:val="en-US" w:eastAsia="zh-CN"/>
            </w:rPr>
            <w:t>3</w:t>
          </w:r>
          <w:r>
            <w:rPr>
              <w:rFonts w:hint="default" w:ascii="Times New Roman" w:hAnsi="Times New Roman" w:eastAsia="黑体" w:cs="Times New Roman"/>
              <w:bCs/>
              <w:kern w:val="44"/>
              <w:sz w:val="24"/>
              <w:szCs w:val="24"/>
              <w:highlight w:val="none"/>
            </w:rPr>
            <w:t>平面布置示意图</w:t>
          </w:r>
          <w:r>
            <w:rPr>
              <w:rFonts w:hint="default" w:ascii="Times New Roman" w:hAnsi="Times New Roman" w:eastAsia="黑体" w:cs="Times New Roman"/>
              <w:sz w:val="24"/>
              <w:szCs w:val="24"/>
              <w:highlight w:val="none"/>
            </w:rPr>
            <w:tab/>
          </w:r>
          <w:r>
            <w:rPr>
              <w:rFonts w:hint="default" w:ascii="Times New Roman" w:hAnsi="Times New Roman" w:eastAsia="黑体" w:cs="Times New Roman"/>
              <w:sz w:val="24"/>
              <w:szCs w:val="24"/>
              <w:highlight w:val="none"/>
            </w:rPr>
            <w:fldChar w:fldCharType="begin"/>
          </w:r>
          <w:r>
            <w:rPr>
              <w:rFonts w:hint="default" w:ascii="Times New Roman" w:hAnsi="Times New Roman" w:eastAsia="黑体" w:cs="Times New Roman"/>
              <w:sz w:val="24"/>
              <w:szCs w:val="24"/>
              <w:highlight w:val="none"/>
            </w:rPr>
            <w:instrText xml:space="preserve"> PAGEREF _Toc26385 \h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59</w:t>
          </w:r>
          <w:r>
            <w:rPr>
              <w:rFonts w:hint="default" w:ascii="Times New Roman" w:hAnsi="Times New Roman" w:eastAsia="黑体" w:cs="Times New Roman"/>
              <w:sz w:val="24"/>
              <w:szCs w:val="24"/>
              <w:highlight w:val="none"/>
            </w:rPr>
            <w:fldChar w:fldCharType="end"/>
          </w:r>
          <w:r>
            <w:rPr>
              <w:rFonts w:hint="default" w:ascii="Times New Roman" w:hAnsi="Times New Roman" w:eastAsia="黑体" w:cs="Times New Roman"/>
              <w:color w:val="auto"/>
              <w:sz w:val="24"/>
              <w:szCs w:val="24"/>
              <w:highlight w:val="none"/>
            </w:rPr>
            <w:fldChar w:fldCharType="end"/>
          </w:r>
        </w:p>
        <w:p w14:paraId="3D29B568">
          <w:pPr>
            <w:pStyle w:val="22"/>
            <w:keepNext w:val="0"/>
            <w:keepLines w:val="0"/>
            <w:pageBreakBefore w:val="0"/>
            <w:widowControl w:val="0"/>
            <w:tabs>
              <w:tab w:val="right" w:leader="dot" w:pos="8844"/>
            </w:tabs>
            <w:kinsoku/>
            <w:wordWrap/>
            <w:overflowPunct/>
            <w:topLinePunct w:val="0"/>
            <w:autoSpaceDE/>
            <w:autoSpaceDN/>
            <w:bidi w:val="0"/>
            <w:spacing w:line="360" w:lineRule="auto"/>
            <w:ind w:left="0" w:leftChars="0" w:firstLine="0"/>
            <w:textAlignment w:val="auto"/>
            <w:rPr>
              <w:rFonts w:hint="default" w:ascii="Times New Roman" w:hAnsi="Times New Roman" w:eastAsia="黑体" w:cs="Times New Roman"/>
              <w:sz w:val="24"/>
              <w:szCs w:val="24"/>
              <w:highlight w:val="none"/>
            </w:rPr>
          </w:pPr>
          <w:r>
            <w:rPr>
              <w:rFonts w:hint="default" w:ascii="Times New Roman" w:hAnsi="Times New Roman" w:eastAsia="黑体" w:cs="Times New Roman"/>
              <w:color w:val="auto"/>
              <w:sz w:val="24"/>
              <w:szCs w:val="24"/>
              <w:highlight w:val="none"/>
            </w:rPr>
            <w:fldChar w:fldCharType="begin"/>
          </w:r>
          <w:r>
            <w:rPr>
              <w:rFonts w:hint="default" w:ascii="Times New Roman" w:hAnsi="Times New Roman" w:eastAsia="黑体" w:cs="Times New Roman"/>
              <w:sz w:val="24"/>
              <w:szCs w:val="24"/>
              <w:highlight w:val="none"/>
            </w:rPr>
            <w:instrText xml:space="preserve"> HYPERLINK \l _Toc20897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bCs/>
              <w:kern w:val="44"/>
              <w:sz w:val="24"/>
              <w:szCs w:val="24"/>
              <w:highlight w:val="none"/>
            </w:rPr>
            <w:t>附图</w:t>
          </w:r>
          <w:r>
            <w:rPr>
              <w:rFonts w:hint="default" w:ascii="Times New Roman" w:hAnsi="Times New Roman" w:eastAsia="黑体" w:cs="Times New Roman"/>
              <w:bCs/>
              <w:kern w:val="44"/>
              <w:sz w:val="24"/>
              <w:szCs w:val="24"/>
              <w:highlight w:val="none"/>
              <w:lang w:val="en-US" w:eastAsia="zh-CN"/>
            </w:rPr>
            <w:t>4供热管道示意图</w:t>
          </w:r>
          <w:r>
            <w:rPr>
              <w:rFonts w:hint="default" w:ascii="Times New Roman" w:hAnsi="Times New Roman" w:eastAsia="黑体" w:cs="Times New Roman"/>
              <w:sz w:val="24"/>
              <w:szCs w:val="24"/>
              <w:highlight w:val="none"/>
            </w:rPr>
            <w:tab/>
          </w:r>
          <w:r>
            <w:rPr>
              <w:rFonts w:hint="default" w:ascii="Times New Roman" w:hAnsi="Times New Roman" w:eastAsia="黑体" w:cs="Times New Roman"/>
              <w:sz w:val="24"/>
              <w:szCs w:val="24"/>
              <w:highlight w:val="none"/>
            </w:rPr>
            <w:fldChar w:fldCharType="begin"/>
          </w:r>
          <w:r>
            <w:rPr>
              <w:rFonts w:hint="default" w:ascii="Times New Roman" w:hAnsi="Times New Roman" w:eastAsia="黑体" w:cs="Times New Roman"/>
              <w:sz w:val="24"/>
              <w:szCs w:val="24"/>
              <w:highlight w:val="none"/>
            </w:rPr>
            <w:instrText xml:space="preserve"> PAGEREF _Toc20897 \h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60</w:t>
          </w:r>
          <w:r>
            <w:rPr>
              <w:rFonts w:hint="default" w:ascii="Times New Roman" w:hAnsi="Times New Roman" w:eastAsia="黑体" w:cs="Times New Roman"/>
              <w:sz w:val="24"/>
              <w:szCs w:val="24"/>
              <w:highlight w:val="none"/>
            </w:rPr>
            <w:fldChar w:fldCharType="end"/>
          </w:r>
          <w:r>
            <w:rPr>
              <w:rFonts w:hint="default" w:ascii="Times New Roman" w:hAnsi="Times New Roman" w:eastAsia="黑体" w:cs="Times New Roman"/>
              <w:color w:val="auto"/>
              <w:sz w:val="24"/>
              <w:szCs w:val="24"/>
              <w:highlight w:val="none"/>
            </w:rPr>
            <w:fldChar w:fldCharType="end"/>
          </w:r>
        </w:p>
        <w:p w14:paraId="408F4D4E">
          <w:pPr>
            <w:pStyle w:val="22"/>
            <w:keepNext w:val="0"/>
            <w:keepLines w:val="0"/>
            <w:pageBreakBefore w:val="0"/>
            <w:widowControl w:val="0"/>
            <w:tabs>
              <w:tab w:val="right" w:leader="dot" w:pos="8844"/>
            </w:tabs>
            <w:kinsoku/>
            <w:wordWrap/>
            <w:overflowPunct/>
            <w:topLinePunct w:val="0"/>
            <w:autoSpaceDE/>
            <w:autoSpaceDN/>
            <w:bidi w:val="0"/>
            <w:spacing w:line="360" w:lineRule="auto"/>
            <w:ind w:left="0" w:leftChars="0" w:firstLine="0"/>
            <w:textAlignment w:val="auto"/>
            <w:rPr>
              <w:rFonts w:hint="default" w:ascii="Times New Roman" w:hAnsi="Times New Roman" w:eastAsia="黑体" w:cs="Times New Roman"/>
              <w:sz w:val="24"/>
              <w:szCs w:val="24"/>
              <w:highlight w:val="none"/>
            </w:rPr>
          </w:pPr>
          <w:r>
            <w:rPr>
              <w:rFonts w:hint="default" w:ascii="Times New Roman" w:hAnsi="Times New Roman" w:eastAsia="黑体" w:cs="Times New Roman"/>
              <w:color w:val="auto"/>
              <w:sz w:val="24"/>
              <w:szCs w:val="24"/>
              <w:highlight w:val="none"/>
            </w:rPr>
            <w:fldChar w:fldCharType="begin"/>
          </w:r>
          <w:r>
            <w:rPr>
              <w:rFonts w:hint="default" w:ascii="Times New Roman" w:hAnsi="Times New Roman" w:eastAsia="黑体" w:cs="Times New Roman"/>
              <w:sz w:val="24"/>
              <w:szCs w:val="24"/>
              <w:highlight w:val="none"/>
            </w:rPr>
            <w:instrText xml:space="preserve"> HYPERLINK \l _Toc17280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bCs/>
              <w:kern w:val="44"/>
              <w:sz w:val="24"/>
              <w:szCs w:val="24"/>
              <w:highlight w:val="none"/>
            </w:rPr>
            <w:t>附图</w:t>
          </w:r>
          <w:r>
            <w:rPr>
              <w:rFonts w:hint="default" w:ascii="Times New Roman" w:hAnsi="Times New Roman" w:eastAsia="黑体" w:cs="Times New Roman"/>
              <w:bCs/>
              <w:kern w:val="44"/>
              <w:sz w:val="24"/>
              <w:szCs w:val="24"/>
              <w:highlight w:val="none"/>
              <w:lang w:val="en-US" w:eastAsia="zh-CN"/>
            </w:rPr>
            <w:t>5“三线一单”相符性分析图</w:t>
          </w:r>
          <w:r>
            <w:rPr>
              <w:rFonts w:hint="default" w:ascii="Times New Roman" w:hAnsi="Times New Roman" w:eastAsia="黑体" w:cs="Times New Roman"/>
              <w:sz w:val="24"/>
              <w:szCs w:val="24"/>
              <w:highlight w:val="none"/>
            </w:rPr>
            <w:tab/>
          </w:r>
          <w:r>
            <w:rPr>
              <w:rFonts w:hint="default" w:ascii="Times New Roman" w:hAnsi="Times New Roman" w:eastAsia="黑体" w:cs="Times New Roman"/>
              <w:sz w:val="24"/>
              <w:szCs w:val="24"/>
              <w:highlight w:val="none"/>
            </w:rPr>
            <w:fldChar w:fldCharType="begin"/>
          </w:r>
          <w:r>
            <w:rPr>
              <w:rFonts w:hint="default" w:ascii="Times New Roman" w:hAnsi="Times New Roman" w:eastAsia="黑体" w:cs="Times New Roman"/>
              <w:sz w:val="24"/>
              <w:szCs w:val="24"/>
              <w:highlight w:val="none"/>
            </w:rPr>
            <w:instrText xml:space="preserve"> PAGEREF _Toc17280 \h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61</w:t>
          </w:r>
          <w:r>
            <w:rPr>
              <w:rFonts w:hint="default" w:ascii="Times New Roman" w:hAnsi="Times New Roman" w:eastAsia="黑体" w:cs="Times New Roman"/>
              <w:sz w:val="24"/>
              <w:szCs w:val="24"/>
              <w:highlight w:val="none"/>
            </w:rPr>
            <w:fldChar w:fldCharType="end"/>
          </w:r>
          <w:r>
            <w:rPr>
              <w:rFonts w:hint="default" w:ascii="Times New Roman" w:hAnsi="Times New Roman" w:eastAsia="黑体" w:cs="Times New Roman"/>
              <w:color w:val="auto"/>
              <w:sz w:val="24"/>
              <w:szCs w:val="24"/>
              <w:highlight w:val="none"/>
            </w:rPr>
            <w:fldChar w:fldCharType="end"/>
          </w:r>
        </w:p>
        <w:p w14:paraId="03AE321E">
          <w:pPr>
            <w:pStyle w:val="22"/>
            <w:keepNext w:val="0"/>
            <w:keepLines w:val="0"/>
            <w:pageBreakBefore w:val="0"/>
            <w:widowControl w:val="0"/>
            <w:tabs>
              <w:tab w:val="right" w:leader="dot" w:pos="8844"/>
            </w:tabs>
            <w:kinsoku/>
            <w:wordWrap/>
            <w:overflowPunct/>
            <w:topLinePunct w:val="0"/>
            <w:autoSpaceDE/>
            <w:autoSpaceDN/>
            <w:bidi w:val="0"/>
            <w:spacing w:line="360" w:lineRule="auto"/>
            <w:ind w:left="0" w:leftChars="0" w:firstLine="0"/>
            <w:textAlignment w:val="auto"/>
            <w:rPr>
              <w:rFonts w:hint="default" w:ascii="Times New Roman" w:hAnsi="Times New Roman" w:eastAsia="黑体" w:cs="Times New Roman"/>
              <w:sz w:val="24"/>
              <w:szCs w:val="24"/>
              <w:highlight w:val="none"/>
            </w:rPr>
          </w:pPr>
          <w:r>
            <w:rPr>
              <w:rFonts w:hint="default" w:ascii="Times New Roman" w:hAnsi="Times New Roman" w:eastAsia="黑体" w:cs="Times New Roman"/>
              <w:color w:val="auto"/>
              <w:sz w:val="24"/>
              <w:szCs w:val="24"/>
              <w:highlight w:val="none"/>
            </w:rPr>
            <w:fldChar w:fldCharType="begin"/>
          </w:r>
          <w:r>
            <w:rPr>
              <w:rFonts w:hint="default" w:ascii="Times New Roman" w:hAnsi="Times New Roman" w:eastAsia="黑体" w:cs="Times New Roman"/>
              <w:sz w:val="24"/>
              <w:szCs w:val="24"/>
              <w:highlight w:val="none"/>
            </w:rPr>
            <w:instrText xml:space="preserve"> HYPERLINK \l _Toc12963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bCs/>
              <w:kern w:val="44"/>
              <w:sz w:val="24"/>
              <w:szCs w:val="24"/>
              <w:highlight w:val="none"/>
            </w:rPr>
            <w:t>附</w:t>
          </w:r>
          <w:r>
            <w:rPr>
              <w:rFonts w:hint="default" w:ascii="Times New Roman" w:hAnsi="Times New Roman" w:eastAsia="黑体" w:cs="Times New Roman"/>
              <w:bCs/>
              <w:kern w:val="44"/>
              <w:sz w:val="24"/>
              <w:szCs w:val="24"/>
              <w:highlight w:val="none"/>
              <w:lang w:eastAsia="zh-CN"/>
            </w:rPr>
            <w:t>图</w:t>
          </w:r>
          <w:r>
            <w:rPr>
              <w:rFonts w:hint="default" w:ascii="Times New Roman" w:hAnsi="Times New Roman" w:eastAsia="黑体" w:cs="Times New Roman"/>
              <w:bCs/>
              <w:kern w:val="44"/>
              <w:sz w:val="24"/>
              <w:szCs w:val="24"/>
              <w:highlight w:val="none"/>
              <w:lang w:val="en-US" w:eastAsia="zh-CN"/>
            </w:rPr>
            <w:t>6</w:t>
          </w:r>
          <w:r>
            <w:rPr>
              <w:rFonts w:hint="default" w:ascii="Times New Roman" w:hAnsi="Times New Roman" w:eastAsia="黑体" w:cs="Times New Roman"/>
              <w:bCs/>
              <w:kern w:val="44"/>
              <w:sz w:val="24"/>
              <w:szCs w:val="24"/>
              <w:highlight w:val="none"/>
            </w:rPr>
            <w:t>环境保护目标分布图</w:t>
          </w:r>
          <w:r>
            <w:rPr>
              <w:rFonts w:hint="default" w:ascii="Times New Roman" w:hAnsi="Times New Roman" w:eastAsia="黑体" w:cs="Times New Roman"/>
              <w:sz w:val="24"/>
              <w:szCs w:val="24"/>
              <w:highlight w:val="none"/>
            </w:rPr>
            <w:tab/>
          </w:r>
          <w:r>
            <w:rPr>
              <w:rFonts w:hint="default" w:ascii="Times New Roman" w:hAnsi="Times New Roman" w:eastAsia="黑体" w:cs="Times New Roman"/>
              <w:sz w:val="24"/>
              <w:szCs w:val="24"/>
              <w:highlight w:val="none"/>
            </w:rPr>
            <w:fldChar w:fldCharType="begin"/>
          </w:r>
          <w:r>
            <w:rPr>
              <w:rFonts w:hint="default" w:ascii="Times New Roman" w:hAnsi="Times New Roman" w:eastAsia="黑体" w:cs="Times New Roman"/>
              <w:sz w:val="24"/>
              <w:szCs w:val="24"/>
              <w:highlight w:val="none"/>
            </w:rPr>
            <w:instrText xml:space="preserve"> PAGEREF _Toc12963 \h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66</w:t>
          </w:r>
          <w:r>
            <w:rPr>
              <w:rFonts w:hint="default" w:ascii="Times New Roman" w:hAnsi="Times New Roman" w:eastAsia="黑体" w:cs="Times New Roman"/>
              <w:sz w:val="24"/>
              <w:szCs w:val="24"/>
              <w:highlight w:val="none"/>
            </w:rPr>
            <w:fldChar w:fldCharType="end"/>
          </w:r>
          <w:r>
            <w:rPr>
              <w:rFonts w:hint="default" w:ascii="Times New Roman" w:hAnsi="Times New Roman" w:eastAsia="黑体" w:cs="Times New Roman"/>
              <w:color w:val="auto"/>
              <w:sz w:val="24"/>
              <w:szCs w:val="24"/>
              <w:highlight w:val="none"/>
            </w:rPr>
            <w:fldChar w:fldCharType="end"/>
          </w:r>
        </w:p>
        <w:p w14:paraId="0B9E31AD">
          <w:pPr>
            <w:pStyle w:val="22"/>
            <w:keepNext w:val="0"/>
            <w:keepLines w:val="0"/>
            <w:pageBreakBefore w:val="0"/>
            <w:widowControl w:val="0"/>
            <w:tabs>
              <w:tab w:val="right" w:leader="dot" w:pos="8844"/>
            </w:tabs>
            <w:kinsoku/>
            <w:wordWrap/>
            <w:overflowPunct/>
            <w:topLinePunct w:val="0"/>
            <w:autoSpaceDE/>
            <w:autoSpaceDN/>
            <w:bidi w:val="0"/>
            <w:spacing w:line="360" w:lineRule="auto"/>
            <w:ind w:left="0" w:leftChars="0" w:firstLine="0"/>
            <w:textAlignment w:val="auto"/>
            <w:rPr>
              <w:rFonts w:hint="default" w:ascii="Times New Roman" w:hAnsi="Times New Roman" w:eastAsia="黑体" w:cs="Times New Roman"/>
              <w:sz w:val="24"/>
              <w:szCs w:val="24"/>
              <w:highlight w:val="none"/>
            </w:rPr>
          </w:pPr>
          <w:r>
            <w:rPr>
              <w:rFonts w:hint="default" w:ascii="Times New Roman" w:hAnsi="Times New Roman" w:eastAsia="黑体" w:cs="Times New Roman"/>
              <w:color w:val="auto"/>
              <w:sz w:val="24"/>
              <w:szCs w:val="24"/>
              <w:highlight w:val="none"/>
            </w:rPr>
            <w:fldChar w:fldCharType="begin"/>
          </w:r>
          <w:r>
            <w:rPr>
              <w:rFonts w:hint="default" w:ascii="Times New Roman" w:hAnsi="Times New Roman" w:eastAsia="黑体" w:cs="Times New Roman"/>
              <w:sz w:val="24"/>
              <w:szCs w:val="24"/>
              <w:highlight w:val="none"/>
            </w:rPr>
            <w:instrText xml:space="preserve"> HYPERLINK \l _Toc2002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bCs/>
              <w:snapToGrid w:val="0"/>
              <w:sz w:val="24"/>
              <w:szCs w:val="24"/>
              <w:highlight w:val="none"/>
              <w:lang w:val="en-US" w:eastAsia="zh-CN"/>
            </w:rPr>
            <w:t>附件1项目备案证</w:t>
          </w:r>
          <w:r>
            <w:rPr>
              <w:rFonts w:hint="default" w:ascii="Times New Roman" w:hAnsi="Times New Roman" w:eastAsia="黑体" w:cs="Times New Roman"/>
              <w:sz w:val="24"/>
              <w:szCs w:val="24"/>
              <w:highlight w:val="none"/>
            </w:rPr>
            <w:tab/>
          </w:r>
          <w:r>
            <w:rPr>
              <w:rFonts w:hint="default" w:ascii="Times New Roman" w:hAnsi="Times New Roman" w:eastAsia="黑体" w:cs="Times New Roman"/>
              <w:sz w:val="24"/>
              <w:szCs w:val="24"/>
              <w:highlight w:val="none"/>
            </w:rPr>
            <w:fldChar w:fldCharType="begin"/>
          </w:r>
          <w:r>
            <w:rPr>
              <w:rFonts w:hint="default" w:ascii="Times New Roman" w:hAnsi="Times New Roman" w:eastAsia="黑体" w:cs="Times New Roman"/>
              <w:sz w:val="24"/>
              <w:szCs w:val="24"/>
              <w:highlight w:val="none"/>
            </w:rPr>
            <w:instrText xml:space="preserve"> PAGEREF _Toc2002 \h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67</w:t>
          </w:r>
          <w:r>
            <w:rPr>
              <w:rFonts w:hint="default" w:ascii="Times New Roman" w:hAnsi="Times New Roman" w:eastAsia="黑体" w:cs="Times New Roman"/>
              <w:sz w:val="24"/>
              <w:szCs w:val="24"/>
              <w:highlight w:val="none"/>
            </w:rPr>
            <w:fldChar w:fldCharType="end"/>
          </w:r>
          <w:r>
            <w:rPr>
              <w:rFonts w:hint="default" w:ascii="Times New Roman" w:hAnsi="Times New Roman" w:eastAsia="黑体" w:cs="Times New Roman"/>
              <w:color w:val="auto"/>
              <w:sz w:val="24"/>
              <w:szCs w:val="24"/>
              <w:highlight w:val="none"/>
            </w:rPr>
            <w:fldChar w:fldCharType="end"/>
          </w:r>
        </w:p>
        <w:p w14:paraId="62408CE6">
          <w:pPr>
            <w:pStyle w:val="22"/>
            <w:keepNext w:val="0"/>
            <w:keepLines w:val="0"/>
            <w:pageBreakBefore w:val="0"/>
            <w:widowControl w:val="0"/>
            <w:tabs>
              <w:tab w:val="right" w:leader="dot" w:pos="8844"/>
            </w:tabs>
            <w:kinsoku/>
            <w:wordWrap/>
            <w:overflowPunct/>
            <w:topLinePunct w:val="0"/>
            <w:autoSpaceDE/>
            <w:autoSpaceDN/>
            <w:bidi w:val="0"/>
            <w:spacing w:line="360" w:lineRule="auto"/>
            <w:ind w:left="0" w:leftChars="0" w:firstLine="0"/>
            <w:textAlignment w:val="auto"/>
            <w:rPr>
              <w:rFonts w:hint="default" w:ascii="Times New Roman" w:hAnsi="Times New Roman" w:eastAsia="黑体" w:cs="Times New Roman"/>
              <w:sz w:val="24"/>
              <w:szCs w:val="24"/>
              <w:highlight w:val="none"/>
            </w:rPr>
          </w:pPr>
          <w:r>
            <w:rPr>
              <w:rFonts w:hint="default" w:ascii="Times New Roman" w:hAnsi="Times New Roman" w:eastAsia="黑体" w:cs="Times New Roman"/>
              <w:color w:val="auto"/>
              <w:sz w:val="24"/>
              <w:szCs w:val="24"/>
              <w:highlight w:val="none"/>
            </w:rPr>
            <w:fldChar w:fldCharType="begin"/>
          </w:r>
          <w:r>
            <w:rPr>
              <w:rFonts w:hint="default" w:ascii="Times New Roman" w:hAnsi="Times New Roman" w:eastAsia="黑体" w:cs="Times New Roman"/>
              <w:sz w:val="24"/>
              <w:szCs w:val="24"/>
              <w:highlight w:val="none"/>
            </w:rPr>
            <w:instrText xml:space="preserve"> HYPERLINK \l _Toc10800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bCs/>
              <w:snapToGrid w:val="0"/>
              <w:sz w:val="24"/>
              <w:szCs w:val="24"/>
              <w:highlight w:val="none"/>
              <w:lang w:val="en-US" w:eastAsia="zh-CN"/>
            </w:rPr>
            <w:t>附件2关于《关于申请先行办理粤湘产业工业园集中供热项目环评手续的请示》的复函</w:t>
          </w:r>
          <w:r>
            <w:rPr>
              <w:rFonts w:hint="default" w:ascii="Times New Roman" w:hAnsi="Times New Roman" w:eastAsia="黑体" w:cs="Times New Roman"/>
              <w:sz w:val="24"/>
              <w:szCs w:val="24"/>
              <w:highlight w:val="none"/>
            </w:rPr>
            <w:tab/>
          </w:r>
          <w:r>
            <w:rPr>
              <w:rFonts w:hint="default" w:ascii="Times New Roman" w:hAnsi="Times New Roman" w:eastAsia="黑体" w:cs="Times New Roman"/>
              <w:sz w:val="24"/>
              <w:szCs w:val="24"/>
              <w:highlight w:val="none"/>
            </w:rPr>
            <w:fldChar w:fldCharType="begin"/>
          </w:r>
          <w:r>
            <w:rPr>
              <w:rFonts w:hint="default" w:ascii="Times New Roman" w:hAnsi="Times New Roman" w:eastAsia="黑体" w:cs="Times New Roman"/>
              <w:sz w:val="24"/>
              <w:szCs w:val="24"/>
              <w:highlight w:val="none"/>
            </w:rPr>
            <w:instrText xml:space="preserve"> PAGEREF _Toc10800 \h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68</w:t>
          </w:r>
          <w:r>
            <w:rPr>
              <w:rFonts w:hint="default" w:ascii="Times New Roman" w:hAnsi="Times New Roman" w:eastAsia="黑体" w:cs="Times New Roman"/>
              <w:sz w:val="24"/>
              <w:szCs w:val="24"/>
              <w:highlight w:val="none"/>
            </w:rPr>
            <w:fldChar w:fldCharType="end"/>
          </w:r>
          <w:r>
            <w:rPr>
              <w:rFonts w:hint="default" w:ascii="Times New Roman" w:hAnsi="Times New Roman" w:eastAsia="黑体" w:cs="Times New Roman"/>
              <w:color w:val="auto"/>
              <w:sz w:val="24"/>
              <w:szCs w:val="24"/>
              <w:highlight w:val="none"/>
            </w:rPr>
            <w:fldChar w:fldCharType="end"/>
          </w:r>
        </w:p>
        <w:p w14:paraId="43F1D1AA">
          <w:pPr>
            <w:pStyle w:val="22"/>
            <w:keepNext w:val="0"/>
            <w:keepLines w:val="0"/>
            <w:pageBreakBefore w:val="0"/>
            <w:widowControl w:val="0"/>
            <w:tabs>
              <w:tab w:val="right" w:leader="dot" w:pos="8844"/>
            </w:tabs>
            <w:kinsoku/>
            <w:wordWrap/>
            <w:overflowPunct/>
            <w:topLinePunct w:val="0"/>
            <w:autoSpaceDE/>
            <w:autoSpaceDN/>
            <w:bidi w:val="0"/>
            <w:spacing w:line="360" w:lineRule="auto"/>
            <w:ind w:left="0" w:leftChars="0" w:firstLine="0"/>
            <w:textAlignment w:val="auto"/>
            <w:rPr>
              <w:rFonts w:hint="default" w:ascii="Times New Roman" w:hAnsi="Times New Roman" w:eastAsia="黑体" w:cs="Times New Roman"/>
              <w:sz w:val="24"/>
              <w:szCs w:val="24"/>
              <w:highlight w:val="none"/>
            </w:rPr>
          </w:pPr>
          <w:r>
            <w:rPr>
              <w:rFonts w:hint="default" w:ascii="Times New Roman" w:hAnsi="Times New Roman" w:eastAsia="黑体" w:cs="Times New Roman"/>
              <w:color w:val="auto"/>
              <w:sz w:val="24"/>
              <w:szCs w:val="24"/>
              <w:highlight w:val="none"/>
            </w:rPr>
            <w:fldChar w:fldCharType="begin"/>
          </w:r>
          <w:r>
            <w:rPr>
              <w:rFonts w:hint="default" w:ascii="Times New Roman" w:hAnsi="Times New Roman" w:eastAsia="黑体" w:cs="Times New Roman"/>
              <w:sz w:val="24"/>
              <w:szCs w:val="24"/>
              <w:highlight w:val="none"/>
            </w:rPr>
            <w:instrText xml:space="preserve"> HYPERLINK \l _Toc65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bCs/>
              <w:snapToGrid w:val="0"/>
              <w:sz w:val="24"/>
              <w:szCs w:val="24"/>
              <w:highlight w:val="none"/>
              <w:lang w:val="en-US" w:eastAsia="zh-CN"/>
            </w:rPr>
            <w:t>附件3总量复函</w:t>
          </w:r>
          <w:r>
            <w:rPr>
              <w:rFonts w:hint="default" w:ascii="Times New Roman" w:hAnsi="Times New Roman" w:eastAsia="黑体" w:cs="Times New Roman"/>
              <w:sz w:val="24"/>
              <w:szCs w:val="24"/>
              <w:highlight w:val="none"/>
            </w:rPr>
            <w:tab/>
          </w:r>
          <w:r>
            <w:rPr>
              <w:rFonts w:hint="default" w:ascii="Times New Roman" w:hAnsi="Times New Roman" w:eastAsia="黑体" w:cs="Times New Roman"/>
              <w:sz w:val="24"/>
              <w:szCs w:val="24"/>
              <w:highlight w:val="none"/>
            </w:rPr>
            <w:fldChar w:fldCharType="begin"/>
          </w:r>
          <w:r>
            <w:rPr>
              <w:rFonts w:hint="default" w:ascii="Times New Roman" w:hAnsi="Times New Roman" w:eastAsia="黑体" w:cs="Times New Roman"/>
              <w:sz w:val="24"/>
              <w:szCs w:val="24"/>
              <w:highlight w:val="none"/>
            </w:rPr>
            <w:instrText xml:space="preserve"> PAGEREF _Toc65 \h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70</w:t>
          </w:r>
          <w:r>
            <w:rPr>
              <w:rFonts w:hint="default" w:ascii="Times New Roman" w:hAnsi="Times New Roman" w:eastAsia="黑体" w:cs="Times New Roman"/>
              <w:sz w:val="24"/>
              <w:szCs w:val="24"/>
              <w:highlight w:val="none"/>
            </w:rPr>
            <w:fldChar w:fldCharType="end"/>
          </w:r>
          <w:r>
            <w:rPr>
              <w:rFonts w:hint="default" w:ascii="Times New Roman" w:hAnsi="Times New Roman" w:eastAsia="黑体" w:cs="Times New Roman"/>
              <w:color w:val="auto"/>
              <w:sz w:val="24"/>
              <w:szCs w:val="24"/>
              <w:highlight w:val="none"/>
            </w:rPr>
            <w:fldChar w:fldCharType="end"/>
          </w:r>
        </w:p>
        <w:p w14:paraId="415A28C2">
          <w:pPr>
            <w:pStyle w:val="22"/>
            <w:keepNext w:val="0"/>
            <w:keepLines w:val="0"/>
            <w:pageBreakBefore w:val="0"/>
            <w:widowControl w:val="0"/>
            <w:tabs>
              <w:tab w:val="right" w:leader="dot" w:pos="8844"/>
            </w:tabs>
            <w:kinsoku/>
            <w:wordWrap/>
            <w:overflowPunct/>
            <w:topLinePunct w:val="0"/>
            <w:autoSpaceDE/>
            <w:autoSpaceDN/>
            <w:bidi w:val="0"/>
            <w:spacing w:line="360" w:lineRule="auto"/>
            <w:ind w:left="0" w:leftChars="0" w:firstLine="0"/>
            <w:textAlignment w:val="auto"/>
            <w:rPr>
              <w:rFonts w:hint="default" w:ascii="Times New Roman" w:hAnsi="Times New Roman" w:eastAsia="黑体" w:cs="Times New Roman"/>
              <w:sz w:val="24"/>
              <w:szCs w:val="24"/>
              <w:highlight w:val="none"/>
            </w:rPr>
          </w:pPr>
          <w:r>
            <w:rPr>
              <w:rFonts w:hint="default" w:ascii="Times New Roman" w:hAnsi="Times New Roman" w:eastAsia="黑体" w:cs="Times New Roman"/>
              <w:color w:val="auto"/>
              <w:sz w:val="24"/>
              <w:szCs w:val="24"/>
              <w:highlight w:val="none"/>
            </w:rPr>
            <w:fldChar w:fldCharType="begin"/>
          </w:r>
          <w:r>
            <w:rPr>
              <w:rFonts w:hint="default" w:ascii="Times New Roman" w:hAnsi="Times New Roman" w:eastAsia="黑体" w:cs="Times New Roman"/>
              <w:sz w:val="24"/>
              <w:szCs w:val="24"/>
              <w:highlight w:val="none"/>
            </w:rPr>
            <w:instrText xml:space="preserve"> HYPERLINK \l _Toc7611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napToGrid w:val="0"/>
              <w:sz w:val="24"/>
              <w:szCs w:val="24"/>
              <w:highlight w:val="none"/>
            </w:rPr>
            <w:t>附表</w:t>
          </w:r>
          <w:r>
            <w:rPr>
              <w:rFonts w:hint="default" w:ascii="Times New Roman" w:hAnsi="Times New Roman" w:eastAsia="黑体" w:cs="Times New Roman"/>
              <w:sz w:val="24"/>
              <w:szCs w:val="24"/>
              <w:highlight w:val="none"/>
            </w:rPr>
            <w:tab/>
          </w:r>
          <w:r>
            <w:rPr>
              <w:rFonts w:hint="default" w:ascii="Times New Roman" w:hAnsi="Times New Roman" w:eastAsia="黑体" w:cs="Times New Roman"/>
              <w:sz w:val="24"/>
              <w:szCs w:val="24"/>
              <w:highlight w:val="none"/>
            </w:rPr>
            <w:fldChar w:fldCharType="begin"/>
          </w:r>
          <w:r>
            <w:rPr>
              <w:rFonts w:hint="default" w:ascii="Times New Roman" w:hAnsi="Times New Roman" w:eastAsia="黑体" w:cs="Times New Roman"/>
              <w:sz w:val="24"/>
              <w:szCs w:val="24"/>
              <w:highlight w:val="none"/>
            </w:rPr>
            <w:instrText xml:space="preserve"> PAGEREF _Toc7611 \h </w:instrText>
          </w:r>
          <w:r>
            <w:rPr>
              <w:rFonts w:hint="default" w:ascii="Times New Roman" w:hAnsi="Times New Roman" w:eastAsia="黑体" w:cs="Times New Roman"/>
              <w:sz w:val="24"/>
              <w:szCs w:val="24"/>
              <w:highlight w:val="none"/>
            </w:rPr>
            <w:fldChar w:fldCharType="separate"/>
          </w:r>
          <w:r>
            <w:rPr>
              <w:rFonts w:hint="default" w:ascii="Times New Roman" w:hAnsi="Times New Roman" w:eastAsia="黑体" w:cs="Times New Roman"/>
              <w:sz w:val="24"/>
              <w:szCs w:val="24"/>
              <w:highlight w:val="none"/>
            </w:rPr>
            <w:t>71</w:t>
          </w:r>
          <w:r>
            <w:rPr>
              <w:rFonts w:hint="default" w:ascii="Times New Roman" w:hAnsi="Times New Roman" w:eastAsia="黑体" w:cs="Times New Roman"/>
              <w:sz w:val="24"/>
              <w:szCs w:val="24"/>
              <w:highlight w:val="none"/>
            </w:rPr>
            <w:fldChar w:fldCharType="end"/>
          </w:r>
          <w:r>
            <w:rPr>
              <w:rFonts w:hint="default" w:ascii="Times New Roman" w:hAnsi="Times New Roman" w:eastAsia="黑体" w:cs="Times New Roman"/>
              <w:color w:val="auto"/>
              <w:sz w:val="24"/>
              <w:szCs w:val="24"/>
              <w:highlight w:val="none"/>
            </w:rPr>
            <w:fldChar w:fldCharType="end"/>
          </w:r>
        </w:p>
        <w:p w14:paraId="2B1404C9">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textAlignment w:val="auto"/>
            <w:rPr>
              <w:rFonts w:hint="eastAsia" w:ascii="黑体" w:hAnsi="黑体" w:eastAsia="黑体" w:cs="黑体"/>
              <w:color w:val="auto"/>
              <w:kern w:val="2"/>
              <w:sz w:val="28"/>
              <w:szCs w:val="28"/>
              <w:highlight w:val="none"/>
              <w:lang w:val="en-US" w:eastAsia="zh-CN" w:bidi="ar-SA"/>
            </w:rPr>
          </w:pPr>
          <w:r>
            <w:rPr>
              <w:rFonts w:hint="default" w:ascii="Times New Roman" w:hAnsi="Times New Roman" w:eastAsia="黑体" w:cs="Times New Roman"/>
              <w:color w:val="auto"/>
              <w:sz w:val="24"/>
              <w:szCs w:val="24"/>
              <w:highlight w:val="none"/>
            </w:rPr>
            <w:fldChar w:fldCharType="end"/>
          </w:r>
        </w:p>
      </w:sdtContent>
    </w:sdt>
    <w:p w14:paraId="02C4EE9A">
      <w:pPr>
        <w:pStyle w:val="41"/>
        <w:rPr>
          <w:highlight w:val="none"/>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36E4AB78">
      <w:pPr>
        <w:pStyle w:val="2"/>
        <w:jc w:val="center"/>
        <w:rPr>
          <w:rFonts w:hint="eastAsia" w:ascii="宋体" w:hAnsi="宋体" w:eastAsia="宋体" w:cs="宋体"/>
          <w:sz w:val="36"/>
          <w:szCs w:val="36"/>
          <w:highlight w:val="none"/>
        </w:rPr>
      </w:pPr>
      <w:r>
        <w:rPr>
          <w:rFonts w:hint="eastAsia" w:ascii="宋体" w:hAnsi="宋体" w:eastAsia="宋体" w:cs="宋体"/>
          <w:sz w:val="36"/>
          <w:szCs w:val="36"/>
          <w:highlight w:val="none"/>
          <w:lang w:val="en-US" w:eastAsia="zh-CN"/>
        </w:rPr>
        <w:t xml:space="preserve"> </w:t>
      </w:r>
      <w:bookmarkStart w:id="9" w:name="_Toc25831"/>
      <w:bookmarkStart w:id="10" w:name="_Toc9223"/>
      <w:r>
        <w:rPr>
          <w:rFonts w:hint="eastAsia" w:ascii="宋体" w:hAnsi="宋体" w:eastAsia="宋体" w:cs="宋体"/>
          <w:sz w:val="36"/>
          <w:szCs w:val="36"/>
          <w:highlight w:val="none"/>
        </w:rPr>
        <w:t>一、建设项目基本情况</w:t>
      </w:r>
      <w:bookmarkEnd w:id="9"/>
      <w:bookmarkEnd w:id="10"/>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716"/>
        <w:gridCol w:w="2096"/>
        <w:gridCol w:w="2048"/>
        <w:gridCol w:w="3010"/>
      </w:tblGrid>
      <w:tr w14:paraId="4E72F7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13" w:type="dxa"/>
            <w:tcMar>
              <w:top w:w="16" w:type="dxa"/>
              <w:left w:w="16" w:type="dxa"/>
              <w:right w:w="16" w:type="dxa"/>
            </w:tcMar>
            <w:vAlign w:val="center"/>
          </w:tcPr>
          <w:p w14:paraId="7F3A8F3A">
            <w:pPr>
              <w:adjustRightInd w:val="0"/>
              <w:snapToGrid w:val="0"/>
              <w:jc w:val="center"/>
              <w:rPr>
                <w:color w:val="auto"/>
                <w:sz w:val="24"/>
                <w:szCs w:val="24"/>
                <w:highlight w:val="none"/>
              </w:rPr>
            </w:pPr>
            <w:r>
              <w:rPr>
                <w:color w:val="auto"/>
                <w:sz w:val="24"/>
                <w:szCs w:val="24"/>
                <w:highlight w:val="none"/>
              </w:rPr>
              <w:t>建设项目名称</w:t>
            </w:r>
          </w:p>
        </w:tc>
        <w:tc>
          <w:tcPr>
            <w:tcW w:w="6957" w:type="dxa"/>
            <w:gridSpan w:val="3"/>
            <w:vAlign w:val="center"/>
          </w:tcPr>
          <w:p w14:paraId="3F053231">
            <w:pPr>
              <w:adjustRightInd w:val="0"/>
              <w:snapToGrid w:val="0"/>
              <w:jc w:val="center"/>
              <w:rPr>
                <w:rFonts w:hint="eastAsia" w:eastAsia="宋体"/>
                <w:color w:val="auto"/>
                <w:sz w:val="24"/>
                <w:szCs w:val="24"/>
                <w:highlight w:val="none"/>
                <w:lang w:eastAsia="zh-CN"/>
              </w:rPr>
            </w:pPr>
            <w:r>
              <w:rPr>
                <w:rFonts w:hint="eastAsia" w:eastAsia="宋体"/>
                <w:color w:val="auto"/>
                <w:sz w:val="24"/>
                <w:szCs w:val="24"/>
                <w:highlight w:val="none"/>
                <w:lang w:eastAsia="zh-CN"/>
              </w:rPr>
              <w:t>粤湘产业工业园集中供热项目</w:t>
            </w:r>
          </w:p>
        </w:tc>
      </w:tr>
      <w:tr w14:paraId="7EFD23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13" w:type="dxa"/>
            <w:tcMar>
              <w:top w:w="16" w:type="dxa"/>
              <w:left w:w="16" w:type="dxa"/>
              <w:right w:w="16" w:type="dxa"/>
            </w:tcMar>
            <w:vAlign w:val="center"/>
          </w:tcPr>
          <w:p w14:paraId="34812E34">
            <w:pPr>
              <w:adjustRightInd w:val="0"/>
              <w:snapToGrid w:val="0"/>
              <w:jc w:val="center"/>
              <w:rPr>
                <w:color w:val="auto"/>
                <w:sz w:val="24"/>
                <w:szCs w:val="24"/>
                <w:highlight w:val="none"/>
              </w:rPr>
            </w:pPr>
            <w:r>
              <w:rPr>
                <w:color w:val="auto"/>
                <w:sz w:val="24"/>
                <w:szCs w:val="24"/>
                <w:highlight w:val="none"/>
              </w:rPr>
              <w:t>项目代码</w:t>
            </w:r>
          </w:p>
        </w:tc>
        <w:tc>
          <w:tcPr>
            <w:tcW w:w="6957" w:type="dxa"/>
            <w:gridSpan w:val="3"/>
            <w:vAlign w:val="center"/>
          </w:tcPr>
          <w:p w14:paraId="20025244">
            <w:pPr>
              <w:adjustRightInd w:val="0"/>
              <w:snapToGrid w:val="0"/>
              <w:jc w:val="center"/>
              <w:rPr>
                <w:rFonts w:hint="default" w:eastAsia="宋体"/>
                <w:color w:val="auto"/>
                <w:sz w:val="24"/>
                <w:szCs w:val="24"/>
                <w:highlight w:val="none"/>
                <w:lang w:val="en-US" w:eastAsia="zh-CN"/>
              </w:rPr>
            </w:pPr>
            <w:r>
              <w:rPr>
                <w:rFonts w:hint="default" w:eastAsia="宋体"/>
                <w:color w:val="auto"/>
                <w:sz w:val="24"/>
                <w:szCs w:val="24"/>
                <w:highlight w:val="none"/>
                <w:lang w:val="en-US" w:eastAsia="zh-CN"/>
              </w:rPr>
              <w:t>2501-440281-04-01-450503</w:t>
            </w:r>
          </w:p>
        </w:tc>
      </w:tr>
      <w:tr w14:paraId="55E1EF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13" w:type="dxa"/>
            <w:tcMar>
              <w:top w:w="16" w:type="dxa"/>
              <w:left w:w="16" w:type="dxa"/>
              <w:right w:w="16" w:type="dxa"/>
            </w:tcMar>
            <w:vAlign w:val="center"/>
          </w:tcPr>
          <w:p w14:paraId="1C327DE2">
            <w:pPr>
              <w:adjustRightInd w:val="0"/>
              <w:snapToGrid w:val="0"/>
              <w:jc w:val="center"/>
              <w:rPr>
                <w:color w:val="auto"/>
                <w:sz w:val="24"/>
                <w:szCs w:val="24"/>
                <w:highlight w:val="none"/>
              </w:rPr>
            </w:pPr>
            <w:r>
              <w:rPr>
                <w:color w:val="auto"/>
                <w:sz w:val="24"/>
                <w:szCs w:val="24"/>
                <w:highlight w:val="none"/>
              </w:rPr>
              <w:t>建设单位联系人</w:t>
            </w:r>
          </w:p>
        </w:tc>
        <w:tc>
          <w:tcPr>
            <w:tcW w:w="2106" w:type="dxa"/>
            <w:vAlign w:val="center"/>
          </w:tcPr>
          <w:p w14:paraId="7E00491F">
            <w:pPr>
              <w:adjustRightInd w:val="0"/>
              <w:snapToGrid w:val="0"/>
              <w:jc w:val="center"/>
              <w:rPr>
                <w:rFonts w:hint="default" w:eastAsia="宋体"/>
                <w:color w:val="auto"/>
                <w:sz w:val="24"/>
                <w:szCs w:val="24"/>
                <w:highlight w:val="none"/>
                <w:lang w:val="en-US" w:eastAsia="zh-CN"/>
              </w:rPr>
            </w:pPr>
            <w:r>
              <w:rPr>
                <w:rFonts w:hint="default" w:eastAsia="宋体"/>
                <w:color w:val="auto"/>
                <w:sz w:val="24"/>
                <w:szCs w:val="24"/>
                <w:highlight w:val="none"/>
                <w:lang w:val="en-US" w:eastAsia="zh-CN"/>
              </w:rPr>
              <w:t>黄迪</w:t>
            </w:r>
          </w:p>
        </w:tc>
        <w:tc>
          <w:tcPr>
            <w:tcW w:w="2051" w:type="dxa"/>
            <w:vAlign w:val="center"/>
          </w:tcPr>
          <w:p w14:paraId="72F3909A">
            <w:pPr>
              <w:adjustRightInd w:val="0"/>
              <w:snapToGrid w:val="0"/>
              <w:jc w:val="center"/>
              <w:rPr>
                <w:color w:val="auto"/>
                <w:sz w:val="24"/>
                <w:szCs w:val="24"/>
                <w:highlight w:val="none"/>
              </w:rPr>
            </w:pPr>
            <w:r>
              <w:rPr>
                <w:color w:val="auto"/>
                <w:sz w:val="24"/>
                <w:szCs w:val="24"/>
                <w:highlight w:val="none"/>
              </w:rPr>
              <w:t>联系方式</w:t>
            </w:r>
          </w:p>
        </w:tc>
        <w:tc>
          <w:tcPr>
            <w:tcW w:w="2800" w:type="dxa"/>
            <w:vAlign w:val="center"/>
          </w:tcPr>
          <w:p w14:paraId="248D27EF">
            <w:pPr>
              <w:adjustRightInd w:val="0"/>
              <w:snapToGrid w:val="0"/>
              <w:jc w:val="center"/>
              <w:rPr>
                <w:rFonts w:hint="default" w:eastAsia="宋体"/>
                <w:color w:val="auto"/>
                <w:sz w:val="24"/>
                <w:szCs w:val="24"/>
                <w:highlight w:val="none"/>
                <w:lang w:val="en-US" w:eastAsia="zh-CN"/>
              </w:rPr>
            </w:pPr>
            <w:r>
              <w:rPr>
                <w:rFonts w:hint="default" w:eastAsia="宋体"/>
                <w:color w:val="auto"/>
                <w:sz w:val="24"/>
                <w:szCs w:val="24"/>
                <w:highlight w:val="none"/>
                <w:lang w:val="en-US" w:eastAsia="zh-CN"/>
              </w:rPr>
              <w:t>18033328722</w:t>
            </w:r>
          </w:p>
        </w:tc>
      </w:tr>
      <w:tr w14:paraId="3298C4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13" w:type="dxa"/>
            <w:tcMar>
              <w:top w:w="16" w:type="dxa"/>
              <w:left w:w="16" w:type="dxa"/>
              <w:right w:w="16" w:type="dxa"/>
            </w:tcMar>
            <w:vAlign w:val="center"/>
          </w:tcPr>
          <w:p w14:paraId="347E2BF1">
            <w:pPr>
              <w:adjustRightInd w:val="0"/>
              <w:snapToGrid w:val="0"/>
              <w:jc w:val="center"/>
              <w:rPr>
                <w:color w:val="auto"/>
                <w:sz w:val="24"/>
                <w:szCs w:val="24"/>
                <w:highlight w:val="none"/>
              </w:rPr>
            </w:pPr>
            <w:r>
              <w:rPr>
                <w:color w:val="auto"/>
                <w:sz w:val="24"/>
                <w:szCs w:val="24"/>
                <w:highlight w:val="none"/>
              </w:rPr>
              <w:t>建设地点</w:t>
            </w:r>
          </w:p>
        </w:tc>
        <w:tc>
          <w:tcPr>
            <w:tcW w:w="6957" w:type="dxa"/>
            <w:gridSpan w:val="3"/>
            <w:vAlign w:val="center"/>
          </w:tcPr>
          <w:p w14:paraId="75CA8D89">
            <w:pPr>
              <w:adjustRightInd w:val="0"/>
              <w:snapToGrid w:val="0"/>
              <w:jc w:val="center"/>
              <w:rPr>
                <w:color w:val="auto"/>
                <w:sz w:val="24"/>
                <w:szCs w:val="24"/>
                <w:highlight w:val="none"/>
              </w:rPr>
            </w:pPr>
            <w:r>
              <w:rPr>
                <w:rFonts w:hint="eastAsia"/>
                <w:color w:val="auto"/>
                <w:sz w:val="24"/>
                <w:szCs w:val="24"/>
                <w:highlight w:val="none"/>
              </w:rPr>
              <w:t>乐昌市坪石镇粤湘产业工业园内</w:t>
            </w:r>
          </w:p>
        </w:tc>
      </w:tr>
      <w:tr w14:paraId="1F54EC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13" w:type="dxa"/>
            <w:tcMar>
              <w:top w:w="16" w:type="dxa"/>
              <w:left w:w="16" w:type="dxa"/>
              <w:right w:w="16" w:type="dxa"/>
            </w:tcMar>
            <w:vAlign w:val="center"/>
          </w:tcPr>
          <w:p w14:paraId="4418AA75">
            <w:pPr>
              <w:adjustRightInd w:val="0"/>
              <w:snapToGrid w:val="0"/>
              <w:jc w:val="center"/>
              <w:rPr>
                <w:color w:val="auto"/>
                <w:sz w:val="24"/>
                <w:szCs w:val="24"/>
                <w:highlight w:val="none"/>
              </w:rPr>
            </w:pPr>
            <w:r>
              <w:rPr>
                <w:color w:val="auto"/>
                <w:sz w:val="24"/>
                <w:szCs w:val="24"/>
                <w:highlight w:val="none"/>
              </w:rPr>
              <w:t>地理坐标</w:t>
            </w:r>
          </w:p>
        </w:tc>
        <w:tc>
          <w:tcPr>
            <w:tcW w:w="6957" w:type="dxa"/>
            <w:gridSpan w:val="3"/>
            <w:vAlign w:val="center"/>
          </w:tcPr>
          <w:p w14:paraId="3DB4FAA3">
            <w:pPr>
              <w:jc w:val="center"/>
              <w:rPr>
                <w:color w:val="auto"/>
                <w:sz w:val="24"/>
                <w:szCs w:val="24"/>
                <w:highlight w:val="none"/>
              </w:rPr>
            </w:pPr>
            <w:r>
              <w:rPr>
                <w:color w:val="auto"/>
                <w:sz w:val="24"/>
                <w:szCs w:val="24"/>
                <w:highlight w:val="none"/>
              </w:rPr>
              <w:t>（</w:t>
            </w:r>
            <w:r>
              <w:rPr>
                <w:rFonts w:hint="eastAsia"/>
                <w:color w:val="auto"/>
                <w:sz w:val="24"/>
                <w:szCs w:val="24"/>
                <w:highlight w:val="none"/>
                <w:u w:val="single"/>
                <w:lang w:val="en-US" w:eastAsia="zh-CN"/>
              </w:rPr>
              <w:t>112</w:t>
            </w:r>
            <w:r>
              <w:rPr>
                <w:color w:val="auto"/>
                <w:sz w:val="24"/>
                <w:szCs w:val="24"/>
                <w:highlight w:val="none"/>
              </w:rPr>
              <w:t>度</w:t>
            </w:r>
            <w:r>
              <w:rPr>
                <w:rFonts w:hint="eastAsia"/>
                <w:color w:val="auto"/>
                <w:sz w:val="24"/>
                <w:szCs w:val="24"/>
                <w:highlight w:val="none"/>
                <w:u w:val="single"/>
                <w:lang w:val="en-US" w:eastAsia="zh-CN"/>
              </w:rPr>
              <w:t>59</w:t>
            </w:r>
            <w:r>
              <w:rPr>
                <w:color w:val="auto"/>
                <w:sz w:val="24"/>
                <w:szCs w:val="24"/>
                <w:highlight w:val="none"/>
              </w:rPr>
              <w:t>分</w:t>
            </w:r>
            <w:r>
              <w:rPr>
                <w:rFonts w:hint="eastAsia"/>
                <w:color w:val="auto"/>
                <w:sz w:val="24"/>
                <w:szCs w:val="24"/>
                <w:highlight w:val="none"/>
                <w:u w:val="single"/>
                <w:lang w:val="en-US" w:eastAsia="zh-CN"/>
              </w:rPr>
              <w:t>20.641</w:t>
            </w:r>
            <w:r>
              <w:rPr>
                <w:color w:val="auto"/>
                <w:sz w:val="24"/>
                <w:szCs w:val="24"/>
                <w:highlight w:val="none"/>
              </w:rPr>
              <w:t>秒，</w:t>
            </w:r>
            <w:r>
              <w:rPr>
                <w:rFonts w:hint="eastAsia"/>
                <w:color w:val="auto"/>
                <w:sz w:val="24"/>
                <w:szCs w:val="24"/>
                <w:highlight w:val="none"/>
                <w:u w:val="single"/>
                <w:lang w:val="en-US" w:eastAsia="zh-CN"/>
              </w:rPr>
              <w:t>25</w:t>
            </w:r>
            <w:r>
              <w:rPr>
                <w:color w:val="auto"/>
                <w:sz w:val="24"/>
                <w:szCs w:val="24"/>
                <w:highlight w:val="none"/>
              </w:rPr>
              <w:t>度</w:t>
            </w:r>
            <w:r>
              <w:rPr>
                <w:rFonts w:hint="eastAsia"/>
                <w:color w:val="auto"/>
                <w:sz w:val="24"/>
                <w:szCs w:val="24"/>
                <w:highlight w:val="none"/>
                <w:u w:val="single"/>
                <w:lang w:val="en-US" w:eastAsia="zh-CN"/>
              </w:rPr>
              <w:t>15</w:t>
            </w:r>
            <w:r>
              <w:rPr>
                <w:color w:val="auto"/>
                <w:sz w:val="24"/>
                <w:szCs w:val="24"/>
                <w:highlight w:val="none"/>
              </w:rPr>
              <w:t>分</w:t>
            </w:r>
            <w:r>
              <w:rPr>
                <w:rFonts w:hint="eastAsia"/>
                <w:color w:val="auto"/>
                <w:sz w:val="24"/>
                <w:szCs w:val="24"/>
                <w:highlight w:val="none"/>
                <w:u w:val="single"/>
                <w:lang w:val="en-US" w:eastAsia="zh-CN"/>
              </w:rPr>
              <w:t>34.668</w:t>
            </w:r>
            <w:r>
              <w:rPr>
                <w:color w:val="auto"/>
                <w:sz w:val="24"/>
                <w:szCs w:val="24"/>
                <w:highlight w:val="none"/>
              </w:rPr>
              <w:t>秒）</w:t>
            </w:r>
          </w:p>
        </w:tc>
      </w:tr>
      <w:tr w14:paraId="1CCAB5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913" w:type="dxa"/>
            <w:tcMar>
              <w:top w:w="16" w:type="dxa"/>
              <w:left w:w="16" w:type="dxa"/>
              <w:right w:w="16" w:type="dxa"/>
            </w:tcMar>
            <w:vAlign w:val="center"/>
          </w:tcPr>
          <w:p w14:paraId="3820E917">
            <w:pPr>
              <w:adjustRightInd w:val="0"/>
              <w:snapToGrid w:val="0"/>
              <w:jc w:val="center"/>
              <w:rPr>
                <w:color w:val="auto"/>
                <w:sz w:val="24"/>
                <w:szCs w:val="24"/>
                <w:highlight w:val="none"/>
              </w:rPr>
            </w:pPr>
            <w:r>
              <w:rPr>
                <w:color w:val="auto"/>
                <w:sz w:val="24"/>
                <w:szCs w:val="24"/>
                <w:highlight w:val="none"/>
              </w:rPr>
              <w:t>国民经济</w:t>
            </w:r>
          </w:p>
          <w:p w14:paraId="7BF916A9">
            <w:pPr>
              <w:adjustRightInd w:val="0"/>
              <w:snapToGrid w:val="0"/>
              <w:jc w:val="center"/>
              <w:rPr>
                <w:color w:val="auto"/>
                <w:sz w:val="24"/>
                <w:szCs w:val="24"/>
                <w:highlight w:val="none"/>
              </w:rPr>
            </w:pPr>
            <w:r>
              <w:rPr>
                <w:color w:val="auto"/>
                <w:sz w:val="24"/>
                <w:szCs w:val="24"/>
                <w:highlight w:val="none"/>
              </w:rPr>
              <w:t>行业类别</w:t>
            </w:r>
          </w:p>
        </w:tc>
        <w:tc>
          <w:tcPr>
            <w:tcW w:w="2106" w:type="dxa"/>
            <w:vAlign w:val="center"/>
          </w:tcPr>
          <w:p w14:paraId="5ADD08DC">
            <w:pPr>
              <w:adjustRightInd w:val="0"/>
              <w:snapToGrid w:val="0"/>
              <w:jc w:val="center"/>
              <w:rPr>
                <w:rFonts w:hint="eastAsia" w:eastAsia="宋体"/>
                <w:color w:val="auto"/>
                <w:sz w:val="24"/>
                <w:szCs w:val="24"/>
                <w:highlight w:val="none"/>
                <w:lang w:eastAsia="zh-CN"/>
              </w:rPr>
            </w:pPr>
            <w:r>
              <w:rPr>
                <w:rFonts w:hint="eastAsia" w:eastAsia="宋体"/>
                <w:color w:val="auto"/>
                <w:sz w:val="24"/>
                <w:szCs w:val="24"/>
                <w:highlight w:val="none"/>
                <w:lang w:eastAsia="zh-CN"/>
              </w:rPr>
              <w:t>D4430热力生产和供应</w:t>
            </w:r>
          </w:p>
        </w:tc>
        <w:tc>
          <w:tcPr>
            <w:tcW w:w="2051" w:type="dxa"/>
            <w:vAlign w:val="center"/>
          </w:tcPr>
          <w:p w14:paraId="6F143BD3">
            <w:pPr>
              <w:adjustRightInd w:val="0"/>
              <w:snapToGrid w:val="0"/>
              <w:jc w:val="center"/>
              <w:rPr>
                <w:color w:val="auto"/>
                <w:sz w:val="24"/>
                <w:szCs w:val="24"/>
                <w:highlight w:val="none"/>
              </w:rPr>
            </w:pPr>
            <w:bookmarkStart w:id="11" w:name="_Hlk49843745"/>
            <w:r>
              <w:rPr>
                <w:color w:val="auto"/>
                <w:sz w:val="24"/>
                <w:szCs w:val="24"/>
                <w:highlight w:val="none"/>
              </w:rPr>
              <w:t>建设项目</w:t>
            </w:r>
          </w:p>
          <w:p w14:paraId="0109AF30">
            <w:pPr>
              <w:adjustRightInd w:val="0"/>
              <w:snapToGrid w:val="0"/>
              <w:jc w:val="center"/>
              <w:rPr>
                <w:color w:val="auto"/>
                <w:sz w:val="24"/>
                <w:szCs w:val="24"/>
                <w:highlight w:val="none"/>
              </w:rPr>
            </w:pPr>
            <w:r>
              <w:rPr>
                <w:color w:val="auto"/>
                <w:sz w:val="24"/>
                <w:szCs w:val="24"/>
                <w:highlight w:val="none"/>
              </w:rPr>
              <w:t>行业类别</w:t>
            </w:r>
            <w:bookmarkEnd w:id="11"/>
          </w:p>
        </w:tc>
        <w:tc>
          <w:tcPr>
            <w:tcW w:w="2800" w:type="dxa"/>
            <w:vAlign w:val="center"/>
          </w:tcPr>
          <w:p w14:paraId="62C597E1">
            <w:pPr>
              <w:adjustRightInd w:val="0"/>
              <w:snapToGrid w:val="0"/>
              <w:rPr>
                <w:rFonts w:hint="eastAsia" w:eastAsia="宋体"/>
                <w:color w:val="auto"/>
                <w:sz w:val="24"/>
                <w:szCs w:val="24"/>
                <w:highlight w:val="none"/>
                <w:lang w:eastAsia="zh-CN"/>
              </w:rPr>
            </w:pPr>
            <w:r>
              <w:rPr>
                <w:rFonts w:hint="eastAsia" w:eastAsia="宋体"/>
                <w:color w:val="auto"/>
                <w:sz w:val="24"/>
                <w:szCs w:val="24"/>
                <w:highlight w:val="none"/>
                <w:lang w:eastAsia="zh-CN"/>
              </w:rPr>
              <w:t>四十一、电力、热力生产和供应业91、热力生产和供应工程（包括建设单位自建自用的供热工程）</w:t>
            </w:r>
          </w:p>
        </w:tc>
      </w:tr>
      <w:tr w14:paraId="5BB5E1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913" w:type="dxa"/>
            <w:tcMar>
              <w:top w:w="16" w:type="dxa"/>
              <w:left w:w="16" w:type="dxa"/>
              <w:right w:w="16" w:type="dxa"/>
            </w:tcMar>
            <w:vAlign w:val="center"/>
          </w:tcPr>
          <w:p w14:paraId="655F831E">
            <w:pPr>
              <w:adjustRightInd w:val="0"/>
              <w:snapToGrid w:val="0"/>
              <w:jc w:val="center"/>
              <w:rPr>
                <w:color w:val="auto"/>
                <w:sz w:val="24"/>
                <w:szCs w:val="24"/>
                <w:highlight w:val="none"/>
              </w:rPr>
            </w:pPr>
            <w:r>
              <w:rPr>
                <w:color w:val="auto"/>
                <w:sz w:val="24"/>
                <w:szCs w:val="24"/>
                <w:highlight w:val="none"/>
              </w:rPr>
              <w:t>建设性质</w:t>
            </w:r>
          </w:p>
        </w:tc>
        <w:tc>
          <w:tcPr>
            <w:tcW w:w="2106" w:type="dxa"/>
            <w:vAlign w:val="center"/>
          </w:tcPr>
          <w:p w14:paraId="3A09A5EC">
            <w:pPr>
              <w:jc w:val="left"/>
              <w:rPr>
                <w:color w:val="auto"/>
                <w:sz w:val="24"/>
                <w:szCs w:val="24"/>
                <w:highlight w:val="none"/>
              </w:rPr>
            </w:pPr>
            <w:r>
              <w:rPr>
                <w:rFonts w:hint="eastAsia"/>
                <w:color w:val="auto"/>
                <w:sz w:val="24"/>
                <w:szCs w:val="24"/>
                <w:highlight w:val="none"/>
                <w:lang w:eastAsia="zh-CN"/>
              </w:rPr>
              <w:t>☑</w:t>
            </w:r>
            <w:r>
              <w:rPr>
                <w:color w:val="auto"/>
                <w:sz w:val="24"/>
                <w:szCs w:val="24"/>
                <w:highlight w:val="none"/>
              </w:rPr>
              <w:t>新建（迁建）</w:t>
            </w:r>
          </w:p>
          <w:p w14:paraId="481C7641">
            <w:pPr>
              <w:jc w:val="left"/>
              <w:rPr>
                <w:color w:val="auto"/>
                <w:sz w:val="24"/>
                <w:szCs w:val="24"/>
                <w:highlight w:val="none"/>
              </w:rPr>
            </w:pPr>
            <w:r>
              <w:rPr>
                <w:rFonts w:hint="eastAsia"/>
                <w:color w:val="auto"/>
                <w:sz w:val="24"/>
                <w:szCs w:val="24"/>
                <w:highlight w:val="none"/>
                <w:lang w:eastAsia="zh-CN"/>
              </w:rPr>
              <w:t>□</w:t>
            </w:r>
            <w:r>
              <w:rPr>
                <w:color w:val="auto"/>
                <w:sz w:val="24"/>
                <w:szCs w:val="24"/>
                <w:highlight w:val="none"/>
              </w:rPr>
              <w:t>改建</w:t>
            </w:r>
          </w:p>
          <w:p w14:paraId="4A20E5AA">
            <w:pPr>
              <w:jc w:val="left"/>
              <w:rPr>
                <w:color w:val="auto"/>
                <w:sz w:val="24"/>
                <w:szCs w:val="24"/>
                <w:highlight w:val="none"/>
              </w:rPr>
            </w:pPr>
            <w:r>
              <w:rPr>
                <w:rFonts w:hint="eastAsia"/>
                <w:color w:val="auto"/>
                <w:sz w:val="24"/>
                <w:szCs w:val="24"/>
                <w:highlight w:val="none"/>
                <w:lang w:eastAsia="zh-CN"/>
              </w:rPr>
              <w:t>□</w:t>
            </w:r>
            <w:r>
              <w:rPr>
                <w:color w:val="auto"/>
                <w:sz w:val="24"/>
                <w:szCs w:val="24"/>
                <w:highlight w:val="none"/>
              </w:rPr>
              <w:t>扩建</w:t>
            </w:r>
          </w:p>
          <w:p w14:paraId="7E6FC806">
            <w:pPr>
              <w:jc w:val="left"/>
              <w:rPr>
                <w:color w:val="auto"/>
                <w:sz w:val="24"/>
                <w:szCs w:val="24"/>
                <w:highlight w:val="none"/>
              </w:rPr>
            </w:pPr>
            <w:r>
              <w:rPr>
                <w:rFonts w:hint="eastAsia"/>
                <w:color w:val="auto"/>
                <w:sz w:val="24"/>
                <w:szCs w:val="24"/>
                <w:highlight w:val="none"/>
                <w:lang w:eastAsia="zh-CN"/>
              </w:rPr>
              <w:t>□</w:t>
            </w:r>
            <w:r>
              <w:rPr>
                <w:color w:val="auto"/>
                <w:sz w:val="24"/>
                <w:szCs w:val="24"/>
                <w:highlight w:val="none"/>
              </w:rPr>
              <w:t>技术改造</w:t>
            </w:r>
          </w:p>
        </w:tc>
        <w:tc>
          <w:tcPr>
            <w:tcW w:w="2051" w:type="dxa"/>
            <w:vAlign w:val="center"/>
          </w:tcPr>
          <w:p w14:paraId="4C332797">
            <w:pPr>
              <w:adjustRightInd w:val="0"/>
              <w:snapToGrid w:val="0"/>
              <w:jc w:val="center"/>
              <w:rPr>
                <w:color w:val="auto"/>
                <w:sz w:val="24"/>
                <w:szCs w:val="24"/>
                <w:highlight w:val="none"/>
              </w:rPr>
            </w:pPr>
            <w:r>
              <w:rPr>
                <w:color w:val="auto"/>
                <w:sz w:val="24"/>
                <w:szCs w:val="24"/>
                <w:highlight w:val="none"/>
              </w:rPr>
              <w:t>建设项目</w:t>
            </w:r>
          </w:p>
          <w:p w14:paraId="1508DA21">
            <w:pPr>
              <w:adjustRightInd w:val="0"/>
              <w:snapToGrid w:val="0"/>
              <w:jc w:val="center"/>
              <w:rPr>
                <w:color w:val="auto"/>
                <w:sz w:val="24"/>
                <w:szCs w:val="24"/>
                <w:highlight w:val="none"/>
              </w:rPr>
            </w:pPr>
            <w:r>
              <w:rPr>
                <w:color w:val="auto"/>
                <w:sz w:val="24"/>
                <w:szCs w:val="24"/>
                <w:highlight w:val="none"/>
              </w:rPr>
              <w:t>申报情形</w:t>
            </w:r>
          </w:p>
        </w:tc>
        <w:tc>
          <w:tcPr>
            <w:tcW w:w="2800" w:type="dxa"/>
            <w:vAlign w:val="center"/>
          </w:tcPr>
          <w:p w14:paraId="01E9F318">
            <w:pPr>
              <w:jc w:val="left"/>
              <w:rPr>
                <w:rFonts w:hint="eastAsia" w:eastAsia="宋体"/>
                <w:color w:val="auto"/>
                <w:sz w:val="24"/>
                <w:szCs w:val="24"/>
                <w:highlight w:val="none"/>
                <w:lang w:eastAsia="zh-CN"/>
              </w:rPr>
            </w:pPr>
            <w:r>
              <w:rPr>
                <w:color w:val="auto"/>
                <w:sz w:val="24"/>
                <w:szCs w:val="24"/>
                <w:highlight w:val="none"/>
                <w:bdr w:val="single" w:color="auto" w:sz="4" w:space="0"/>
              </w:rPr>
              <w:t>√</w:t>
            </w:r>
            <w:r>
              <w:rPr>
                <w:color w:val="auto"/>
                <w:sz w:val="24"/>
                <w:szCs w:val="24"/>
                <w:highlight w:val="none"/>
              </w:rPr>
              <w:t>首次申报项目</w:t>
            </w:r>
          </w:p>
          <w:p w14:paraId="3392BAD6">
            <w:pPr>
              <w:jc w:val="left"/>
              <w:rPr>
                <w:color w:val="auto"/>
                <w:sz w:val="24"/>
                <w:szCs w:val="24"/>
                <w:highlight w:val="none"/>
              </w:rPr>
            </w:pPr>
            <w:r>
              <w:rPr>
                <w:color w:val="auto"/>
                <w:sz w:val="24"/>
                <w:szCs w:val="24"/>
                <w:highlight w:val="none"/>
              </w:rPr>
              <w:t>□不予批准后再次申报项目</w:t>
            </w:r>
          </w:p>
          <w:p w14:paraId="570D4D80">
            <w:pPr>
              <w:jc w:val="left"/>
              <w:rPr>
                <w:rFonts w:hint="eastAsia" w:eastAsia="宋体"/>
                <w:color w:val="auto"/>
                <w:sz w:val="24"/>
                <w:szCs w:val="24"/>
                <w:highlight w:val="none"/>
                <w:lang w:eastAsia="zh-CN"/>
              </w:rPr>
            </w:pPr>
            <w:r>
              <w:rPr>
                <w:color w:val="auto"/>
                <w:sz w:val="24"/>
                <w:szCs w:val="24"/>
                <w:highlight w:val="none"/>
              </w:rPr>
              <w:sym w:font="Wingdings 2" w:char="00A3"/>
            </w:r>
            <w:r>
              <w:rPr>
                <w:color w:val="auto"/>
                <w:sz w:val="24"/>
                <w:szCs w:val="24"/>
                <w:highlight w:val="none"/>
              </w:rPr>
              <w:t>超五年重新审核项目</w:t>
            </w:r>
          </w:p>
          <w:p w14:paraId="18D6C20E">
            <w:pPr>
              <w:jc w:val="left"/>
              <w:rPr>
                <w:color w:val="auto"/>
                <w:sz w:val="24"/>
                <w:szCs w:val="24"/>
                <w:highlight w:val="none"/>
              </w:rPr>
            </w:pPr>
            <w:r>
              <w:rPr>
                <w:color w:val="auto"/>
                <w:sz w:val="24"/>
                <w:szCs w:val="24"/>
                <w:highlight w:val="none"/>
              </w:rPr>
              <w:t>□重大变动重新报批项目</w:t>
            </w:r>
          </w:p>
        </w:tc>
      </w:tr>
      <w:tr w14:paraId="23ED2E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913" w:type="dxa"/>
            <w:tcMar>
              <w:top w:w="16" w:type="dxa"/>
              <w:left w:w="16" w:type="dxa"/>
              <w:right w:w="16" w:type="dxa"/>
            </w:tcMar>
            <w:vAlign w:val="center"/>
          </w:tcPr>
          <w:p w14:paraId="672141D2">
            <w:pPr>
              <w:adjustRightInd w:val="0"/>
              <w:snapToGrid w:val="0"/>
              <w:jc w:val="center"/>
              <w:rPr>
                <w:color w:val="auto"/>
                <w:sz w:val="24"/>
                <w:szCs w:val="24"/>
                <w:highlight w:val="none"/>
              </w:rPr>
            </w:pPr>
            <w:r>
              <w:rPr>
                <w:color w:val="auto"/>
                <w:sz w:val="24"/>
                <w:szCs w:val="24"/>
                <w:highlight w:val="none"/>
              </w:rPr>
              <w:t>项目审批（核准/</w:t>
            </w:r>
          </w:p>
          <w:p w14:paraId="1B730CA1">
            <w:pPr>
              <w:adjustRightInd w:val="0"/>
              <w:snapToGrid w:val="0"/>
              <w:jc w:val="center"/>
              <w:rPr>
                <w:color w:val="auto"/>
                <w:sz w:val="24"/>
                <w:szCs w:val="24"/>
                <w:highlight w:val="none"/>
              </w:rPr>
            </w:pPr>
            <w:r>
              <w:rPr>
                <w:color w:val="auto"/>
                <w:sz w:val="24"/>
                <w:szCs w:val="24"/>
                <w:highlight w:val="none"/>
              </w:rPr>
              <w:t>备案）部门（选填）</w:t>
            </w:r>
          </w:p>
        </w:tc>
        <w:tc>
          <w:tcPr>
            <w:tcW w:w="2106" w:type="dxa"/>
            <w:vAlign w:val="center"/>
          </w:tcPr>
          <w:p w14:paraId="02D44F7A">
            <w:pPr>
              <w:adjustRightInd w:val="0"/>
              <w:snapToGrid w:val="0"/>
              <w:jc w:val="center"/>
              <w:rPr>
                <w:rFonts w:hint="default" w:eastAsia="宋体"/>
                <w:color w:val="auto"/>
                <w:sz w:val="24"/>
                <w:szCs w:val="24"/>
                <w:highlight w:val="none"/>
                <w:lang w:val="en-US" w:eastAsia="zh-CN"/>
              </w:rPr>
            </w:pPr>
            <w:r>
              <w:rPr>
                <w:rFonts w:hint="eastAsia"/>
                <w:color w:val="auto"/>
                <w:sz w:val="24"/>
                <w:szCs w:val="24"/>
                <w:highlight w:val="none"/>
                <w:lang w:val="en-US" w:eastAsia="zh-CN"/>
              </w:rPr>
              <w:t>乐昌市发展和改革局</w:t>
            </w:r>
          </w:p>
        </w:tc>
        <w:tc>
          <w:tcPr>
            <w:tcW w:w="2051" w:type="dxa"/>
            <w:vAlign w:val="center"/>
          </w:tcPr>
          <w:p w14:paraId="6D4C4984">
            <w:pPr>
              <w:adjustRightInd w:val="0"/>
              <w:snapToGrid w:val="0"/>
              <w:jc w:val="center"/>
              <w:rPr>
                <w:color w:val="auto"/>
                <w:sz w:val="24"/>
                <w:szCs w:val="24"/>
                <w:highlight w:val="none"/>
              </w:rPr>
            </w:pPr>
            <w:r>
              <w:rPr>
                <w:color w:val="auto"/>
                <w:sz w:val="24"/>
                <w:szCs w:val="24"/>
                <w:highlight w:val="none"/>
              </w:rPr>
              <w:t>项目审批（核准/</w:t>
            </w:r>
          </w:p>
          <w:p w14:paraId="26F7B1DE">
            <w:pPr>
              <w:adjustRightInd w:val="0"/>
              <w:snapToGrid w:val="0"/>
              <w:jc w:val="center"/>
              <w:rPr>
                <w:color w:val="auto"/>
                <w:sz w:val="24"/>
                <w:szCs w:val="24"/>
                <w:highlight w:val="none"/>
              </w:rPr>
            </w:pPr>
            <w:r>
              <w:rPr>
                <w:color w:val="auto"/>
                <w:sz w:val="24"/>
                <w:szCs w:val="24"/>
                <w:highlight w:val="none"/>
              </w:rPr>
              <w:t>备案）文号（选填）</w:t>
            </w:r>
          </w:p>
        </w:tc>
        <w:tc>
          <w:tcPr>
            <w:tcW w:w="2800" w:type="dxa"/>
            <w:vAlign w:val="center"/>
          </w:tcPr>
          <w:p w14:paraId="12E590E5">
            <w:pPr>
              <w:adjustRightInd w:val="0"/>
              <w:snapToGrid w:val="0"/>
              <w:jc w:val="center"/>
              <w:rPr>
                <w:rFonts w:hint="eastAsia" w:eastAsia="宋体"/>
                <w:color w:val="auto"/>
                <w:sz w:val="24"/>
                <w:szCs w:val="24"/>
                <w:highlight w:val="none"/>
                <w:lang w:val="en-US" w:eastAsia="zh-CN"/>
              </w:rPr>
            </w:pPr>
            <w:r>
              <w:rPr>
                <w:rFonts w:hint="eastAsia"/>
                <w:color w:val="auto"/>
                <w:sz w:val="24"/>
                <w:szCs w:val="24"/>
                <w:highlight w:val="none"/>
                <w:lang w:val="en-US" w:eastAsia="zh-CN"/>
              </w:rPr>
              <w:t>/</w:t>
            </w:r>
          </w:p>
        </w:tc>
      </w:tr>
      <w:tr w14:paraId="2FA0B3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13" w:type="dxa"/>
            <w:tcMar>
              <w:top w:w="16" w:type="dxa"/>
              <w:left w:w="16" w:type="dxa"/>
              <w:right w:w="16" w:type="dxa"/>
            </w:tcMar>
            <w:vAlign w:val="center"/>
          </w:tcPr>
          <w:p w14:paraId="303C6DCC">
            <w:pPr>
              <w:adjustRightInd w:val="0"/>
              <w:snapToGrid w:val="0"/>
              <w:jc w:val="center"/>
              <w:rPr>
                <w:color w:val="auto"/>
                <w:sz w:val="24"/>
                <w:szCs w:val="24"/>
                <w:highlight w:val="none"/>
              </w:rPr>
            </w:pPr>
            <w:r>
              <w:rPr>
                <w:color w:val="auto"/>
                <w:sz w:val="24"/>
                <w:szCs w:val="24"/>
                <w:highlight w:val="none"/>
              </w:rPr>
              <w:t>总投资（万元）</w:t>
            </w:r>
          </w:p>
        </w:tc>
        <w:tc>
          <w:tcPr>
            <w:tcW w:w="2106" w:type="dxa"/>
            <w:vAlign w:val="center"/>
          </w:tcPr>
          <w:p w14:paraId="7C922621">
            <w:pPr>
              <w:adjustRightInd w:val="0"/>
              <w:snapToGrid w:val="0"/>
              <w:jc w:val="center"/>
              <w:rPr>
                <w:rFonts w:hint="default" w:eastAsia="宋体"/>
                <w:color w:val="auto"/>
                <w:sz w:val="24"/>
                <w:szCs w:val="24"/>
                <w:highlight w:val="none"/>
                <w:lang w:val="en-US" w:eastAsia="zh-CN"/>
              </w:rPr>
            </w:pPr>
            <w:r>
              <w:rPr>
                <w:rFonts w:hint="eastAsia"/>
                <w:color w:val="auto"/>
                <w:sz w:val="24"/>
                <w:szCs w:val="24"/>
                <w:highlight w:val="none"/>
                <w:lang w:val="en-US" w:eastAsia="zh-CN"/>
              </w:rPr>
              <w:t>3000</w:t>
            </w:r>
          </w:p>
        </w:tc>
        <w:tc>
          <w:tcPr>
            <w:tcW w:w="2051" w:type="dxa"/>
            <w:tcMar>
              <w:top w:w="16" w:type="dxa"/>
              <w:left w:w="16" w:type="dxa"/>
              <w:right w:w="16" w:type="dxa"/>
            </w:tcMar>
            <w:vAlign w:val="center"/>
          </w:tcPr>
          <w:p w14:paraId="5516B1FC">
            <w:pPr>
              <w:adjustRightInd w:val="0"/>
              <w:snapToGrid w:val="0"/>
              <w:jc w:val="center"/>
              <w:rPr>
                <w:highlight w:val="none"/>
              </w:rPr>
            </w:pPr>
            <w:r>
              <w:rPr>
                <w:color w:val="auto"/>
                <w:sz w:val="24"/>
                <w:szCs w:val="24"/>
                <w:highlight w:val="none"/>
              </w:rPr>
              <w:t>环保投资（万元）</w:t>
            </w:r>
          </w:p>
        </w:tc>
        <w:tc>
          <w:tcPr>
            <w:tcW w:w="2800" w:type="dxa"/>
            <w:vAlign w:val="center"/>
          </w:tcPr>
          <w:p w14:paraId="15AE9262">
            <w:pPr>
              <w:adjustRightInd w:val="0"/>
              <w:snapToGrid w:val="0"/>
              <w:jc w:val="center"/>
              <w:rPr>
                <w:rFonts w:hint="default" w:eastAsia="宋体"/>
                <w:color w:val="auto"/>
                <w:sz w:val="24"/>
                <w:szCs w:val="24"/>
                <w:highlight w:val="none"/>
                <w:lang w:val="en-US" w:eastAsia="zh-CN"/>
              </w:rPr>
            </w:pPr>
            <w:r>
              <w:rPr>
                <w:rFonts w:hint="eastAsia"/>
                <w:color w:val="auto"/>
                <w:sz w:val="24"/>
                <w:szCs w:val="24"/>
                <w:highlight w:val="none"/>
                <w:lang w:val="en-US" w:eastAsia="zh-CN"/>
              </w:rPr>
              <w:t>201</w:t>
            </w:r>
          </w:p>
        </w:tc>
      </w:tr>
      <w:tr w14:paraId="349520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13" w:type="dxa"/>
            <w:tcMar>
              <w:top w:w="16" w:type="dxa"/>
              <w:left w:w="16" w:type="dxa"/>
              <w:right w:w="16" w:type="dxa"/>
            </w:tcMar>
            <w:vAlign w:val="center"/>
          </w:tcPr>
          <w:p w14:paraId="4479891F">
            <w:pPr>
              <w:adjustRightInd w:val="0"/>
              <w:snapToGrid w:val="0"/>
              <w:jc w:val="center"/>
              <w:rPr>
                <w:color w:val="auto"/>
                <w:sz w:val="24"/>
                <w:szCs w:val="24"/>
                <w:highlight w:val="none"/>
              </w:rPr>
            </w:pPr>
            <w:r>
              <w:rPr>
                <w:color w:val="auto"/>
                <w:sz w:val="24"/>
                <w:szCs w:val="24"/>
                <w:highlight w:val="none"/>
              </w:rPr>
              <w:t>环保投资占比（%）</w:t>
            </w:r>
          </w:p>
        </w:tc>
        <w:tc>
          <w:tcPr>
            <w:tcW w:w="2106" w:type="dxa"/>
            <w:vAlign w:val="center"/>
          </w:tcPr>
          <w:p w14:paraId="5528A8FB">
            <w:pPr>
              <w:adjustRightInd w:val="0"/>
              <w:snapToGrid w:val="0"/>
              <w:jc w:val="center"/>
              <w:rPr>
                <w:rFonts w:hint="default" w:eastAsia="宋体"/>
                <w:color w:val="auto"/>
                <w:sz w:val="24"/>
                <w:szCs w:val="24"/>
                <w:highlight w:val="none"/>
                <w:lang w:val="en-US" w:eastAsia="zh-CN"/>
              </w:rPr>
            </w:pPr>
            <w:r>
              <w:rPr>
                <w:rFonts w:hint="eastAsia"/>
                <w:color w:val="auto"/>
                <w:sz w:val="24"/>
                <w:szCs w:val="24"/>
                <w:highlight w:val="none"/>
                <w:lang w:val="en-US" w:eastAsia="zh-CN"/>
              </w:rPr>
              <w:t>6.7</w:t>
            </w:r>
          </w:p>
        </w:tc>
        <w:tc>
          <w:tcPr>
            <w:tcW w:w="2051" w:type="dxa"/>
            <w:tcMar>
              <w:top w:w="16" w:type="dxa"/>
              <w:left w:w="16" w:type="dxa"/>
              <w:right w:w="16" w:type="dxa"/>
            </w:tcMar>
            <w:vAlign w:val="center"/>
          </w:tcPr>
          <w:p w14:paraId="360C8E0B">
            <w:pPr>
              <w:adjustRightInd w:val="0"/>
              <w:snapToGrid w:val="0"/>
              <w:jc w:val="center"/>
              <w:rPr>
                <w:color w:val="auto"/>
                <w:sz w:val="24"/>
                <w:szCs w:val="24"/>
                <w:highlight w:val="none"/>
              </w:rPr>
            </w:pPr>
            <w:r>
              <w:rPr>
                <w:color w:val="auto"/>
                <w:sz w:val="24"/>
                <w:szCs w:val="24"/>
                <w:highlight w:val="none"/>
              </w:rPr>
              <w:t>施工工期</w:t>
            </w:r>
          </w:p>
        </w:tc>
        <w:tc>
          <w:tcPr>
            <w:tcW w:w="2800" w:type="dxa"/>
            <w:vAlign w:val="center"/>
          </w:tcPr>
          <w:p w14:paraId="7425B2EC">
            <w:pPr>
              <w:adjustRightInd w:val="0"/>
              <w:snapToGrid w:val="0"/>
              <w:jc w:val="center"/>
              <w:rPr>
                <w:color w:val="auto"/>
                <w:sz w:val="24"/>
                <w:szCs w:val="24"/>
                <w:highlight w:val="none"/>
              </w:rPr>
            </w:pPr>
            <w:r>
              <w:rPr>
                <w:rFonts w:hint="eastAsia"/>
                <w:color w:val="auto"/>
                <w:sz w:val="24"/>
                <w:szCs w:val="24"/>
                <w:highlight w:val="none"/>
                <w:lang w:val="en-US" w:eastAsia="zh-CN"/>
              </w:rPr>
              <w:t>23</w:t>
            </w:r>
            <w:r>
              <w:rPr>
                <w:rFonts w:hint="eastAsia"/>
                <w:color w:val="auto"/>
                <w:sz w:val="24"/>
                <w:szCs w:val="24"/>
                <w:highlight w:val="none"/>
              </w:rPr>
              <w:t>个月</w:t>
            </w:r>
          </w:p>
        </w:tc>
      </w:tr>
      <w:tr w14:paraId="69C806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13" w:type="dxa"/>
            <w:tcMar>
              <w:top w:w="16" w:type="dxa"/>
              <w:left w:w="16" w:type="dxa"/>
              <w:right w:w="16" w:type="dxa"/>
            </w:tcMar>
            <w:vAlign w:val="center"/>
          </w:tcPr>
          <w:p w14:paraId="28C3D446">
            <w:pPr>
              <w:adjustRightInd w:val="0"/>
              <w:snapToGrid w:val="0"/>
              <w:jc w:val="center"/>
              <w:rPr>
                <w:color w:val="auto"/>
                <w:sz w:val="24"/>
                <w:szCs w:val="24"/>
                <w:highlight w:val="none"/>
              </w:rPr>
            </w:pPr>
            <w:r>
              <w:rPr>
                <w:color w:val="auto"/>
                <w:sz w:val="24"/>
                <w:szCs w:val="24"/>
                <w:highlight w:val="none"/>
              </w:rPr>
              <w:t>是否开工建设</w:t>
            </w:r>
          </w:p>
        </w:tc>
        <w:tc>
          <w:tcPr>
            <w:tcW w:w="2106" w:type="dxa"/>
            <w:vAlign w:val="center"/>
          </w:tcPr>
          <w:p w14:paraId="76E18025">
            <w:pPr>
              <w:adjustRightInd w:val="0"/>
              <w:snapToGrid w:val="0"/>
              <w:rPr>
                <w:color w:val="auto"/>
                <w:sz w:val="24"/>
                <w:szCs w:val="24"/>
                <w:highlight w:val="none"/>
              </w:rPr>
            </w:pPr>
            <w:r>
              <w:rPr>
                <w:color w:val="auto"/>
                <w:sz w:val="24"/>
                <w:szCs w:val="24"/>
                <w:highlight w:val="none"/>
              </w:rPr>
              <w:sym w:font="Wingdings 2" w:char="0052"/>
            </w:r>
            <w:r>
              <w:rPr>
                <w:color w:val="auto"/>
                <w:sz w:val="24"/>
                <w:szCs w:val="24"/>
                <w:highlight w:val="none"/>
              </w:rPr>
              <w:t>否</w:t>
            </w:r>
          </w:p>
          <w:p w14:paraId="4F1C75FB">
            <w:pPr>
              <w:adjustRightInd w:val="0"/>
              <w:snapToGrid w:val="0"/>
              <w:rPr>
                <w:rFonts w:hint="eastAsia" w:eastAsia="宋体"/>
                <w:color w:val="auto"/>
                <w:sz w:val="24"/>
                <w:szCs w:val="24"/>
                <w:highlight w:val="none"/>
                <w:lang w:eastAsia="zh-CN"/>
              </w:rPr>
            </w:pPr>
            <w:r>
              <w:rPr>
                <w:color w:val="auto"/>
                <w:sz w:val="24"/>
                <w:szCs w:val="24"/>
                <w:highlight w:val="none"/>
              </w:rPr>
              <w:sym w:font="Wingdings 2" w:char="00A3"/>
            </w:r>
            <w:r>
              <w:rPr>
                <w:color w:val="auto"/>
                <w:sz w:val="24"/>
                <w:szCs w:val="24"/>
                <w:highlight w:val="none"/>
              </w:rPr>
              <w:t>是：</w:t>
            </w:r>
          </w:p>
        </w:tc>
        <w:tc>
          <w:tcPr>
            <w:tcW w:w="2051" w:type="dxa"/>
            <w:tcMar>
              <w:top w:w="16" w:type="dxa"/>
              <w:left w:w="16" w:type="dxa"/>
              <w:right w:w="16" w:type="dxa"/>
            </w:tcMar>
            <w:vAlign w:val="center"/>
          </w:tcPr>
          <w:p w14:paraId="310969E4">
            <w:pPr>
              <w:adjustRightInd w:val="0"/>
              <w:snapToGrid w:val="0"/>
              <w:jc w:val="center"/>
              <w:rPr>
                <w:color w:val="auto"/>
                <w:spacing w:val="-6"/>
                <w:sz w:val="24"/>
                <w:szCs w:val="24"/>
                <w:highlight w:val="none"/>
              </w:rPr>
            </w:pPr>
            <w:r>
              <w:rPr>
                <w:color w:val="auto"/>
                <w:spacing w:val="-6"/>
                <w:sz w:val="24"/>
                <w:szCs w:val="24"/>
                <w:highlight w:val="none"/>
              </w:rPr>
              <w:t>用地（用海）</w:t>
            </w:r>
          </w:p>
          <w:p w14:paraId="436D6D90">
            <w:pPr>
              <w:adjustRightInd w:val="0"/>
              <w:snapToGrid w:val="0"/>
              <w:jc w:val="center"/>
              <w:rPr>
                <w:color w:val="auto"/>
                <w:sz w:val="24"/>
                <w:szCs w:val="24"/>
                <w:highlight w:val="none"/>
              </w:rPr>
            </w:pPr>
            <w:r>
              <w:rPr>
                <w:color w:val="auto"/>
                <w:spacing w:val="-6"/>
                <w:sz w:val="24"/>
                <w:szCs w:val="24"/>
                <w:highlight w:val="none"/>
              </w:rPr>
              <w:t>面积（m</w:t>
            </w:r>
            <w:r>
              <w:rPr>
                <w:color w:val="auto"/>
                <w:spacing w:val="-6"/>
                <w:sz w:val="24"/>
                <w:szCs w:val="24"/>
                <w:highlight w:val="none"/>
                <w:vertAlign w:val="superscript"/>
              </w:rPr>
              <w:t>2</w:t>
            </w:r>
            <w:r>
              <w:rPr>
                <w:color w:val="auto"/>
                <w:spacing w:val="-6"/>
                <w:sz w:val="24"/>
                <w:szCs w:val="24"/>
                <w:highlight w:val="none"/>
              </w:rPr>
              <w:t>）</w:t>
            </w:r>
          </w:p>
        </w:tc>
        <w:tc>
          <w:tcPr>
            <w:tcW w:w="2800" w:type="dxa"/>
            <w:vAlign w:val="center"/>
          </w:tcPr>
          <w:p w14:paraId="4DAF5054">
            <w:pPr>
              <w:adjustRightInd w:val="0"/>
              <w:snapToGrid w:val="0"/>
              <w:jc w:val="center"/>
              <w:rPr>
                <w:rFonts w:hint="default" w:eastAsia="宋体"/>
                <w:color w:val="auto"/>
                <w:sz w:val="24"/>
                <w:szCs w:val="24"/>
                <w:highlight w:val="none"/>
                <w:lang w:val="en-US" w:eastAsia="zh-CN"/>
              </w:rPr>
            </w:pPr>
            <w:r>
              <w:rPr>
                <w:rFonts w:hint="default" w:eastAsia="宋体"/>
                <w:color w:val="auto"/>
                <w:sz w:val="24"/>
                <w:szCs w:val="24"/>
                <w:highlight w:val="none"/>
                <w:lang w:val="en-US" w:eastAsia="zh-CN"/>
              </w:rPr>
              <w:t>109890</w:t>
            </w:r>
          </w:p>
        </w:tc>
      </w:tr>
      <w:tr w14:paraId="08BD0E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4" w:hRule="atLeast"/>
          <w:jc w:val="center"/>
        </w:trPr>
        <w:tc>
          <w:tcPr>
            <w:tcW w:w="1913" w:type="dxa"/>
            <w:vAlign w:val="center"/>
          </w:tcPr>
          <w:p w14:paraId="596EE932">
            <w:pPr>
              <w:autoSpaceDE w:val="0"/>
              <w:autoSpaceDN w:val="0"/>
              <w:adjustRightInd w:val="0"/>
              <w:snapToGrid w:val="0"/>
              <w:jc w:val="center"/>
              <w:rPr>
                <w:color w:val="auto"/>
                <w:kern w:val="0"/>
                <w:sz w:val="24"/>
                <w:szCs w:val="24"/>
                <w:highlight w:val="none"/>
              </w:rPr>
            </w:pPr>
            <w:r>
              <w:rPr>
                <w:color w:val="auto"/>
                <w:kern w:val="0"/>
                <w:sz w:val="24"/>
                <w:szCs w:val="24"/>
                <w:highlight w:val="none"/>
              </w:rPr>
              <w:t>专项评价设置情况</w:t>
            </w:r>
          </w:p>
        </w:tc>
        <w:tc>
          <w:tcPr>
            <w:tcW w:w="6957" w:type="dxa"/>
            <w:gridSpan w:val="3"/>
            <w:vAlign w:val="center"/>
          </w:tcPr>
          <w:p w14:paraId="7A231C38">
            <w:pPr>
              <w:autoSpaceDE w:val="0"/>
              <w:autoSpaceDN w:val="0"/>
              <w:adjustRightInd w:val="0"/>
              <w:snapToGrid w:val="0"/>
              <w:jc w:val="center"/>
              <w:rPr>
                <w:rFonts w:hint="eastAsia" w:eastAsia="宋体"/>
                <w:color w:val="auto"/>
                <w:kern w:val="0"/>
                <w:sz w:val="24"/>
                <w:szCs w:val="24"/>
                <w:highlight w:val="none"/>
                <w:lang w:eastAsia="zh-CN"/>
              </w:rPr>
            </w:pPr>
            <w:r>
              <w:rPr>
                <w:rFonts w:hint="eastAsia" w:eastAsia="宋体"/>
                <w:color w:val="auto"/>
                <w:kern w:val="0"/>
                <w:sz w:val="24"/>
                <w:szCs w:val="24"/>
                <w:highlight w:val="none"/>
                <w:lang w:eastAsia="zh-CN"/>
              </w:rPr>
              <w:t>根据《建设项目环境影响报告表编制技术指南（污染影响类）（试行）》表1 专项评价设置原则表，本项目新增外排废水</w:t>
            </w:r>
            <w:r>
              <w:rPr>
                <w:rFonts w:hint="eastAsia"/>
                <w:color w:val="auto"/>
                <w:kern w:val="0"/>
                <w:sz w:val="24"/>
                <w:szCs w:val="24"/>
                <w:highlight w:val="none"/>
                <w:lang w:val="en-US" w:eastAsia="zh-CN"/>
              </w:rPr>
              <w:t>18</w:t>
            </w:r>
            <w:r>
              <w:rPr>
                <w:rFonts w:hint="eastAsia" w:eastAsia="宋体"/>
                <w:color w:val="auto"/>
                <w:kern w:val="0"/>
                <w:sz w:val="24"/>
                <w:szCs w:val="24"/>
                <w:highlight w:val="none"/>
                <w:lang w:eastAsia="zh-CN"/>
              </w:rPr>
              <w:t>m</w:t>
            </w:r>
            <w:r>
              <w:rPr>
                <w:rFonts w:hint="eastAsia" w:eastAsia="宋体"/>
                <w:color w:val="auto"/>
                <w:kern w:val="0"/>
                <w:sz w:val="24"/>
                <w:szCs w:val="24"/>
                <w:highlight w:val="none"/>
                <w:vertAlign w:val="superscript"/>
                <w:lang w:eastAsia="zh-CN"/>
              </w:rPr>
              <w:t>3</w:t>
            </w:r>
            <w:r>
              <w:rPr>
                <w:rFonts w:hint="eastAsia" w:eastAsia="宋体"/>
                <w:color w:val="auto"/>
                <w:kern w:val="0"/>
                <w:sz w:val="24"/>
                <w:szCs w:val="24"/>
                <w:highlight w:val="none"/>
                <w:lang w:eastAsia="zh-CN"/>
              </w:rPr>
              <w:t>/d</w:t>
            </w:r>
            <w:r>
              <w:rPr>
                <w:rFonts w:hint="eastAsia"/>
                <w:color w:val="auto"/>
                <w:kern w:val="0"/>
                <w:sz w:val="24"/>
                <w:szCs w:val="24"/>
                <w:highlight w:val="none"/>
                <w:lang w:eastAsia="zh-CN"/>
              </w:rPr>
              <w:t>（</w:t>
            </w:r>
            <w:r>
              <w:rPr>
                <w:rFonts w:hint="eastAsia"/>
                <w:color w:val="auto"/>
                <w:kern w:val="0"/>
                <w:sz w:val="24"/>
                <w:szCs w:val="24"/>
                <w:highlight w:val="none"/>
                <w:lang w:val="en-US" w:eastAsia="zh-CN"/>
              </w:rPr>
              <w:t>3600m</w:t>
            </w:r>
            <w:r>
              <w:rPr>
                <w:rFonts w:hint="eastAsia"/>
                <w:color w:val="auto"/>
                <w:kern w:val="0"/>
                <w:sz w:val="24"/>
                <w:szCs w:val="24"/>
                <w:highlight w:val="none"/>
                <w:vertAlign w:val="superscript"/>
                <w:lang w:val="en-US" w:eastAsia="zh-CN"/>
              </w:rPr>
              <w:t>3</w:t>
            </w:r>
            <w:r>
              <w:rPr>
                <w:rFonts w:hint="eastAsia"/>
                <w:color w:val="auto"/>
                <w:kern w:val="0"/>
                <w:sz w:val="24"/>
                <w:szCs w:val="24"/>
                <w:highlight w:val="none"/>
                <w:lang w:val="en-US" w:eastAsia="zh-CN"/>
              </w:rPr>
              <w:t>/a</w:t>
            </w:r>
            <w:r>
              <w:rPr>
                <w:rFonts w:hint="eastAsia"/>
                <w:color w:val="auto"/>
                <w:kern w:val="0"/>
                <w:sz w:val="24"/>
                <w:szCs w:val="24"/>
                <w:highlight w:val="none"/>
                <w:lang w:eastAsia="zh-CN"/>
              </w:rPr>
              <w:t>）</w:t>
            </w:r>
            <w:r>
              <w:rPr>
                <w:rFonts w:hint="eastAsia" w:eastAsia="宋体"/>
                <w:color w:val="auto"/>
                <w:kern w:val="0"/>
                <w:sz w:val="24"/>
                <w:szCs w:val="24"/>
                <w:highlight w:val="none"/>
                <w:lang w:eastAsia="zh-CN"/>
              </w:rPr>
              <w:t>，属于新增工业废水直排建设项目，故需设置地表水专项评价</w:t>
            </w:r>
            <w:r>
              <w:rPr>
                <w:rFonts w:hint="eastAsia"/>
                <w:color w:val="auto"/>
                <w:kern w:val="0"/>
                <w:sz w:val="24"/>
                <w:szCs w:val="24"/>
                <w:highlight w:val="none"/>
                <w:lang w:eastAsia="zh-CN"/>
              </w:rPr>
              <w:t>。</w:t>
            </w:r>
          </w:p>
        </w:tc>
      </w:tr>
      <w:tr w14:paraId="5CDA40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1913" w:type="dxa"/>
            <w:vAlign w:val="center"/>
          </w:tcPr>
          <w:p w14:paraId="56359380">
            <w:pPr>
              <w:autoSpaceDE w:val="0"/>
              <w:autoSpaceDN w:val="0"/>
              <w:adjustRightInd w:val="0"/>
              <w:snapToGrid w:val="0"/>
              <w:jc w:val="center"/>
              <w:rPr>
                <w:color w:val="auto"/>
                <w:kern w:val="0"/>
                <w:sz w:val="24"/>
                <w:szCs w:val="24"/>
                <w:highlight w:val="none"/>
              </w:rPr>
            </w:pPr>
            <w:r>
              <w:rPr>
                <w:color w:val="auto"/>
                <w:sz w:val="24"/>
                <w:szCs w:val="24"/>
                <w:highlight w:val="none"/>
              </w:rPr>
              <w:t>规划情况</w:t>
            </w:r>
          </w:p>
        </w:tc>
        <w:tc>
          <w:tcPr>
            <w:tcW w:w="6957" w:type="dxa"/>
            <w:gridSpan w:val="3"/>
            <w:vAlign w:val="center"/>
          </w:tcPr>
          <w:p w14:paraId="6B7F0DF3">
            <w:pPr>
              <w:autoSpaceDE w:val="0"/>
              <w:autoSpaceDN w:val="0"/>
              <w:adjustRightInd w:val="0"/>
              <w:snapToGrid w:val="0"/>
              <w:ind w:firstLine="2880" w:firstLineChars="1200"/>
              <w:jc w:val="both"/>
              <w:rPr>
                <w:rFonts w:hint="eastAsia"/>
                <w:color w:val="auto"/>
                <w:kern w:val="0"/>
                <w:sz w:val="24"/>
                <w:szCs w:val="24"/>
                <w:highlight w:val="none"/>
              </w:rPr>
            </w:pPr>
            <w:r>
              <w:rPr>
                <w:rFonts w:hint="eastAsia"/>
                <w:color w:val="auto"/>
                <w:kern w:val="0"/>
                <w:sz w:val="24"/>
                <w:szCs w:val="24"/>
                <w:highlight w:val="none"/>
                <w:lang w:val="en-US" w:eastAsia="zh-CN"/>
              </w:rPr>
              <w:t>无</w:t>
            </w:r>
          </w:p>
        </w:tc>
      </w:tr>
      <w:tr w14:paraId="5160AC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1913" w:type="dxa"/>
            <w:vAlign w:val="center"/>
          </w:tcPr>
          <w:p w14:paraId="395CFA1E">
            <w:pPr>
              <w:adjustRightInd w:val="0"/>
              <w:snapToGrid w:val="0"/>
              <w:jc w:val="center"/>
              <w:rPr>
                <w:color w:val="auto"/>
                <w:sz w:val="24"/>
                <w:szCs w:val="24"/>
                <w:highlight w:val="none"/>
              </w:rPr>
            </w:pPr>
            <w:r>
              <w:rPr>
                <w:color w:val="auto"/>
                <w:sz w:val="24"/>
                <w:szCs w:val="24"/>
                <w:highlight w:val="none"/>
              </w:rPr>
              <w:t>规划环境影响</w:t>
            </w:r>
          </w:p>
          <w:p w14:paraId="2A3E2F74">
            <w:pPr>
              <w:adjustRightInd w:val="0"/>
              <w:snapToGrid w:val="0"/>
              <w:jc w:val="center"/>
              <w:rPr>
                <w:color w:val="auto"/>
                <w:kern w:val="0"/>
                <w:sz w:val="24"/>
                <w:szCs w:val="24"/>
                <w:highlight w:val="none"/>
              </w:rPr>
            </w:pPr>
            <w:r>
              <w:rPr>
                <w:color w:val="auto"/>
                <w:sz w:val="24"/>
                <w:szCs w:val="24"/>
                <w:highlight w:val="none"/>
              </w:rPr>
              <w:t>评价情况</w:t>
            </w:r>
          </w:p>
        </w:tc>
        <w:tc>
          <w:tcPr>
            <w:tcW w:w="6957" w:type="dxa"/>
            <w:gridSpan w:val="3"/>
            <w:vAlign w:val="center"/>
          </w:tcPr>
          <w:p w14:paraId="2E2D71EC">
            <w:pPr>
              <w:autoSpaceDE w:val="0"/>
              <w:autoSpaceDN w:val="0"/>
              <w:adjustRightInd w:val="0"/>
              <w:snapToGrid w:val="0"/>
              <w:ind w:firstLine="2880" w:firstLineChars="1200"/>
              <w:jc w:val="both"/>
              <w:rPr>
                <w:rFonts w:hint="eastAsia"/>
                <w:color w:val="auto"/>
                <w:kern w:val="0"/>
                <w:sz w:val="24"/>
                <w:szCs w:val="24"/>
                <w:highlight w:val="none"/>
                <w:lang w:val="en-US" w:eastAsia="zh-CN"/>
              </w:rPr>
            </w:pPr>
            <w:r>
              <w:rPr>
                <w:rFonts w:hint="eastAsia"/>
                <w:color w:val="auto"/>
                <w:kern w:val="0"/>
                <w:sz w:val="24"/>
                <w:szCs w:val="24"/>
                <w:highlight w:val="none"/>
                <w:lang w:val="en-US" w:eastAsia="zh-CN"/>
              </w:rPr>
              <w:t>无</w:t>
            </w:r>
          </w:p>
        </w:tc>
      </w:tr>
      <w:tr w14:paraId="452AB2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3" w:hRule="atLeast"/>
          <w:jc w:val="center"/>
        </w:trPr>
        <w:tc>
          <w:tcPr>
            <w:tcW w:w="1913" w:type="dxa"/>
            <w:vAlign w:val="center"/>
          </w:tcPr>
          <w:p w14:paraId="0785C84C">
            <w:pPr>
              <w:autoSpaceDE w:val="0"/>
              <w:autoSpaceDN w:val="0"/>
              <w:adjustRightInd w:val="0"/>
              <w:snapToGrid w:val="0"/>
              <w:jc w:val="center"/>
              <w:rPr>
                <w:color w:val="auto"/>
                <w:kern w:val="0"/>
                <w:sz w:val="24"/>
                <w:szCs w:val="24"/>
                <w:highlight w:val="none"/>
              </w:rPr>
            </w:pPr>
            <w:r>
              <w:rPr>
                <w:color w:val="auto"/>
                <w:kern w:val="0"/>
                <w:sz w:val="24"/>
                <w:szCs w:val="24"/>
                <w:highlight w:val="none"/>
              </w:rPr>
              <w:t>规划及规划环境影响评价符合性分析</w:t>
            </w:r>
          </w:p>
        </w:tc>
        <w:tc>
          <w:tcPr>
            <w:tcW w:w="6957" w:type="dxa"/>
            <w:gridSpan w:val="3"/>
            <w:vAlign w:val="center"/>
          </w:tcPr>
          <w:p w14:paraId="4D0F31EC">
            <w:pPr>
              <w:autoSpaceDE w:val="0"/>
              <w:autoSpaceDN w:val="0"/>
              <w:adjustRightInd w:val="0"/>
              <w:snapToGrid w:val="0"/>
              <w:ind w:firstLine="2880" w:firstLineChars="1200"/>
              <w:jc w:val="both"/>
              <w:rPr>
                <w:rFonts w:hint="eastAsia"/>
                <w:color w:val="auto"/>
                <w:kern w:val="0"/>
                <w:sz w:val="24"/>
                <w:szCs w:val="24"/>
                <w:highlight w:val="none"/>
                <w:lang w:val="en-US" w:eastAsia="zh-CN"/>
              </w:rPr>
            </w:pPr>
          </w:p>
          <w:p w14:paraId="32824955">
            <w:pPr>
              <w:autoSpaceDE w:val="0"/>
              <w:autoSpaceDN w:val="0"/>
              <w:adjustRightInd w:val="0"/>
              <w:snapToGrid w:val="0"/>
              <w:ind w:firstLine="2880" w:firstLineChars="1200"/>
              <w:jc w:val="both"/>
              <w:rPr>
                <w:rFonts w:hint="eastAsia"/>
                <w:color w:val="auto"/>
                <w:kern w:val="0"/>
                <w:sz w:val="24"/>
                <w:szCs w:val="24"/>
                <w:highlight w:val="none"/>
                <w:lang w:val="en-US" w:eastAsia="zh-CN"/>
              </w:rPr>
            </w:pPr>
          </w:p>
          <w:p w14:paraId="63A8FCE3">
            <w:pPr>
              <w:autoSpaceDE w:val="0"/>
              <w:autoSpaceDN w:val="0"/>
              <w:adjustRightInd w:val="0"/>
              <w:snapToGrid w:val="0"/>
              <w:ind w:firstLine="2880" w:firstLineChars="1200"/>
              <w:jc w:val="both"/>
              <w:rPr>
                <w:rFonts w:hint="eastAsia"/>
                <w:color w:val="auto"/>
                <w:kern w:val="0"/>
                <w:sz w:val="24"/>
                <w:szCs w:val="24"/>
                <w:highlight w:val="none"/>
                <w:lang w:val="en-US" w:eastAsia="zh-CN"/>
              </w:rPr>
            </w:pPr>
          </w:p>
          <w:p w14:paraId="33B2D005">
            <w:pPr>
              <w:autoSpaceDE w:val="0"/>
              <w:autoSpaceDN w:val="0"/>
              <w:adjustRightInd w:val="0"/>
              <w:snapToGrid w:val="0"/>
              <w:ind w:firstLine="2880" w:firstLineChars="1200"/>
              <w:jc w:val="both"/>
              <w:rPr>
                <w:rFonts w:hint="default"/>
                <w:color w:val="auto"/>
                <w:kern w:val="0"/>
                <w:sz w:val="24"/>
                <w:szCs w:val="24"/>
                <w:highlight w:val="none"/>
                <w:lang w:val="en-US" w:eastAsia="zh-CN"/>
              </w:rPr>
            </w:pPr>
            <w:r>
              <w:rPr>
                <w:rFonts w:hint="eastAsia"/>
                <w:color w:val="auto"/>
                <w:kern w:val="0"/>
                <w:sz w:val="24"/>
                <w:szCs w:val="24"/>
                <w:highlight w:val="none"/>
                <w:lang w:val="en-US" w:eastAsia="zh-CN"/>
              </w:rPr>
              <w:t>无</w:t>
            </w:r>
          </w:p>
          <w:p w14:paraId="7C5BAB06">
            <w:pPr>
              <w:autoSpaceDE w:val="0"/>
              <w:autoSpaceDN w:val="0"/>
              <w:adjustRightInd w:val="0"/>
              <w:snapToGrid w:val="0"/>
              <w:jc w:val="both"/>
              <w:rPr>
                <w:rFonts w:hint="eastAsia"/>
                <w:color w:val="auto"/>
                <w:kern w:val="0"/>
                <w:sz w:val="24"/>
                <w:szCs w:val="24"/>
                <w:highlight w:val="none"/>
                <w:lang w:val="en-US" w:eastAsia="zh-CN"/>
              </w:rPr>
            </w:pPr>
          </w:p>
          <w:p w14:paraId="38C45862">
            <w:pPr>
              <w:autoSpaceDE w:val="0"/>
              <w:autoSpaceDN w:val="0"/>
              <w:adjustRightInd w:val="0"/>
              <w:snapToGrid w:val="0"/>
              <w:ind w:firstLine="2880" w:firstLineChars="1200"/>
              <w:jc w:val="both"/>
              <w:rPr>
                <w:rFonts w:hint="eastAsia"/>
                <w:color w:val="auto"/>
                <w:kern w:val="0"/>
                <w:sz w:val="24"/>
                <w:szCs w:val="24"/>
                <w:highlight w:val="none"/>
                <w:lang w:val="en-US" w:eastAsia="zh-CN"/>
              </w:rPr>
            </w:pPr>
          </w:p>
          <w:p w14:paraId="653C3F26">
            <w:pPr>
              <w:autoSpaceDE w:val="0"/>
              <w:autoSpaceDN w:val="0"/>
              <w:adjustRightInd w:val="0"/>
              <w:snapToGrid w:val="0"/>
              <w:ind w:firstLine="2880" w:firstLineChars="1200"/>
              <w:jc w:val="both"/>
              <w:rPr>
                <w:rFonts w:hint="default"/>
                <w:color w:val="auto"/>
                <w:kern w:val="0"/>
                <w:sz w:val="24"/>
                <w:szCs w:val="24"/>
                <w:highlight w:val="none"/>
                <w:lang w:val="en-US" w:eastAsia="zh-CN"/>
              </w:rPr>
            </w:pPr>
          </w:p>
        </w:tc>
      </w:tr>
      <w:tr w14:paraId="5A1FA6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99" w:hRule="atLeast"/>
          <w:jc w:val="center"/>
        </w:trPr>
        <w:tc>
          <w:tcPr>
            <w:tcW w:w="1913" w:type="dxa"/>
            <w:vAlign w:val="center"/>
          </w:tcPr>
          <w:p w14:paraId="7D6EFE9F">
            <w:pPr>
              <w:autoSpaceDE w:val="0"/>
              <w:autoSpaceDN w:val="0"/>
              <w:adjustRightInd w:val="0"/>
              <w:snapToGrid w:val="0"/>
              <w:jc w:val="center"/>
              <w:rPr>
                <w:color w:val="auto"/>
                <w:kern w:val="0"/>
                <w:szCs w:val="21"/>
                <w:highlight w:val="none"/>
              </w:rPr>
            </w:pPr>
            <w:r>
              <w:rPr>
                <w:color w:val="auto"/>
                <w:kern w:val="0"/>
                <w:szCs w:val="21"/>
                <w:highlight w:val="none"/>
              </w:rPr>
              <w:t>其他符合性分析</w:t>
            </w:r>
          </w:p>
        </w:tc>
        <w:tc>
          <w:tcPr>
            <w:tcW w:w="6957" w:type="dxa"/>
            <w:gridSpan w:val="3"/>
            <w:vAlign w:val="center"/>
          </w:tcPr>
          <w:p w14:paraId="008CF3F8">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2" w:firstLineChars="200"/>
              <w:jc w:val="left"/>
              <w:textAlignment w:val="auto"/>
              <w:rPr>
                <w:rFonts w:hint="eastAsia" w:eastAsia="宋体"/>
                <w:b/>
                <w:color w:val="auto"/>
                <w:kern w:val="0"/>
                <w:sz w:val="24"/>
                <w:szCs w:val="21"/>
                <w:highlight w:val="none"/>
                <w:lang w:val="en-US" w:eastAsia="zh-CN"/>
              </w:rPr>
            </w:pPr>
            <w:r>
              <w:rPr>
                <w:rFonts w:hint="eastAsia"/>
                <w:b/>
                <w:color w:val="auto"/>
                <w:kern w:val="0"/>
                <w:sz w:val="24"/>
                <w:szCs w:val="21"/>
                <w:highlight w:val="none"/>
              </w:rPr>
              <w:t>1</w:t>
            </w:r>
            <w:r>
              <w:rPr>
                <w:rFonts w:hint="eastAsia"/>
                <w:b/>
                <w:color w:val="auto"/>
                <w:kern w:val="0"/>
                <w:sz w:val="24"/>
                <w:szCs w:val="21"/>
                <w:highlight w:val="none"/>
                <w:lang w:eastAsia="zh-CN"/>
              </w:rPr>
              <w:t>、</w:t>
            </w:r>
            <w:r>
              <w:rPr>
                <w:rFonts w:hint="eastAsia"/>
                <w:b/>
                <w:color w:val="auto"/>
                <w:kern w:val="0"/>
                <w:sz w:val="24"/>
                <w:szCs w:val="21"/>
                <w:highlight w:val="none"/>
              </w:rPr>
              <w:t>产业政策相符性</w:t>
            </w:r>
            <w:r>
              <w:rPr>
                <w:rFonts w:hint="eastAsia"/>
                <w:b/>
                <w:color w:val="auto"/>
                <w:kern w:val="0"/>
                <w:sz w:val="24"/>
                <w:szCs w:val="21"/>
                <w:highlight w:val="none"/>
                <w:lang w:val="en-US" w:eastAsia="zh-CN"/>
              </w:rPr>
              <w:t>分析</w:t>
            </w:r>
          </w:p>
          <w:p w14:paraId="54AE2E42">
            <w:pPr>
              <w:autoSpaceDE w:val="0"/>
              <w:autoSpaceDN w:val="0"/>
              <w:adjustRightInd w:val="0"/>
              <w:snapToGrid w:val="0"/>
              <w:spacing w:line="360" w:lineRule="auto"/>
              <w:ind w:firstLine="480" w:firstLineChars="200"/>
              <w:jc w:val="both"/>
              <w:rPr>
                <w:rFonts w:hint="eastAsia"/>
                <w:sz w:val="24"/>
                <w:highlight w:val="none"/>
              </w:rPr>
            </w:pPr>
            <w:r>
              <w:rPr>
                <w:rFonts w:hint="eastAsia"/>
                <w:sz w:val="24"/>
                <w:highlight w:val="none"/>
              </w:rPr>
              <w:t>本项目</w:t>
            </w:r>
            <w:r>
              <w:rPr>
                <w:rFonts w:hint="eastAsia"/>
                <w:sz w:val="24"/>
                <w:highlight w:val="none"/>
                <w:lang w:val="en-US" w:eastAsia="zh-CN"/>
              </w:rPr>
              <w:t>所属行业为</w:t>
            </w:r>
            <w:r>
              <w:rPr>
                <w:rFonts w:hint="eastAsia"/>
                <w:sz w:val="24"/>
                <w:highlight w:val="none"/>
              </w:rPr>
              <w:t>“D4430热力生产和供应”，</w:t>
            </w:r>
            <w:r>
              <w:rPr>
                <w:rFonts w:hint="eastAsia"/>
                <w:kern w:val="0"/>
                <w:sz w:val="24"/>
                <w:highlight w:val="none"/>
                <w:lang w:val="en-US" w:eastAsia="zh-CN"/>
              </w:rPr>
              <w:t>据查</w:t>
            </w:r>
            <w:r>
              <w:rPr>
                <w:rFonts w:hint="eastAsia"/>
                <w:kern w:val="0"/>
                <w:sz w:val="24"/>
                <w:highlight w:val="none"/>
              </w:rPr>
              <w:t>不属于国家《产业结构调整指导目录》（</w:t>
            </w:r>
            <w:r>
              <w:rPr>
                <w:rFonts w:hint="eastAsia"/>
                <w:kern w:val="0"/>
                <w:sz w:val="24"/>
                <w:highlight w:val="none"/>
                <w:lang w:val="en-US" w:eastAsia="zh-CN"/>
              </w:rPr>
              <w:t>2024年本</w:t>
            </w:r>
            <w:r>
              <w:rPr>
                <w:rFonts w:hint="eastAsia"/>
                <w:kern w:val="0"/>
                <w:sz w:val="24"/>
                <w:highlight w:val="none"/>
              </w:rPr>
              <w:t>）中限制类和淘汰类项目；</w:t>
            </w:r>
            <w:r>
              <w:rPr>
                <w:rFonts w:hint="eastAsia"/>
                <w:kern w:val="0"/>
                <w:sz w:val="24"/>
                <w:highlight w:val="none"/>
                <w:lang w:val="en-US" w:eastAsia="zh-CN"/>
              </w:rPr>
              <w:t>未列入</w:t>
            </w:r>
            <w:r>
              <w:rPr>
                <w:kern w:val="0"/>
                <w:sz w:val="24"/>
                <w:highlight w:val="none"/>
              </w:rPr>
              <w:t>《广东省国家重点生态功能区产业准入负面清单（试行）》（粤发改规划〔2017〕331号）中</w:t>
            </w:r>
            <w:r>
              <w:rPr>
                <w:rFonts w:hint="eastAsia"/>
                <w:kern w:val="0"/>
                <w:sz w:val="24"/>
                <w:highlight w:val="none"/>
                <w:lang w:val="en-US" w:eastAsia="zh-CN"/>
              </w:rPr>
              <w:t>乐昌市产业准入负面清单的限制类或禁止类项目</w:t>
            </w:r>
            <w:r>
              <w:rPr>
                <w:rFonts w:hint="eastAsia"/>
                <w:kern w:val="0"/>
                <w:sz w:val="24"/>
                <w:highlight w:val="none"/>
              </w:rPr>
              <w:t>；</w:t>
            </w:r>
            <w:r>
              <w:rPr>
                <w:rFonts w:hint="eastAsia"/>
                <w:kern w:val="0"/>
                <w:sz w:val="24"/>
                <w:highlight w:val="none"/>
                <w:lang w:val="en-US" w:eastAsia="zh-CN"/>
              </w:rPr>
              <w:t>不涉及</w:t>
            </w:r>
            <w:r>
              <w:rPr>
                <w:rFonts w:hint="eastAsia"/>
                <w:kern w:val="0"/>
                <w:sz w:val="24"/>
                <w:highlight w:val="none"/>
              </w:rPr>
              <w:t>《市场准入负面清单》（2</w:t>
            </w:r>
            <w:r>
              <w:rPr>
                <w:kern w:val="0"/>
                <w:sz w:val="24"/>
                <w:highlight w:val="none"/>
              </w:rPr>
              <w:t>0</w:t>
            </w:r>
            <w:r>
              <w:rPr>
                <w:rFonts w:hint="eastAsia"/>
                <w:kern w:val="0"/>
                <w:sz w:val="24"/>
                <w:highlight w:val="none"/>
              </w:rPr>
              <w:t>2</w:t>
            </w:r>
            <w:r>
              <w:rPr>
                <w:rFonts w:hint="eastAsia"/>
                <w:kern w:val="0"/>
                <w:sz w:val="24"/>
                <w:highlight w:val="none"/>
                <w:lang w:val="en-US" w:eastAsia="zh-CN"/>
              </w:rPr>
              <w:t>5</w:t>
            </w:r>
            <w:r>
              <w:rPr>
                <w:rFonts w:hint="eastAsia"/>
                <w:kern w:val="0"/>
                <w:sz w:val="24"/>
                <w:highlight w:val="none"/>
              </w:rPr>
              <w:t>年版）中的禁止</w:t>
            </w:r>
            <w:r>
              <w:rPr>
                <w:rFonts w:hint="eastAsia"/>
                <w:kern w:val="0"/>
                <w:sz w:val="24"/>
                <w:highlight w:val="none"/>
                <w:lang w:val="en-US" w:eastAsia="zh-CN"/>
              </w:rPr>
              <w:t>或许可</w:t>
            </w:r>
            <w:r>
              <w:rPr>
                <w:rFonts w:hint="eastAsia"/>
                <w:kern w:val="0"/>
                <w:sz w:val="24"/>
                <w:highlight w:val="none"/>
              </w:rPr>
              <w:t>准入</w:t>
            </w:r>
            <w:r>
              <w:rPr>
                <w:rFonts w:hint="eastAsia"/>
                <w:kern w:val="0"/>
                <w:sz w:val="24"/>
                <w:highlight w:val="none"/>
                <w:lang w:val="en-US" w:eastAsia="zh-CN"/>
              </w:rPr>
              <w:t>事项；同时本</w:t>
            </w:r>
            <w:r>
              <w:rPr>
                <w:rFonts w:hint="eastAsia"/>
                <w:sz w:val="24"/>
                <w:highlight w:val="none"/>
              </w:rPr>
              <w:t>项目已于2025年1月获得乐昌市发展和改革局备案（项目代码2501-440281-04-01-450503，见附件1）。</w:t>
            </w:r>
          </w:p>
          <w:p w14:paraId="05D1CA10">
            <w:pPr>
              <w:autoSpaceDE w:val="0"/>
              <w:autoSpaceDN w:val="0"/>
              <w:adjustRightInd w:val="0"/>
              <w:snapToGrid w:val="0"/>
              <w:spacing w:line="360" w:lineRule="auto"/>
              <w:ind w:firstLine="480" w:firstLineChars="200"/>
              <w:jc w:val="both"/>
              <w:rPr>
                <w:highlight w:val="none"/>
              </w:rPr>
            </w:pPr>
            <w:r>
              <w:rPr>
                <w:color w:val="000000"/>
                <w:sz w:val="24"/>
                <w:szCs w:val="21"/>
                <w:highlight w:val="none"/>
              </w:rPr>
              <w:t>因此，本项目符合国家及地方的相关产业政策</w:t>
            </w:r>
            <w:r>
              <w:rPr>
                <w:sz w:val="24"/>
                <w:highlight w:val="none"/>
              </w:rPr>
              <w:t>。</w:t>
            </w:r>
          </w:p>
          <w:p w14:paraId="1A27E03D">
            <w:pPr>
              <w:autoSpaceDE w:val="0"/>
              <w:autoSpaceDN w:val="0"/>
              <w:adjustRightInd w:val="0"/>
              <w:snapToGrid w:val="0"/>
              <w:spacing w:line="360" w:lineRule="auto"/>
              <w:ind w:firstLine="482" w:firstLineChars="200"/>
              <w:jc w:val="left"/>
              <w:rPr>
                <w:b/>
                <w:color w:val="auto"/>
                <w:kern w:val="0"/>
                <w:sz w:val="24"/>
                <w:highlight w:val="none"/>
              </w:rPr>
            </w:pPr>
            <w:r>
              <w:rPr>
                <w:rFonts w:hint="eastAsia"/>
                <w:b/>
                <w:color w:val="auto"/>
                <w:kern w:val="0"/>
                <w:sz w:val="24"/>
                <w:highlight w:val="none"/>
                <w:lang w:val="en-US" w:eastAsia="zh-CN"/>
              </w:rPr>
              <w:t>2、</w:t>
            </w:r>
            <w:r>
              <w:rPr>
                <w:rFonts w:hint="eastAsia"/>
                <w:b/>
                <w:color w:val="auto"/>
                <w:kern w:val="0"/>
                <w:sz w:val="24"/>
                <w:highlight w:val="none"/>
              </w:rPr>
              <w:t>选址合理性</w:t>
            </w:r>
          </w:p>
          <w:p w14:paraId="47EC28FF">
            <w:pPr>
              <w:autoSpaceDE w:val="0"/>
              <w:autoSpaceDN w:val="0"/>
              <w:adjustRightInd w:val="0"/>
              <w:snapToGrid w:val="0"/>
              <w:spacing w:line="360" w:lineRule="auto"/>
              <w:ind w:firstLine="480" w:firstLineChars="200"/>
              <w:jc w:val="both"/>
              <w:rPr>
                <w:sz w:val="24"/>
                <w:highlight w:val="none"/>
              </w:rPr>
            </w:pPr>
            <w:r>
              <w:rPr>
                <w:rFonts w:hint="eastAsia"/>
                <w:color w:val="auto"/>
                <w:kern w:val="0"/>
                <w:sz w:val="24"/>
                <w:highlight w:val="none"/>
              </w:rPr>
              <w:t>本项目</w:t>
            </w:r>
            <w:r>
              <w:rPr>
                <w:rFonts w:hint="eastAsia"/>
                <w:color w:val="auto"/>
                <w:kern w:val="0"/>
                <w:sz w:val="24"/>
                <w:highlight w:val="none"/>
                <w:lang w:val="en-US" w:eastAsia="zh-CN"/>
              </w:rPr>
              <w:t>租赁</w:t>
            </w:r>
            <w:r>
              <w:rPr>
                <w:rFonts w:hint="eastAsia"/>
                <w:color w:val="auto"/>
                <w:sz w:val="24"/>
                <w:szCs w:val="24"/>
                <w:highlight w:val="none"/>
              </w:rPr>
              <w:t>韶关市乐昌市坪石镇粤湘产业工业园内</w:t>
            </w:r>
            <w:r>
              <w:rPr>
                <w:rFonts w:hint="eastAsia"/>
                <w:color w:val="auto"/>
                <w:kern w:val="0"/>
                <w:sz w:val="24"/>
                <w:highlight w:val="none"/>
                <w:lang w:val="en-US" w:eastAsia="zh-CN"/>
              </w:rPr>
              <w:t>地块进行建设</w:t>
            </w:r>
            <w:r>
              <w:rPr>
                <w:rFonts w:hint="eastAsia"/>
                <w:color w:val="auto"/>
                <w:kern w:val="0"/>
                <w:sz w:val="24"/>
                <w:highlight w:val="none"/>
              </w:rPr>
              <w:t>（</w:t>
            </w:r>
            <w:r>
              <w:rPr>
                <w:rFonts w:hint="eastAsia"/>
                <w:color w:val="auto"/>
                <w:kern w:val="0"/>
                <w:sz w:val="24"/>
                <w:highlight w:val="none"/>
                <w:lang w:val="en-US" w:eastAsia="zh-CN"/>
              </w:rPr>
              <w:t>用地证明详见</w:t>
            </w:r>
            <w:r>
              <w:rPr>
                <w:rFonts w:hint="eastAsia"/>
                <w:color w:val="auto"/>
                <w:kern w:val="0"/>
                <w:sz w:val="24"/>
                <w:highlight w:val="none"/>
              </w:rPr>
              <w:t>附件2），项目所在地用地性质为</w:t>
            </w:r>
            <w:r>
              <w:rPr>
                <w:rFonts w:hint="eastAsia"/>
                <w:color w:val="000000" w:themeColor="text1"/>
                <w:sz w:val="24"/>
                <w:szCs w:val="24"/>
                <w:highlight w:val="none"/>
                <w:lang w:val="en-US" w:eastAsia="zh-CN"/>
                <w14:textFill>
                  <w14:solidFill>
                    <w14:schemeClr w14:val="tx1"/>
                  </w14:solidFill>
                </w14:textFill>
              </w:rPr>
              <w:t>工业用地</w:t>
            </w:r>
            <w:r>
              <w:rPr>
                <w:rFonts w:hint="eastAsia"/>
                <w:color w:val="auto"/>
                <w:kern w:val="0"/>
                <w:sz w:val="24"/>
                <w:highlight w:val="none"/>
              </w:rPr>
              <w:t>，符合选址要求。</w:t>
            </w:r>
          </w:p>
          <w:p w14:paraId="203B80B0">
            <w:pPr>
              <w:autoSpaceDE w:val="0"/>
              <w:autoSpaceDN w:val="0"/>
              <w:adjustRightInd w:val="0"/>
              <w:snapToGrid w:val="0"/>
              <w:spacing w:line="360" w:lineRule="auto"/>
              <w:ind w:firstLine="482" w:firstLineChars="200"/>
              <w:jc w:val="left"/>
              <w:rPr>
                <w:rFonts w:hint="eastAsia" w:eastAsia="宋体"/>
                <w:b/>
                <w:color w:val="auto"/>
                <w:kern w:val="0"/>
                <w:sz w:val="24"/>
                <w:szCs w:val="21"/>
                <w:highlight w:val="none"/>
                <w:lang w:val="en-US" w:eastAsia="zh-CN"/>
              </w:rPr>
            </w:pPr>
            <w:r>
              <w:rPr>
                <w:rFonts w:hint="eastAsia"/>
                <w:b/>
                <w:color w:val="auto"/>
                <w:kern w:val="0"/>
                <w:sz w:val="24"/>
                <w:szCs w:val="21"/>
                <w:highlight w:val="none"/>
                <w:lang w:val="en-US" w:eastAsia="zh-CN"/>
              </w:rPr>
              <w:t>3</w:t>
            </w:r>
            <w:r>
              <w:rPr>
                <w:rFonts w:hint="eastAsia"/>
                <w:b/>
                <w:color w:val="auto"/>
                <w:kern w:val="0"/>
                <w:sz w:val="24"/>
                <w:szCs w:val="21"/>
                <w:highlight w:val="none"/>
                <w:lang w:eastAsia="zh-CN"/>
              </w:rPr>
              <w:t>、</w:t>
            </w:r>
            <w:r>
              <w:rPr>
                <w:rFonts w:hint="eastAsia"/>
                <w:b/>
                <w:kern w:val="0"/>
                <w:sz w:val="24"/>
                <w:highlight w:val="none"/>
              </w:rPr>
              <w:t>与《韶关市“三线一单”生态环境分区管控方案》的</w:t>
            </w:r>
            <w:r>
              <w:rPr>
                <w:b/>
                <w:kern w:val="0"/>
                <w:sz w:val="24"/>
                <w:highlight w:val="none"/>
              </w:rPr>
              <w:t>相符</w:t>
            </w:r>
            <w:r>
              <w:rPr>
                <w:rFonts w:hint="eastAsia"/>
                <w:b/>
                <w:color w:val="auto"/>
                <w:kern w:val="0"/>
                <w:sz w:val="24"/>
                <w:szCs w:val="21"/>
                <w:highlight w:val="none"/>
              </w:rPr>
              <w:t>性</w:t>
            </w:r>
            <w:r>
              <w:rPr>
                <w:rFonts w:hint="eastAsia"/>
                <w:b/>
                <w:color w:val="auto"/>
                <w:kern w:val="0"/>
                <w:sz w:val="24"/>
                <w:szCs w:val="21"/>
                <w:highlight w:val="none"/>
                <w:lang w:val="en-US" w:eastAsia="zh-CN"/>
              </w:rPr>
              <w:t>分析</w:t>
            </w:r>
          </w:p>
          <w:p w14:paraId="13D0E9E8">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spacing w:beforeAutospacing="0" w:after="0" w:afterAutospacing="0" w:line="360" w:lineRule="auto"/>
              <w:ind w:right="0" w:firstLine="480" w:firstLineChars="200"/>
              <w:jc w:val="left"/>
              <w:textAlignment w:val="auto"/>
              <w:rPr>
                <w:rFonts w:hint="default" w:ascii="Times New Roman" w:hAnsi="Times New Roman" w:eastAsia="宋体" w:cs="Times New Roman"/>
                <w:bCs/>
                <w:color w:val="auto"/>
                <w:kern w:val="0"/>
                <w:sz w:val="24"/>
                <w:szCs w:val="24"/>
                <w:highlight w:val="none"/>
                <w:lang w:val="en-US" w:eastAsia="zh-CN" w:bidi="ar-SA"/>
              </w:rPr>
            </w:pPr>
            <w:r>
              <w:rPr>
                <w:rFonts w:hint="eastAsia" w:cs="Times New Roman"/>
                <w:bCs/>
                <w:color w:val="auto"/>
                <w:kern w:val="0"/>
                <w:sz w:val="24"/>
                <w:szCs w:val="24"/>
                <w:highlight w:val="none"/>
                <w:lang w:val="en-US" w:eastAsia="zh-CN" w:bidi="ar-SA"/>
              </w:rPr>
              <w:t>根据《韶关市人民政府关于印发韶关市“三线一单”生态环境分区管控方案的通知》（韶府〔2021〕10号）和《韶关市生态环境局关于印发&lt;韶关市生态环境分区管控动态更新成果&gt;的通知》（韶环〔2024〕103号），相关管控要求如下。</w:t>
            </w:r>
          </w:p>
          <w:p w14:paraId="6559B2E3">
            <w:pPr>
              <w:pStyle w:val="12"/>
              <w:adjustRightInd w:val="0"/>
              <w:snapToGrid w:val="0"/>
              <w:spacing w:after="0" w:line="360" w:lineRule="auto"/>
              <w:ind w:left="0" w:leftChars="0" w:firstLine="482" w:firstLineChars="200"/>
              <w:jc w:val="left"/>
              <w:rPr>
                <w:rFonts w:hAnsi="宋体"/>
                <w:b/>
                <w:bCs/>
                <w:color w:val="auto"/>
                <w:szCs w:val="24"/>
                <w:highlight w:val="none"/>
              </w:rPr>
            </w:pPr>
            <w:r>
              <w:rPr>
                <w:rFonts w:hAnsi="宋体"/>
                <w:b/>
                <w:bCs/>
                <w:color w:val="auto"/>
                <w:szCs w:val="24"/>
                <w:highlight w:val="none"/>
              </w:rPr>
              <w:t>（</w:t>
            </w:r>
            <w:r>
              <w:rPr>
                <w:b/>
                <w:bCs/>
                <w:color w:val="auto"/>
                <w:szCs w:val="24"/>
                <w:highlight w:val="none"/>
              </w:rPr>
              <w:t>1</w:t>
            </w:r>
            <w:r>
              <w:rPr>
                <w:rFonts w:hAnsi="宋体"/>
                <w:b/>
                <w:bCs/>
                <w:color w:val="auto"/>
                <w:szCs w:val="24"/>
                <w:highlight w:val="none"/>
              </w:rPr>
              <w:t>）主要目标</w:t>
            </w:r>
          </w:p>
          <w:p w14:paraId="272B59B0">
            <w:pPr>
              <w:pStyle w:val="12"/>
              <w:adjustRightInd w:val="0"/>
              <w:snapToGrid w:val="0"/>
              <w:spacing w:after="0" w:line="360" w:lineRule="auto"/>
              <w:ind w:left="0" w:leftChars="0" w:firstLine="480" w:firstLineChars="200"/>
              <w:jc w:val="left"/>
              <w:rPr>
                <w:rFonts w:hAnsi="宋体"/>
                <w:bCs/>
                <w:color w:val="auto"/>
                <w:szCs w:val="24"/>
                <w:highlight w:val="none"/>
              </w:rPr>
            </w:pPr>
            <w:r>
              <w:rPr>
                <w:rFonts w:hAnsi="宋体"/>
                <w:bCs/>
                <w:color w:val="auto"/>
                <w:szCs w:val="24"/>
                <w:highlight w:val="none"/>
              </w:rPr>
              <w:t>到</w:t>
            </w:r>
            <w:r>
              <w:rPr>
                <w:bCs/>
                <w:color w:val="auto"/>
                <w:szCs w:val="24"/>
                <w:highlight w:val="none"/>
              </w:rPr>
              <w:t>2025</w:t>
            </w:r>
            <w:r>
              <w:rPr>
                <w:rFonts w:hAnsi="宋体"/>
                <w:bCs/>
                <w:color w:val="auto"/>
                <w:szCs w:val="24"/>
                <w:highlight w:val="none"/>
              </w:rPr>
              <w:t>年，建立较为完善的</w:t>
            </w:r>
            <w:r>
              <w:rPr>
                <w:rFonts w:hint="eastAsia" w:ascii="宋体" w:hAnsi="宋体" w:eastAsia="宋体" w:cs="宋体"/>
                <w:bCs/>
                <w:color w:val="auto"/>
                <w:szCs w:val="24"/>
                <w:highlight w:val="none"/>
              </w:rPr>
              <w:t>“三线一单”</w:t>
            </w:r>
            <w:r>
              <w:rPr>
                <w:rFonts w:hAnsi="宋体"/>
                <w:bCs/>
                <w:color w:val="auto"/>
                <w:szCs w:val="24"/>
                <w:highlight w:val="none"/>
              </w:rPr>
              <w:t>生态环境分区管控体系，全市生态安全屏障更加牢固，生态环境质量持续改善，能源资源利用效率稳步提高，绿色发展水平明显提升，生态环境治理能力显著增强，山水林田湖草沙综合治理走在全国前列，初步构建以国家公园为主体的自然保护地体系，森林覆盖率、森林蓄积量和有林地面积等核心指标居全省前列。</w:t>
            </w:r>
          </w:p>
          <w:p w14:paraId="22ED1880">
            <w:pPr>
              <w:pStyle w:val="12"/>
              <w:adjustRightInd w:val="0"/>
              <w:snapToGrid w:val="0"/>
              <w:spacing w:after="0" w:line="360" w:lineRule="auto"/>
              <w:ind w:left="0" w:leftChars="0" w:firstLine="480" w:firstLineChars="200"/>
              <w:jc w:val="left"/>
              <w:rPr>
                <w:bCs/>
                <w:color w:val="auto"/>
                <w:szCs w:val="24"/>
                <w:highlight w:val="none"/>
              </w:rPr>
            </w:pPr>
            <w:r>
              <w:rPr>
                <w:rFonts w:hAnsi="宋体"/>
                <w:bCs/>
                <w:color w:val="auto"/>
                <w:szCs w:val="24"/>
                <w:highlight w:val="none"/>
              </w:rPr>
              <w:t>其中：</w:t>
            </w:r>
          </w:p>
          <w:p w14:paraId="7FBB212C">
            <w:pPr>
              <w:pStyle w:val="12"/>
              <w:adjustRightInd w:val="0"/>
              <w:snapToGrid w:val="0"/>
              <w:spacing w:after="0" w:line="360" w:lineRule="auto"/>
              <w:ind w:left="0" w:leftChars="0" w:firstLine="480" w:firstLineChars="200"/>
              <w:jc w:val="left"/>
              <w:rPr>
                <w:rFonts w:hAnsi="宋体"/>
                <w:bCs/>
                <w:color w:val="auto"/>
                <w:szCs w:val="24"/>
                <w:highlight w:val="none"/>
              </w:rPr>
            </w:pPr>
            <w:r>
              <w:rPr>
                <w:rFonts w:hint="eastAsia"/>
                <w:bCs/>
                <w:color w:val="auto"/>
                <w:szCs w:val="24"/>
                <w:highlight w:val="none"/>
              </w:rPr>
              <w:t>1）</w:t>
            </w:r>
            <w:r>
              <w:rPr>
                <w:rFonts w:hAnsi="宋体"/>
                <w:bCs/>
                <w:color w:val="auto"/>
                <w:szCs w:val="24"/>
                <w:highlight w:val="none"/>
              </w:rPr>
              <w:t>生态保护红线及一般生态空间</w:t>
            </w:r>
          </w:p>
          <w:p w14:paraId="281673A5">
            <w:pPr>
              <w:pStyle w:val="12"/>
              <w:adjustRightInd w:val="0"/>
              <w:snapToGrid w:val="0"/>
              <w:spacing w:after="0" w:line="360" w:lineRule="auto"/>
              <w:ind w:left="0" w:leftChars="0" w:firstLine="480" w:firstLineChars="200"/>
              <w:jc w:val="left"/>
              <w:rPr>
                <w:rFonts w:hAnsi="宋体"/>
                <w:bCs/>
                <w:color w:val="auto"/>
                <w:szCs w:val="24"/>
                <w:highlight w:val="none"/>
              </w:rPr>
            </w:pPr>
            <w:r>
              <w:rPr>
                <w:rFonts w:hint="eastAsia" w:hAnsi="宋体"/>
                <w:bCs/>
                <w:color w:val="auto"/>
                <w:szCs w:val="24"/>
                <w:highlight w:val="none"/>
              </w:rPr>
              <w:t>生态保护红线及一般生态空间。全市陆域生态保护红线面积5827.58平方千米，占全市陆域国土面积的31.65%；一般生态空间面积4951.43平方千米。</w:t>
            </w:r>
          </w:p>
          <w:p w14:paraId="6D976354">
            <w:pPr>
              <w:autoSpaceDE w:val="0"/>
              <w:autoSpaceDN w:val="0"/>
              <w:adjustRightInd w:val="0"/>
              <w:snapToGrid w:val="0"/>
              <w:spacing w:line="360" w:lineRule="auto"/>
              <w:ind w:firstLine="480" w:firstLineChars="200"/>
              <w:jc w:val="left"/>
              <w:rPr>
                <w:rFonts w:hint="eastAsia" w:hAnsiTheme="minorEastAsia" w:eastAsiaTheme="minorEastAsia"/>
                <w:b w:val="0"/>
                <w:bCs/>
                <w:color w:val="auto"/>
                <w:sz w:val="24"/>
                <w:szCs w:val="24"/>
                <w:highlight w:val="none"/>
              </w:rPr>
            </w:pPr>
            <w:r>
              <w:rPr>
                <w:rFonts w:hint="eastAsia" w:hAnsiTheme="minorEastAsia" w:eastAsiaTheme="minorEastAsia"/>
                <w:b w:val="0"/>
                <w:bCs/>
                <w:color w:val="auto"/>
                <w:sz w:val="24"/>
                <w:szCs w:val="24"/>
                <w:highlight w:val="none"/>
              </w:rPr>
              <w:t>本项目选址位于</w:t>
            </w:r>
            <w:r>
              <w:rPr>
                <w:rFonts w:hint="eastAsia"/>
                <w:color w:val="auto"/>
                <w:sz w:val="24"/>
                <w:szCs w:val="24"/>
                <w:highlight w:val="none"/>
              </w:rPr>
              <w:t>乐昌市坪石镇粤湘产业工业园内</w:t>
            </w:r>
            <w:r>
              <w:rPr>
                <w:rFonts w:hint="eastAsia" w:hAnsiTheme="minorEastAsia" w:eastAsiaTheme="minorEastAsia"/>
                <w:b w:val="0"/>
                <w:bCs/>
                <w:color w:val="auto"/>
                <w:sz w:val="24"/>
                <w:szCs w:val="24"/>
                <w:highlight w:val="none"/>
              </w:rPr>
              <w:t>厂区内，符合土地利用规划。选址不涉及自然保护区、风景名胜区、世界文化和自然遗产地、饮用水源保护区和其他需要特殊保护的区域，不涉及生态保护红线，符合生态保护红线管控要求。</w:t>
            </w:r>
          </w:p>
          <w:p w14:paraId="6153F123">
            <w:pPr>
              <w:autoSpaceDE w:val="0"/>
              <w:autoSpaceDN w:val="0"/>
              <w:adjustRightInd w:val="0"/>
              <w:snapToGrid w:val="0"/>
              <w:spacing w:line="360" w:lineRule="auto"/>
              <w:ind w:firstLine="480" w:firstLineChars="200"/>
              <w:jc w:val="left"/>
              <w:rPr>
                <w:rFonts w:hint="eastAsia" w:hAnsiTheme="minorEastAsia" w:eastAsiaTheme="minorEastAsia"/>
                <w:b w:val="0"/>
                <w:bCs/>
                <w:color w:val="auto"/>
                <w:sz w:val="24"/>
                <w:szCs w:val="24"/>
                <w:highlight w:val="none"/>
              </w:rPr>
            </w:pPr>
            <w:r>
              <w:rPr>
                <w:rFonts w:hint="eastAsia" w:hAnsiTheme="minorEastAsia" w:eastAsiaTheme="minorEastAsia"/>
                <w:b w:val="0"/>
                <w:bCs/>
                <w:color w:val="auto"/>
                <w:sz w:val="24"/>
                <w:szCs w:val="24"/>
                <w:highlight w:val="none"/>
              </w:rPr>
              <w:t>2）环境质量底线</w:t>
            </w:r>
          </w:p>
          <w:p w14:paraId="76969679">
            <w:pPr>
              <w:pStyle w:val="109"/>
              <w:bidi w:val="0"/>
              <w:spacing w:line="360" w:lineRule="auto"/>
              <w:ind w:firstLine="480" w:firstLineChars="200"/>
              <w:jc w:val="both"/>
              <w:rPr>
                <w:rFonts w:hint="default" w:ascii="Times New Roman" w:hAnsi="Times New Roman" w:eastAsia="宋体" w:cs="Times New Roman"/>
                <w:b w:val="0"/>
                <w:bCs/>
                <w:color w:val="000000"/>
                <w:highlight w:val="none"/>
                <w:lang w:val="en-US" w:eastAsia="zh-CN"/>
              </w:rPr>
            </w:pPr>
            <w:r>
              <w:rPr>
                <w:rFonts w:hint="eastAsia" w:ascii="Times New Roman" w:hAnsi="Times New Roman" w:cs="Times New Roman"/>
                <w:b w:val="0"/>
                <w:bCs/>
                <w:color w:val="000000"/>
                <w:highlight w:val="none"/>
                <w:lang w:val="en-US" w:eastAsia="zh-CN"/>
              </w:rPr>
              <w:t>本</w:t>
            </w:r>
            <w:r>
              <w:rPr>
                <w:rFonts w:hint="default" w:ascii="Times New Roman" w:hAnsi="Times New Roman" w:eastAsia="宋体" w:cs="Times New Roman"/>
                <w:b w:val="0"/>
                <w:bCs/>
                <w:color w:val="000000"/>
                <w:highlight w:val="none"/>
                <w:lang w:val="en-US" w:eastAsia="zh-CN"/>
              </w:rPr>
              <w:t>项目所在区域环境空气质量满足《环境空气质量标准》（GB3095-2012）及其修改单二级标准，</w:t>
            </w:r>
            <w:r>
              <w:rPr>
                <w:rFonts w:hint="eastAsia" w:ascii="Times New Roman" w:hAnsi="Times New Roman" w:cs="Times New Roman"/>
                <w:b w:val="0"/>
                <w:bCs/>
                <w:color w:val="000000"/>
                <w:highlight w:val="none"/>
                <w:lang w:val="en-US" w:eastAsia="zh-CN"/>
              </w:rPr>
              <w:t>本项目产生的</w:t>
            </w:r>
            <w:r>
              <w:rPr>
                <w:rFonts w:hint="default" w:ascii="Times New Roman" w:hAnsi="Times New Roman" w:eastAsia="宋体" w:cs="Times New Roman"/>
                <w:b w:val="0"/>
                <w:bCs/>
                <w:color w:val="000000"/>
                <w:highlight w:val="none"/>
                <w:lang w:val="en-US" w:eastAsia="zh-CN"/>
              </w:rPr>
              <w:t>废气经相应措施处理后达标排放，经分析对大气环境影响很小，区域环境空气质量仍可满足《环境空气质量标准》（GB3095-2012）及其修改单二级标准或参考评价标准要求。</w:t>
            </w:r>
          </w:p>
          <w:p w14:paraId="347238F5">
            <w:pPr>
              <w:pStyle w:val="109"/>
              <w:bidi w:val="0"/>
              <w:spacing w:line="360" w:lineRule="auto"/>
              <w:ind w:firstLine="480" w:firstLineChars="200"/>
              <w:jc w:val="both"/>
              <w:rPr>
                <w:rFonts w:hint="eastAsia" w:ascii="Times New Roman" w:hAnsi="Times New Roman" w:eastAsia="宋体" w:cs="Times New Roman"/>
                <w:b w:val="0"/>
                <w:bCs/>
                <w:color w:val="000000"/>
                <w:highlight w:val="none"/>
                <w:lang w:val="en-US" w:eastAsia="zh-CN"/>
              </w:rPr>
            </w:pPr>
            <w:r>
              <w:rPr>
                <w:rFonts w:hint="default" w:ascii="Times New Roman" w:hAnsi="Times New Roman" w:eastAsia="宋体" w:cs="Times New Roman"/>
                <w:b w:val="0"/>
                <w:bCs/>
                <w:color w:val="000000"/>
                <w:highlight w:val="none"/>
                <w:lang w:val="en-US" w:eastAsia="zh-CN"/>
              </w:rPr>
              <w:t>本项目</w:t>
            </w:r>
            <w:r>
              <w:rPr>
                <w:rFonts w:hint="eastAsia" w:ascii="Times New Roman" w:hAnsi="Times New Roman" w:eastAsia="宋体" w:cs="Times New Roman"/>
                <w:b w:val="0"/>
                <w:bCs/>
                <w:color w:val="000000"/>
                <w:highlight w:val="none"/>
                <w:lang w:val="en-US" w:eastAsia="zh-CN"/>
              </w:rPr>
              <w:t>纳污</w:t>
            </w:r>
            <w:r>
              <w:rPr>
                <w:rFonts w:hint="default" w:ascii="Times New Roman" w:hAnsi="Times New Roman" w:eastAsia="宋体" w:cs="Times New Roman"/>
                <w:b w:val="0"/>
                <w:bCs/>
                <w:color w:val="000000"/>
                <w:highlight w:val="none"/>
                <w:lang w:val="en-US" w:eastAsia="zh-CN"/>
              </w:rPr>
              <w:t>水体为武江石灰冲河段</w:t>
            </w:r>
            <w:r>
              <w:rPr>
                <w:rFonts w:hint="eastAsia" w:ascii="Times New Roman" w:hAnsi="Times New Roman" w:eastAsia="宋体" w:cs="Times New Roman"/>
                <w:b w:val="0"/>
                <w:bCs/>
                <w:color w:val="000000"/>
                <w:highlight w:val="none"/>
                <w:lang w:val="en-US" w:eastAsia="zh-CN"/>
              </w:rPr>
              <w:t>，</w:t>
            </w:r>
            <w:r>
              <w:rPr>
                <w:rFonts w:hint="default" w:ascii="Times New Roman" w:hAnsi="Times New Roman" w:eastAsia="宋体" w:cs="Times New Roman"/>
                <w:b w:val="0"/>
                <w:bCs/>
                <w:color w:val="000000"/>
                <w:highlight w:val="none"/>
                <w:lang w:val="en-US" w:eastAsia="zh-CN"/>
              </w:rPr>
              <w:t>根据《广东省地表水环境功能区划》（粤府函[2011]29号）的规定，</w:t>
            </w:r>
            <w:r>
              <w:rPr>
                <w:rFonts w:hint="eastAsia" w:ascii="Times New Roman" w:hAnsi="Times New Roman" w:eastAsia="宋体" w:cs="Times New Roman"/>
                <w:b w:val="0"/>
                <w:bCs/>
                <w:color w:val="000000"/>
                <w:highlight w:val="none"/>
                <w:lang w:val="en-US" w:eastAsia="zh-CN"/>
              </w:rPr>
              <w:t>该水体</w:t>
            </w:r>
            <w:r>
              <w:rPr>
                <w:rFonts w:hint="default" w:ascii="Times New Roman" w:hAnsi="Times New Roman" w:eastAsia="宋体" w:cs="Times New Roman"/>
                <w:b w:val="0"/>
                <w:bCs/>
                <w:color w:val="000000"/>
                <w:highlight w:val="none"/>
                <w:lang w:val="en-US" w:eastAsia="zh-CN"/>
              </w:rPr>
              <w:t>为Ⅲ类水功能区，地表水环境质量执行《地表水环境质量标准》（GB3838-2002）中Ⅲ类标准</w:t>
            </w:r>
            <w:r>
              <w:rPr>
                <w:rFonts w:hint="eastAsia" w:ascii="Times New Roman" w:hAnsi="Times New Roman" w:eastAsia="宋体" w:cs="Times New Roman"/>
                <w:b w:val="0"/>
                <w:bCs/>
                <w:color w:val="000000"/>
                <w:highlight w:val="none"/>
                <w:lang w:val="en-US" w:eastAsia="zh-CN"/>
              </w:rPr>
              <w:t>，</w:t>
            </w:r>
            <w:r>
              <w:rPr>
                <w:rFonts w:hint="default" w:ascii="Times New Roman" w:hAnsi="Times New Roman" w:eastAsia="宋体" w:cs="Times New Roman"/>
                <w:b w:val="0"/>
                <w:bCs/>
                <w:color w:val="000000"/>
                <w:highlight w:val="none"/>
                <w:lang w:val="en-US" w:eastAsia="zh-CN"/>
              </w:rPr>
              <w:t>相关水质</w:t>
            </w:r>
            <w:r>
              <w:rPr>
                <w:rFonts w:hint="eastAsia" w:ascii="Times New Roman" w:hAnsi="Times New Roman" w:eastAsia="宋体" w:cs="Times New Roman"/>
                <w:b w:val="0"/>
                <w:bCs/>
                <w:color w:val="000000"/>
                <w:highlight w:val="none"/>
                <w:lang w:val="en-US" w:eastAsia="zh-CN"/>
              </w:rPr>
              <w:t>监测</w:t>
            </w:r>
            <w:r>
              <w:rPr>
                <w:rFonts w:hint="default" w:ascii="Times New Roman" w:hAnsi="Times New Roman" w:eastAsia="宋体" w:cs="Times New Roman"/>
                <w:b w:val="0"/>
                <w:bCs/>
                <w:color w:val="000000"/>
                <w:highlight w:val="none"/>
                <w:lang w:val="en-US" w:eastAsia="zh-CN"/>
              </w:rPr>
              <w:t>数据表明，监测结果表明</w:t>
            </w:r>
            <w:r>
              <w:rPr>
                <w:rFonts w:hint="eastAsia" w:ascii="Times New Roman" w:hAnsi="Times New Roman" w:eastAsia="宋体" w:cs="Times New Roman"/>
                <w:b w:val="0"/>
                <w:bCs/>
                <w:color w:val="000000"/>
                <w:highlight w:val="none"/>
                <w:lang w:val="en-US" w:eastAsia="zh-CN"/>
              </w:rPr>
              <w:t>纳污</w:t>
            </w:r>
            <w:r>
              <w:rPr>
                <w:rFonts w:hint="default" w:ascii="Times New Roman" w:hAnsi="Times New Roman" w:eastAsia="宋体" w:cs="Times New Roman"/>
                <w:b w:val="0"/>
                <w:bCs/>
                <w:color w:val="000000"/>
                <w:highlight w:val="none"/>
                <w:lang w:val="en-US" w:eastAsia="zh-CN"/>
              </w:rPr>
              <w:t>河段水质符合《地表水环境质量标准》（GB3838-2002）中Ⅲ类标准，水质情况良好。本项目</w:t>
            </w:r>
            <w:r>
              <w:rPr>
                <w:rFonts w:hint="eastAsia" w:ascii="Times New Roman" w:hAnsi="Times New Roman" w:cs="Times New Roman"/>
                <w:b w:val="0"/>
                <w:bCs/>
                <w:color w:val="000000"/>
                <w:highlight w:val="none"/>
                <w:lang w:val="en-US" w:eastAsia="zh-CN"/>
              </w:rPr>
              <w:t>生产废水经絮凝沉淀处理达到广东省《水污染物排放限值》（DB44/26-2001）第二时段一级标准后外排至武江</w:t>
            </w:r>
            <w:r>
              <w:rPr>
                <w:rFonts w:hint="default" w:ascii="Times New Roman" w:hAnsi="Times New Roman" w:eastAsia="宋体" w:cs="Times New Roman"/>
                <w:b w:val="0"/>
                <w:bCs/>
                <w:color w:val="000000"/>
                <w:highlight w:val="none"/>
                <w:lang w:val="en-US" w:eastAsia="zh-CN"/>
              </w:rPr>
              <w:t>；生活污水经处理达到《农田灌溉水质标准》（GB5084-2021）中旱作作物标准后，用作厂区周边绿化，不外排。</w:t>
            </w:r>
            <w:r>
              <w:rPr>
                <w:rFonts w:hint="eastAsia" w:ascii="Times New Roman" w:hAnsi="Times New Roman" w:cs="Times New Roman"/>
                <w:b w:val="0"/>
                <w:bCs/>
                <w:color w:val="000000"/>
                <w:highlight w:val="none"/>
                <w:lang w:val="en-US" w:eastAsia="zh-CN"/>
              </w:rPr>
              <w:t>综上所述本项目废水对</w:t>
            </w:r>
            <w:r>
              <w:rPr>
                <w:rFonts w:hint="eastAsia" w:ascii="Times New Roman" w:hAnsi="Times New Roman" w:eastAsia="宋体" w:cs="Times New Roman"/>
                <w:b w:val="0"/>
                <w:bCs/>
                <w:color w:val="000000"/>
                <w:highlight w:val="none"/>
                <w:lang w:val="en-US" w:eastAsia="zh-CN"/>
              </w:rPr>
              <w:t>地表水环境质量</w:t>
            </w:r>
            <w:r>
              <w:rPr>
                <w:rFonts w:hint="eastAsia" w:ascii="Times New Roman" w:hAnsi="Times New Roman" w:cs="Times New Roman"/>
                <w:b w:val="0"/>
                <w:bCs/>
                <w:color w:val="000000"/>
                <w:highlight w:val="none"/>
                <w:lang w:val="en-US" w:eastAsia="zh-CN"/>
              </w:rPr>
              <w:t>影响较小</w:t>
            </w:r>
            <w:r>
              <w:rPr>
                <w:rFonts w:hint="eastAsia" w:ascii="Times New Roman" w:hAnsi="Times New Roman" w:eastAsia="宋体" w:cs="Times New Roman"/>
                <w:b w:val="0"/>
                <w:bCs/>
                <w:color w:val="000000"/>
                <w:highlight w:val="none"/>
                <w:lang w:val="en-US" w:eastAsia="zh-CN"/>
              </w:rPr>
              <w:t>。</w:t>
            </w:r>
          </w:p>
          <w:p w14:paraId="77CB1DE6">
            <w:pPr>
              <w:pStyle w:val="109"/>
              <w:bidi w:val="0"/>
              <w:spacing w:line="360" w:lineRule="auto"/>
              <w:ind w:firstLine="480" w:firstLineChars="200"/>
              <w:jc w:val="both"/>
              <w:rPr>
                <w:rFonts w:hint="eastAsia"/>
                <w:highlight w:val="none"/>
              </w:rPr>
            </w:pPr>
            <w:r>
              <w:rPr>
                <w:rFonts w:hint="eastAsia" w:ascii="Times New Roman" w:hAnsi="Times New Roman" w:cs="Times New Roman"/>
                <w:b w:val="0"/>
                <w:bCs/>
                <w:color w:val="000000"/>
                <w:highlight w:val="none"/>
                <w:lang w:val="en-US" w:eastAsia="zh-CN"/>
              </w:rPr>
              <w:t>项目所在区域声环境质量满足《声环境质量标准》（GB3096-2008）中2类功能区标准，东侧边界满足《声环境质量标准》（GB3096-2008）的4类标准（昼间70dB（A）、夜间55dB（A））。项目建成后噪声经减噪措施后影响较小，仍可满足《声环境质量标准》（GB3096-2008）中对应声功能区标准。</w:t>
            </w:r>
          </w:p>
          <w:p w14:paraId="1C2405E4">
            <w:pPr>
              <w:autoSpaceDE w:val="0"/>
              <w:autoSpaceDN w:val="0"/>
              <w:adjustRightInd w:val="0"/>
              <w:snapToGrid w:val="0"/>
              <w:spacing w:line="360" w:lineRule="auto"/>
              <w:ind w:firstLine="480" w:firstLineChars="200"/>
              <w:jc w:val="left"/>
              <w:rPr>
                <w:rFonts w:hint="eastAsia" w:hAnsiTheme="minorEastAsia" w:eastAsiaTheme="minorEastAsia"/>
                <w:b w:val="0"/>
                <w:bCs/>
                <w:color w:val="auto"/>
                <w:sz w:val="24"/>
                <w:szCs w:val="24"/>
                <w:highlight w:val="none"/>
              </w:rPr>
            </w:pPr>
            <w:r>
              <w:rPr>
                <w:rFonts w:hint="eastAsia" w:hAnsiTheme="minorEastAsia" w:eastAsiaTheme="minorEastAsia"/>
                <w:b w:val="0"/>
                <w:bCs/>
                <w:color w:val="auto"/>
                <w:sz w:val="24"/>
                <w:szCs w:val="24"/>
                <w:highlight w:val="none"/>
              </w:rPr>
              <w:t>综上，项目符合环境质量底线管控要求。</w:t>
            </w:r>
          </w:p>
          <w:p w14:paraId="4EEAE302">
            <w:pPr>
              <w:autoSpaceDE w:val="0"/>
              <w:autoSpaceDN w:val="0"/>
              <w:adjustRightInd w:val="0"/>
              <w:snapToGrid w:val="0"/>
              <w:spacing w:line="360" w:lineRule="auto"/>
              <w:ind w:firstLine="480" w:firstLineChars="200"/>
              <w:jc w:val="left"/>
              <w:rPr>
                <w:rFonts w:hint="eastAsia" w:hAnsiTheme="minorEastAsia" w:eastAsiaTheme="minorEastAsia"/>
                <w:b w:val="0"/>
                <w:bCs/>
                <w:color w:val="auto"/>
                <w:sz w:val="24"/>
                <w:szCs w:val="24"/>
                <w:highlight w:val="none"/>
              </w:rPr>
            </w:pPr>
            <w:r>
              <w:rPr>
                <w:rFonts w:hint="eastAsia" w:hAnsiTheme="minorEastAsia" w:eastAsiaTheme="minorEastAsia"/>
                <w:b w:val="0"/>
                <w:bCs/>
                <w:color w:val="auto"/>
                <w:sz w:val="24"/>
                <w:szCs w:val="24"/>
                <w:highlight w:val="none"/>
              </w:rPr>
              <w:t>3）资源利用上线</w:t>
            </w:r>
          </w:p>
          <w:p w14:paraId="28D92FB6">
            <w:pPr>
              <w:pStyle w:val="12"/>
              <w:adjustRightInd w:val="0"/>
              <w:snapToGrid w:val="0"/>
              <w:spacing w:after="0" w:line="360" w:lineRule="auto"/>
              <w:ind w:left="0" w:leftChars="0" w:firstLine="480" w:firstLineChars="200"/>
              <w:jc w:val="left"/>
              <w:rPr>
                <w:rFonts w:hint="eastAsia" w:hAnsi="宋体" w:eastAsia="宋体"/>
                <w:bCs/>
                <w:color w:val="auto"/>
                <w:szCs w:val="24"/>
                <w:highlight w:val="none"/>
                <w:lang w:eastAsia="zh-CN"/>
              </w:rPr>
            </w:pPr>
            <w:r>
              <w:rPr>
                <w:rFonts w:hint="eastAsia" w:hAnsi="宋体"/>
                <w:bCs/>
                <w:color w:val="auto"/>
                <w:szCs w:val="24"/>
                <w:highlight w:val="none"/>
              </w:rPr>
              <w:t>强化节约集约利用，持续提升资源能源利用效率，水资源、土地资源、岸线资源、能源消耗等达到或优于国家、省下达的总量和强度控制目标。水资源利用效率持续提高。到2025年，全市用水总量控制在19.71亿立方米以内，万元地区生产总值用水量较2020年降幅不低于24%，万元工业增加值用水量较2020年降幅不低于20%。土地资源集约化利用水平不断提升。耕地保有量、永久基本农田保护面积、建设用地总规模、城乡建设用地规模等严格落实国家和省下达的总量和强度控制指标。岸线资源得到有效保护。自然岸线保有率达到省级考核要求。能源利用效率持续提升，能源结构不断优化。到2025年，全市单位地区生产总值能源消耗比2020年下降15.5%。碳排放控制步伐加快推进，与全省同步达峰</w:t>
            </w:r>
            <w:r>
              <w:rPr>
                <w:rFonts w:hint="eastAsia" w:hAnsi="宋体"/>
                <w:bCs/>
                <w:color w:val="auto"/>
                <w:szCs w:val="24"/>
                <w:highlight w:val="none"/>
                <w:lang w:eastAsia="zh-CN"/>
              </w:rPr>
              <w:t>。</w:t>
            </w:r>
          </w:p>
          <w:p w14:paraId="4D9B99CC">
            <w:pPr>
              <w:pStyle w:val="12"/>
              <w:adjustRightInd w:val="0"/>
              <w:snapToGrid w:val="0"/>
              <w:spacing w:after="0" w:line="360" w:lineRule="auto"/>
              <w:ind w:left="0" w:leftChars="0" w:firstLine="480" w:firstLineChars="200"/>
              <w:jc w:val="left"/>
              <w:rPr>
                <w:rFonts w:hint="eastAsia" w:hAnsi="宋体"/>
                <w:bCs/>
                <w:color w:val="auto"/>
                <w:szCs w:val="24"/>
                <w:highlight w:val="none"/>
              </w:rPr>
            </w:pPr>
            <w:r>
              <w:rPr>
                <w:rFonts w:hint="eastAsia" w:hAnsi="宋体"/>
                <w:bCs/>
                <w:color w:val="auto"/>
                <w:szCs w:val="24"/>
                <w:highlight w:val="none"/>
              </w:rPr>
              <w:t>到2035年，生态环境分区管控体系巩固完善，生态安全格局稳定，环境质量保持优良，资源利用效率显著提升，碳排放达峰后稳中有降，节约资源和保护生态环境的空间格局、产业结构、能源结构、生产生活方式总体形成，绿水青山就是金山银山的理念得到有效践行，基本建成美丽韶关。</w:t>
            </w:r>
          </w:p>
          <w:p w14:paraId="6A9F54C7">
            <w:pPr>
              <w:autoSpaceDE w:val="0"/>
              <w:autoSpaceDN w:val="0"/>
              <w:adjustRightInd w:val="0"/>
              <w:snapToGrid w:val="0"/>
              <w:spacing w:line="360" w:lineRule="auto"/>
              <w:ind w:firstLine="480" w:firstLineChars="200"/>
              <w:jc w:val="left"/>
              <w:rPr>
                <w:rFonts w:hint="eastAsia" w:hAnsiTheme="minorEastAsia" w:eastAsiaTheme="minorEastAsia"/>
                <w:b w:val="0"/>
                <w:bCs/>
                <w:color w:val="auto"/>
                <w:sz w:val="24"/>
                <w:szCs w:val="24"/>
                <w:highlight w:val="none"/>
                <w:lang w:val="en-US" w:eastAsia="zh-CN"/>
              </w:rPr>
            </w:pPr>
            <w:r>
              <w:rPr>
                <w:rFonts w:hint="eastAsia" w:hAnsiTheme="minorEastAsia" w:eastAsiaTheme="minorEastAsia"/>
                <w:b w:val="0"/>
                <w:bCs/>
                <w:color w:val="auto"/>
                <w:sz w:val="24"/>
                <w:szCs w:val="24"/>
                <w:highlight w:val="none"/>
              </w:rPr>
              <w:t>本项目</w:t>
            </w:r>
            <w:r>
              <w:rPr>
                <w:rFonts w:hint="eastAsia"/>
                <w:color w:val="auto"/>
                <w:sz w:val="24"/>
                <w:szCs w:val="24"/>
                <w:highlight w:val="none"/>
                <w:lang w:val="en-US" w:eastAsia="zh-CN"/>
              </w:rPr>
              <w:t>选址于</w:t>
            </w:r>
            <w:r>
              <w:rPr>
                <w:rFonts w:hint="eastAsia"/>
                <w:color w:val="auto"/>
                <w:sz w:val="24"/>
                <w:szCs w:val="24"/>
                <w:highlight w:val="none"/>
              </w:rPr>
              <w:t>乐昌市坪石镇粤湘产业工业园</w:t>
            </w:r>
            <w:r>
              <w:rPr>
                <w:rFonts w:hint="eastAsia"/>
                <w:color w:val="auto"/>
                <w:sz w:val="24"/>
                <w:szCs w:val="24"/>
                <w:highlight w:val="none"/>
                <w:lang w:val="en-US" w:eastAsia="zh-CN"/>
              </w:rPr>
              <w:t>规范范围</w:t>
            </w:r>
            <w:r>
              <w:rPr>
                <w:rFonts w:hint="eastAsia"/>
                <w:color w:val="auto"/>
                <w:sz w:val="24"/>
                <w:szCs w:val="24"/>
                <w:highlight w:val="none"/>
              </w:rPr>
              <w:t>内</w:t>
            </w:r>
            <w:r>
              <w:rPr>
                <w:rFonts w:hint="eastAsia"/>
                <w:color w:val="auto"/>
                <w:sz w:val="24"/>
                <w:szCs w:val="24"/>
                <w:highlight w:val="none"/>
                <w:lang w:val="en-US" w:eastAsia="zh-CN"/>
              </w:rPr>
              <w:t>地块，为工业用地；本项目严格控制用水，废水排放量较小；</w:t>
            </w:r>
            <w:r>
              <w:rPr>
                <w:rFonts w:hint="default" w:ascii="Times New Roman" w:hAnsi="Times New Roman" w:eastAsia="宋体" w:cs="Times New Roman"/>
                <w:color w:val="auto"/>
                <w:kern w:val="0"/>
                <w:sz w:val="24"/>
                <w:szCs w:val="24"/>
                <w:highlight w:val="none"/>
              </w:rPr>
              <w:t>项目</w:t>
            </w:r>
            <w:r>
              <w:rPr>
                <w:rFonts w:hint="default" w:ascii="Times New Roman" w:hAnsi="Times New Roman" w:eastAsia="宋体" w:cs="Times New Roman"/>
                <w:color w:val="auto"/>
                <w:kern w:val="0"/>
                <w:sz w:val="24"/>
                <w:szCs w:val="24"/>
                <w:highlight w:val="none"/>
                <w:lang w:val="en-US" w:eastAsia="zh-CN"/>
              </w:rPr>
              <w:t>使用成型生物质颗粒，不属于</w:t>
            </w:r>
            <w:r>
              <w:rPr>
                <w:rFonts w:hint="default" w:ascii="Times New Roman" w:hAnsi="Times New Roman" w:eastAsia="宋体" w:cs="Times New Roman"/>
                <w:color w:val="auto"/>
                <w:kern w:val="0"/>
                <w:sz w:val="24"/>
                <w:szCs w:val="24"/>
                <w:highlight w:val="none"/>
              </w:rPr>
              <w:t>高污染燃料，符合能源资源利用要求</w:t>
            </w:r>
            <w:r>
              <w:rPr>
                <w:rFonts w:hint="eastAsia" w:hAnsiTheme="minorEastAsia" w:eastAsiaTheme="minorEastAsia"/>
                <w:b w:val="0"/>
                <w:bCs/>
                <w:color w:val="auto"/>
                <w:sz w:val="24"/>
                <w:szCs w:val="24"/>
                <w:highlight w:val="none"/>
                <w:lang w:val="en-US" w:eastAsia="zh-CN"/>
              </w:rPr>
              <w:t>。</w:t>
            </w:r>
          </w:p>
          <w:p w14:paraId="71FD715C">
            <w:pPr>
              <w:autoSpaceDE w:val="0"/>
              <w:autoSpaceDN w:val="0"/>
              <w:adjustRightInd w:val="0"/>
              <w:snapToGrid w:val="0"/>
              <w:spacing w:line="360" w:lineRule="auto"/>
              <w:ind w:firstLine="480" w:firstLineChars="200"/>
              <w:jc w:val="left"/>
              <w:rPr>
                <w:rFonts w:hint="eastAsia" w:hAnsiTheme="minorEastAsia" w:eastAsiaTheme="minorEastAsia"/>
                <w:b/>
                <w:bCs w:val="0"/>
                <w:color w:val="auto"/>
                <w:sz w:val="24"/>
                <w:szCs w:val="24"/>
                <w:highlight w:val="none"/>
              </w:rPr>
            </w:pPr>
            <w:r>
              <w:rPr>
                <w:rFonts w:hint="eastAsia" w:hAnsiTheme="minorEastAsia" w:eastAsiaTheme="minorEastAsia"/>
                <w:b w:val="0"/>
                <w:bCs/>
                <w:color w:val="auto"/>
                <w:sz w:val="24"/>
                <w:szCs w:val="24"/>
                <w:highlight w:val="none"/>
                <w:lang w:val="en-US" w:eastAsia="zh-CN"/>
              </w:rPr>
              <w:t>综上，</w:t>
            </w:r>
            <w:r>
              <w:rPr>
                <w:rFonts w:hint="eastAsia" w:hAnsiTheme="minorEastAsia" w:eastAsiaTheme="minorEastAsia"/>
                <w:b w:val="0"/>
                <w:bCs/>
                <w:color w:val="auto"/>
                <w:sz w:val="24"/>
                <w:szCs w:val="24"/>
                <w:highlight w:val="none"/>
              </w:rPr>
              <w:t>符合资源利用上线管控要求。</w:t>
            </w:r>
          </w:p>
          <w:p w14:paraId="496415C5">
            <w:pPr>
              <w:autoSpaceDE w:val="0"/>
              <w:autoSpaceDN w:val="0"/>
              <w:adjustRightInd w:val="0"/>
              <w:snapToGrid w:val="0"/>
              <w:spacing w:line="360" w:lineRule="auto"/>
              <w:ind w:firstLine="482" w:firstLineChars="200"/>
              <w:jc w:val="left"/>
              <w:rPr>
                <w:rFonts w:hint="eastAsia" w:eastAsiaTheme="minorEastAsia"/>
                <w:b/>
                <w:bCs w:val="0"/>
                <w:color w:val="auto"/>
                <w:sz w:val="24"/>
                <w:szCs w:val="24"/>
                <w:highlight w:val="none"/>
                <w:lang w:val="en-US" w:eastAsia="zh-CN"/>
              </w:rPr>
            </w:pPr>
            <w:r>
              <w:rPr>
                <w:rFonts w:hAnsiTheme="minorEastAsia" w:eastAsiaTheme="minorEastAsia"/>
                <w:b/>
                <w:bCs w:val="0"/>
                <w:color w:val="auto"/>
                <w:sz w:val="24"/>
                <w:szCs w:val="24"/>
                <w:highlight w:val="none"/>
              </w:rPr>
              <w:t>（</w:t>
            </w:r>
            <w:r>
              <w:rPr>
                <w:rFonts w:eastAsiaTheme="minorEastAsia"/>
                <w:b/>
                <w:bCs w:val="0"/>
                <w:color w:val="auto"/>
                <w:sz w:val="24"/>
                <w:szCs w:val="24"/>
                <w:highlight w:val="none"/>
              </w:rPr>
              <w:t>2</w:t>
            </w:r>
            <w:r>
              <w:rPr>
                <w:rFonts w:hAnsiTheme="minorEastAsia" w:eastAsiaTheme="minorEastAsia"/>
                <w:b/>
                <w:bCs w:val="0"/>
                <w:color w:val="auto"/>
                <w:sz w:val="24"/>
                <w:szCs w:val="24"/>
                <w:highlight w:val="none"/>
              </w:rPr>
              <w:t>）环境管控单元</w:t>
            </w:r>
          </w:p>
          <w:p w14:paraId="683BC590">
            <w:pPr>
              <w:pStyle w:val="76"/>
              <w:shd w:val="clear" w:color="auto" w:fill="auto"/>
              <w:bidi w:val="0"/>
              <w:rPr>
                <w:rFonts w:hint="eastAsia" w:ascii="Times New Roman" w:hAnsi="Times New Roman" w:cs="Times New Roman"/>
                <w:b w:val="0"/>
                <w:bCs/>
                <w:color w:val="000000"/>
                <w:sz w:val="24"/>
                <w:szCs w:val="24"/>
                <w:highlight w:val="none"/>
                <w:lang w:eastAsia="zh-CN"/>
              </w:rPr>
            </w:pPr>
            <w:r>
              <w:rPr>
                <w:rFonts w:hint="eastAsia" w:ascii="Times New Roman" w:hAnsi="Times New Roman" w:cs="Times New Roman"/>
                <w:b w:val="0"/>
                <w:bCs/>
                <w:color w:val="000000"/>
                <w:sz w:val="24"/>
                <w:szCs w:val="24"/>
                <w:highlight w:val="none"/>
                <w:lang w:eastAsia="zh-CN"/>
              </w:rPr>
              <w:t>全市共划定环境综合管控单元88个。其中，优先保护单元39个，主要涵盖生态保护红线、一般生态空间、饮用水水源保护区、环境空气质量一类功能区等区域，优先保护单元总面积10713.43平方公里，占国土面积的58.18%。重点管控单元31个，主要包括工业集聚、人口集中和环境质量超标区域，总面积共2284.54平方公里，占国土面积的12.41%。一般管控单元18个，为优先保护单元、重点管控单元以外的区域，总面积5415.18平方公里，占国土面积的29.41%。</w:t>
            </w:r>
          </w:p>
          <w:p w14:paraId="3427651B">
            <w:pPr>
              <w:pStyle w:val="76"/>
              <w:shd w:val="clear" w:color="auto" w:fill="auto"/>
              <w:bidi w:val="0"/>
              <w:rPr>
                <w:rFonts w:hint="eastAsia" w:ascii="Times New Roman" w:hAnsi="Times New Roman" w:cs="Times New Roman"/>
                <w:b w:val="0"/>
                <w:bCs/>
                <w:color w:val="000000"/>
                <w:sz w:val="24"/>
                <w:szCs w:val="24"/>
                <w:highlight w:val="none"/>
                <w:lang w:eastAsia="zh-CN"/>
              </w:rPr>
            </w:pPr>
            <w:r>
              <w:rPr>
                <w:rFonts w:hint="eastAsia" w:ascii="Times New Roman" w:hAnsi="Times New Roman" w:cs="Times New Roman"/>
                <w:b w:val="0"/>
                <w:bCs/>
                <w:color w:val="000000"/>
                <w:sz w:val="24"/>
                <w:szCs w:val="24"/>
                <w:highlight w:val="none"/>
                <w:lang w:eastAsia="zh-CN"/>
              </w:rPr>
              <w:t>——优先保护单元。以维护生态系统功能为主，包括生态红线、饮用水水源保护区、环境空气质量一类功能区等区域，涵盖以南岭、南水水库、丹霞山、车八岭等重要自然保护地为主的生物多样性保护极重要区域，与全市生态安全格局基本吻合。该区域依法禁止或限制大规模、高强度的工业和城镇建设，严守生态环境质量底线，确保生态功能不降低，在功能受损的优先保护单元优先开展生态保护修复活动，恢复生态系统服务功能。</w:t>
            </w:r>
          </w:p>
          <w:p w14:paraId="59A86DFC">
            <w:pPr>
              <w:pStyle w:val="76"/>
              <w:shd w:val="clear" w:color="auto" w:fill="auto"/>
              <w:bidi w:val="0"/>
              <w:rPr>
                <w:rFonts w:hint="eastAsia" w:ascii="Times New Roman" w:hAnsi="Times New Roman" w:cs="Times New Roman"/>
                <w:b w:val="0"/>
                <w:bCs/>
                <w:color w:val="000000"/>
                <w:sz w:val="24"/>
                <w:szCs w:val="24"/>
                <w:highlight w:val="none"/>
                <w:lang w:eastAsia="zh-CN"/>
              </w:rPr>
            </w:pPr>
            <w:r>
              <w:rPr>
                <w:rFonts w:hint="eastAsia" w:ascii="Times New Roman" w:hAnsi="Times New Roman" w:cs="Times New Roman"/>
                <w:b w:val="0"/>
                <w:bCs/>
                <w:color w:val="000000"/>
                <w:sz w:val="24"/>
                <w:szCs w:val="24"/>
                <w:highlight w:val="none"/>
                <w:lang w:eastAsia="zh-CN"/>
              </w:rPr>
              <w:t>——重点管控单元。涉及水、大气等要素重点管控的区域，主要包括工业集聚、人口集中和环境质量超标区域等，该区域应优化空间布局，加强污染物排放控制和环境风险防控，不断提升资源利用效率，解决生态环境质量不达标、生态环境风险高等问题。</w:t>
            </w:r>
          </w:p>
          <w:p w14:paraId="5F1CC6E0">
            <w:pPr>
              <w:pStyle w:val="76"/>
              <w:shd w:val="clear" w:color="auto" w:fill="auto"/>
              <w:bidi w:val="0"/>
              <w:rPr>
                <w:rFonts w:hint="eastAsia" w:ascii="Times New Roman" w:hAnsi="Times New Roman" w:cs="Times New Roman"/>
                <w:b w:val="0"/>
                <w:bCs/>
                <w:color w:val="000000"/>
                <w:sz w:val="24"/>
                <w:szCs w:val="24"/>
                <w:highlight w:val="none"/>
                <w:lang w:eastAsia="zh-CN"/>
              </w:rPr>
            </w:pPr>
            <w:r>
              <w:rPr>
                <w:rFonts w:hint="eastAsia" w:ascii="Times New Roman" w:hAnsi="Times New Roman" w:cs="Times New Roman"/>
                <w:b w:val="0"/>
                <w:bCs/>
                <w:color w:val="000000"/>
                <w:sz w:val="24"/>
                <w:szCs w:val="24"/>
                <w:highlight w:val="none"/>
                <w:lang w:eastAsia="zh-CN"/>
              </w:rPr>
              <w:t>——一般管控单元。涉及优先保护单元和重点管控单元之外的其他区域，该区域应落实生态环境保护基本要求。</w:t>
            </w:r>
          </w:p>
          <w:p w14:paraId="6A1498E9">
            <w:pPr>
              <w:widowControl w:val="0"/>
              <w:bidi w:val="0"/>
              <w:spacing w:line="360" w:lineRule="auto"/>
              <w:ind w:firstLine="480" w:firstLineChars="200"/>
              <w:jc w:val="both"/>
              <w:rPr>
                <w:rFonts w:hint="eastAsia" w:ascii="Times New Roman" w:hAnsi="Times New Roman" w:cs="Times New Roman"/>
                <w:b w:val="0"/>
                <w:bCs/>
                <w:color w:val="000000"/>
                <w:sz w:val="24"/>
                <w:szCs w:val="24"/>
                <w:highlight w:val="none"/>
                <w:lang w:eastAsia="zh-CN"/>
              </w:rPr>
            </w:pPr>
            <w:r>
              <w:rPr>
                <w:rFonts w:hint="eastAsia" w:ascii="Times New Roman" w:hAnsi="Times New Roman" w:cs="Times New Roman"/>
                <w:b w:val="0"/>
                <w:bCs/>
                <w:color w:val="000000"/>
                <w:sz w:val="24"/>
                <w:szCs w:val="24"/>
                <w:highlight w:val="none"/>
                <w:lang w:eastAsia="zh-CN"/>
              </w:rPr>
              <w:t>根据《韶关市“三线一单”生态环境分区管控方案》中的韶关市环境管控单元图（详见附图</w:t>
            </w:r>
            <w:r>
              <w:rPr>
                <w:rFonts w:hint="eastAsia" w:cs="Times New Roman"/>
                <w:b w:val="0"/>
                <w:bCs/>
                <w:color w:val="000000"/>
                <w:sz w:val="24"/>
                <w:szCs w:val="24"/>
                <w:highlight w:val="none"/>
                <w:lang w:val="en-US" w:eastAsia="zh-CN"/>
              </w:rPr>
              <w:t>5</w:t>
            </w:r>
            <w:r>
              <w:rPr>
                <w:rFonts w:hint="eastAsia" w:ascii="Times New Roman" w:hAnsi="Times New Roman" w:cs="Times New Roman"/>
                <w:b w:val="0"/>
                <w:bCs/>
                <w:color w:val="000000"/>
                <w:sz w:val="24"/>
                <w:szCs w:val="24"/>
                <w:highlight w:val="none"/>
                <w:lang w:eastAsia="zh-CN"/>
              </w:rPr>
              <w:t>）可知，本项目所在地块属于</w:t>
            </w:r>
            <w:r>
              <w:rPr>
                <w:rFonts w:hint="eastAsia" w:cs="Times New Roman"/>
                <w:b w:val="0"/>
                <w:bCs/>
                <w:color w:val="000000"/>
                <w:sz w:val="24"/>
                <w:szCs w:val="24"/>
                <w:highlight w:val="none"/>
                <w:lang w:val="en-US" w:eastAsia="zh-CN"/>
              </w:rPr>
              <w:t>一般管控单元</w:t>
            </w:r>
            <w:r>
              <w:rPr>
                <w:rFonts w:hint="eastAsia" w:ascii="Times New Roman" w:hAnsi="Times New Roman" w:cs="Times New Roman"/>
                <w:b w:val="0"/>
                <w:bCs/>
                <w:color w:val="000000"/>
                <w:sz w:val="24"/>
                <w:szCs w:val="24"/>
                <w:highlight w:val="none"/>
                <w:lang w:eastAsia="zh-CN"/>
              </w:rPr>
              <w:t>。</w:t>
            </w:r>
            <w:r>
              <w:rPr>
                <w:rFonts w:hint="eastAsia" w:cs="Times New Roman"/>
                <w:b w:val="0"/>
                <w:bCs/>
                <w:color w:val="000000"/>
                <w:sz w:val="24"/>
                <w:szCs w:val="24"/>
                <w:highlight w:val="none"/>
                <w:lang w:val="en-US" w:eastAsia="zh-CN"/>
              </w:rPr>
              <w:t>本项目建设</w:t>
            </w:r>
            <w:r>
              <w:rPr>
                <w:rFonts w:hint="eastAsia" w:ascii="Times New Roman" w:hAnsi="Times New Roman" w:cs="Times New Roman"/>
                <w:b w:val="0"/>
                <w:bCs/>
                <w:color w:val="000000"/>
                <w:sz w:val="24"/>
                <w:szCs w:val="24"/>
                <w:highlight w:val="none"/>
                <w:lang w:eastAsia="zh-CN"/>
              </w:rPr>
              <w:t>过程中坚持合理布局，加强污染排放控制和环境风险防控，不断提升资源利用效率，严守生态环境质量底线，确保生态功能不降低</w:t>
            </w:r>
            <w:r>
              <w:rPr>
                <w:rFonts w:hint="eastAsia" w:cs="Times New Roman"/>
                <w:b w:val="0"/>
                <w:bCs/>
                <w:color w:val="000000"/>
                <w:sz w:val="24"/>
                <w:szCs w:val="24"/>
                <w:highlight w:val="none"/>
                <w:lang w:eastAsia="zh-CN"/>
              </w:rPr>
              <w:t>，</w:t>
            </w:r>
            <w:r>
              <w:rPr>
                <w:rFonts w:hint="eastAsia" w:ascii="Times New Roman" w:hAnsi="Times New Roman" w:cs="Times New Roman"/>
                <w:b w:val="0"/>
                <w:bCs/>
                <w:color w:val="000000"/>
                <w:sz w:val="24"/>
                <w:szCs w:val="24"/>
                <w:highlight w:val="none"/>
                <w:lang w:eastAsia="zh-CN"/>
              </w:rPr>
              <w:t>符合管控要求</w:t>
            </w:r>
          </w:p>
          <w:p w14:paraId="25F962CB">
            <w:pPr>
              <w:widowControl w:val="0"/>
              <w:bidi w:val="0"/>
              <w:spacing w:line="360" w:lineRule="auto"/>
              <w:ind w:firstLine="480" w:firstLineChars="200"/>
              <w:jc w:val="both"/>
              <w:rPr>
                <w:rFonts w:hint="eastAsia" w:ascii="Times New Roman" w:hAnsi="Times New Roman" w:cs="Times New Roman"/>
                <w:b w:val="0"/>
                <w:bCs/>
                <w:color w:val="000000"/>
                <w:sz w:val="24"/>
                <w:szCs w:val="24"/>
                <w:highlight w:val="none"/>
                <w:lang w:val="en-US" w:eastAsia="zh-CN"/>
              </w:rPr>
            </w:pPr>
            <w:r>
              <w:rPr>
                <w:rFonts w:hint="eastAsia" w:ascii="Times New Roman" w:hAnsi="Times New Roman" w:cs="Times New Roman"/>
                <w:b w:val="0"/>
                <w:bCs/>
                <w:color w:val="000000"/>
                <w:sz w:val="24"/>
                <w:szCs w:val="24"/>
                <w:highlight w:val="none"/>
                <w:lang w:val="en-US" w:eastAsia="zh-CN"/>
              </w:rPr>
              <w:t>本项目与全市总体管控要求</w:t>
            </w:r>
            <w:r>
              <w:rPr>
                <w:rFonts w:hint="eastAsia" w:cs="Times New Roman"/>
                <w:b w:val="0"/>
                <w:bCs/>
                <w:color w:val="000000"/>
                <w:sz w:val="24"/>
                <w:szCs w:val="24"/>
                <w:highlight w:val="none"/>
                <w:lang w:val="en-US" w:eastAsia="zh-CN"/>
              </w:rPr>
              <w:t>相</w:t>
            </w:r>
            <w:r>
              <w:rPr>
                <w:rFonts w:hint="eastAsia" w:ascii="Times New Roman" w:hAnsi="Times New Roman" w:cs="Times New Roman"/>
                <w:b w:val="0"/>
                <w:bCs/>
                <w:color w:val="000000"/>
                <w:sz w:val="24"/>
                <w:szCs w:val="24"/>
                <w:highlight w:val="none"/>
                <w:lang w:val="en-US" w:eastAsia="zh-CN"/>
              </w:rPr>
              <w:t>符性分析如表1-1。</w:t>
            </w:r>
          </w:p>
          <w:p w14:paraId="7E6C661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3"/>
              <w:rPr>
                <w:rFonts w:hint="eastAsia" w:ascii="宋体" w:hAnsi="宋体" w:eastAsia="宋体" w:cs="宋体"/>
                <w:b/>
                <w:bCs w:val="0"/>
                <w:color w:val="000000"/>
                <w:kern w:val="2"/>
                <w:sz w:val="24"/>
                <w:szCs w:val="24"/>
                <w:highlight w:val="none"/>
                <w:lang w:val="en-US" w:eastAsia="zh-CN" w:bidi="ar-SA"/>
              </w:rPr>
            </w:pPr>
          </w:p>
          <w:p w14:paraId="51DBCC95">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3"/>
              <w:rPr>
                <w:rFonts w:hint="eastAsia" w:ascii="宋体" w:hAnsi="宋体" w:eastAsia="宋体" w:cs="宋体"/>
                <w:b/>
                <w:bCs w:val="0"/>
                <w:color w:val="000000"/>
                <w:kern w:val="2"/>
                <w:sz w:val="24"/>
                <w:szCs w:val="24"/>
                <w:highlight w:val="none"/>
                <w:lang w:val="en-US" w:eastAsia="zh-CN" w:bidi="ar-SA"/>
              </w:rPr>
            </w:pPr>
          </w:p>
          <w:p w14:paraId="34E2F5F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3"/>
              <w:rPr>
                <w:rFonts w:hint="eastAsia" w:ascii="宋体" w:hAnsi="宋体" w:eastAsia="宋体" w:cs="宋体"/>
                <w:b/>
                <w:bCs w:val="0"/>
                <w:color w:val="000000"/>
                <w:kern w:val="2"/>
                <w:sz w:val="24"/>
                <w:szCs w:val="24"/>
                <w:highlight w:val="none"/>
                <w:lang w:val="en-US" w:eastAsia="zh-CN" w:bidi="ar-SA"/>
              </w:rPr>
            </w:pPr>
          </w:p>
          <w:p w14:paraId="7BF97D3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3"/>
              <w:rPr>
                <w:rFonts w:hint="eastAsia" w:ascii="宋体" w:hAnsi="宋体" w:eastAsia="宋体" w:cs="宋体"/>
                <w:b/>
                <w:bCs w:val="0"/>
                <w:color w:val="000000"/>
                <w:kern w:val="2"/>
                <w:sz w:val="24"/>
                <w:szCs w:val="24"/>
                <w:highlight w:val="none"/>
                <w:lang w:val="en-US" w:eastAsia="zh-CN" w:bidi="ar-SA"/>
              </w:rPr>
            </w:pPr>
          </w:p>
          <w:p w14:paraId="5A6307F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3"/>
              <w:rPr>
                <w:rFonts w:hint="eastAsia" w:ascii="宋体" w:hAnsi="宋体" w:eastAsia="宋体" w:cs="宋体"/>
                <w:b/>
                <w:bCs w:val="0"/>
                <w:color w:val="000000"/>
                <w:kern w:val="2"/>
                <w:sz w:val="24"/>
                <w:szCs w:val="24"/>
                <w:highlight w:val="none"/>
                <w:lang w:val="en-US" w:eastAsia="zh-CN" w:bidi="ar-SA"/>
              </w:rPr>
            </w:pPr>
          </w:p>
          <w:p w14:paraId="39BD6ED7">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3"/>
              <w:rPr>
                <w:rFonts w:hint="eastAsia" w:ascii="宋体" w:hAnsi="宋体" w:eastAsia="宋体" w:cs="宋体"/>
                <w:b/>
                <w:bCs w:val="0"/>
                <w:color w:val="000000"/>
                <w:kern w:val="2"/>
                <w:sz w:val="24"/>
                <w:szCs w:val="24"/>
                <w:highlight w:val="none"/>
                <w:lang w:val="en-US" w:eastAsia="zh-CN" w:bidi="ar-SA"/>
              </w:rPr>
            </w:pPr>
          </w:p>
          <w:p w14:paraId="331712F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3"/>
              <w:rPr>
                <w:rFonts w:hint="eastAsia" w:ascii="宋体" w:hAnsi="宋体" w:eastAsia="宋体" w:cs="宋体"/>
                <w:b/>
                <w:bCs w:val="0"/>
                <w:color w:val="000000"/>
                <w:kern w:val="2"/>
                <w:sz w:val="24"/>
                <w:szCs w:val="24"/>
                <w:highlight w:val="none"/>
                <w:lang w:val="en-US" w:eastAsia="zh-CN" w:bidi="ar-SA"/>
              </w:rPr>
            </w:pPr>
          </w:p>
          <w:p w14:paraId="4DC3603E">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3"/>
              <w:rPr>
                <w:rFonts w:hint="eastAsia" w:ascii="宋体" w:hAnsi="宋体" w:eastAsia="宋体" w:cs="宋体"/>
                <w:b/>
                <w:bCs w:val="0"/>
                <w:color w:val="000000"/>
                <w:kern w:val="2"/>
                <w:sz w:val="24"/>
                <w:szCs w:val="24"/>
                <w:highlight w:val="none"/>
                <w:lang w:val="en-US" w:eastAsia="zh-CN" w:bidi="ar-SA"/>
              </w:rPr>
            </w:pPr>
          </w:p>
          <w:p w14:paraId="2BAF7E4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3"/>
              <w:rPr>
                <w:rFonts w:hint="eastAsia" w:ascii="宋体" w:hAnsi="宋体" w:eastAsia="宋体" w:cs="宋体"/>
                <w:b/>
                <w:bCs w:val="0"/>
                <w:color w:val="000000"/>
                <w:kern w:val="2"/>
                <w:sz w:val="24"/>
                <w:szCs w:val="24"/>
                <w:highlight w:val="none"/>
                <w:lang w:val="en-US" w:eastAsia="zh-CN" w:bidi="ar-SA"/>
              </w:rPr>
            </w:pPr>
          </w:p>
          <w:p w14:paraId="58CB7E8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3"/>
              <w:rPr>
                <w:rFonts w:hint="eastAsia" w:ascii="宋体" w:hAnsi="宋体" w:eastAsia="宋体" w:cs="宋体"/>
                <w:b/>
                <w:bCs w:val="0"/>
                <w:color w:val="000000"/>
                <w:kern w:val="2"/>
                <w:sz w:val="24"/>
                <w:szCs w:val="24"/>
                <w:highlight w:val="none"/>
                <w:lang w:val="en-US" w:eastAsia="zh-CN" w:bidi="ar-SA"/>
              </w:rPr>
            </w:pPr>
          </w:p>
          <w:p w14:paraId="6202040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3"/>
              <w:rPr>
                <w:rFonts w:hint="eastAsia" w:ascii="宋体" w:hAnsi="宋体" w:eastAsia="宋体" w:cs="宋体"/>
                <w:b/>
                <w:bCs w:val="0"/>
                <w:color w:val="000000"/>
                <w:kern w:val="2"/>
                <w:sz w:val="24"/>
                <w:szCs w:val="24"/>
                <w:highlight w:val="none"/>
                <w:lang w:val="en-US" w:eastAsia="zh-CN" w:bidi="ar-SA"/>
              </w:rPr>
            </w:pPr>
          </w:p>
          <w:p w14:paraId="2E56CDB5">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3"/>
              <w:rPr>
                <w:rFonts w:hint="eastAsia" w:ascii="宋体" w:hAnsi="宋体" w:eastAsia="宋体" w:cs="宋体"/>
                <w:b/>
                <w:bCs w:val="0"/>
                <w:color w:val="000000"/>
                <w:kern w:val="2"/>
                <w:sz w:val="24"/>
                <w:szCs w:val="24"/>
                <w:highlight w:val="none"/>
                <w:lang w:val="en-US" w:eastAsia="zh-CN" w:bidi="ar-SA"/>
              </w:rPr>
            </w:pPr>
            <w:r>
              <w:rPr>
                <w:rFonts w:hint="eastAsia" w:ascii="宋体" w:hAnsi="宋体" w:eastAsia="宋体" w:cs="宋体"/>
                <w:b/>
                <w:bCs w:val="0"/>
                <w:color w:val="000000"/>
                <w:kern w:val="2"/>
                <w:sz w:val="24"/>
                <w:szCs w:val="24"/>
                <w:highlight w:val="none"/>
                <w:lang w:val="en-US" w:eastAsia="zh-CN" w:bidi="ar-SA"/>
              </w:rPr>
              <w:t>表1-1项目与全市总体管控要求的相符性分析</w:t>
            </w:r>
          </w:p>
          <w:tbl>
            <w:tblPr>
              <w:tblStyle w:val="67"/>
              <w:tblW w:w="68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5"/>
              <w:gridCol w:w="3924"/>
              <w:gridCol w:w="1540"/>
              <w:gridCol w:w="830"/>
            </w:tblGrid>
            <w:tr w14:paraId="15EBD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9" w:hRule="atLeast"/>
                <w:tblHeader/>
                <w:jc w:val="center"/>
              </w:trPr>
              <w:tc>
                <w:tcPr>
                  <w:tcW w:w="4489" w:type="dxa"/>
                  <w:gridSpan w:val="2"/>
                  <w:noWrap w:val="0"/>
                  <w:vAlign w:val="center"/>
                </w:tcPr>
                <w:p w14:paraId="7CA91440">
                  <w:pPr>
                    <w:widowControl/>
                    <w:jc w:val="center"/>
                    <w:rPr>
                      <w:rFonts w:hint="eastAsia" w:ascii="宋体" w:hAnsi="宋体" w:eastAsia="宋体" w:cs="宋体"/>
                      <w:color w:val="000000"/>
                      <w:kern w:val="0"/>
                      <w:sz w:val="21"/>
                      <w:szCs w:val="21"/>
                      <w:highlight w:val="none"/>
                    </w:rPr>
                  </w:pPr>
                  <w:r>
                    <w:rPr>
                      <w:rFonts w:hint="eastAsia" w:ascii="宋体" w:hAnsi="宋体" w:eastAsia="宋体" w:cs="宋体"/>
                      <w:b/>
                      <w:bCs/>
                      <w:color w:val="000000"/>
                      <w:kern w:val="0"/>
                      <w:sz w:val="21"/>
                      <w:szCs w:val="21"/>
                      <w:highlight w:val="none"/>
                      <w:lang w:val="en-US" w:eastAsia="zh-CN"/>
                    </w:rPr>
                    <w:t>管控要求</w:t>
                  </w:r>
                </w:p>
              </w:tc>
              <w:tc>
                <w:tcPr>
                  <w:tcW w:w="1540" w:type="dxa"/>
                  <w:noWrap w:val="0"/>
                  <w:vAlign w:val="center"/>
                </w:tcPr>
                <w:p w14:paraId="6A08479D">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b/>
                      <w:bCs/>
                      <w:color w:val="000000"/>
                      <w:kern w:val="0"/>
                      <w:sz w:val="21"/>
                      <w:szCs w:val="21"/>
                      <w:highlight w:val="none"/>
                      <w:lang w:val="en-US" w:eastAsia="zh-CN"/>
                    </w:rPr>
                    <w:t>本项目情况</w:t>
                  </w:r>
                </w:p>
              </w:tc>
              <w:tc>
                <w:tcPr>
                  <w:tcW w:w="830" w:type="dxa"/>
                  <w:noWrap w:val="0"/>
                  <w:vAlign w:val="center"/>
                </w:tcPr>
                <w:p w14:paraId="35AD4FC7">
                  <w:pPr>
                    <w:widowControl/>
                    <w:jc w:val="center"/>
                    <w:rPr>
                      <w:rFonts w:hint="eastAsia" w:ascii="宋体" w:hAnsi="宋体" w:eastAsia="宋体" w:cs="宋体"/>
                      <w:b/>
                      <w:bCs/>
                      <w:color w:val="000000"/>
                      <w:kern w:val="0"/>
                      <w:sz w:val="21"/>
                      <w:szCs w:val="21"/>
                      <w:highlight w:val="none"/>
                      <w:lang w:val="en-US" w:eastAsia="zh-CN"/>
                    </w:rPr>
                  </w:pPr>
                  <w:r>
                    <w:rPr>
                      <w:rFonts w:hint="eastAsia" w:ascii="宋体" w:hAnsi="宋体" w:eastAsia="宋体" w:cs="宋体"/>
                      <w:b/>
                      <w:bCs/>
                      <w:color w:val="000000"/>
                      <w:kern w:val="0"/>
                      <w:sz w:val="21"/>
                      <w:szCs w:val="21"/>
                      <w:highlight w:val="none"/>
                      <w:lang w:val="en-US" w:eastAsia="zh-CN"/>
                    </w:rPr>
                    <w:t>相符性</w:t>
                  </w:r>
                </w:p>
              </w:tc>
            </w:tr>
            <w:tr w14:paraId="1B584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32" w:hRule="atLeast"/>
                <w:tblHeader/>
                <w:jc w:val="center"/>
              </w:trPr>
              <w:tc>
                <w:tcPr>
                  <w:tcW w:w="565" w:type="dxa"/>
                  <w:vMerge w:val="restart"/>
                  <w:noWrap w:val="0"/>
                  <w:vAlign w:val="center"/>
                </w:tcPr>
                <w:p w14:paraId="395CA240">
                  <w:pPr>
                    <w:widowControl/>
                    <w:jc w:val="left"/>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rPr>
                    <w:t>区域布局管控要求</w:t>
                  </w:r>
                </w:p>
              </w:tc>
              <w:tc>
                <w:tcPr>
                  <w:tcW w:w="3924" w:type="dxa"/>
                  <w:noWrap w:val="0"/>
                  <w:vAlign w:val="center"/>
                </w:tcPr>
                <w:p w14:paraId="5E6503C1">
                  <w:pPr>
                    <w:widowControl/>
                    <w:jc w:val="left"/>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lang w:val="en-US" w:eastAsia="zh-CN"/>
                    </w:rPr>
                    <w:t>强化生态保护和建设。重点加强南岭山地保护，有效推进国家公园建设，保护生态系统完整性与生物多样性，构建和巩固北部生态屏障。生态保护红线内，自然保护地核心保护区原则上禁止人为活动，其他区域严格禁止开发性、生产性建设活动，在符合现行法律法规前提下，除国家重大战略项目外，仅允许对生态功能不造成破坏的8类有限人为活动。一般生态空间内，可开展生态保护红线内允许的活动；在不影响主导生态功能的前提下，还可开展国家和省规定不纳入环评管理的项目建设，以及生态旅游、畜禽养殖、基础设施建设、村庄建设等人为活动。一般生态空间内的人工商品林，允许依法进行抚育采伐、择伐和树种更新等经营活动。</w:t>
                  </w:r>
                </w:p>
              </w:tc>
              <w:tc>
                <w:tcPr>
                  <w:tcW w:w="1540" w:type="dxa"/>
                  <w:noWrap w:val="0"/>
                  <w:vAlign w:val="center"/>
                </w:tcPr>
                <w:p w14:paraId="47290904">
                  <w:pPr>
                    <w:widowControl/>
                    <w:jc w:val="center"/>
                    <w:rPr>
                      <w:rFonts w:hint="eastAsia" w:ascii="宋体" w:hAnsi="宋体" w:eastAsia="宋体" w:cs="宋体"/>
                      <w:color w:val="000000"/>
                      <w:kern w:val="0"/>
                      <w:sz w:val="21"/>
                      <w:szCs w:val="21"/>
                      <w:highlight w:val="none"/>
                      <w:lang w:val="en-US" w:eastAsia="zh-CN" w:bidi="ar-SA"/>
                    </w:rPr>
                  </w:pPr>
                  <w:r>
                    <w:rPr>
                      <w:rFonts w:hint="eastAsia" w:ascii="宋体" w:hAnsi="宋体" w:eastAsia="宋体" w:cs="宋体"/>
                      <w:color w:val="000000"/>
                      <w:kern w:val="0"/>
                      <w:sz w:val="21"/>
                      <w:szCs w:val="21"/>
                      <w:highlight w:val="none"/>
                      <w:lang w:val="en-US" w:eastAsia="zh-CN"/>
                    </w:rPr>
                    <w:t>本项目不涉及</w:t>
                  </w:r>
                  <w:r>
                    <w:rPr>
                      <w:rFonts w:hint="eastAsia" w:ascii="宋体" w:hAnsi="宋体" w:eastAsia="宋体" w:cs="宋体"/>
                      <w:color w:val="000000"/>
                      <w:kern w:val="0"/>
                      <w:sz w:val="21"/>
                      <w:szCs w:val="21"/>
                      <w:highlight w:val="none"/>
                    </w:rPr>
                    <w:t>生态保护红线</w:t>
                  </w:r>
                  <w:r>
                    <w:rPr>
                      <w:rFonts w:hint="eastAsia" w:ascii="宋体" w:hAnsi="宋体" w:eastAsia="宋体" w:cs="宋体"/>
                      <w:color w:val="000000"/>
                      <w:kern w:val="0"/>
                      <w:sz w:val="21"/>
                      <w:szCs w:val="21"/>
                      <w:highlight w:val="none"/>
                      <w:lang w:val="en-US" w:eastAsia="zh-CN"/>
                    </w:rPr>
                    <w:t>和</w:t>
                  </w:r>
                  <w:r>
                    <w:rPr>
                      <w:rFonts w:hint="eastAsia" w:ascii="宋体" w:hAnsi="宋体" w:eastAsia="宋体" w:cs="宋体"/>
                      <w:color w:val="000000"/>
                      <w:kern w:val="0"/>
                      <w:sz w:val="21"/>
                      <w:szCs w:val="21"/>
                      <w:highlight w:val="none"/>
                    </w:rPr>
                    <w:t>自然保护地核心保护区</w:t>
                  </w:r>
                  <w:r>
                    <w:rPr>
                      <w:rFonts w:hint="eastAsia" w:ascii="宋体" w:hAnsi="宋体" w:eastAsia="宋体" w:cs="宋体"/>
                      <w:color w:val="000000"/>
                      <w:kern w:val="0"/>
                      <w:sz w:val="21"/>
                      <w:szCs w:val="21"/>
                      <w:highlight w:val="none"/>
                      <w:lang w:val="en-US" w:eastAsia="zh-CN"/>
                    </w:rPr>
                    <w:t>等开发活动</w:t>
                  </w:r>
                  <w:r>
                    <w:rPr>
                      <w:rFonts w:hint="eastAsia" w:ascii="宋体" w:hAnsi="宋体" w:eastAsia="宋体" w:cs="宋体"/>
                      <w:color w:val="000000"/>
                      <w:kern w:val="0"/>
                      <w:sz w:val="21"/>
                      <w:szCs w:val="21"/>
                      <w:highlight w:val="none"/>
                      <w:lang w:eastAsia="zh-CN"/>
                    </w:rPr>
                    <w:t>。</w:t>
                  </w:r>
                </w:p>
              </w:tc>
              <w:tc>
                <w:tcPr>
                  <w:tcW w:w="830" w:type="dxa"/>
                  <w:noWrap w:val="0"/>
                  <w:vAlign w:val="center"/>
                </w:tcPr>
                <w:p w14:paraId="339833AB">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lang w:val="en-US" w:eastAsia="zh-CN"/>
                    </w:rPr>
                    <w:t>符合</w:t>
                  </w:r>
                </w:p>
              </w:tc>
            </w:tr>
            <w:tr w14:paraId="4817B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56" w:hRule="atLeast"/>
                <w:tblHeader/>
                <w:jc w:val="center"/>
              </w:trPr>
              <w:tc>
                <w:tcPr>
                  <w:tcW w:w="565" w:type="dxa"/>
                  <w:vMerge w:val="continue"/>
                  <w:noWrap w:val="0"/>
                  <w:vAlign w:val="center"/>
                </w:tcPr>
                <w:p w14:paraId="07D07BBD">
                  <w:pPr>
                    <w:jc w:val="center"/>
                    <w:rPr>
                      <w:rFonts w:hint="eastAsia" w:ascii="宋体" w:hAnsi="宋体" w:eastAsia="宋体" w:cs="宋体"/>
                      <w:b/>
                      <w:color w:val="000000"/>
                      <w:sz w:val="21"/>
                      <w:szCs w:val="21"/>
                      <w:highlight w:val="none"/>
                    </w:rPr>
                  </w:pPr>
                </w:p>
              </w:tc>
              <w:tc>
                <w:tcPr>
                  <w:tcW w:w="3924" w:type="dxa"/>
                  <w:noWrap w:val="0"/>
                  <w:vAlign w:val="center"/>
                </w:tcPr>
                <w:p w14:paraId="13F362F0">
                  <w:pPr>
                    <w:widowControl/>
                    <w:jc w:val="left"/>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rPr>
                    <w:t>扎实推进新型工业化。重点打造先进材料、先进装备制造、现代轻工业三大战略性支柱产业集群，培育发展电子信息制造、生物医药与健康、大数据及软件信息服务三大战略性新兴产业，引导绿色钢铁、有色金属、建筑材料等先进材料产业集群向规模化、绿色化、高端化转型发展，推进韶钢、韶冶等“厂区变园区、产区变城区”工作，加快绿色化改造、智能化升级。加快融入“双区”建设，构建生态产业体系，打造全国产业转型升级示范区。</w:t>
                  </w:r>
                </w:p>
              </w:tc>
              <w:tc>
                <w:tcPr>
                  <w:tcW w:w="1540" w:type="dxa"/>
                  <w:noWrap w:val="0"/>
                  <w:vAlign w:val="center"/>
                </w:tcPr>
                <w:p w14:paraId="53EE8756">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lang w:val="en-US" w:eastAsia="zh-CN"/>
                    </w:rPr>
                    <w:t>本项目不涉及</w:t>
                  </w:r>
                  <w:r>
                    <w:rPr>
                      <w:rFonts w:hint="eastAsia" w:ascii="宋体" w:hAnsi="宋体" w:eastAsia="宋体" w:cs="宋体"/>
                      <w:color w:val="000000"/>
                      <w:kern w:val="0"/>
                      <w:sz w:val="21"/>
                      <w:szCs w:val="21"/>
                      <w:highlight w:val="none"/>
                    </w:rPr>
                    <w:t>韶钢、韶冶等“厂区变园区、产区变城区”工作</w:t>
                  </w:r>
                  <w:r>
                    <w:rPr>
                      <w:rFonts w:hint="eastAsia" w:ascii="宋体" w:hAnsi="宋体" w:eastAsia="宋体" w:cs="宋体"/>
                      <w:color w:val="000000"/>
                      <w:kern w:val="0"/>
                      <w:sz w:val="21"/>
                      <w:szCs w:val="21"/>
                      <w:highlight w:val="none"/>
                      <w:lang w:val="en-US" w:eastAsia="zh-CN"/>
                    </w:rPr>
                    <w:t>。</w:t>
                  </w:r>
                </w:p>
              </w:tc>
              <w:tc>
                <w:tcPr>
                  <w:tcW w:w="830" w:type="dxa"/>
                  <w:noWrap w:val="0"/>
                  <w:vAlign w:val="center"/>
                </w:tcPr>
                <w:p w14:paraId="15C095F2">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lang w:val="en-US" w:eastAsia="zh-CN"/>
                    </w:rPr>
                    <w:t>符合</w:t>
                  </w:r>
                </w:p>
              </w:tc>
            </w:tr>
            <w:tr w14:paraId="1B4FC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05" w:hRule="atLeast"/>
                <w:tblHeader/>
                <w:jc w:val="center"/>
              </w:trPr>
              <w:tc>
                <w:tcPr>
                  <w:tcW w:w="565" w:type="dxa"/>
                  <w:vMerge w:val="continue"/>
                  <w:noWrap w:val="0"/>
                  <w:vAlign w:val="center"/>
                </w:tcPr>
                <w:p w14:paraId="1B1F3F4A">
                  <w:pPr>
                    <w:jc w:val="center"/>
                    <w:rPr>
                      <w:rFonts w:hint="eastAsia" w:ascii="宋体" w:hAnsi="宋体" w:eastAsia="宋体" w:cs="宋体"/>
                      <w:b/>
                      <w:color w:val="000000"/>
                      <w:sz w:val="21"/>
                      <w:szCs w:val="21"/>
                      <w:highlight w:val="none"/>
                    </w:rPr>
                  </w:pPr>
                </w:p>
              </w:tc>
              <w:tc>
                <w:tcPr>
                  <w:tcW w:w="3924" w:type="dxa"/>
                  <w:noWrap w:val="0"/>
                  <w:vAlign w:val="center"/>
                </w:tcPr>
                <w:p w14:paraId="6E5FC01B">
                  <w:pPr>
                    <w:widowControl/>
                    <w:jc w:val="left"/>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rPr>
                    <w:t>着力推进新型城镇化。高水平建设中心城区，集中力量推动县域、镇域高质量发展，因地制宜完善城乡环境保护基础设施建设，以城带乡，以乡促城，推动产业集聚集约发展。</w:t>
                  </w:r>
                </w:p>
              </w:tc>
              <w:tc>
                <w:tcPr>
                  <w:tcW w:w="1540" w:type="dxa"/>
                  <w:noWrap w:val="0"/>
                  <w:vAlign w:val="center"/>
                </w:tcPr>
                <w:p w14:paraId="07845654">
                  <w:pPr>
                    <w:widowControl/>
                    <w:jc w:val="center"/>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lang w:val="en-US" w:eastAsia="zh-CN"/>
                    </w:rPr>
                    <w:t>本项目不涉及</w:t>
                  </w:r>
                  <w:r>
                    <w:rPr>
                      <w:rFonts w:hint="eastAsia" w:ascii="宋体" w:hAnsi="宋体" w:eastAsia="宋体" w:cs="宋体"/>
                      <w:color w:val="000000"/>
                      <w:kern w:val="0"/>
                      <w:sz w:val="21"/>
                      <w:szCs w:val="21"/>
                      <w:highlight w:val="none"/>
                    </w:rPr>
                    <w:t>着力推进新型城镇化。</w:t>
                  </w:r>
                </w:p>
              </w:tc>
              <w:tc>
                <w:tcPr>
                  <w:tcW w:w="830" w:type="dxa"/>
                  <w:noWrap w:val="0"/>
                  <w:vAlign w:val="center"/>
                </w:tcPr>
                <w:p w14:paraId="46549AF9">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lang w:val="en-US" w:eastAsia="zh-CN"/>
                    </w:rPr>
                    <w:t>符合</w:t>
                  </w:r>
                </w:p>
              </w:tc>
            </w:tr>
            <w:tr w14:paraId="4C560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81" w:hRule="atLeast"/>
                <w:tblHeader/>
                <w:jc w:val="center"/>
              </w:trPr>
              <w:tc>
                <w:tcPr>
                  <w:tcW w:w="565" w:type="dxa"/>
                  <w:vMerge w:val="continue"/>
                  <w:noWrap w:val="0"/>
                  <w:vAlign w:val="center"/>
                </w:tcPr>
                <w:p w14:paraId="7CAABAF3">
                  <w:pPr>
                    <w:jc w:val="center"/>
                    <w:rPr>
                      <w:rFonts w:hint="eastAsia" w:ascii="宋体" w:hAnsi="宋体" w:eastAsia="宋体" w:cs="宋体"/>
                      <w:b/>
                      <w:color w:val="000000"/>
                      <w:sz w:val="21"/>
                      <w:szCs w:val="21"/>
                      <w:highlight w:val="none"/>
                    </w:rPr>
                  </w:pPr>
                </w:p>
              </w:tc>
              <w:tc>
                <w:tcPr>
                  <w:tcW w:w="3924" w:type="dxa"/>
                  <w:noWrap w:val="0"/>
                  <w:vAlign w:val="center"/>
                </w:tcPr>
                <w:p w14:paraId="73872AE1">
                  <w:pPr>
                    <w:pStyle w:val="7"/>
                    <w:spacing w:before="0" w:after="0" w:line="240" w:lineRule="auto"/>
                    <w:jc w:val="left"/>
                    <w:rPr>
                      <w:rFonts w:hint="eastAsia" w:ascii="宋体" w:hAnsi="宋体" w:eastAsia="宋体" w:cs="宋体"/>
                      <w:color w:val="000000"/>
                      <w:sz w:val="21"/>
                      <w:szCs w:val="21"/>
                      <w:highlight w:val="none"/>
                    </w:rPr>
                  </w:pPr>
                  <w:r>
                    <w:rPr>
                      <w:rFonts w:hint="eastAsia" w:ascii="宋体" w:hAnsi="宋体" w:eastAsia="宋体" w:cs="宋体"/>
                      <w:b w:val="0"/>
                      <w:bCs w:val="0"/>
                      <w:color w:val="000000"/>
                      <w:kern w:val="0"/>
                      <w:sz w:val="21"/>
                      <w:szCs w:val="21"/>
                      <w:highlight w:val="none"/>
                      <w:lang w:val="en-US" w:eastAsia="zh-CN" w:bidi="ar-SA"/>
                    </w:rPr>
                    <w:t>积极促进农业现代化。推进省级现代农业产业园建设，打造现代农业与食品产业集群。稳步发展生态农业，打造生态农业品牌。推广资源利用节约化、生产过程清洁化、废弃物利用资源化等生态循环农业模式。</w:t>
                  </w:r>
                </w:p>
              </w:tc>
              <w:tc>
                <w:tcPr>
                  <w:tcW w:w="1540" w:type="dxa"/>
                  <w:noWrap w:val="0"/>
                  <w:vAlign w:val="center"/>
                </w:tcPr>
                <w:p w14:paraId="6008D41E">
                  <w:pPr>
                    <w:widowControl/>
                    <w:jc w:val="center"/>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lang w:val="en-US" w:eastAsia="zh-CN"/>
                    </w:rPr>
                    <w:t>本项目不涉及</w:t>
                  </w:r>
                  <w:r>
                    <w:rPr>
                      <w:rFonts w:hint="eastAsia" w:ascii="宋体" w:hAnsi="宋体" w:eastAsia="宋体" w:cs="宋体"/>
                      <w:color w:val="000000"/>
                      <w:sz w:val="21"/>
                      <w:szCs w:val="21"/>
                      <w:highlight w:val="none"/>
                    </w:rPr>
                    <w:t>农业产业园</w:t>
                  </w:r>
                  <w:r>
                    <w:rPr>
                      <w:rFonts w:hint="eastAsia" w:ascii="宋体" w:hAnsi="宋体" w:eastAsia="宋体" w:cs="宋体"/>
                      <w:color w:val="000000"/>
                      <w:kern w:val="0"/>
                      <w:sz w:val="21"/>
                      <w:szCs w:val="21"/>
                      <w:highlight w:val="none"/>
                    </w:rPr>
                    <w:t>。</w:t>
                  </w:r>
                </w:p>
              </w:tc>
              <w:tc>
                <w:tcPr>
                  <w:tcW w:w="830" w:type="dxa"/>
                  <w:noWrap w:val="0"/>
                  <w:vAlign w:val="center"/>
                </w:tcPr>
                <w:p w14:paraId="772DE67B">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lang w:val="en-US" w:eastAsia="zh-CN"/>
                    </w:rPr>
                    <w:t>符合</w:t>
                  </w:r>
                </w:p>
              </w:tc>
            </w:tr>
            <w:tr w14:paraId="02CE3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81" w:hRule="atLeast"/>
                <w:tblHeader/>
                <w:jc w:val="center"/>
              </w:trPr>
              <w:tc>
                <w:tcPr>
                  <w:tcW w:w="565" w:type="dxa"/>
                  <w:vMerge w:val="continue"/>
                  <w:noWrap w:val="0"/>
                  <w:vAlign w:val="center"/>
                </w:tcPr>
                <w:p w14:paraId="1AA15009">
                  <w:pPr>
                    <w:jc w:val="center"/>
                    <w:rPr>
                      <w:rFonts w:hint="eastAsia" w:ascii="宋体" w:hAnsi="宋体" w:eastAsia="宋体" w:cs="宋体"/>
                      <w:b/>
                      <w:color w:val="000000"/>
                      <w:sz w:val="21"/>
                      <w:szCs w:val="21"/>
                      <w:highlight w:val="none"/>
                    </w:rPr>
                  </w:pPr>
                </w:p>
              </w:tc>
              <w:tc>
                <w:tcPr>
                  <w:tcW w:w="3924" w:type="dxa"/>
                  <w:noWrap w:val="0"/>
                  <w:vAlign w:val="center"/>
                </w:tcPr>
                <w:p w14:paraId="4F3E6F1E">
                  <w:pPr>
                    <w:pStyle w:val="7"/>
                    <w:spacing w:before="0" w:after="0" w:line="240" w:lineRule="auto"/>
                    <w:jc w:val="left"/>
                    <w:rPr>
                      <w:rFonts w:hint="eastAsia" w:ascii="宋体" w:hAnsi="宋体" w:eastAsia="宋体" w:cs="宋体"/>
                      <w:color w:val="000000"/>
                      <w:sz w:val="21"/>
                      <w:szCs w:val="21"/>
                      <w:highlight w:val="none"/>
                    </w:rPr>
                  </w:pPr>
                  <w:r>
                    <w:rPr>
                      <w:rFonts w:hint="eastAsia" w:ascii="宋体" w:hAnsi="宋体" w:eastAsia="宋体" w:cs="宋体"/>
                      <w:b w:val="0"/>
                      <w:bCs/>
                      <w:color w:val="000000"/>
                      <w:kern w:val="2"/>
                      <w:sz w:val="21"/>
                      <w:szCs w:val="21"/>
                      <w:highlight w:val="none"/>
                      <w:lang w:val="en-US" w:eastAsia="zh-CN" w:bidi="ar-SA"/>
                    </w:rPr>
                    <w:t>努力实现资源资产价值化。合理开发矿产资源，建设绿色矿山。推进内河绿色港航建设。促进旅游产业转型升级，推出一批精品旅游线路，打造生态、研学、红色、康养和文化等旅游品牌，推进全域旅游发展。</w:t>
                  </w:r>
                </w:p>
              </w:tc>
              <w:tc>
                <w:tcPr>
                  <w:tcW w:w="1540" w:type="dxa"/>
                  <w:noWrap w:val="0"/>
                  <w:vAlign w:val="center"/>
                </w:tcPr>
                <w:p w14:paraId="5B77BA81">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lang w:val="en-US" w:eastAsia="zh-CN"/>
                    </w:rPr>
                    <w:t>本项目不涉及</w:t>
                  </w:r>
                  <w:r>
                    <w:rPr>
                      <w:rFonts w:hint="eastAsia" w:ascii="宋体" w:hAnsi="宋体" w:cs="宋体"/>
                      <w:b w:val="0"/>
                      <w:bCs/>
                      <w:color w:val="000000"/>
                      <w:kern w:val="2"/>
                      <w:sz w:val="21"/>
                      <w:szCs w:val="21"/>
                      <w:highlight w:val="none"/>
                      <w:lang w:val="en-US" w:eastAsia="zh-CN" w:bidi="ar-SA"/>
                    </w:rPr>
                    <w:t>该条款</w:t>
                  </w:r>
                  <w:r>
                    <w:rPr>
                      <w:rFonts w:hint="eastAsia" w:ascii="宋体" w:hAnsi="宋体" w:eastAsia="宋体" w:cs="宋体"/>
                      <w:b w:val="0"/>
                      <w:bCs/>
                      <w:color w:val="000000"/>
                      <w:kern w:val="2"/>
                      <w:sz w:val="21"/>
                      <w:szCs w:val="21"/>
                      <w:highlight w:val="none"/>
                      <w:lang w:val="en-US" w:eastAsia="zh-CN" w:bidi="ar-SA"/>
                    </w:rPr>
                    <w:t>。</w:t>
                  </w:r>
                </w:p>
              </w:tc>
              <w:tc>
                <w:tcPr>
                  <w:tcW w:w="830" w:type="dxa"/>
                  <w:noWrap w:val="0"/>
                  <w:vAlign w:val="center"/>
                </w:tcPr>
                <w:p w14:paraId="1B8AB2FE">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lang w:val="en-US" w:eastAsia="zh-CN"/>
                    </w:rPr>
                    <w:t>符合</w:t>
                  </w:r>
                </w:p>
              </w:tc>
            </w:tr>
            <w:tr w14:paraId="431EC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6" w:hRule="atLeast"/>
                <w:tblHeader/>
                <w:jc w:val="center"/>
              </w:trPr>
              <w:tc>
                <w:tcPr>
                  <w:tcW w:w="565" w:type="dxa"/>
                  <w:vMerge w:val="continue"/>
                  <w:noWrap w:val="0"/>
                  <w:vAlign w:val="center"/>
                </w:tcPr>
                <w:p w14:paraId="315C6F63">
                  <w:pPr>
                    <w:jc w:val="center"/>
                    <w:rPr>
                      <w:rFonts w:hint="eastAsia" w:ascii="宋体" w:hAnsi="宋体" w:eastAsia="宋体" w:cs="宋体"/>
                      <w:b/>
                      <w:color w:val="000000"/>
                      <w:sz w:val="21"/>
                      <w:szCs w:val="21"/>
                      <w:highlight w:val="none"/>
                    </w:rPr>
                  </w:pPr>
                </w:p>
              </w:tc>
              <w:tc>
                <w:tcPr>
                  <w:tcW w:w="3924" w:type="dxa"/>
                  <w:noWrap w:val="0"/>
                  <w:vAlign w:val="center"/>
                </w:tcPr>
                <w:p w14:paraId="4D271D09">
                  <w:pPr>
                    <w:pStyle w:val="7"/>
                    <w:spacing w:before="0" w:after="0" w:line="240" w:lineRule="auto"/>
                    <w:jc w:val="left"/>
                    <w:rPr>
                      <w:rFonts w:hint="eastAsia" w:ascii="宋体" w:hAnsi="宋体" w:eastAsia="宋体" w:cs="宋体"/>
                      <w:color w:val="000000"/>
                      <w:sz w:val="21"/>
                      <w:szCs w:val="21"/>
                      <w:highlight w:val="none"/>
                    </w:rPr>
                  </w:pPr>
                  <w:r>
                    <w:rPr>
                      <w:rFonts w:hint="eastAsia" w:ascii="宋体" w:hAnsi="宋体" w:eastAsia="宋体" w:cs="宋体"/>
                      <w:b w:val="0"/>
                      <w:bCs/>
                      <w:color w:val="000000"/>
                      <w:kern w:val="2"/>
                      <w:sz w:val="21"/>
                      <w:szCs w:val="21"/>
                      <w:highlight w:val="none"/>
                      <w:lang w:val="en-US" w:eastAsia="zh-CN" w:bidi="ar-SA"/>
                    </w:rPr>
                    <w:t>严格控制涉重金属和高污染高能耗项目建设。新建、扩建石化、化工、焦化、有色金属冶炼、平板玻璃项目应布设在依法合规设立并经规划环评的产业园区。严格控制水污染严重地区和水源保护敏感区域高耗水、高污染行业发展。新丰县东南部（丰城街道、梅坑镇、黄磜镇、马头镇）严控水污染项目建设，新建、改建、扩建涉水建设项目实行主要污染物和特征污染物排放减量替代。环境空气质量一类功能区实施严格保护，禁止新建、扩建排放大气污染物的工业项目（国家和省规定不纳入环评管理的项目除外）。</w:t>
                  </w:r>
                </w:p>
              </w:tc>
              <w:tc>
                <w:tcPr>
                  <w:tcW w:w="1540" w:type="dxa"/>
                  <w:noWrap w:val="0"/>
                  <w:vAlign w:val="center"/>
                </w:tcPr>
                <w:p w14:paraId="2C0353F8">
                  <w:pPr>
                    <w:widowControl/>
                    <w:jc w:val="center"/>
                    <w:rPr>
                      <w:rFonts w:hint="eastAsia" w:ascii="宋体" w:hAnsi="宋体" w:eastAsia="宋体" w:cs="宋体"/>
                      <w:color w:val="000000"/>
                      <w:kern w:val="0"/>
                      <w:sz w:val="21"/>
                      <w:szCs w:val="21"/>
                      <w:highlight w:val="none"/>
                      <w:lang w:val="en-US"/>
                    </w:rPr>
                  </w:pPr>
                  <w:r>
                    <w:rPr>
                      <w:rFonts w:hint="eastAsia" w:ascii="宋体" w:hAnsi="宋体" w:eastAsia="宋体" w:cs="宋体"/>
                      <w:color w:val="000000"/>
                      <w:kern w:val="0"/>
                      <w:sz w:val="21"/>
                      <w:szCs w:val="21"/>
                      <w:highlight w:val="none"/>
                    </w:rPr>
                    <w:t>本项目</w:t>
                  </w:r>
                  <w:r>
                    <w:rPr>
                      <w:rFonts w:hint="eastAsia" w:ascii="宋体" w:hAnsi="宋体" w:eastAsia="宋体" w:cs="宋体"/>
                      <w:color w:val="000000"/>
                      <w:kern w:val="0"/>
                      <w:sz w:val="21"/>
                      <w:szCs w:val="21"/>
                      <w:highlight w:val="none"/>
                      <w:lang w:val="en-US" w:eastAsia="zh-CN"/>
                    </w:rPr>
                    <w:t>不属于</w:t>
                  </w:r>
                  <w:r>
                    <w:rPr>
                      <w:rFonts w:hint="eastAsia" w:ascii="宋体" w:hAnsi="宋体" w:eastAsia="宋体" w:cs="宋体"/>
                      <w:b w:val="0"/>
                      <w:bCs/>
                      <w:color w:val="000000"/>
                      <w:kern w:val="2"/>
                      <w:sz w:val="21"/>
                      <w:szCs w:val="21"/>
                      <w:highlight w:val="none"/>
                      <w:lang w:val="en-US" w:eastAsia="zh-CN" w:bidi="ar-SA"/>
                    </w:rPr>
                    <w:t>涉重金属和高污染高能耗项目。</w:t>
                  </w:r>
                </w:p>
              </w:tc>
              <w:tc>
                <w:tcPr>
                  <w:tcW w:w="830" w:type="dxa"/>
                  <w:noWrap w:val="0"/>
                  <w:vAlign w:val="center"/>
                </w:tcPr>
                <w:p w14:paraId="1C0699C4">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lang w:val="en-US" w:eastAsia="zh-CN"/>
                    </w:rPr>
                    <w:t>符合</w:t>
                  </w:r>
                </w:p>
              </w:tc>
            </w:tr>
            <w:tr w14:paraId="7EE42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55" w:hRule="atLeast"/>
                <w:tblHeader/>
                <w:jc w:val="center"/>
              </w:trPr>
              <w:tc>
                <w:tcPr>
                  <w:tcW w:w="565" w:type="dxa"/>
                  <w:vMerge w:val="continue"/>
                  <w:noWrap w:val="0"/>
                  <w:vAlign w:val="center"/>
                </w:tcPr>
                <w:p w14:paraId="29CEC24E">
                  <w:pPr>
                    <w:jc w:val="center"/>
                    <w:rPr>
                      <w:rFonts w:hint="eastAsia" w:ascii="宋体" w:hAnsi="宋体" w:eastAsia="宋体" w:cs="宋体"/>
                      <w:b/>
                      <w:color w:val="000000"/>
                      <w:sz w:val="21"/>
                      <w:szCs w:val="21"/>
                      <w:highlight w:val="none"/>
                    </w:rPr>
                  </w:pPr>
                </w:p>
              </w:tc>
              <w:tc>
                <w:tcPr>
                  <w:tcW w:w="3924" w:type="dxa"/>
                  <w:noWrap w:val="0"/>
                  <w:vAlign w:val="center"/>
                </w:tcPr>
                <w:p w14:paraId="5E384E6B">
                  <w:pPr>
                    <w:pStyle w:val="7"/>
                    <w:spacing w:before="0" w:after="0" w:line="240" w:lineRule="auto"/>
                    <w:jc w:val="left"/>
                    <w:rPr>
                      <w:rFonts w:hint="eastAsia" w:ascii="宋体" w:hAnsi="宋体" w:eastAsia="宋体" w:cs="宋体"/>
                      <w:color w:val="000000"/>
                      <w:sz w:val="21"/>
                      <w:szCs w:val="21"/>
                      <w:highlight w:val="none"/>
                    </w:rPr>
                  </w:pPr>
                  <w:r>
                    <w:rPr>
                      <w:rFonts w:hint="eastAsia" w:ascii="宋体" w:hAnsi="宋体" w:eastAsia="宋体" w:cs="宋体"/>
                      <w:b w:val="0"/>
                      <w:bCs/>
                      <w:color w:val="000000"/>
                      <w:kern w:val="2"/>
                      <w:sz w:val="21"/>
                      <w:szCs w:val="21"/>
                      <w:highlight w:val="none"/>
                      <w:lang w:val="en-US" w:eastAsia="zh-CN" w:bidi="ar-SA"/>
                    </w:rPr>
                    <w:t>逐步扩大高污染燃料禁燃区范围。</w:t>
                  </w:r>
                </w:p>
              </w:tc>
              <w:tc>
                <w:tcPr>
                  <w:tcW w:w="1540" w:type="dxa"/>
                  <w:noWrap w:val="0"/>
                  <w:vAlign w:val="center"/>
                </w:tcPr>
                <w:p w14:paraId="2F0AE8A6">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lang w:val="en-US" w:eastAsia="zh-CN"/>
                    </w:rPr>
                    <w:t>本项目不涉及</w:t>
                  </w:r>
                  <w:r>
                    <w:rPr>
                      <w:rFonts w:hint="eastAsia" w:ascii="宋体" w:hAnsi="宋体" w:cs="宋体"/>
                      <w:b w:val="0"/>
                      <w:bCs/>
                      <w:color w:val="000000"/>
                      <w:kern w:val="2"/>
                      <w:sz w:val="21"/>
                      <w:szCs w:val="21"/>
                      <w:highlight w:val="none"/>
                      <w:lang w:val="en-US" w:eastAsia="zh-CN" w:bidi="ar-SA"/>
                    </w:rPr>
                    <w:t>该条款</w:t>
                  </w:r>
                  <w:r>
                    <w:rPr>
                      <w:rFonts w:hint="eastAsia" w:ascii="宋体" w:hAnsi="宋体" w:eastAsia="宋体" w:cs="宋体"/>
                      <w:b w:val="0"/>
                      <w:bCs/>
                      <w:color w:val="000000"/>
                      <w:kern w:val="2"/>
                      <w:sz w:val="21"/>
                      <w:szCs w:val="21"/>
                      <w:highlight w:val="none"/>
                      <w:lang w:val="en-US" w:eastAsia="zh-CN" w:bidi="ar-SA"/>
                    </w:rPr>
                    <w:t>。</w:t>
                  </w:r>
                </w:p>
              </w:tc>
              <w:tc>
                <w:tcPr>
                  <w:tcW w:w="830" w:type="dxa"/>
                  <w:noWrap w:val="0"/>
                  <w:vAlign w:val="center"/>
                </w:tcPr>
                <w:p w14:paraId="17E5AF76">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lang w:val="en-US" w:eastAsia="zh-CN"/>
                    </w:rPr>
                    <w:t>符合</w:t>
                  </w:r>
                </w:p>
              </w:tc>
            </w:tr>
            <w:tr w14:paraId="7AB53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57" w:hRule="atLeast"/>
                <w:tblHeader/>
                <w:jc w:val="center"/>
              </w:trPr>
              <w:tc>
                <w:tcPr>
                  <w:tcW w:w="565" w:type="dxa"/>
                  <w:vMerge w:val="restart"/>
                  <w:noWrap w:val="0"/>
                  <w:vAlign w:val="center"/>
                </w:tcPr>
                <w:p w14:paraId="2CBFAE54">
                  <w:pPr>
                    <w:jc w:val="center"/>
                    <w:rPr>
                      <w:rFonts w:hint="eastAsia" w:ascii="宋体" w:hAnsi="宋体" w:eastAsia="宋体" w:cs="宋体"/>
                      <w:b/>
                      <w:color w:val="000000"/>
                      <w:sz w:val="21"/>
                      <w:szCs w:val="21"/>
                      <w:highlight w:val="none"/>
                    </w:rPr>
                  </w:pPr>
                  <w:r>
                    <w:rPr>
                      <w:rFonts w:hint="eastAsia" w:ascii="宋体" w:hAnsi="宋体" w:eastAsia="宋体" w:cs="宋体"/>
                      <w:b w:val="0"/>
                      <w:bCs/>
                      <w:color w:val="000000"/>
                      <w:kern w:val="2"/>
                      <w:sz w:val="21"/>
                      <w:szCs w:val="21"/>
                      <w:highlight w:val="none"/>
                      <w:lang w:val="en-US" w:eastAsia="zh-CN" w:bidi="ar-SA"/>
                    </w:rPr>
                    <w:t>能源资源利用要求</w:t>
                  </w:r>
                </w:p>
              </w:tc>
              <w:tc>
                <w:tcPr>
                  <w:tcW w:w="3924" w:type="dxa"/>
                  <w:noWrap w:val="0"/>
                  <w:vAlign w:val="center"/>
                </w:tcPr>
                <w:p w14:paraId="679F3CF0">
                  <w:pPr>
                    <w:pStyle w:val="7"/>
                    <w:spacing w:before="0" w:after="0" w:line="240" w:lineRule="auto"/>
                    <w:jc w:val="left"/>
                    <w:rPr>
                      <w:rFonts w:hint="eastAsia" w:ascii="宋体" w:hAnsi="宋体" w:eastAsia="宋体" w:cs="宋体"/>
                      <w:b w:val="0"/>
                      <w:bCs/>
                      <w:color w:val="000000"/>
                      <w:kern w:val="2"/>
                      <w:sz w:val="21"/>
                      <w:szCs w:val="21"/>
                      <w:highlight w:val="none"/>
                      <w:lang w:val="en-US" w:eastAsia="zh-CN" w:bidi="ar-SA"/>
                    </w:rPr>
                  </w:pPr>
                  <w:r>
                    <w:rPr>
                      <w:rFonts w:hint="eastAsia" w:ascii="宋体" w:hAnsi="宋体" w:eastAsia="宋体" w:cs="宋体"/>
                      <w:b w:val="0"/>
                      <w:bCs/>
                      <w:color w:val="000000"/>
                      <w:kern w:val="2"/>
                      <w:sz w:val="21"/>
                      <w:szCs w:val="21"/>
                      <w:highlight w:val="none"/>
                      <w:lang w:val="en-US" w:eastAsia="zh-CN" w:bidi="ar-SA"/>
                    </w:rPr>
                    <w:t>积极落实国家、省制定的碳达峰碳中和目标任务，制定并落实碳达峰与碳减排工作计划、行动方案，综合运用相关政策工具和手段措施，持续推动实施。进一步优化调整能源结构，发展以光伏全产业链为龙头的风光氢等多元化可再生清洁能源产业，提高可再生能源发电装机占比，推动电力源网荷储一体化和多能互补。实行能源消费强度与消费总量“双控”制度。抓好电力、建材、冶炼等重点耗能行业的节能降耗工作，推动单位</w:t>
                  </w:r>
                  <w:r>
                    <w:rPr>
                      <w:rFonts w:hint="default" w:ascii="Times New Roman" w:hAnsi="Times New Roman" w:eastAsia="宋体" w:cs="Times New Roman"/>
                      <w:b w:val="0"/>
                      <w:bCs/>
                      <w:color w:val="000000"/>
                      <w:kern w:val="2"/>
                      <w:sz w:val="21"/>
                      <w:szCs w:val="21"/>
                      <w:highlight w:val="none"/>
                      <w:lang w:val="en-US" w:eastAsia="zh-CN" w:bidi="ar-SA"/>
                    </w:rPr>
                    <w:t>GDP</w:t>
                  </w:r>
                  <w:r>
                    <w:rPr>
                      <w:rFonts w:hint="eastAsia" w:ascii="宋体" w:hAnsi="宋体" w:eastAsia="宋体" w:cs="宋体"/>
                      <w:b w:val="0"/>
                      <w:bCs/>
                      <w:color w:val="000000"/>
                      <w:kern w:val="2"/>
                      <w:sz w:val="21"/>
                      <w:szCs w:val="21"/>
                      <w:highlight w:val="none"/>
                      <w:lang w:val="en-US" w:eastAsia="zh-CN" w:bidi="ar-SA"/>
                    </w:rPr>
                    <w:t>能源消耗、单位</w:t>
                  </w:r>
                  <w:r>
                    <w:rPr>
                      <w:rFonts w:hint="default" w:ascii="Times New Roman" w:hAnsi="Times New Roman" w:eastAsia="宋体" w:cs="Times New Roman"/>
                      <w:b w:val="0"/>
                      <w:bCs/>
                      <w:color w:val="000000"/>
                      <w:kern w:val="2"/>
                      <w:sz w:val="21"/>
                      <w:szCs w:val="21"/>
                      <w:highlight w:val="none"/>
                      <w:lang w:val="en-US" w:eastAsia="zh-CN" w:bidi="ar-SA"/>
                    </w:rPr>
                    <w:t>GDP</w:t>
                  </w:r>
                  <w:r>
                    <w:rPr>
                      <w:rFonts w:hint="eastAsia" w:ascii="宋体" w:hAnsi="宋体" w:eastAsia="宋体" w:cs="宋体"/>
                      <w:b w:val="0"/>
                      <w:bCs/>
                      <w:color w:val="000000"/>
                      <w:kern w:val="2"/>
                      <w:sz w:val="21"/>
                      <w:szCs w:val="21"/>
                      <w:highlight w:val="none"/>
                      <w:lang w:val="en-US" w:eastAsia="zh-CN" w:bidi="ar-SA"/>
                    </w:rPr>
                    <w:t>二氧化碳排放持续下降。鼓励使用天然气及可再生能源，县级及以上城市建成区，禁止新建每小时</w:t>
                  </w:r>
                  <w:r>
                    <w:rPr>
                      <w:rFonts w:hint="default" w:ascii="Times New Roman" w:hAnsi="Times New Roman" w:eastAsia="宋体" w:cs="Times New Roman"/>
                      <w:b w:val="0"/>
                      <w:bCs/>
                      <w:color w:val="000000"/>
                      <w:kern w:val="2"/>
                      <w:sz w:val="21"/>
                      <w:szCs w:val="21"/>
                      <w:highlight w:val="none"/>
                      <w:lang w:val="en-US" w:eastAsia="zh-CN" w:bidi="ar-SA"/>
                    </w:rPr>
                    <w:t>35</w:t>
                  </w:r>
                  <w:r>
                    <w:rPr>
                      <w:rFonts w:hint="eastAsia" w:ascii="宋体" w:hAnsi="宋体" w:eastAsia="宋体" w:cs="宋体"/>
                      <w:b w:val="0"/>
                      <w:bCs/>
                      <w:color w:val="000000"/>
                      <w:kern w:val="2"/>
                      <w:sz w:val="21"/>
                      <w:szCs w:val="21"/>
                      <w:highlight w:val="none"/>
                      <w:lang w:val="en-US" w:eastAsia="zh-CN" w:bidi="ar-SA"/>
                    </w:rPr>
                    <w:t>蒸吨以下燃煤锅炉。</w:t>
                  </w:r>
                </w:p>
              </w:tc>
              <w:tc>
                <w:tcPr>
                  <w:tcW w:w="1540" w:type="dxa"/>
                  <w:noWrap w:val="0"/>
                  <w:vAlign w:val="center"/>
                </w:tcPr>
                <w:p w14:paraId="31857359">
                  <w:pPr>
                    <w:widowControl/>
                    <w:jc w:val="center"/>
                    <w:rPr>
                      <w:rFonts w:hint="eastAsia" w:ascii="宋体" w:hAnsi="宋体" w:eastAsia="宋体" w:cs="宋体"/>
                      <w:color w:val="000000"/>
                      <w:kern w:val="0"/>
                      <w:sz w:val="21"/>
                      <w:szCs w:val="21"/>
                      <w:highlight w:val="none"/>
                      <w:lang w:val="en-US"/>
                    </w:rPr>
                  </w:pPr>
                  <w:r>
                    <w:rPr>
                      <w:rFonts w:hint="eastAsia" w:ascii="宋体" w:hAnsi="宋体" w:eastAsia="宋体" w:cs="宋体"/>
                      <w:color w:val="000000"/>
                      <w:kern w:val="0"/>
                      <w:sz w:val="21"/>
                      <w:szCs w:val="21"/>
                      <w:highlight w:val="none"/>
                    </w:rPr>
                    <w:t>本项目</w:t>
                  </w:r>
                  <w:r>
                    <w:rPr>
                      <w:rFonts w:hint="eastAsia" w:ascii="宋体" w:hAnsi="宋体" w:eastAsia="宋体" w:cs="宋体"/>
                      <w:color w:val="000000"/>
                      <w:kern w:val="0"/>
                      <w:sz w:val="21"/>
                      <w:szCs w:val="21"/>
                      <w:highlight w:val="none"/>
                      <w:lang w:val="en-US" w:eastAsia="zh-CN"/>
                    </w:rPr>
                    <w:t>不属于</w:t>
                  </w:r>
                  <w:r>
                    <w:rPr>
                      <w:rFonts w:hint="eastAsia" w:ascii="宋体" w:hAnsi="宋体" w:eastAsia="宋体" w:cs="宋体"/>
                      <w:b w:val="0"/>
                      <w:bCs/>
                      <w:color w:val="000000"/>
                      <w:kern w:val="2"/>
                      <w:sz w:val="21"/>
                      <w:szCs w:val="21"/>
                      <w:highlight w:val="none"/>
                      <w:lang w:val="en-US" w:eastAsia="zh-CN" w:bidi="ar-SA"/>
                    </w:rPr>
                    <w:t>电力、建材、冶炼等重点耗能行业，</w:t>
                  </w:r>
                  <w:r>
                    <w:rPr>
                      <w:rFonts w:hint="eastAsia" w:ascii="宋体" w:hAnsi="宋体" w:eastAsia="宋体" w:cs="宋体"/>
                      <w:color w:val="000000"/>
                      <w:kern w:val="0"/>
                      <w:sz w:val="21"/>
                      <w:szCs w:val="21"/>
                      <w:highlight w:val="none"/>
                      <w:lang w:val="en-US" w:eastAsia="zh-CN"/>
                    </w:rPr>
                    <w:t>不涉及</w:t>
                  </w:r>
                  <w:r>
                    <w:rPr>
                      <w:rFonts w:hint="eastAsia" w:ascii="宋体" w:hAnsi="宋体" w:eastAsia="宋体" w:cs="宋体"/>
                      <w:b w:val="0"/>
                      <w:bCs/>
                      <w:color w:val="000000"/>
                      <w:kern w:val="2"/>
                      <w:sz w:val="21"/>
                      <w:szCs w:val="21"/>
                      <w:highlight w:val="none"/>
                      <w:lang w:val="en-US" w:eastAsia="zh-CN" w:bidi="ar-SA"/>
                    </w:rPr>
                    <w:t>燃煤锅炉</w:t>
                  </w:r>
                  <w:r>
                    <w:rPr>
                      <w:rFonts w:hint="eastAsia" w:ascii="宋体" w:hAnsi="宋体" w:cs="宋体"/>
                      <w:b w:val="0"/>
                      <w:bCs/>
                      <w:color w:val="000000"/>
                      <w:kern w:val="2"/>
                      <w:sz w:val="21"/>
                      <w:szCs w:val="21"/>
                      <w:highlight w:val="none"/>
                      <w:lang w:val="en-US" w:eastAsia="zh-CN" w:bidi="ar-SA"/>
                    </w:rPr>
                    <w:t>，本项目建设的2台25t/h生物质锅炉燃料为生物质成型颗粒</w:t>
                  </w:r>
                  <w:r>
                    <w:rPr>
                      <w:rFonts w:hint="eastAsia" w:ascii="宋体" w:hAnsi="宋体" w:eastAsia="宋体" w:cs="宋体"/>
                      <w:b w:val="0"/>
                      <w:bCs/>
                      <w:color w:val="000000"/>
                      <w:kern w:val="2"/>
                      <w:sz w:val="21"/>
                      <w:szCs w:val="21"/>
                      <w:highlight w:val="none"/>
                      <w:lang w:val="en-US" w:eastAsia="zh-CN" w:bidi="ar-SA"/>
                    </w:rPr>
                    <w:t>。</w:t>
                  </w:r>
                </w:p>
              </w:tc>
              <w:tc>
                <w:tcPr>
                  <w:tcW w:w="830" w:type="dxa"/>
                  <w:noWrap w:val="0"/>
                  <w:vAlign w:val="center"/>
                </w:tcPr>
                <w:p w14:paraId="4C060BBF">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lang w:val="en-US" w:eastAsia="zh-CN"/>
                    </w:rPr>
                    <w:t>符合</w:t>
                  </w:r>
                </w:p>
              </w:tc>
            </w:tr>
            <w:tr w14:paraId="626CD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81" w:hRule="atLeast"/>
                <w:tblHeader/>
                <w:jc w:val="center"/>
              </w:trPr>
              <w:tc>
                <w:tcPr>
                  <w:tcW w:w="565" w:type="dxa"/>
                  <w:vMerge w:val="continue"/>
                  <w:noWrap w:val="0"/>
                  <w:vAlign w:val="center"/>
                </w:tcPr>
                <w:p w14:paraId="1532C7C6">
                  <w:pPr>
                    <w:jc w:val="center"/>
                    <w:rPr>
                      <w:rFonts w:hint="eastAsia" w:ascii="宋体" w:hAnsi="宋体" w:eastAsia="宋体" w:cs="宋体"/>
                      <w:b/>
                      <w:color w:val="000000"/>
                      <w:sz w:val="21"/>
                      <w:szCs w:val="21"/>
                      <w:highlight w:val="none"/>
                    </w:rPr>
                  </w:pPr>
                </w:p>
              </w:tc>
              <w:tc>
                <w:tcPr>
                  <w:tcW w:w="3924" w:type="dxa"/>
                  <w:noWrap w:val="0"/>
                  <w:vAlign w:val="center"/>
                </w:tcPr>
                <w:p w14:paraId="62A7C5CC">
                  <w:pPr>
                    <w:pStyle w:val="7"/>
                    <w:spacing w:before="0" w:after="0" w:line="240" w:lineRule="auto"/>
                    <w:jc w:val="left"/>
                    <w:rPr>
                      <w:rFonts w:hint="eastAsia" w:ascii="宋体" w:hAnsi="宋体" w:eastAsia="宋体" w:cs="宋体"/>
                      <w:b w:val="0"/>
                      <w:bCs/>
                      <w:color w:val="000000"/>
                      <w:kern w:val="2"/>
                      <w:sz w:val="21"/>
                      <w:szCs w:val="21"/>
                      <w:highlight w:val="none"/>
                      <w:lang w:val="en-US" w:eastAsia="zh-CN" w:bidi="ar-SA"/>
                    </w:rPr>
                  </w:pPr>
                  <w:r>
                    <w:rPr>
                      <w:rFonts w:hint="eastAsia" w:ascii="宋体" w:hAnsi="宋体" w:eastAsia="宋体" w:cs="宋体"/>
                      <w:b w:val="0"/>
                      <w:bCs/>
                      <w:color w:val="000000"/>
                      <w:kern w:val="2"/>
                      <w:sz w:val="21"/>
                      <w:szCs w:val="21"/>
                      <w:highlight w:val="none"/>
                      <w:lang w:val="en-US" w:eastAsia="zh-CN" w:bidi="ar-SA"/>
                    </w:rPr>
                    <w:t>原则上不再新建小水电以及除国家和省规划外的风电项目，对不符合生态环境要求的小水电进行清理整改。严格落实东江、北江流域等重要控制断面生态流量保障目标。加强城市节水，提高水资源的利用效率和效益。</w:t>
                  </w:r>
                </w:p>
              </w:tc>
              <w:tc>
                <w:tcPr>
                  <w:tcW w:w="1540" w:type="dxa"/>
                  <w:noWrap w:val="0"/>
                  <w:vAlign w:val="center"/>
                </w:tcPr>
                <w:p w14:paraId="3FC6FB49">
                  <w:pPr>
                    <w:widowControl/>
                    <w:jc w:val="center"/>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lang w:val="en-US" w:eastAsia="zh-CN"/>
                    </w:rPr>
                    <w:t>本项目不涉及</w:t>
                  </w:r>
                  <w:r>
                    <w:rPr>
                      <w:rFonts w:hint="eastAsia" w:ascii="宋体" w:hAnsi="宋体" w:cs="宋体"/>
                      <w:b w:val="0"/>
                      <w:bCs/>
                      <w:color w:val="000000"/>
                      <w:kern w:val="2"/>
                      <w:sz w:val="21"/>
                      <w:szCs w:val="21"/>
                      <w:highlight w:val="none"/>
                      <w:lang w:val="en-US" w:eastAsia="zh-CN" w:bidi="ar-SA"/>
                    </w:rPr>
                    <w:t>该条款</w:t>
                  </w:r>
                  <w:r>
                    <w:rPr>
                      <w:rFonts w:hint="eastAsia" w:ascii="宋体" w:hAnsi="宋体" w:eastAsia="宋体" w:cs="宋体"/>
                      <w:b w:val="0"/>
                      <w:bCs/>
                      <w:color w:val="000000"/>
                      <w:kern w:val="2"/>
                      <w:sz w:val="21"/>
                      <w:szCs w:val="21"/>
                      <w:highlight w:val="none"/>
                      <w:lang w:val="en-US" w:eastAsia="zh-CN" w:bidi="ar-SA"/>
                    </w:rPr>
                    <w:t>。</w:t>
                  </w:r>
                </w:p>
              </w:tc>
              <w:tc>
                <w:tcPr>
                  <w:tcW w:w="830" w:type="dxa"/>
                  <w:noWrap w:val="0"/>
                  <w:vAlign w:val="center"/>
                </w:tcPr>
                <w:p w14:paraId="22DD12F0">
                  <w:pPr>
                    <w:widowControl/>
                    <w:jc w:val="center"/>
                    <w:rPr>
                      <w:rFonts w:hint="eastAsia" w:ascii="宋体" w:hAnsi="宋体" w:eastAsia="宋体" w:cs="宋体"/>
                      <w:b w:val="0"/>
                      <w:bCs/>
                      <w:color w:val="000000"/>
                      <w:kern w:val="2"/>
                      <w:sz w:val="21"/>
                      <w:szCs w:val="21"/>
                      <w:highlight w:val="none"/>
                      <w:lang w:val="en-US" w:eastAsia="zh-CN" w:bidi="ar-SA"/>
                    </w:rPr>
                  </w:pPr>
                  <w:r>
                    <w:rPr>
                      <w:rFonts w:hint="eastAsia" w:ascii="宋体" w:hAnsi="宋体" w:eastAsia="宋体" w:cs="宋体"/>
                      <w:color w:val="000000"/>
                      <w:kern w:val="0"/>
                      <w:sz w:val="21"/>
                      <w:szCs w:val="21"/>
                      <w:highlight w:val="none"/>
                      <w:lang w:val="en-US" w:eastAsia="zh-CN"/>
                    </w:rPr>
                    <w:t>符合</w:t>
                  </w:r>
                </w:p>
              </w:tc>
            </w:tr>
            <w:tr w14:paraId="35BB9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30" w:hRule="atLeast"/>
                <w:tblHeader/>
                <w:jc w:val="center"/>
              </w:trPr>
              <w:tc>
                <w:tcPr>
                  <w:tcW w:w="565" w:type="dxa"/>
                  <w:vMerge w:val="continue"/>
                  <w:noWrap w:val="0"/>
                  <w:vAlign w:val="center"/>
                </w:tcPr>
                <w:p w14:paraId="311017BE">
                  <w:pPr>
                    <w:jc w:val="center"/>
                    <w:rPr>
                      <w:rFonts w:hint="eastAsia" w:ascii="宋体" w:hAnsi="宋体" w:eastAsia="宋体" w:cs="宋体"/>
                      <w:b/>
                      <w:color w:val="000000"/>
                      <w:sz w:val="21"/>
                      <w:szCs w:val="21"/>
                      <w:highlight w:val="none"/>
                    </w:rPr>
                  </w:pPr>
                </w:p>
              </w:tc>
              <w:tc>
                <w:tcPr>
                  <w:tcW w:w="3924" w:type="dxa"/>
                  <w:noWrap w:val="0"/>
                  <w:vAlign w:val="center"/>
                </w:tcPr>
                <w:p w14:paraId="2435091B">
                  <w:pPr>
                    <w:pStyle w:val="7"/>
                    <w:spacing w:before="0" w:after="0" w:line="240" w:lineRule="auto"/>
                    <w:jc w:val="left"/>
                    <w:rPr>
                      <w:rFonts w:hint="eastAsia" w:ascii="宋体" w:hAnsi="宋体" w:eastAsia="宋体" w:cs="宋体"/>
                      <w:b w:val="0"/>
                      <w:bCs/>
                      <w:color w:val="000000"/>
                      <w:kern w:val="2"/>
                      <w:sz w:val="21"/>
                      <w:szCs w:val="21"/>
                      <w:highlight w:val="none"/>
                      <w:lang w:val="en-US" w:eastAsia="zh-CN" w:bidi="ar-SA"/>
                    </w:rPr>
                  </w:pPr>
                  <w:r>
                    <w:rPr>
                      <w:rFonts w:hint="eastAsia" w:ascii="宋体" w:hAnsi="宋体" w:eastAsia="宋体" w:cs="宋体"/>
                      <w:b w:val="0"/>
                      <w:bCs/>
                      <w:color w:val="000000"/>
                      <w:kern w:val="2"/>
                      <w:sz w:val="21"/>
                      <w:szCs w:val="21"/>
                      <w:highlight w:val="none"/>
                      <w:lang w:val="en-US" w:eastAsia="zh-CN" w:bidi="ar-SA"/>
                    </w:rPr>
                    <w:t>严格矿产资源开发准入管理，从严控制矿产资源开发总量和综合利用标准。加强矿产资源规划管理，提高矿产资源开发利用效率，推动矿产资源开发合理布局和节约集约利用。推进大宝山、凡口矿等矿山企业转型升级，打造国家级绿色矿山。全市矿山企业在2025年前全部达到绿色矿山标准。</w:t>
                  </w:r>
                </w:p>
              </w:tc>
              <w:tc>
                <w:tcPr>
                  <w:tcW w:w="1540" w:type="dxa"/>
                  <w:noWrap w:val="0"/>
                  <w:vAlign w:val="center"/>
                </w:tcPr>
                <w:p w14:paraId="77F2BE78">
                  <w:pPr>
                    <w:widowControl/>
                    <w:jc w:val="center"/>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lang w:val="en-US" w:eastAsia="zh-CN"/>
                    </w:rPr>
                    <w:t>本项目不涉及</w:t>
                  </w:r>
                  <w:r>
                    <w:rPr>
                      <w:rFonts w:hint="eastAsia" w:ascii="宋体" w:hAnsi="宋体" w:cs="宋体"/>
                      <w:b w:val="0"/>
                      <w:bCs/>
                      <w:color w:val="000000"/>
                      <w:kern w:val="2"/>
                      <w:sz w:val="21"/>
                      <w:szCs w:val="21"/>
                      <w:highlight w:val="none"/>
                      <w:lang w:val="en-US" w:eastAsia="zh-CN" w:bidi="ar-SA"/>
                    </w:rPr>
                    <w:t>该条款</w:t>
                  </w:r>
                  <w:r>
                    <w:rPr>
                      <w:rFonts w:hint="eastAsia" w:ascii="宋体" w:hAnsi="宋体" w:eastAsia="宋体" w:cs="宋体"/>
                      <w:b w:val="0"/>
                      <w:bCs/>
                      <w:color w:val="000000"/>
                      <w:kern w:val="2"/>
                      <w:sz w:val="21"/>
                      <w:szCs w:val="21"/>
                      <w:highlight w:val="none"/>
                      <w:lang w:val="en-US" w:eastAsia="zh-CN" w:bidi="ar-SA"/>
                    </w:rPr>
                    <w:t>。</w:t>
                  </w:r>
                </w:p>
              </w:tc>
              <w:tc>
                <w:tcPr>
                  <w:tcW w:w="830" w:type="dxa"/>
                  <w:noWrap w:val="0"/>
                  <w:vAlign w:val="center"/>
                </w:tcPr>
                <w:p w14:paraId="10AD4A89">
                  <w:pPr>
                    <w:widowControl/>
                    <w:jc w:val="center"/>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lang w:val="en-US" w:eastAsia="zh-CN"/>
                    </w:rPr>
                    <w:t>符合</w:t>
                  </w:r>
                </w:p>
              </w:tc>
            </w:tr>
            <w:tr w14:paraId="2FF1C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57" w:hRule="atLeast"/>
                <w:tblHeader/>
                <w:jc w:val="center"/>
              </w:trPr>
              <w:tc>
                <w:tcPr>
                  <w:tcW w:w="565" w:type="dxa"/>
                  <w:vMerge w:val="restart"/>
                  <w:noWrap w:val="0"/>
                  <w:vAlign w:val="center"/>
                </w:tcPr>
                <w:p w14:paraId="02EA64EA">
                  <w:pPr>
                    <w:jc w:val="center"/>
                    <w:rPr>
                      <w:rFonts w:hint="eastAsia" w:ascii="宋体" w:hAnsi="宋体" w:eastAsia="宋体" w:cs="宋体"/>
                      <w:b/>
                      <w:color w:val="000000"/>
                      <w:sz w:val="21"/>
                      <w:szCs w:val="21"/>
                      <w:highlight w:val="none"/>
                    </w:rPr>
                  </w:pPr>
                  <w:r>
                    <w:rPr>
                      <w:rFonts w:hint="eastAsia" w:ascii="宋体" w:hAnsi="宋体" w:eastAsia="宋体" w:cs="宋体"/>
                      <w:b w:val="0"/>
                      <w:bCs/>
                      <w:color w:val="000000"/>
                      <w:kern w:val="2"/>
                      <w:sz w:val="21"/>
                      <w:szCs w:val="21"/>
                      <w:highlight w:val="none"/>
                      <w:lang w:val="en-US" w:eastAsia="zh-CN" w:bidi="ar-SA"/>
                    </w:rPr>
                    <w:t>污染物排放管控要求</w:t>
                  </w:r>
                </w:p>
              </w:tc>
              <w:tc>
                <w:tcPr>
                  <w:tcW w:w="3924" w:type="dxa"/>
                  <w:noWrap w:val="0"/>
                  <w:vAlign w:val="center"/>
                </w:tcPr>
                <w:p w14:paraId="419C350A">
                  <w:pPr>
                    <w:pStyle w:val="7"/>
                    <w:spacing w:before="0" w:after="0" w:line="240" w:lineRule="auto"/>
                    <w:jc w:val="left"/>
                    <w:rPr>
                      <w:rFonts w:hint="eastAsia" w:ascii="宋体" w:hAnsi="宋体" w:eastAsia="宋体" w:cs="宋体"/>
                      <w:b w:val="0"/>
                      <w:bCs/>
                      <w:color w:val="000000"/>
                      <w:kern w:val="2"/>
                      <w:sz w:val="21"/>
                      <w:szCs w:val="21"/>
                      <w:highlight w:val="none"/>
                      <w:lang w:val="en-US" w:eastAsia="zh-CN" w:bidi="ar-SA"/>
                    </w:rPr>
                  </w:pPr>
                  <w:r>
                    <w:rPr>
                      <w:rFonts w:hint="eastAsia" w:ascii="宋体" w:hAnsi="宋体" w:eastAsia="宋体" w:cs="宋体"/>
                      <w:b w:val="0"/>
                      <w:bCs/>
                      <w:color w:val="000000"/>
                      <w:kern w:val="2"/>
                      <w:sz w:val="21"/>
                      <w:szCs w:val="21"/>
                      <w:highlight w:val="none"/>
                      <w:lang w:val="en-US" w:eastAsia="zh-CN" w:bidi="ar-SA"/>
                    </w:rPr>
                    <w:t>深入实施重点污染物总量控制。“十四五”期间重点污染物排放总量在现有基础上持续减少。优化总量分配和调控机制，重点污染物排放总量指标优先向重点建设项目、重点工业园区、战略性产业集群倾斜。新建“两高”项目应配套区域主要污染物削减方案，采取有效的主要污染物区域削减措施，腾出足够的环境容量。新建项目原则上实施氮氧化物（</w:t>
                  </w:r>
                  <w:r>
                    <w:rPr>
                      <w:rFonts w:hint="default" w:ascii="Times New Roman" w:hAnsi="Times New Roman" w:eastAsia="宋体" w:cs="Times New Roman"/>
                      <w:b w:val="0"/>
                      <w:bCs/>
                      <w:color w:val="000000"/>
                      <w:kern w:val="2"/>
                      <w:sz w:val="21"/>
                      <w:szCs w:val="21"/>
                      <w:highlight w:val="none"/>
                      <w:lang w:val="en-US" w:eastAsia="zh-CN" w:bidi="ar-SA"/>
                    </w:rPr>
                    <w:t>NO</w:t>
                  </w:r>
                  <w:r>
                    <w:rPr>
                      <w:rFonts w:hint="default" w:ascii="Times New Roman" w:hAnsi="Times New Roman" w:eastAsia="宋体" w:cs="Times New Roman"/>
                      <w:b w:val="0"/>
                      <w:bCs/>
                      <w:color w:val="000000"/>
                      <w:kern w:val="2"/>
                      <w:sz w:val="21"/>
                      <w:szCs w:val="21"/>
                      <w:highlight w:val="none"/>
                      <w:vertAlign w:val="subscript"/>
                      <w:lang w:val="en-US" w:eastAsia="zh-CN" w:bidi="ar-SA"/>
                    </w:rPr>
                    <w:t>X</w:t>
                  </w:r>
                  <w:r>
                    <w:rPr>
                      <w:rFonts w:hint="eastAsia" w:ascii="宋体" w:hAnsi="宋体" w:eastAsia="宋体" w:cs="宋体"/>
                      <w:b w:val="0"/>
                      <w:bCs/>
                      <w:color w:val="000000"/>
                      <w:kern w:val="2"/>
                      <w:sz w:val="21"/>
                      <w:szCs w:val="21"/>
                      <w:highlight w:val="none"/>
                      <w:lang w:val="en-US" w:eastAsia="zh-CN" w:bidi="ar-SA"/>
                    </w:rPr>
                    <w:t>）和挥发性有机物（</w:t>
                  </w:r>
                  <w:r>
                    <w:rPr>
                      <w:rFonts w:hint="default" w:ascii="Times New Roman" w:hAnsi="Times New Roman" w:eastAsia="宋体" w:cs="Times New Roman"/>
                      <w:b w:val="0"/>
                      <w:bCs/>
                      <w:color w:val="000000"/>
                      <w:kern w:val="2"/>
                      <w:sz w:val="21"/>
                      <w:szCs w:val="21"/>
                      <w:highlight w:val="none"/>
                      <w:lang w:val="en-US" w:eastAsia="zh-CN" w:bidi="ar-SA"/>
                    </w:rPr>
                    <w:t>VOCs</w:t>
                  </w:r>
                  <w:r>
                    <w:rPr>
                      <w:rFonts w:hint="eastAsia" w:ascii="宋体" w:hAnsi="宋体" w:eastAsia="宋体" w:cs="宋体"/>
                      <w:b w:val="0"/>
                      <w:bCs/>
                      <w:color w:val="000000"/>
                      <w:kern w:val="2"/>
                      <w:sz w:val="21"/>
                      <w:szCs w:val="21"/>
                      <w:highlight w:val="none"/>
                      <w:lang w:val="en-US" w:eastAsia="zh-CN" w:bidi="ar-SA"/>
                    </w:rPr>
                    <w:t>）等量替代，推动钢铁行业执行大气污染物超低排放标准。新建、改建、扩建造纸、焦化、有色金属、印染、农副食品加工、原料药制造、制革、农药、电镀等行业建设项目实行主要水体污染物排放等量替代。</w:t>
                  </w:r>
                </w:p>
              </w:tc>
              <w:tc>
                <w:tcPr>
                  <w:tcW w:w="1540" w:type="dxa"/>
                  <w:noWrap w:val="0"/>
                  <w:vAlign w:val="center"/>
                </w:tcPr>
                <w:p w14:paraId="626BFB63">
                  <w:pPr>
                    <w:widowControl/>
                    <w:jc w:val="center"/>
                    <w:rPr>
                      <w:rFonts w:hint="eastAsia" w:ascii="宋体" w:hAnsi="宋体" w:eastAsia="宋体" w:cs="宋体"/>
                      <w:color w:val="000000"/>
                      <w:kern w:val="0"/>
                      <w:sz w:val="21"/>
                      <w:szCs w:val="21"/>
                      <w:highlight w:val="none"/>
                      <w:lang w:val="en-US"/>
                    </w:rPr>
                  </w:pPr>
                  <w:r>
                    <w:rPr>
                      <w:rFonts w:hint="eastAsia" w:hAnsi="宋体"/>
                      <w:color w:val="auto"/>
                      <w:szCs w:val="21"/>
                      <w:highlight w:val="none"/>
                      <w:lang w:val="en-US" w:eastAsia="zh-CN"/>
                    </w:rPr>
                    <w:t>本项目已</w:t>
                  </w:r>
                  <w:r>
                    <w:rPr>
                      <w:rFonts w:hint="eastAsia" w:hAnsi="宋体"/>
                      <w:color w:val="auto"/>
                      <w:szCs w:val="21"/>
                      <w:highlight w:val="none"/>
                    </w:rPr>
                    <w:t>实施NOx排放等量替代</w:t>
                  </w:r>
                  <w:r>
                    <w:rPr>
                      <w:rFonts w:hint="eastAsia" w:hAnsi="宋体"/>
                      <w:color w:val="auto"/>
                      <w:szCs w:val="21"/>
                      <w:highlight w:val="none"/>
                      <w:lang w:eastAsia="zh-CN"/>
                    </w:rPr>
                    <w:t>，</w:t>
                  </w:r>
                  <w:r>
                    <w:rPr>
                      <w:rFonts w:hint="eastAsia" w:hAnsi="宋体"/>
                      <w:color w:val="auto"/>
                      <w:szCs w:val="21"/>
                      <w:highlight w:val="none"/>
                    </w:rPr>
                    <w:t>符合要求。</w:t>
                  </w:r>
                  <w:r>
                    <w:rPr>
                      <w:rFonts w:hint="eastAsia" w:ascii="宋体" w:hAnsi="宋体" w:eastAsia="宋体" w:cs="宋体"/>
                      <w:b w:val="0"/>
                      <w:bCs/>
                      <w:color w:val="000000"/>
                      <w:kern w:val="2"/>
                      <w:sz w:val="21"/>
                      <w:szCs w:val="21"/>
                      <w:highlight w:val="none"/>
                      <w:lang w:val="en-US" w:eastAsia="zh-CN" w:bidi="ar-SA"/>
                    </w:rPr>
                    <w:t>本项目不属于造纸、焦化、有色金属、印染、农副食品加工、原料药制造、制革、农药、电镀行业。</w:t>
                  </w:r>
                </w:p>
              </w:tc>
              <w:tc>
                <w:tcPr>
                  <w:tcW w:w="830" w:type="dxa"/>
                  <w:noWrap w:val="0"/>
                  <w:vAlign w:val="center"/>
                </w:tcPr>
                <w:p w14:paraId="64458C81">
                  <w:pPr>
                    <w:widowControl/>
                    <w:jc w:val="center"/>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lang w:val="en-US" w:eastAsia="zh-CN"/>
                    </w:rPr>
                    <w:t>符合</w:t>
                  </w:r>
                </w:p>
              </w:tc>
            </w:tr>
            <w:tr w14:paraId="3A493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06" w:hRule="atLeast"/>
                <w:tblHeader/>
                <w:jc w:val="center"/>
              </w:trPr>
              <w:tc>
                <w:tcPr>
                  <w:tcW w:w="565" w:type="dxa"/>
                  <w:vMerge w:val="continue"/>
                  <w:noWrap w:val="0"/>
                  <w:vAlign w:val="center"/>
                </w:tcPr>
                <w:p w14:paraId="5538986D">
                  <w:pPr>
                    <w:jc w:val="center"/>
                    <w:rPr>
                      <w:rFonts w:hint="eastAsia" w:ascii="宋体" w:hAnsi="宋体" w:eastAsia="宋体" w:cs="宋体"/>
                      <w:b/>
                      <w:color w:val="000000"/>
                      <w:sz w:val="21"/>
                      <w:szCs w:val="21"/>
                      <w:highlight w:val="none"/>
                    </w:rPr>
                  </w:pPr>
                </w:p>
              </w:tc>
              <w:tc>
                <w:tcPr>
                  <w:tcW w:w="3924" w:type="dxa"/>
                  <w:noWrap w:val="0"/>
                  <w:vAlign w:val="center"/>
                </w:tcPr>
                <w:p w14:paraId="0DB0757E">
                  <w:pPr>
                    <w:pStyle w:val="7"/>
                    <w:spacing w:before="0" w:after="0" w:line="240" w:lineRule="auto"/>
                    <w:jc w:val="left"/>
                    <w:rPr>
                      <w:rFonts w:hint="eastAsia" w:ascii="宋体" w:hAnsi="宋体" w:eastAsia="宋体" w:cs="宋体"/>
                      <w:b w:val="0"/>
                      <w:bCs/>
                      <w:color w:val="000000"/>
                      <w:kern w:val="2"/>
                      <w:sz w:val="21"/>
                      <w:szCs w:val="21"/>
                      <w:highlight w:val="none"/>
                      <w:lang w:val="en-US" w:eastAsia="zh-CN" w:bidi="ar-SA"/>
                    </w:rPr>
                  </w:pPr>
                  <w:r>
                    <w:rPr>
                      <w:rFonts w:hint="eastAsia" w:ascii="宋体" w:hAnsi="宋体" w:eastAsia="宋体" w:cs="宋体"/>
                      <w:b w:val="0"/>
                      <w:bCs/>
                      <w:color w:val="000000"/>
                      <w:kern w:val="2"/>
                      <w:sz w:val="21"/>
                      <w:szCs w:val="21"/>
                      <w:highlight w:val="none"/>
                      <w:lang w:val="en-US" w:eastAsia="zh-CN" w:bidi="ar-SA"/>
                    </w:rPr>
                    <w:t>实施低挥发性有机物(</w:t>
                  </w:r>
                  <w:r>
                    <w:rPr>
                      <w:rFonts w:hint="default" w:ascii="Times New Roman" w:hAnsi="Times New Roman" w:eastAsia="宋体" w:cs="Times New Roman"/>
                      <w:b w:val="0"/>
                      <w:bCs/>
                      <w:color w:val="000000"/>
                      <w:kern w:val="2"/>
                      <w:sz w:val="21"/>
                      <w:szCs w:val="21"/>
                      <w:highlight w:val="none"/>
                      <w:lang w:val="en-US" w:eastAsia="zh-CN" w:bidi="ar-SA"/>
                    </w:rPr>
                    <w:t>VOCs</w:t>
                  </w:r>
                  <w:r>
                    <w:rPr>
                      <w:rFonts w:hint="eastAsia" w:ascii="宋体" w:hAnsi="宋体" w:eastAsia="宋体" w:cs="宋体"/>
                      <w:b w:val="0"/>
                      <w:bCs/>
                      <w:color w:val="000000"/>
                      <w:kern w:val="2"/>
                      <w:sz w:val="21"/>
                      <w:szCs w:val="21"/>
                      <w:highlight w:val="none"/>
                      <w:lang w:val="en-US" w:eastAsia="zh-CN" w:bidi="ar-SA"/>
                    </w:rPr>
                    <w:t>)含量产品源头替代工程。全面加强无组织排放控制，深入实施精细化治理。推进溶剂使用及挥发性有机液体储运销环节的减排，全过程实施反应活性物质、有毒有害物质、恶臭物质的协同控制。对</w:t>
                  </w:r>
                  <w:r>
                    <w:rPr>
                      <w:rFonts w:hint="eastAsia" w:ascii="Times New Roman" w:hAnsi="Times New Roman" w:eastAsia="宋体" w:cs="Times New Roman"/>
                      <w:b w:val="0"/>
                      <w:bCs/>
                      <w:color w:val="000000"/>
                      <w:kern w:val="2"/>
                      <w:sz w:val="21"/>
                      <w:szCs w:val="21"/>
                      <w:highlight w:val="none"/>
                      <w:lang w:val="en-US" w:eastAsia="zh-CN" w:bidi="ar-SA"/>
                    </w:rPr>
                    <w:t>VOCs</w:t>
                  </w:r>
                  <w:r>
                    <w:rPr>
                      <w:rFonts w:hint="eastAsia" w:ascii="宋体" w:hAnsi="宋体" w:eastAsia="宋体" w:cs="宋体"/>
                      <w:b w:val="0"/>
                      <w:bCs/>
                      <w:color w:val="000000"/>
                      <w:kern w:val="2"/>
                      <w:sz w:val="21"/>
                      <w:szCs w:val="21"/>
                      <w:highlight w:val="none"/>
                      <w:lang w:val="en-US" w:eastAsia="zh-CN" w:bidi="ar-SA"/>
                    </w:rPr>
                    <w:t>重点企业实施分级和清单化管控，将全面使用低</w:t>
                  </w:r>
                  <w:r>
                    <w:rPr>
                      <w:rFonts w:hint="default" w:ascii="Times New Roman" w:hAnsi="Times New Roman" w:eastAsia="宋体" w:cs="Times New Roman"/>
                      <w:b w:val="0"/>
                      <w:bCs/>
                      <w:color w:val="000000"/>
                      <w:kern w:val="2"/>
                      <w:sz w:val="21"/>
                      <w:szCs w:val="21"/>
                      <w:highlight w:val="none"/>
                      <w:lang w:val="en-US" w:eastAsia="zh-CN" w:bidi="ar-SA"/>
                    </w:rPr>
                    <w:t>VOCs</w:t>
                  </w:r>
                  <w:r>
                    <w:rPr>
                      <w:rFonts w:hint="eastAsia" w:ascii="宋体" w:hAnsi="宋体" w:eastAsia="宋体" w:cs="宋体"/>
                      <w:b w:val="0"/>
                      <w:bCs/>
                      <w:color w:val="000000"/>
                      <w:kern w:val="2"/>
                      <w:sz w:val="21"/>
                      <w:szCs w:val="21"/>
                      <w:highlight w:val="none"/>
                      <w:lang w:val="en-US" w:eastAsia="zh-CN" w:bidi="ar-SA"/>
                    </w:rPr>
                    <w:t>含量原辅材料的企业纳入正面清单和政府绿色采购清单。</w:t>
                  </w:r>
                </w:p>
              </w:tc>
              <w:tc>
                <w:tcPr>
                  <w:tcW w:w="1540" w:type="dxa"/>
                  <w:noWrap w:val="0"/>
                  <w:vAlign w:val="center"/>
                </w:tcPr>
                <w:p w14:paraId="05C4C740">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项目无需进行</w:t>
                  </w:r>
                  <w:r>
                    <w:rPr>
                      <w:rFonts w:hint="eastAsia" w:ascii="宋体" w:hAnsi="宋体" w:eastAsia="宋体" w:cs="宋体"/>
                      <w:b w:val="0"/>
                      <w:bCs/>
                      <w:color w:val="000000"/>
                      <w:kern w:val="2"/>
                      <w:sz w:val="21"/>
                      <w:szCs w:val="21"/>
                      <w:highlight w:val="none"/>
                      <w:lang w:val="en-US" w:eastAsia="zh-CN" w:bidi="ar-SA"/>
                    </w:rPr>
                    <w:t>挥发性有机物</w:t>
                  </w:r>
                  <w:r>
                    <w:rPr>
                      <w:rFonts w:hint="eastAsia"/>
                      <w:color w:val="auto"/>
                      <w:kern w:val="0"/>
                      <w:szCs w:val="21"/>
                      <w:highlight w:val="none"/>
                    </w:rPr>
                    <w:t>等量替代</w:t>
                  </w:r>
                  <w:r>
                    <w:rPr>
                      <w:rFonts w:hint="eastAsia" w:ascii="宋体" w:hAnsi="宋体" w:eastAsia="宋体" w:cs="宋体"/>
                      <w:color w:val="000000"/>
                      <w:kern w:val="0"/>
                      <w:sz w:val="21"/>
                      <w:szCs w:val="21"/>
                      <w:highlight w:val="none"/>
                      <w:lang w:val="en-US" w:eastAsia="zh-CN"/>
                    </w:rPr>
                    <w:t>。</w:t>
                  </w:r>
                </w:p>
              </w:tc>
              <w:tc>
                <w:tcPr>
                  <w:tcW w:w="830" w:type="dxa"/>
                  <w:noWrap w:val="0"/>
                  <w:vAlign w:val="center"/>
                </w:tcPr>
                <w:p w14:paraId="4CD31E0B">
                  <w:pPr>
                    <w:widowControl/>
                    <w:jc w:val="center"/>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lang w:val="en-US" w:eastAsia="zh-CN"/>
                    </w:rPr>
                    <w:t>符合</w:t>
                  </w:r>
                </w:p>
              </w:tc>
            </w:tr>
            <w:tr w14:paraId="6295F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56" w:hRule="atLeast"/>
                <w:tblHeader/>
                <w:jc w:val="center"/>
              </w:trPr>
              <w:tc>
                <w:tcPr>
                  <w:tcW w:w="565" w:type="dxa"/>
                  <w:vMerge w:val="continue"/>
                  <w:noWrap w:val="0"/>
                  <w:vAlign w:val="center"/>
                </w:tcPr>
                <w:p w14:paraId="0F4418A0">
                  <w:pPr>
                    <w:jc w:val="center"/>
                    <w:rPr>
                      <w:rFonts w:hint="eastAsia" w:ascii="宋体" w:hAnsi="宋体" w:eastAsia="宋体" w:cs="宋体"/>
                      <w:b/>
                      <w:color w:val="000000"/>
                      <w:sz w:val="21"/>
                      <w:szCs w:val="21"/>
                      <w:highlight w:val="none"/>
                    </w:rPr>
                  </w:pPr>
                </w:p>
              </w:tc>
              <w:tc>
                <w:tcPr>
                  <w:tcW w:w="3924" w:type="dxa"/>
                  <w:noWrap w:val="0"/>
                  <w:vAlign w:val="center"/>
                </w:tcPr>
                <w:p w14:paraId="2BDD902A">
                  <w:pPr>
                    <w:pStyle w:val="7"/>
                    <w:spacing w:before="0" w:after="0" w:line="240" w:lineRule="auto"/>
                    <w:jc w:val="left"/>
                    <w:rPr>
                      <w:rFonts w:hint="eastAsia" w:ascii="宋体" w:hAnsi="宋体" w:eastAsia="宋体" w:cs="宋体"/>
                      <w:b w:val="0"/>
                      <w:bCs/>
                      <w:color w:val="000000"/>
                      <w:kern w:val="2"/>
                      <w:sz w:val="21"/>
                      <w:szCs w:val="21"/>
                      <w:highlight w:val="none"/>
                      <w:lang w:val="en-US" w:eastAsia="zh-CN" w:bidi="ar-SA"/>
                    </w:rPr>
                  </w:pPr>
                  <w:r>
                    <w:rPr>
                      <w:rFonts w:hint="eastAsia" w:ascii="宋体" w:hAnsi="宋体" w:eastAsia="宋体" w:cs="宋体"/>
                      <w:b w:val="0"/>
                      <w:bCs/>
                      <w:color w:val="000000"/>
                      <w:kern w:val="2"/>
                      <w:sz w:val="21"/>
                      <w:szCs w:val="21"/>
                      <w:highlight w:val="none"/>
                      <w:lang w:val="en-US" w:eastAsia="zh-CN" w:bidi="ar-SA"/>
                    </w:rPr>
                    <w:t>北江流域实行重金属污染物排放总量控制。新建、改建、扩建的项目严格实行重金属等特征污染物排放减量替代。加强“三矿两厂”等日常监督，在重点防控区域内新建、改建、扩建增加重金属污染物排放总量的建设项目应通过实施区域削减，实现增产减污。凡口铅锌矿及其周边区域（仁化县董塘镇）、大宝山矿及其周边区域（曲江区沙溪镇、翁源县铁龙镇）严格执行部分重金属水污染物特别排放限值的相关规定。</w:t>
                  </w:r>
                </w:p>
              </w:tc>
              <w:tc>
                <w:tcPr>
                  <w:tcW w:w="1540" w:type="dxa"/>
                  <w:noWrap w:val="0"/>
                  <w:vAlign w:val="center"/>
                </w:tcPr>
                <w:p w14:paraId="0F1BD043">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lang w:val="en-US" w:eastAsia="zh-CN"/>
                    </w:rPr>
                    <w:t>本项目不涉及重金属</w:t>
                  </w:r>
                  <w:r>
                    <w:rPr>
                      <w:rFonts w:hint="eastAsia" w:ascii="宋体" w:hAnsi="宋体" w:eastAsia="宋体" w:cs="宋体"/>
                      <w:b w:val="0"/>
                      <w:bCs/>
                      <w:color w:val="000000"/>
                      <w:kern w:val="2"/>
                      <w:sz w:val="21"/>
                      <w:szCs w:val="21"/>
                      <w:highlight w:val="none"/>
                      <w:lang w:val="en-US" w:eastAsia="zh-CN" w:bidi="ar-SA"/>
                    </w:rPr>
                    <w:t>污染物</w:t>
                  </w:r>
                  <w:r>
                    <w:rPr>
                      <w:rFonts w:hint="eastAsia" w:ascii="宋体" w:hAnsi="宋体" w:eastAsia="宋体" w:cs="宋体"/>
                      <w:color w:val="000000"/>
                      <w:kern w:val="0"/>
                      <w:sz w:val="21"/>
                      <w:szCs w:val="21"/>
                      <w:highlight w:val="none"/>
                      <w:lang w:val="en-US" w:eastAsia="zh-CN"/>
                    </w:rPr>
                    <w:t>排放。</w:t>
                  </w:r>
                </w:p>
              </w:tc>
              <w:tc>
                <w:tcPr>
                  <w:tcW w:w="830" w:type="dxa"/>
                  <w:noWrap w:val="0"/>
                  <w:vAlign w:val="center"/>
                </w:tcPr>
                <w:p w14:paraId="33410A39">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lang w:val="en-US" w:eastAsia="zh-CN"/>
                    </w:rPr>
                    <w:t>符合</w:t>
                  </w:r>
                </w:p>
              </w:tc>
            </w:tr>
            <w:tr w14:paraId="127B4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30" w:hRule="atLeast"/>
                <w:tblHeader/>
                <w:jc w:val="center"/>
              </w:trPr>
              <w:tc>
                <w:tcPr>
                  <w:tcW w:w="565" w:type="dxa"/>
                  <w:vMerge w:val="continue"/>
                  <w:noWrap w:val="0"/>
                  <w:vAlign w:val="center"/>
                </w:tcPr>
                <w:p w14:paraId="2D11E604">
                  <w:pPr>
                    <w:jc w:val="center"/>
                    <w:rPr>
                      <w:rFonts w:hint="eastAsia" w:ascii="宋体" w:hAnsi="宋体" w:eastAsia="宋体" w:cs="宋体"/>
                      <w:b/>
                      <w:color w:val="000000"/>
                      <w:sz w:val="21"/>
                      <w:szCs w:val="21"/>
                      <w:highlight w:val="none"/>
                    </w:rPr>
                  </w:pPr>
                </w:p>
              </w:tc>
              <w:tc>
                <w:tcPr>
                  <w:tcW w:w="3924" w:type="dxa"/>
                  <w:noWrap w:val="0"/>
                  <w:vAlign w:val="center"/>
                </w:tcPr>
                <w:p w14:paraId="239EF539">
                  <w:pPr>
                    <w:pStyle w:val="7"/>
                    <w:spacing w:before="0" w:after="0" w:line="240" w:lineRule="auto"/>
                    <w:jc w:val="left"/>
                    <w:rPr>
                      <w:rFonts w:hint="eastAsia" w:ascii="宋体" w:hAnsi="宋体" w:eastAsia="宋体" w:cs="宋体"/>
                      <w:b w:val="0"/>
                      <w:bCs/>
                      <w:color w:val="000000"/>
                      <w:kern w:val="2"/>
                      <w:sz w:val="21"/>
                      <w:szCs w:val="21"/>
                      <w:highlight w:val="none"/>
                      <w:lang w:val="en-US" w:eastAsia="zh-CN" w:bidi="ar-SA"/>
                    </w:rPr>
                  </w:pPr>
                  <w:r>
                    <w:rPr>
                      <w:rFonts w:hint="eastAsia" w:ascii="宋体" w:hAnsi="宋体" w:eastAsia="宋体" w:cs="宋体"/>
                      <w:b w:val="0"/>
                      <w:bCs/>
                      <w:color w:val="000000"/>
                      <w:kern w:val="2"/>
                      <w:sz w:val="21"/>
                      <w:szCs w:val="21"/>
                      <w:highlight w:val="none"/>
                      <w:lang w:val="en-US" w:eastAsia="zh-CN" w:bidi="ar-SA"/>
                    </w:rPr>
                    <w:t>饮用水水源保护区全面加强水源涵养，强化源头控制，禁止新建排污口，严格防范水源污染风险，切实保障饮用水安全，一级保护区内禁止新建、改建、扩建与供水设施和保护水源无关的建设项目；二级保护区内禁止新建、改建、扩建排放污染物的建设项目。饮用水水源准保护区内禁止新建、扩建对水体污染严重的建设项目。</w:t>
                  </w:r>
                </w:p>
              </w:tc>
              <w:tc>
                <w:tcPr>
                  <w:tcW w:w="1540" w:type="dxa"/>
                  <w:noWrap w:val="0"/>
                  <w:vAlign w:val="center"/>
                </w:tcPr>
                <w:p w14:paraId="72FE51B0">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lang w:val="en-US" w:eastAsia="zh-CN"/>
                    </w:rPr>
                    <w:t>本项目不涉及</w:t>
                  </w:r>
                  <w:r>
                    <w:rPr>
                      <w:rFonts w:hint="eastAsia" w:ascii="宋体" w:hAnsi="宋体" w:eastAsia="宋体" w:cs="宋体"/>
                      <w:b w:val="0"/>
                      <w:bCs/>
                      <w:color w:val="000000"/>
                      <w:kern w:val="2"/>
                      <w:sz w:val="21"/>
                      <w:szCs w:val="21"/>
                      <w:highlight w:val="none"/>
                      <w:lang w:val="en-US" w:eastAsia="zh-CN" w:bidi="ar-SA"/>
                    </w:rPr>
                    <w:t>饮用水水源保护区</w:t>
                  </w:r>
                  <w:r>
                    <w:rPr>
                      <w:rFonts w:hint="eastAsia" w:ascii="宋体" w:hAnsi="宋体" w:eastAsia="宋体" w:cs="宋体"/>
                      <w:color w:val="000000"/>
                      <w:kern w:val="0"/>
                      <w:sz w:val="21"/>
                      <w:szCs w:val="21"/>
                      <w:highlight w:val="none"/>
                      <w:lang w:val="en-US" w:eastAsia="zh-CN"/>
                    </w:rPr>
                    <w:t>。</w:t>
                  </w:r>
                </w:p>
              </w:tc>
              <w:tc>
                <w:tcPr>
                  <w:tcW w:w="830" w:type="dxa"/>
                  <w:noWrap w:val="0"/>
                  <w:vAlign w:val="center"/>
                </w:tcPr>
                <w:p w14:paraId="41FB20AF">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lang w:val="en-US" w:eastAsia="zh-CN"/>
                    </w:rPr>
                    <w:t>符合</w:t>
                  </w:r>
                </w:p>
              </w:tc>
            </w:tr>
            <w:tr w14:paraId="19689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06" w:hRule="atLeast"/>
                <w:tblHeader/>
                <w:jc w:val="center"/>
              </w:trPr>
              <w:tc>
                <w:tcPr>
                  <w:tcW w:w="565" w:type="dxa"/>
                  <w:vMerge w:val="continue"/>
                  <w:noWrap w:val="0"/>
                  <w:vAlign w:val="center"/>
                </w:tcPr>
                <w:p w14:paraId="46CE22BF">
                  <w:pPr>
                    <w:jc w:val="center"/>
                    <w:rPr>
                      <w:rFonts w:hint="eastAsia" w:ascii="宋体" w:hAnsi="宋体" w:eastAsia="宋体" w:cs="宋体"/>
                      <w:b/>
                      <w:color w:val="000000"/>
                      <w:sz w:val="21"/>
                      <w:szCs w:val="21"/>
                      <w:highlight w:val="none"/>
                    </w:rPr>
                  </w:pPr>
                </w:p>
              </w:tc>
              <w:tc>
                <w:tcPr>
                  <w:tcW w:w="3924" w:type="dxa"/>
                  <w:noWrap w:val="0"/>
                  <w:vAlign w:val="center"/>
                </w:tcPr>
                <w:p w14:paraId="24C186DF">
                  <w:pPr>
                    <w:pStyle w:val="7"/>
                    <w:spacing w:before="0" w:after="0" w:line="240" w:lineRule="auto"/>
                    <w:jc w:val="left"/>
                    <w:rPr>
                      <w:rFonts w:hint="eastAsia" w:ascii="宋体" w:hAnsi="宋体" w:eastAsia="宋体" w:cs="宋体"/>
                      <w:b w:val="0"/>
                      <w:bCs/>
                      <w:color w:val="000000"/>
                      <w:kern w:val="2"/>
                      <w:sz w:val="21"/>
                      <w:szCs w:val="21"/>
                      <w:highlight w:val="none"/>
                      <w:lang w:val="en-US" w:eastAsia="zh-CN" w:bidi="ar-SA"/>
                    </w:rPr>
                  </w:pPr>
                  <w:r>
                    <w:rPr>
                      <w:rFonts w:hint="eastAsia" w:ascii="宋体" w:hAnsi="宋体" w:eastAsia="宋体" w:cs="宋体"/>
                      <w:b w:val="0"/>
                      <w:bCs/>
                      <w:color w:val="000000"/>
                      <w:kern w:val="2"/>
                      <w:sz w:val="21"/>
                      <w:szCs w:val="21"/>
                      <w:highlight w:val="none"/>
                      <w:lang w:val="en-US" w:eastAsia="zh-CN" w:bidi="ar-SA"/>
                    </w:rPr>
                    <w:t>完善污水处理厂配套管网建设，切实提高运行负荷。强化城中村、老旧城区和城乡结合部污水截流、收集。现有合流制排水系统应加快实施雨污分流改造，加快镇级生活污水处理设施及配套管网建设，因地制宜建设农村生活污水处理设施。加强农业面源污染治理，实施种植业“肥药双控”；严格禁养区管理，加强养殖污染防治，加强畜禽养殖废弃物资源化利用。</w:t>
                  </w:r>
                </w:p>
              </w:tc>
              <w:tc>
                <w:tcPr>
                  <w:tcW w:w="1540" w:type="dxa"/>
                  <w:noWrap w:val="0"/>
                  <w:vAlign w:val="center"/>
                </w:tcPr>
                <w:p w14:paraId="47010850">
                  <w:pPr>
                    <w:widowControl/>
                    <w:jc w:val="center"/>
                    <w:rPr>
                      <w:rFonts w:hint="eastAsia" w:ascii="宋体" w:hAnsi="宋体" w:eastAsia="宋体" w:cs="宋体"/>
                      <w:color w:val="000000"/>
                      <w:kern w:val="0"/>
                      <w:sz w:val="21"/>
                      <w:szCs w:val="21"/>
                      <w:highlight w:val="none"/>
                    </w:rPr>
                  </w:pPr>
                  <w:r>
                    <w:rPr>
                      <w:rFonts w:hint="eastAsia" w:ascii="宋体" w:hAnsi="宋体" w:eastAsia="宋体" w:cs="宋体"/>
                      <w:b w:val="0"/>
                      <w:bCs/>
                      <w:color w:val="000000"/>
                      <w:kern w:val="2"/>
                      <w:sz w:val="21"/>
                      <w:szCs w:val="21"/>
                      <w:highlight w:val="none"/>
                      <w:lang w:val="en-US" w:eastAsia="zh-CN" w:bidi="ar-SA"/>
                    </w:rPr>
                    <w:t>本</w:t>
                  </w:r>
                  <w:r>
                    <w:rPr>
                      <w:rFonts w:hint="eastAsia" w:ascii="宋体" w:hAnsi="宋体" w:eastAsia="宋体" w:cs="宋体"/>
                      <w:color w:val="000000"/>
                      <w:kern w:val="0"/>
                      <w:sz w:val="21"/>
                      <w:szCs w:val="21"/>
                      <w:highlight w:val="none"/>
                      <w:lang w:val="en-US" w:eastAsia="zh-CN"/>
                    </w:rPr>
                    <w:t>项目</w:t>
                  </w:r>
                  <w:r>
                    <w:rPr>
                      <w:rFonts w:hint="eastAsia" w:ascii="宋体" w:hAnsi="宋体" w:eastAsia="宋体" w:cs="宋体"/>
                      <w:b w:val="0"/>
                      <w:bCs/>
                      <w:color w:val="000000"/>
                      <w:kern w:val="2"/>
                      <w:sz w:val="21"/>
                      <w:szCs w:val="21"/>
                      <w:highlight w:val="none"/>
                      <w:lang w:val="en-US" w:eastAsia="zh-CN" w:bidi="ar-SA"/>
                    </w:rPr>
                    <w:t>不涉及污水处理厂配套管网建设。</w:t>
                  </w:r>
                </w:p>
              </w:tc>
              <w:tc>
                <w:tcPr>
                  <w:tcW w:w="830" w:type="dxa"/>
                  <w:noWrap w:val="0"/>
                  <w:vAlign w:val="center"/>
                </w:tcPr>
                <w:p w14:paraId="222E654D">
                  <w:pPr>
                    <w:widowControl/>
                    <w:jc w:val="center"/>
                    <w:rPr>
                      <w:rFonts w:hint="eastAsia" w:ascii="宋体" w:hAnsi="宋体" w:eastAsia="宋体" w:cs="宋体"/>
                      <w:b w:val="0"/>
                      <w:bCs/>
                      <w:color w:val="000000"/>
                      <w:kern w:val="2"/>
                      <w:sz w:val="21"/>
                      <w:szCs w:val="21"/>
                      <w:highlight w:val="none"/>
                      <w:lang w:val="en-US" w:eastAsia="zh-CN" w:bidi="ar-SA"/>
                    </w:rPr>
                  </w:pPr>
                  <w:r>
                    <w:rPr>
                      <w:rFonts w:hint="eastAsia" w:ascii="宋体" w:hAnsi="宋体" w:eastAsia="宋体" w:cs="宋体"/>
                      <w:color w:val="000000"/>
                      <w:kern w:val="0"/>
                      <w:sz w:val="21"/>
                      <w:szCs w:val="21"/>
                      <w:highlight w:val="none"/>
                      <w:lang w:val="en-US" w:eastAsia="zh-CN"/>
                    </w:rPr>
                    <w:t>符合</w:t>
                  </w:r>
                </w:p>
              </w:tc>
            </w:tr>
            <w:tr w14:paraId="509E0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7" w:hRule="atLeast"/>
                <w:tblHeader/>
                <w:jc w:val="center"/>
              </w:trPr>
              <w:tc>
                <w:tcPr>
                  <w:tcW w:w="565" w:type="dxa"/>
                  <w:vMerge w:val="restart"/>
                  <w:noWrap w:val="0"/>
                  <w:vAlign w:val="center"/>
                </w:tcPr>
                <w:p w14:paraId="1A41CD37">
                  <w:pPr>
                    <w:jc w:val="center"/>
                    <w:rPr>
                      <w:rFonts w:hint="eastAsia" w:ascii="宋体" w:hAnsi="宋体" w:eastAsia="宋体" w:cs="宋体"/>
                      <w:b/>
                      <w:color w:val="000000"/>
                      <w:sz w:val="21"/>
                      <w:szCs w:val="21"/>
                      <w:highlight w:val="none"/>
                    </w:rPr>
                  </w:pPr>
                  <w:r>
                    <w:rPr>
                      <w:rFonts w:hint="eastAsia" w:ascii="宋体" w:hAnsi="宋体" w:eastAsia="宋体" w:cs="宋体"/>
                      <w:b w:val="0"/>
                      <w:bCs/>
                      <w:color w:val="000000"/>
                      <w:kern w:val="2"/>
                      <w:sz w:val="21"/>
                      <w:szCs w:val="21"/>
                      <w:highlight w:val="none"/>
                      <w:lang w:val="en-US" w:eastAsia="zh-CN" w:bidi="ar-SA"/>
                    </w:rPr>
                    <w:t>环境风险防控要求</w:t>
                  </w:r>
                </w:p>
              </w:tc>
              <w:tc>
                <w:tcPr>
                  <w:tcW w:w="3924" w:type="dxa"/>
                  <w:tcBorders>
                    <w:bottom w:val="single" w:color="auto" w:sz="4" w:space="0"/>
                  </w:tcBorders>
                  <w:noWrap w:val="0"/>
                  <w:vAlign w:val="center"/>
                </w:tcPr>
                <w:p w14:paraId="3003741F">
                  <w:pPr>
                    <w:pStyle w:val="7"/>
                    <w:spacing w:before="0" w:after="0" w:line="240" w:lineRule="auto"/>
                    <w:jc w:val="left"/>
                    <w:rPr>
                      <w:rFonts w:hint="eastAsia" w:ascii="宋体" w:hAnsi="宋体" w:eastAsia="宋体" w:cs="宋体"/>
                      <w:b w:val="0"/>
                      <w:bCs/>
                      <w:color w:val="000000"/>
                      <w:kern w:val="2"/>
                      <w:sz w:val="21"/>
                      <w:szCs w:val="21"/>
                      <w:highlight w:val="none"/>
                      <w:lang w:val="en-US" w:eastAsia="zh-CN" w:bidi="ar-SA"/>
                    </w:rPr>
                  </w:pPr>
                  <w:r>
                    <w:rPr>
                      <w:rFonts w:hint="eastAsia" w:ascii="宋体" w:hAnsi="宋体" w:eastAsia="宋体" w:cs="宋体"/>
                      <w:b w:val="0"/>
                      <w:bCs/>
                      <w:color w:val="000000"/>
                      <w:kern w:val="2"/>
                      <w:sz w:val="21"/>
                      <w:szCs w:val="21"/>
                      <w:highlight w:val="none"/>
                      <w:lang w:val="en-US" w:eastAsia="zh-CN" w:bidi="ar-SA"/>
                    </w:rPr>
                    <w:t>加强北江、东江干流沿岸以及饮用水水源地环境风险防控。严格控制沿岸石油加工、化学原料和化学制品制造、有色金属冶炼、纺织印染等项目环境风险。强化地表水、地下水和土壤污染风险协同防控，建立完善突发环境事件应急管理体系，全面排查“千吨万人”饮用水水源地周边环境问题并及时开展专项整治，保障饮用水水源地安全。重点加强环境风险分级分类管控，建立全市环境风险源在线监控预警系统，强化化工企业、涉重金属行业、工业园区和尾矿库等重点环境风险源的环境风险防控。构建企业、园区和区域三级环境风险防控联动体系，增强园区风险防控能力。园区管理机构应定期开展环境风险评估，编制完善综合环境应急预案并备案，整合应急资源，储备环境应急物资及装备，定期组织开展应急演练，全面提升园区突发环境事件应急处理能力。</w:t>
                  </w:r>
                </w:p>
              </w:tc>
              <w:tc>
                <w:tcPr>
                  <w:tcW w:w="1540" w:type="dxa"/>
                  <w:tcBorders>
                    <w:bottom w:val="single" w:color="auto" w:sz="4" w:space="0"/>
                  </w:tcBorders>
                  <w:noWrap w:val="0"/>
                  <w:vAlign w:val="center"/>
                </w:tcPr>
                <w:p w14:paraId="7938EC92">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lang w:val="en-US" w:eastAsia="zh-CN"/>
                    </w:rPr>
                    <w:t>本项目不属于石油加工、化学原料和化学制品制造、有色金属冶炼、纺织印染等环境风险项目，不属于化工企业、不涉及重金属行业、工业园区和尾矿库。</w:t>
                  </w:r>
                </w:p>
              </w:tc>
              <w:tc>
                <w:tcPr>
                  <w:tcW w:w="830" w:type="dxa"/>
                  <w:tcBorders>
                    <w:bottom w:val="nil"/>
                  </w:tcBorders>
                  <w:noWrap w:val="0"/>
                  <w:vAlign w:val="center"/>
                </w:tcPr>
                <w:p w14:paraId="7CE5BC1D">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lang w:val="en-US" w:eastAsia="zh-CN"/>
                    </w:rPr>
                    <w:t>符合</w:t>
                  </w:r>
                </w:p>
              </w:tc>
            </w:tr>
            <w:tr w14:paraId="3F1EF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36" w:hRule="atLeast"/>
                <w:tblHeader/>
                <w:jc w:val="center"/>
              </w:trPr>
              <w:tc>
                <w:tcPr>
                  <w:tcW w:w="565" w:type="dxa"/>
                  <w:vMerge w:val="continue"/>
                  <w:tcBorders>
                    <w:right w:val="single" w:color="auto" w:sz="4" w:space="0"/>
                  </w:tcBorders>
                  <w:noWrap w:val="0"/>
                  <w:vAlign w:val="center"/>
                </w:tcPr>
                <w:p w14:paraId="1724C6DF">
                  <w:pPr>
                    <w:jc w:val="center"/>
                    <w:rPr>
                      <w:rFonts w:hint="eastAsia" w:ascii="宋体" w:hAnsi="宋体" w:eastAsia="宋体" w:cs="宋体"/>
                      <w:b/>
                      <w:color w:val="000000"/>
                      <w:sz w:val="21"/>
                      <w:szCs w:val="21"/>
                      <w:highlight w:val="none"/>
                    </w:rPr>
                  </w:pPr>
                </w:p>
              </w:tc>
              <w:tc>
                <w:tcPr>
                  <w:tcW w:w="3924" w:type="dxa"/>
                  <w:tcBorders>
                    <w:top w:val="single" w:color="auto" w:sz="4" w:space="0"/>
                    <w:left w:val="single" w:color="auto" w:sz="4" w:space="0"/>
                    <w:bottom w:val="single" w:color="auto" w:sz="4" w:space="0"/>
                  </w:tcBorders>
                  <w:shd w:val="clear" w:color="auto" w:fill="auto"/>
                  <w:noWrap w:val="0"/>
                  <w:vAlign w:val="center"/>
                </w:tcPr>
                <w:p w14:paraId="0F4332E6">
                  <w:pPr>
                    <w:pStyle w:val="7"/>
                    <w:spacing w:before="0" w:after="0" w:line="240" w:lineRule="auto"/>
                    <w:jc w:val="left"/>
                    <w:rPr>
                      <w:rFonts w:hint="eastAsia" w:ascii="宋体" w:hAnsi="宋体" w:eastAsia="宋体" w:cs="宋体"/>
                      <w:b w:val="0"/>
                      <w:bCs/>
                      <w:color w:val="000000"/>
                      <w:kern w:val="2"/>
                      <w:sz w:val="21"/>
                      <w:szCs w:val="21"/>
                      <w:highlight w:val="none"/>
                      <w:lang w:val="en-US" w:eastAsia="zh-CN" w:bidi="ar-SA"/>
                    </w:rPr>
                  </w:pPr>
                  <w:r>
                    <w:rPr>
                      <w:rFonts w:hint="eastAsia" w:ascii="宋体" w:hAnsi="宋体" w:eastAsia="宋体" w:cs="宋体"/>
                      <w:b w:val="0"/>
                      <w:bCs/>
                      <w:color w:val="000000"/>
                      <w:kern w:val="2"/>
                      <w:sz w:val="21"/>
                      <w:szCs w:val="21"/>
                      <w:highlight w:val="none"/>
                      <w:lang w:val="en-US" w:eastAsia="zh-CN" w:bidi="ar-SA"/>
                    </w:rPr>
                    <w:t>持续推进土壤环境风险管控工作。实行农用地分类分级安全利用，有效提升农用地土地资源开发利用率，依法划定特定农作物禁止种植区域，严格按照耕地土壤环境质量类别划分成果对耕地实施安全利用，防范农产品重金属含量超标风险。加强建设用地准入管理，规范受污染建设用地地块再开发。加强尾矿库的环境风险排查与防范。加强金属矿采选、金属冶炼企业的重金属污染风险防控。强化选矿废水治理设施的升级改造，选矿废水原则上回用不外排。全力避免因各类安全事故（事件）引发的次生环境风险事故（事件）。</w:t>
                  </w:r>
                </w:p>
              </w:tc>
              <w:tc>
                <w:tcPr>
                  <w:tcW w:w="1540" w:type="dxa"/>
                  <w:tcBorders>
                    <w:top w:val="single" w:color="auto" w:sz="4" w:space="0"/>
                    <w:bottom w:val="single" w:color="auto" w:sz="4" w:space="0"/>
                  </w:tcBorders>
                  <w:shd w:val="clear" w:color="auto" w:fill="auto"/>
                  <w:noWrap w:val="0"/>
                  <w:vAlign w:val="center"/>
                </w:tcPr>
                <w:p w14:paraId="1015B958">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rPr>
                    <w:t>本</w:t>
                  </w:r>
                  <w:r>
                    <w:rPr>
                      <w:rFonts w:hint="eastAsia" w:ascii="宋体" w:hAnsi="宋体" w:cs="宋体"/>
                      <w:color w:val="000000"/>
                      <w:kern w:val="0"/>
                      <w:sz w:val="21"/>
                      <w:szCs w:val="21"/>
                      <w:highlight w:val="none"/>
                      <w:lang w:val="en-US" w:eastAsia="zh-CN"/>
                    </w:rPr>
                    <w:t>项目选址厂房地面均实现硬底化，对土壤环境的影响轻微</w:t>
                  </w:r>
                  <w:r>
                    <w:rPr>
                      <w:rFonts w:hint="eastAsia"/>
                      <w:highlight w:val="none"/>
                      <w:lang w:eastAsia="zh-CN"/>
                    </w:rPr>
                    <w:t>，</w:t>
                  </w:r>
                  <w:r>
                    <w:rPr>
                      <w:rFonts w:hint="eastAsia" w:ascii="宋体" w:hAnsi="宋体" w:eastAsia="宋体" w:cs="宋体"/>
                      <w:color w:val="000000"/>
                      <w:kern w:val="0"/>
                      <w:sz w:val="21"/>
                      <w:szCs w:val="21"/>
                      <w:highlight w:val="none"/>
                      <w:lang w:val="en-US" w:eastAsia="zh-CN"/>
                    </w:rPr>
                    <w:t>不属于</w:t>
                  </w:r>
                  <w:r>
                    <w:rPr>
                      <w:rFonts w:hint="eastAsia" w:ascii="宋体" w:hAnsi="宋体" w:eastAsia="宋体" w:cs="宋体"/>
                      <w:b w:val="0"/>
                      <w:bCs/>
                      <w:color w:val="000000"/>
                      <w:kern w:val="2"/>
                      <w:sz w:val="21"/>
                      <w:szCs w:val="21"/>
                      <w:highlight w:val="none"/>
                      <w:lang w:val="en-US" w:eastAsia="zh-CN" w:bidi="ar-SA"/>
                    </w:rPr>
                    <w:t>土壤环境风险项目，不涉及重金属排放，不属于金属矿采选、金属冶炼企业</w:t>
                  </w:r>
                </w:p>
              </w:tc>
              <w:tc>
                <w:tcPr>
                  <w:tcW w:w="830" w:type="dxa"/>
                  <w:tcBorders>
                    <w:top w:val="nil"/>
                    <w:bottom w:val="nil"/>
                    <w:right w:val="nil"/>
                  </w:tcBorders>
                  <w:shd w:val="clear" w:color="auto" w:fill="auto"/>
                  <w:noWrap w:val="0"/>
                  <w:vAlign w:val="center"/>
                </w:tcPr>
                <w:p w14:paraId="65E104F8">
                  <w:pPr>
                    <w:widowControl/>
                    <w:jc w:val="center"/>
                    <w:rPr>
                      <w:rFonts w:hint="eastAsia" w:ascii="宋体" w:hAnsi="宋体" w:eastAsia="宋体" w:cs="宋体"/>
                      <w:color w:val="000000"/>
                      <w:kern w:val="0"/>
                      <w:sz w:val="21"/>
                      <w:szCs w:val="21"/>
                      <w:highlight w:val="none"/>
                      <w:lang w:val="en-US" w:eastAsia="zh-CN"/>
                    </w:rPr>
                  </w:pPr>
                  <w:r>
                    <w:rPr>
                      <w:rFonts w:hint="eastAsia" w:ascii="宋体" w:hAnsi="宋体" w:eastAsia="宋体" w:cs="宋体"/>
                      <w:color w:val="000000"/>
                      <w:kern w:val="0"/>
                      <w:sz w:val="21"/>
                      <w:szCs w:val="21"/>
                      <w:highlight w:val="none"/>
                      <w:lang w:val="en-US" w:eastAsia="zh-CN"/>
                    </w:rPr>
                    <w:t>符合</w:t>
                  </w:r>
                </w:p>
              </w:tc>
            </w:tr>
          </w:tbl>
          <w:p w14:paraId="59F3F4E8">
            <w:pPr>
              <w:pStyle w:val="109"/>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jc w:val="both"/>
              <w:textAlignment w:val="auto"/>
              <w:rPr>
                <w:rFonts w:hint="eastAsia"/>
                <w:b w:val="0"/>
                <w:bCs/>
                <w:color w:val="000000"/>
                <w:kern w:val="0"/>
                <w:sz w:val="24"/>
                <w:szCs w:val="21"/>
                <w:highlight w:val="none"/>
              </w:rPr>
            </w:pPr>
            <w:r>
              <w:rPr>
                <w:rFonts w:hint="eastAsia"/>
                <w:b w:val="0"/>
                <w:bCs/>
                <w:color w:val="000000"/>
                <w:kern w:val="0"/>
                <w:sz w:val="24"/>
                <w:szCs w:val="21"/>
                <w:highlight w:val="none"/>
              </w:rPr>
              <w:t>由表</w:t>
            </w:r>
            <w:r>
              <w:rPr>
                <w:rFonts w:hint="default" w:ascii="Times New Roman" w:hAnsi="Times New Roman" w:cs="Times New Roman"/>
                <w:b w:val="0"/>
                <w:bCs/>
                <w:color w:val="000000"/>
                <w:kern w:val="0"/>
                <w:sz w:val="24"/>
                <w:szCs w:val="21"/>
                <w:highlight w:val="none"/>
              </w:rPr>
              <w:t>1</w:t>
            </w:r>
            <w:r>
              <w:rPr>
                <w:rFonts w:hint="eastAsia" w:ascii="Times New Roman" w:hAnsi="Times New Roman" w:cs="Times New Roman"/>
                <w:b w:val="0"/>
                <w:bCs/>
                <w:color w:val="000000"/>
                <w:kern w:val="0"/>
                <w:sz w:val="24"/>
                <w:szCs w:val="21"/>
                <w:highlight w:val="none"/>
                <w:lang w:val="en-US" w:eastAsia="zh-CN"/>
              </w:rPr>
              <w:t>-1</w:t>
            </w:r>
            <w:r>
              <w:rPr>
                <w:rFonts w:hint="eastAsia"/>
                <w:b w:val="0"/>
                <w:bCs/>
                <w:color w:val="000000"/>
                <w:kern w:val="0"/>
                <w:sz w:val="24"/>
                <w:szCs w:val="21"/>
                <w:highlight w:val="none"/>
              </w:rPr>
              <w:t>可知，本项目符合全市总体管控要求。</w:t>
            </w:r>
          </w:p>
          <w:p w14:paraId="6425FE61">
            <w:pPr>
              <w:pStyle w:val="109"/>
              <w:bidi w:val="0"/>
              <w:spacing w:line="360" w:lineRule="auto"/>
              <w:ind w:firstLine="482" w:firstLineChars="200"/>
              <w:jc w:val="both"/>
              <w:rPr>
                <w:rFonts w:hint="default" w:ascii="Times New Roman" w:hAnsi="Times New Roman" w:eastAsia="宋体" w:cs="Times New Roman"/>
                <w:b w:val="0"/>
                <w:bCs/>
                <w:color w:val="000000"/>
                <w:highlight w:val="none"/>
                <w:lang w:val="en-US" w:eastAsia="zh-CN"/>
              </w:rPr>
            </w:pPr>
            <w:r>
              <w:rPr>
                <w:rFonts w:hint="eastAsia" w:ascii="Times New Roman" w:hAnsi="Times New Roman" w:cs="Times New Roman"/>
                <w:b/>
                <w:color w:val="000000"/>
                <w:kern w:val="0"/>
                <w:sz w:val="24"/>
                <w:szCs w:val="21"/>
                <w:highlight w:val="none"/>
                <w:lang w:val="en-US" w:eastAsia="zh-CN"/>
              </w:rPr>
              <w:t>4、</w:t>
            </w:r>
            <w:r>
              <w:rPr>
                <w:rFonts w:hint="eastAsia"/>
                <w:b/>
                <w:color w:val="000000"/>
                <w:kern w:val="0"/>
                <w:sz w:val="24"/>
                <w:szCs w:val="21"/>
                <w:highlight w:val="none"/>
              </w:rPr>
              <w:t>项目环境管控单元总体管控要求的相符性</w:t>
            </w:r>
          </w:p>
          <w:p w14:paraId="29648A80">
            <w:pPr>
              <w:pStyle w:val="10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 w:val="0"/>
                <w:bCs/>
                <w:color w:val="000000"/>
                <w:highlight w:val="none"/>
                <w:lang w:val="en-US" w:eastAsia="zh-CN"/>
              </w:rPr>
            </w:pPr>
            <w:r>
              <w:rPr>
                <w:rFonts w:hint="default" w:ascii="Times New Roman" w:hAnsi="Times New Roman" w:eastAsia="宋体" w:cs="Times New Roman"/>
                <w:b w:val="0"/>
                <w:bCs/>
                <w:color w:val="000000"/>
                <w:highlight w:val="none"/>
                <w:lang w:val="en-US" w:eastAsia="zh-CN"/>
              </w:rPr>
              <w:t>本项目位于</w:t>
            </w:r>
            <w:r>
              <w:rPr>
                <w:rFonts w:hint="eastAsia" w:ascii="Times New Roman" w:hAnsi="Times New Roman" w:cs="Times New Roman"/>
                <w:b w:val="0"/>
                <w:bCs/>
                <w:color w:val="000000"/>
                <w:highlight w:val="none"/>
                <w:lang w:val="en-US" w:eastAsia="zh-CN"/>
              </w:rPr>
              <w:t>乐昌市一般</w:t>
            </w:r>
            <w:r>
              <w:rPr>
                <w:rFonts w:hint="default" w:ascii="Times New Roman" w:hAnsi="Times New Roman" w:eastAsia="宋体" w:cs="Times New Roman"/>
                <w:b w:val="0"/>
                <w:bCs/>
                <w:color w:val="000000"/>
                <w:highlight w:val="none"/>
                <w:lang w:val="en-US" w:eastAsia="zh-CN"/>
              </w:rPr>
              <w:t>管控单元</w:t>
            </w:r>
            <w:r>
              <w:rPr>
                <w:rFonts w:hint="eastAsia" w:ascii="Times New Roman" w:hAnsi="Times New Roman" w:cs="Times New Roman"/>
                <w:b w:val="0"/>
                <w:bCs/>
                <w:color w:val="000000"/>
                <w:highlight w:val="none"/>
                <w:lang w:val="en-US" w:eastAsia="zh-CN"/>
              </w:rPr>
              <w:t>（环境管控单元编码：ZH44028130001）</w:t>
            </w:r>
            <w:r>
              <w:rPr>
                <w:rFonts w:hint="default" w:ascii="Times New Roman" w:hAnsi="Times New Roman" w:eastAsia="宋体" w:cs="Times New Roman"/>
                <w:b w:val="0"/>
                <w:bCs/>
                <w:color w:val="000000"/>
                <w:highlight w:val="none"/>
                <w:lang w:val="en-US" w:eastAsia="zh-CN"/>
              </w:rPr>
              <w:t>，</w:t>
            </w:r>
            <w:r>
              <w:rPr>
                <w:rFonts w:hint="default" w:ascii="Times New Roman" w:hAnsi="Times New Roman" w:cs="Times New Roman"/>
                <w:b w:val="0"/>
                <w:bCs/>
                <w:color w:val="000000"/>
                <w:highlight w:val="none"/>
                <w:lang w:val="en-US" w:eastAsia="zh-CN"/>
              </w:rPr>
              <w:t>总体管控要求</w:t>
            </w:r>
            <w:r>
              <w:rPr>
                <w:rFonts w:hint="eastAsia" w:ascii="Times New Roman" w:hAnsi="Times New Roman" w:cs="Times New Roman"/>
                <w:b w:val="0"/>
                <w:bCs/>
                <w:color w:val="000000"/>
                <w:highlight w:val="none"/>
                <w:lang w:val="en-US" w:eastAsia="zh-CN"/>
              </w:rPr>
              <w:t>见表1-2</w:t>
            </w:r>
            <w:r>
              <w:rPr>
                <w:rFonts w:hint="default" w:ascii="Times New Roman" w:hAnsi="Times New Roman" w:cs="Times New Roman"/>
                <w:b w:val="0"/>
                <w:bCs/>
                <w:color w:val="000000"/>
                <w:highlight w:val="none"/>
                <w:lang w:val="en-US" w:eastAsia="zh-CN"/>
              </w:rPr>
              <w:t>：</w:t>
            </w:r>
          </w:p>
          <w:p w14:paraId="4282226F">
            <w:pPr>
              <w:autoSpaceDE w:val="0"/>
              <w:autoSpaceDN w:val="0"/>
              <w:adjustRightInd w:val="0"/>
              <w:snapToGrid w:val="0"/>
              <w:spacing w:line="240" w:lineRule="auto"/>
              <w:jc w:val="center"/>
              <w:rPr>
                <w:b/>
                <w:color w:val="000000"/>
                <w:kern w:val="0"/>
                <w:sz w:val="24"/>
                <w:szCs w:val="21"/>
                <w:highlight w:val="none"/>
              </w:rPr>
            </w:pPr>
            <w:r>
              <w:rPr>
                <w:rFonts w:hint="eastAsia"/>
                <w:b/>
                <w:color w:val="000000"/>
                <w:kern w:val="0"/>
                <w:sz w:val="24"/>
                <w:szCs w:val="21"/>
                <w:highlight w:val="none"/>
              </w:rPr>
              <w:t>表</w:t>
            </w:r>
            <w:r>
              <w:rPr>
                <w:rFonts w:hint="eastAsia"/>
                <w:b/>
                <w:color w:val="000000"/>
                <w:kern w:val="0"/>
                <w:sz w:val="24"/>
                <w:szCs w:val="21"/>
                <w:highlight w:val="none"/>
                <w:lang w:val="en-US" w:eastAsia="zh-CN"/>
              </w:rPr>
              <w:t>1-2</w:t>
            </w:r>
            <w:r>
              <w:rPr>
                <w:rFonts w:hint="eastAsia"/>
                <w:b/>
                <w:color w:val="000000"/>
                <w:kern w:val="0"/>
                <w:sz w:val="24"/>
                <w:szCs w:val="21"/>
                <w:highlight w:val="none"/>
              </w:rPr>
              <w:t>管控单元要求相符性分析表</w:t>
            </w:r>
          </w:p>
          <w:tbl>
            <w:tblPr>
              <w:tblStyle w:val="67"/>
              <w:tblW w:w="67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8"/>
              <w:gridCol w:w="3694"/>
              <w:gridCol w:w="1792"/>
              <w:gridCol w:w="684"/>
            </w:tblGrid>
            <w:tr w14:paraId="4F624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4262" w:type="dxa"/>
                  <w:gridSpan w:val="2"/>
                  <w:noWrap w:val="0"/>
                  <w:vAlign w:val="center"/>
                </w:tcPr>
                <w:p w14:paraId="41F23A2A">
                  <w:pPr>
                    <w:widowControl/>
                    <w:jc w:val="center"/>
                    <w:rPr>
                      <w:rFonts w:hint="default" w:eastAsia="宋体"/>
                      <w:b/>
                      <w:bCs/>
                      <w:color w:val="000000"/>
                      <w:highlight w:val="none"/>
                      <w:lang w:val="en-US" w:eastAsia="zh-CN"/>
                    </w:rPr>
                  </w:pPr>
                  <w:r>
                    <w:rPr>
                      <w:rFonts w:hint="eastAsia"/>
                      <w:b/>
                      <w:bCs/>
                      <w:color w:val="000000"/>
                      <w:highlight w:val="none"/>
                      <w:lang w:val="en-US" w:eastAsia="zh-CN"/>
                    </w:rPr>
                    <w:t>管控要求</w:t>
                  </w:r>
                </w:p>
              </w:tc>
              <w:tc>
                <w:tcPr>
                  <w:tcW w:w="1792" w:type="dxa"/>
                  <w:noWrap w:val="0"/>
                  <w:vAlign w:val="center"/>
                </w:tcPr>
                <w:p w14:paraId="2F60C429">
                  <w:pPr>
                    <w:widowControl/>
                    <w:jc w:val="center"/>
                    <w:rPr>
                      <w:rFonts w:hint="default" w:eastAsia="宋体"/>
                      <w:b/>
                      <w:bCs/>
                      <w:color w:val="000000"/>
                      <w:kern w:val="0"/>
                      <w:szCs w:val="21"/>
                      <w:highlight w:val="none"/>
                      <w:lang w:val="en-US" w:eastAsia="zh-CN"/>
                    </w:rPr>
                  </w:pPr>
                  <w:r>
                    <w:rPr>
                      <w:rFonts w:hint="eastAsia"/>
                      <w:b/>
                      <w:bCs/>
                      <w:color w:val="000000"/>
                      <w:kern w:val="0"/>
                      <w:szCs w:val="21"/>
                      <w:highlight w:val="none"/>
                      <w:lang w:val="en-US" w:eastAsia="zh-CN"/>
                    </w:rPr>
                    <w:t>本项目情况</w:t>
                  </w:r>
                </w:p>
              </w:tc>
              <w:tc>
                <w:tcPr>
                  <w:tcW w:w="684" w:type="dxa"/>
                  <w:noWrap w:val="0"/>
                  <w:vAlign w:val="center"/>
                </w:tcPr>
                <w:p w14:paraId="71A97E5D">
                  <w:pPr>
                    <w:widowControl/>
                    <w:jc w:val="center"/>
                    <w:rPr>
                      <w:rFonts w:hint="default"/>
                      <w:b/>
                      <w:bCs/>
                      <w:color w:val="000000"/>
                      <w:kern w:val="0"/>
                      <w:szCs w:val="21"/>
                      <w:highlight w:val="none"/>
                      <w:lang w:val="en-US" w:eastAsia="zh-CN"/>
                    </w:rPr>
                  </w:pPr>
                  <w:r>
                    <w:rPr>
                      <w:rFonts w:hint="eastAsia"/>
                      <w:b/>
                      <w:bCs/>
                      <w:color w:val="000000"/>
                      <w:kern w:val="0"/>
                      <w:szCs w:val="21"/>
                      <w:highlight w:val="none"/>
                      <w:lang w:val="en-US" w:eastAsia="zh-CN"/>
                    </w:rPr>
                    <w:t>相符性</w:t>
                  </w:r>
                </w:p>
              </w:tc>
            </w:tr>
            <w:tr w14:paraId="01A91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5" w:hRule="atLeast"/>
                <w:jc w:val="center"/>
              </w:trPr>
              <w:tc>
                <w:tcPr>
                  <w:tcW w:w="568" w:type="dxa"/>
                  <w:vMerge w:val="restart"/>
                  <w:noWrap w:val="0"/>
                  <w:vAlign w:val="center"/>
                </w:tcPr>
                <w:p w14:paraId="299D7483">
                  <w:pPr>
                    <w:jc w:val="center"/>
                    <w:rPr>
                      <w:rFonts w:ascii="Times New Roman" w:hAnsi="Times New Roman" w:eastAsia="宋体" w:cs="Times New Roman"/>
                      <w:b/>
                      <w:color w:val="000000"/>
                      <w:kern w:val="2"/>
                      <w:sz w:val="21"/>
                      <w:szCs w:val="21"/>
                      <w:highlight w:val="none"/>
                      <w:lang w:val="en-US" w:eastAsia="zh-CN" w:bidi="ar-SA"/>
                    </w:rPr>
                  </w:pPr>
                  <w:r>
                    <w:rPr>
                      <w:rFonts w:eastAsia="宋体"/>
                      <w:b/>
                      <w:color w:val="000000"/>
                      <w:szCs w:val="21"/>
                      <w:highlight w:val="none"/>
                    </w:rPr>
                    <w:t>区域布局管控</w:t>
                  </w:r>
                </w:p>
              </w:tc>
              <w:tc>
                <w:tcPr>
                  <w:tcW w:w="3694" w:type="dxa"/>
                  <w:noWrap w:val="0"/>
                  <w:vAlign w:val="center"/>
                </w:tcPr>
                <w:p w14:paraId="27BA96B8">
                  <w:pPr>
                    <w:jc w:val="both"/>
                    <w:rPr>
                      <w:rFonts w:hint="eastAsia" w:ascii="Times New Roman" w:hAnsi="Times New Roman" w:eastAsia="宋体" w:cs="Times New Roman"/>
                      <w:b w:val="0"/>
                      <w:bCs/>
                      <w:color w:val="000000"/>
                      <w:szCs w:val="21"/>
                      <w:highlight w:val="none"/>
                      <w:lang w:val="en-US" w:eastAsia="zh-CN"/>
                    </w:rPr>
                  </w:pPr>
                  <w:r>
                    <w:rPr>
                      <w:rFonts w:hint="eastAsia" w:ascii="Times New Roman" w:hAnsi="Times New Roman" w:eastAsia="宋体" w:cs="Times New Roman"/>
                      <w:b w:val="0"/>
                      <w:bCs/>
                      <w:color w:val="000000"/>
                      <w:szCs w:val="21"/>
                      <w:highlight w:val="none"/>
                      <w:lang w:val="en-US" w:eastAsia="zh-CN"/>
                    </w:rPr>
                    <w:t>1-1.【产业/鼓励引导类】以粤湘桂三省边界区域为服务范围，以应急救援、旅游观光、飞行体验及培训为重点，大力推动乐昌通用机场建设。通过政府引导、市场运作，加快坪石发电厂集中供热管网向宜章县境内热负荷集中区域延伸，促进区域内资源高效循环利用。对接中国（郴州）跨境电子商务综合试验区，协调推动坪石、白石渡等货运站场改造，加快运力整合及集疏运体系建设，共同打造粤湘桂边界现代物流中心。</w:t>
                  </w:r>
                </w:p>
              </w:tc>
              <w:tc>
                <w:tcPr>
                  <w:tcW w:w="1792" w:type="dxa"/>
                  <w:noWrap w:val="0"/>
                  <w:vAlign w:val="center"/>
                </w:tcPr>
                <w:p w14:paraId="2EB494DD">
                  <w:pPr>
                    <w:widowControl/>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bidi="ar-SA"/>
                    </w:rPr>
                    <w:t>本项目为热力生产和供应项目，为允许类。本项目建设主要为解决近期广东华电坪石发电厂供热能力不能满足乐昌东锆新材料有限公司蒸汽需求的问题，同时保留将来为粤湘产业园内企业的用热需求扩产条件。</w:t>
                  </w:r>
                </w:p>
              </w:tc>
              <w:tc>
                <w:tcPr>
                  <w:tcW w:w="684" w:type="dxa"/>
                  <w:noWrap w:val="0"/>
                  <w:vAlign w:val="center"/>
                </w:tcPr>
                <w:p w14:paraId="00704B50">
                  <w:pPr>
                    <w:widowControl/>
                    <w:jc w:val="center"/>
                    <w:rPr>
                      <w:rFonts w:hint="default" w:eastAsia="宋体"/>
                      <w:color w:val="000000"/>
                      <w:kern w:val="0"/>
                      <w:sz w:val="21"/>
                      <w:szCs w:val="21"/>
                      <w:highlight w:val="none"/>
                      <w:lang w:val="en-US" w:eastAsia="zh-CN"/>
                    </w:rPr>
                  </w:pPr>
                  <w:r>
                    <w:rPr>
                      <w:rFonts w:hint="eastAsia" w:eastAsia="宋体"/>
                      <w:color w:val="000000"/>
                      <w:kern w:val="0"/>
                      <w:sz w:val="21"/>
                      <w:szCs w:val="21"/>
                      <w:highlight w:val="none"/>
                      <w:lang w:val="en-US" w:eastAsia="zh-CN"/>
                    </w:rPr>
                    <w:t>符合</w:t>
                  </w:r>
                </w:p>
              </w:tc>
            </w:tr>
            <w:tr w14:paraId="7CE6B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7" w:hRule="atLeast"/>
                <w:jc w:val="center"/>
              </w:trPr>
              <w:tc>
                <w:tcPr>
                  <w:tcW w:w="568" w:type="dxa"/>
                  <w:vMerge w:val="continue"/>
                  <w:noWrap w:val="0"/>
                  <w:vAlign w:val="center"/>
                </w:tcPr>
                <w:p w14:paraId="697D0565">
                  <w:pPr>
                    <w:jc w:val="center"/>
                    <w:rPr>
                      <w:rFonts w:eastAsia="宋体"/>
                      <w:b/>
                      <w:color w:val="000000"/>
                      <w:szCs w:val="21"/>
                      <w:highlight w:val="none"/>
                    </w:rPr>
                  </w:pPr>
                </w:p>
              </w:tc>
              <w:tc>
                <w:tcPr>
                  <w:tcW w:w="3694" w:type="dxa"/>
                  <w:noWrap w:val="0"/>
                  <w:vAlign w:val="center"/>
                </w:tcPr>
                <w:p w14:paraId="5285E764">
                  <w:pPr>
                    <w:jc w:val="both"/>
                    <w:rPr>
                      <w:rFonts w:hint="default" w:ascii="Times New Roman" w:hAnsi="Times New Roman" w:eastAsia="宋体" w:cs="Times New Roman"/>
                      <w:b w:val="0"/>
                      <w:bCs/>
                      <w:color w:val="000000"/>
                      <w:szCs w:val="21"/>
                      <w:highlight w:val="none"/>
                      <w:lang w:val="en-US" w:eastAsia="zh-CN"/>
                    </w:rPr>
                  </w:pPr>
                  <w:r>
                    <w:rPr>
                      <w:rFonts w:hint="default" w:ascii="Times New Roman" w:hAnsi="Times New Roman" w:eastAsia="宋体" w:cs="Times New Roman"/>
                      <w:b w:val="0"/>
                      <w:bCs/>
                      <w:color w:val="000000"/>
                      <w:szCs w:val="21"/>
                      <w:highlight w:val="none"/>
                      <w:lang w:val="en-US" w:eastAsia="zh-CN"/>
                    </w:rPr>
                    <w:t>1-2.【生态/禁止类】生态保护红线内，严格禁止开发性、生产性建设活动，在符合现行法律法规前提下，除国家重大战略项目外，仅允许对生态功能不造成破坏的有限人为活动。</w:t>
                  </w:r>
                </w:p>
              </w:tc>
              <w:tc>
                <w:tcPr>
                  <w:tcW w:w="1792" w:type="dxa"/>
                  <w:noWrap w:val="0"/>
                  <w:vAlign w:val="center"/>
                </w:tcPr>
                <w:p w14:paraId="4C008448">
                  <w:pPr>
                    <w:widowControl/>
                    <w:jc w:val="center"/>
                    <w:rPr>
                      <w:rFonts w:hint="default" w:eastAsia="宋体"/>
                      <w:color w:val="000000"/>
                      <w:kern w:val="0"/>
                      <w:sz w:val="21"/>
                      <w:szCs w:val="21"/>
                      <w:highlight w:val="none"/>
                      <w:lang w:val="en-US" w:eastAsia="zh-CN"/>
                    </w:rPr>
                  </w:pPr>
                  <w:r>
                    <w:rPr>
                      <w:rFonts w:hint="eastAsia" w:eastAsiaTheme="minorEastAsia"/>
                      <w:color w:val="auto"/>
                      <w:kern w:val="0"/>
                      <w:szCs w:val="21"/>
                      <w:highlight w:val="none"/>
                    </w:rPr>
                    <w:t>本项目</w:t>
                  </w:r>
                  <w:r>
                    <w:rPr>
                      <w:rFonts w:hint="eastAsia" w:eastAsiaTheme="minorEastAsia"/>
                      <w:color w:val="auto"/>
                      <w:kern w:val="0"/>
                      <w:szCs w:val="21"/>
                      <w:highlight w:val="none"/>
                      <w:lang w:val="en-US" w:eastAsia="zh-CN"/>
                    </w:rPr>
                    <w:t>选址不涉及生态保护红线</w:t>
                  </w:r>
                  <w:r>
                    <w:rPr>
                      <w:rFonts w:hint="eastAsia" w:eastAsiaTheme="minorEastAsia"/>
                      <w:color w:val="auto"/>
                      <w:kern w:val="0"/>
                      <w:szCs w:val="21"/>
                      <w:highlight w:val="none"/>
                    </w:rPr>
                    <w:t>。</w:t>
                  </w:r>
                </w:p>
              </w:tc>
              <w:tc>
                <w:tcPr>
                  <w:tcW w:w="684" w:type="dxa"/>
                  <w:noWrap w:val="0"/>
                  <w:vAlign w:val="center"/>
                </w:tcPr>
                <w:p w14:paraId="240BE40E">
                  <w:pPr>
                    <w:widowControl/>
                    <w:jc w:val="center"/>
                    <w:rPr>
                      <w:rFonts w:hint="default" w:eastAsia="宋体"/>
                      <w:color w:val="000000"/>
                      <w:kern w:val="0"/>
                      <w:sz w:val="21"/>
                      <w:szCs w:val="21"/>
                      <w:highlight w:val="none"/>
                      <w:lang w:val="en-US" w:eastAsia="zh-CN"/>
                    </w:rPr>
                  </w:pPr>
                  <w:r>
                    <w:rPr>
                      <w:rFonts w:hint="eastAsia" w:eastAsia="宋体"/>
                      <w:color w:val="000000"/>
                      <w:kern w:val="0"/>
                      <w:sz w:val="21"/>
                      <w:szCs w:val="21"/>
                      <w:highlight w:val="none"/>
                      <w:lang w:val="en-US" w:eastAsia="zh-CN"/>
                    </w:rPr>
                    <w:t>符合</w:t>
                  </w:r>
                </w:p>
              </w:tc>
            </w:tr>
            <w:tr w14:paraId="710F3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0" w:hRule="atLeast"/>
                <w:jc w:val="center"/>
              </w:trPr>
              <w:tc>
                <w:tcPr>
                  <w:tcW w:w="568" w:type="dxa"/>
                  <w:vMerge w:val="continue"/>
                  <w:noWrap w:val="0"/>
                  <w:vAlign w:val="center"/>
                </w:tcPr>
                <w:p w14:paraId="25568D9F">
                  <w:pPr>
                    <w:jc w:val="center"/>
                    <w:rPr>
                      <w:rFonts w:eastAsia="宋体"/>
                      <w:b/>
                      <w:color w:val="000000"/>
                      <w:szCs w:val="21"/>
                      <w:highlight w:val="none"/>
                    </w:rPr>
                  </w:pPr>
                </w:p>
              </w:tc>
              <w:tc>
                <w:tcPr>
                  <w:tcW w:w="3694" w:type="dxa"/>
                  <w:noWrap w:val="0"/>
                  <w:vAlign w:val="center"/>
                </w:tcPr>
                <w:p w14:paraId="11C864A4">
                  <w:pPr>
                    <w:jc w:val="both"/>
                    <w:rPr>
                      <w:rFonts w:hint="eastAsia" w:ascii="Times New Roman" w:hAnsi="Times New Roman" w:eastAsia="宋体" w:cs="Times New Roman"/>
                      <w:b w:val="0"/>
                      <w:bCs/>
                      <w:color w:val="000000"/>
                      <w:szCs w:val="21"/>
                      <w:highlight w:val="none"/>
                    </w:rPr>
                  </w:pPr>
                  <w:r>
                    <w:rPr>
                      <w:rFonts w:hint="eastAsia" w:ascii="Times New Roman" w:hAnsi="Times New Roman" w:eastAsia="宋体" w:cs="Times New Roman"/>
                      <w:b w:val="0"/>
                      <w:bCs/>
                      <w:color w:val="000000"/>
                      <w:szCs w:val="21"/>
                      <w:highlight w:val="none"/>
                    </w:rPr>
                    <w:t>1-3.【生态/限制类】单元内一般生态空间，加强生态保护与恢复，恢复与重建水源涵养区森林、湿地等生态系统，提高生态系统的水源涵养能力。原则上禁止在25度以上的陡坡地开垦种植农作物，禁止在崩塌、滑坡危险区、泥石流易发区从事采石、取土、采砂等可能造成水土流失的活动。禁止从事非法猎捕、毒杀、采伐、采集野生动植物等活动，禁止破坏野生动物栖息地。一般生态空间内的人工商品林，允许依法进行抚育采伐、择伐和树种更新等经营活动。一般生态空间内可进行已纳入市级及以上矿产资源开发利用规划采矿权与探矿权的新设、延续，新设和延续的矿山应满足绿色矿山的相关要求。一般生态空间的风电项目须符合省级及以上的开发利用规划，光伏发电项目应满足土地使用的相关要求。</w:t>
                  </w:r>
                </w:p>
              </w:tc>
              <w:tc>
                <w:tcPr>
                  <w:tcW w:w="1792" w:type="dxa"/>
                  <w:noWrap w:val="0"/>
                  <w:vAlign w:val="center"/>
                </w:tcPr>
                <w:p w14:paraId="11DE2317">
                  <w:pPr>
                    <w:widowControl/>
                    <w:jc w:val="center"/>
                    <w:rPr>
                      <w:rFonts w:hint="default" w:eastAsia="宋体"/>
                      <w:color w:val="000000"/>
                      <w:kern w:val="0"/>
                      <w:sz w:val="21"/>
                      <w:szCs w:val="21"/>
                      <w:highlight w:val="none"/>
                      <w:lang w:val="en-US" w:eastAsia="zh-CN"/>
                    </w:rPr>
                  </w:pPr>
                  <w:r>
                    <w:rPr>
                      <w:rFonts w:hint="eastAsia"/>
                      <w:color w:val="000000"/>
                      <w:kern w:val="0"/>
                      <w:sz w:val="21"/>
                      <w:szCs w:val="21"/>
                      <w:highlight w:val="none"/>
                      <w:lang w:val="en-US" w:eastAsia="zh-CN"/>
                    </w:rPr>
                    <w:t>本项目实施后将落实相关生态要求。</w:t>
                  </w:r>
                </w:p>
              </w:tc>
              <w:tc>
                <w:tcPr>
                  <w:tcW w:w="684" w:type="dxa"/>
                  <w:noWrap w:val="0"/>
                  <w:vAlign w:val="center"/>
                </w:tcPr>
                <w:p w14:paraId="45FBE08B">
                  <w:pPr>
                    <w:widowControl/>
                    <w:jc w:val="center"/>
                    <w:rPr>
                      <w:rFonts w:hint="default" w:eastAsia="宋体"/>
                      <w:color w:val="000000"/>
                      <w:kern w:val="0"/>
                      <w:sz w:val="21"/>
                      <w:szCs w:val="21"/>
                      <w:highlight w:val="none"/>
                      <w:lang w:val="en-US" w:eastAsia="zh-CN"/>
                    </w:rPr>
                  </w:pPr>
                  <w:r>
                    <w:rPr>
                      <w:rFonts w:hint="eastAsia" w:eastAsia="宋体"/>
                      <w:color w:val="000000"/>
                      <w:kern w:val="0"/>
                      <w:sz w:val="21"/>
                      <w:szCs w:val="21"/>
                      <w:highlight w:val="none"/>
                      <w:lang w:val="en-US" w:eastAsia="zh-CN"/>
                    </w:rPr>
                    <w:t>符合</w:t>
                  </w:r>
                </w:p>
              </w:tc>
            </w:tr>
            <w:tr w14:paraId="257F6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0" w:hRule="atLeast"/>
                <w:jc w:val="center"/>
              </w:trPr>
              <w:tc>
                <w:tcPr>
                  <w:tcW w:w="568" w:type="dxa"/>
                  <w:vMerge w:val="continue"/>
                  <w:noWrap w:val="0"/>
                  <w:vAlign w:val="center"/>
                </w:tcPr>
                <w:p w14:paraId="421E61F9">
                  <w:pPr>
                    <w:jc w:val="center"/>
                    <w:rPr>
                      <w:rFonts w:eastAsia="宋体"/>
                      <w:b/>
                      <w:color w:val="000000"/>
                      <w:szCs w:val="21"/>
                      <w:highlight w:val="none"/>
                    </w:rPr>
                  </w:pPr>
                </w:p>
              </w:tc>
              <w:tc>
                <w:tcPr>
                  <w:tcW w:w="3694" w:type="dxa"/>
                  <w:noWrap w:val="0"/>
                  <w:vAlign w:val="center"/>
                </w:tcPr>
                <w:p w14:paraId="254BF86C">
                  <w:pPr>
                    <w:jc w:val="both"/>
                    <w:rPr>
                      <w:rFonts w:hint="eastAsia" w:ascii="Times New Roman" w:hAnsi="Times New Roman" w:eastAsia="宋体" w:cs="Times New Roman"/>
                      <w:b w:val="0"/>
                      <w:bCs/>
                      <w:color w:val="000000"/>
                      <w:szCs w:val="21"/>
                      <w:highlight w:val="none"/>
                    </w:rPr>
                  </w:pPr>
                  <w:r>
                    <w:rPr>
                      <w:rFonts w:hint="eastAsia" w:ascii="Times New Roman" w:hAnsi="Times New Roman" w:eastAsia="宋体" w:cs="Times New Roman"/>
                      <w:b w:val="0"/>
                      <w:bCs/>
                      <w:color w:val="000000"/>
                      <w:szCs w:val="21"/>
                      <w:highlight w:val="none"/>
                    </w:rPr>
                    <w:t>1-4.【产业/限制类】严格限制新建除热电联产以外的煤电项目；严格限制新（改、扩）建钢铁、建材（平板玻璃）、焦化、有色、石化等高污染行业项目。</w:t>
                  </w:r>
                </w:p>
              </w:tc>
              <w:tc>
                <w:tcPr>
                  <w:tcW w:w="1792" w:type="dxa"/>
                  <w:noWrap w:val="0"/>
                  <w:vAlign w:val="center"/>
                </w:tcPr>
                <w:p w14:paraId="01E0D950">
                  <w:pPr>
                    <w:widowControl/>
                    <w:jc w:val="center"/>
                    <w:rPr>
                      <w:rFonts w:hint="default" w:eastAsia="宋体"/>
                      <w:color w:val="000000"/>
                      <w:kern w:val="0"/>
                      <w:sz w:val="21"/>
                      <w:szCs w:val="21"/>
                      <w:highlight w:val="none"/>
                      <w:lang w:val="en-US" w:eastAsia="zh-CN"/>
                    </w:rPr>
                  </w:pPr>
                  <w:r>
                    <w:rPr>
                      <w:rFonts w:hint="eastAsia"/>
                      <w:color w:val="000000"/>
                      <w:kern w:val="0"/>
                      <w:sz w:val="21"/>
                      <w:szCs w:val="21"/>
                      <w:highlight w:val="none"/>
                      <w:lang w:val="en-US" w:eastAsia="zh-CN"/>
                    </w:rPr>
                    <w:t>本项目为生物质锅炉项目，不属于限制类，也不涉及高污染行业。</w:t>
                  </w:r>
                </w:p>
              </w:tc>
              <w:tc>
                <w:tcPr>
                  <w:tcW w:w="684" w:type="dxa"/>
                  <w:noWrap w:val="0"/>
                  <w:vAlign w:val="center"/>
                </w:tcPr>
                <w:p w14:paraId="2835C822">
                  <w:pPr>
                    <w:widowControl/>
                    <w:jc w:val="center"/>
                    <w:rPr>
                      <w:rFonts w:hint="eastAsia" w:eastAsia="宋体"/>
                      <w:color w:val="000000"/>
                      <w:kern w:val="0"/>
                      <w:sz w:val="21"/>
                      <w:szCs w:val="21"/>
                      <w:highlight w:val="none"/>
                      <w:lang w:val="en-US" w:eastAsia="zh-CN"/>
                    </w:rPr>
                  </w:pPr>
                  <w:r>
                    <w:rPr>
                      <w:rFonts w:hint="eastAsia" w:eastAsia="宋体"/>
                      <w:color w:val="000000"/>
                      <w:kern w:val="0"/>
                      <w:sz w:val="21"/>
                      <w:szCs w:val="21"/>
                      <w:highlight w:val="none"/>
                      <w:lang w:val="en-US" w:eastAsia="zh-CN"/>
                    </w:rPr>
                    <w:t>符合</w:t>
                  </w:r>
                </w:p>
              </w:tc>
            </w:tr>
            <w:tr w14:paraId="1D9D5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0" w:hRule="atLeast"/>
                <w:jc w:val="center"/>
              </w:trPr>
              <w:tc>
                <w:tcPr>
                  <w:tcW w:w="568" w:type="dxa"/>
                  <w:vMerge w:val="continue"/>
                  <w:noWrap w:val="0"/>
                  <w:vAlign w:val="center"/>
                </w:tcPr>
                <w:p w14:paraId="78C8CBB0">
                  <w:pPr>
                    <w:jc w:val="center"/>
                    <w:rPr>
                      <w:rFonts w:eastAsia="宋体"/>
                      <w:b/>
                      <w:color w:val="000000"/>
                      <w:szCs w:val="21"/>
                      <w:highlight w:val="none"/>
                    </w:rPr>
                  </w:pPr>
                </w:p>
              </w:tc>
              <w:tc>
                <w:tcPr>
                  <w:tcW w:w="3694" w:type="dxa"/>
                  <w:noWrap w:val="0"/>
                  <w:vAlign w:val="center"/>
                </w:tcPr>
                <w:p w14:paraId="5551432D">
                  <w:pPr>
                    <w:jc w:val="both"/>
                    <w:rPr>
                      <w:rFonts w:hint="eastAsia" w:ascii="Times New Roman" w:hAnsi="Times New Roman" w:eastAsia="宋体" w:cs="Times New Roman"/>
                      <w:b w:val="0"/>
                      <w:bCs/>
                      <w:color w:val="000000"/>
                      <w:szCs w:val="21"/>
                      <w:highlight w:val="none"/>
                    </w:rPr>
                  </w:pPr>
                  <w:r>
                    <w:rPr>
                      <w:rFonts w:hint="eastAsia" w:ascii="Times New Roman" w:hAnsi="Times New Roman" w:eastAsia="宋体" w:cs="Times New Roman"/>
                      <w:b w:val="0"/>
                      <w:bCs/>
                      <w:color w:val="000000"/>
                      <w:szCs w:val="21"/>
                      <w:highlight w:val="none"/>
                    </w:rPr>
                    <w:t>1-5.【水/限制类】严格执行畜禽养殖禁养区管理要求，畜禽养殖禁养区内严禁建设规模化畜禽养殖场和规模化畜禽养殖小区，禁养区外的养殖场应配套污染防治设施。</w:t>
                  </w:r>
                </w:p>
              </w:tc>
              <w:tc>
                <w:tcPr>
                  <w:tcW w:w="1792" w:type="dxa"/>
                  <w:noWrap w:val="0"/>
                  <w:vAlign w:val="center"/>
                </w:tcPr>
                <w:p w14:paraId="557738C3">
                  <w:pPr>
                    <w:widowControl/>
                    <w:jc w:val="center"/>
                    <w:rPr>
                      <w:rFonts w:hint="default" w:eastAsia="宋体"/>
                      <w:color w:val="000000"/>
                      <w:kern w:val="0"/>
                      <w:sz w:val="21"/>
                      <w:szCs w:val="21"/>
                      <w:highlight w:val="none"/>
                      <w:lang w:val="en-US" w:eastAsia="zh-CN"/>
                    </w:rPr>
                  </w:pPr>
                  <w:r>
                    <w:rPr>
                      <w:rFonts w:hint="eastAsia"/>
                      <w:color w:val="000000"/>
                      <w:kern w:val="0"/>
                      <w:sz w:val="21"/>
                      <w:szCs w:val="21"/>
                      <w:highlight w:val="none"/>
                      <w:lang w:val="en-US" w:eastAsia="zh-CN"/>
                    </w:rPr>
                    <w:t>本项目不涉及该条款。</w:t>
                  </w:r>
                </w:p>
              </w:tc>
              <w:tc>
                <w:tcPr>
                  <w:tcW w:w="684" w:type="dxa"/>
                  <w:noWrap w:val="0"/>
                  <w:vAlign w:val="center"/>
                </w:tcPr>
                <w:p w14:paraId="5857D167">
                  <w:pPr>
                    <w:widowControl/>
                    <w:jc w:val="center"/>
                    <w:rPr>
                      <w:rFonts w:hint="eastAsia" w:eastAsia="宋体"/>
                      <w:color w:val="000000"/>
                      <w:kern w:val="0"/>
                      <w:sz w:val="21"/>
                      <w:szCs w:val="21"/>
                      <w:highlight w:val="none"/>
                      <w:lang w:val="en-US" w:eastAsia="zh-CN"/>
                    </w:rPr>
                  </w:pPr>
                  <w:r>
                    <w:rPr>
                      <w:rFonts w:hint="eastAsia" w:eastAsia="宋体"/>
                      <w:color w:val="000000"/>
                      <w:kern w:val="0"/>
                      <w:sz w:val="21"/>
                      <w:szCs w:val="21"/>
                      <w:highlight w:val="none"/>
                      <w:lang w:val="en-US" w:eastAsia="zh-CN"/>
                    </w:rPr>
                    <w:t>符合</w:t>
                  </w:r>
                </w:p>
              </w:tc>
            </w:tr>
            <w:tr w14:paraId="6F9C4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0" w:hRule="atLeast"/>
                <w:jc w:val="center"/>
              </w:trPr>
              <w:tc>
                <w:tcPr>
                  <w:tcW w:w="568" w:type="dxa"/>
                  <w:vMerge w:val="continue"/>
                  <w:noWrap w:val="0"/>
                  <w:vAlign w:val="center"/>
                </w:tcPr>
                <w:p w14:paraId="5B72B945">
                  <w:pPr>
                    <w:jc w:val="center"/>
                    <w:rPr>
                      <w:rFonts w:eastAsia="宋体"/>
                      <w:b/>
                      <w:color w:val="000000"/>
                      <w:szCs w:val="21"/>
                      <w:highlight w:val="none"/>
                    </w:rPr>
                  </w:pPr>
                </w:p>
              </w:tc>
              <w:tc>
                <w:tcPr>
                  <w:tcW w:w="3694" w:type="dxa"/>
                  <w:noWrap w:val="0"/>
                  <w:vAlign w:val="center"/>
                </w:tcPr>
                <w:p w14:paraId="74329E47">
                  <w:pPr>
                    <w:jc w:val="both"/>
                    <w:rPr>
                      <w:rFonts w:hint="eastAsia" w:ascii="Times New Roman" w:hAnsi="Times New Roman" w:eastAsia="宋体" w:cs="Times New Roman"/>
                      <w:b w:val="0"/>
                      <w:bCs/>
                      <w:color w:val="000000"/>
                      <w:szCs w:val="21"/>
                      <w:highlight w:val="none"/>
                    </w:rPr>
                  </w:pPr>
                  <w:r>
                    <w:rPr>
                      <w:rFonts w:hint="eastAsia" w:ascii="Times New Roman" w:hAnsi="Times New Roman" w:eastAsia="宋体" w:cs="Times New Roman"/>
                      <w:b w:val="0"/>
                      <w:bCs/>
                      <w:color w:val="000000"/>
                      <w:szCs w:val="21"/>
                      <w:highlight w:val="none"/>
                    </w:rPr>
                    <w:t>1-6.【岸线/限制类】岸线优先保护区内，严格水域岸线用途管制，新建项目一律不得违规占用水域（国家和省的重点项目除外）。严禁破坏生态的岸线利用行为和不符合其功能定位的开发建设活动，严禁围垦湖泊、非法采砂等。</w:t>
                  </w:r>
                </w:p>
              </w:tc>
              <w:tc>
                <w:tcPr>
                  <w:tcW w:w="1792" w:type="dxa"/>
                  <w:noWrap w:val="0"/>
                  <w:vAlign w:val="center"/>
                </w:tcPr>
                <w:p w14:paraId="19CB175C">
                  <w:pPr>
                    <w:widowControl/>
                    <w:jc w:val="center"/>
                    <w:rPr>
                      <w:rFonts w:hint="default" w:eastAsia="宋体"/>
                      <w:color w:val="000000"/>
                      <w:kern w:val="0"/>
                      <w:sz w:val="21"/>
                      <w:szCs w:val="21"/>
                      <w:highlight w:val="none"/>
                      <w:lang w:val="en-US" w:eastAsia="zh-CN"/>
                    </w:rPr>
                  </w:pPr>
                  <w:r>
                    <w:rPr>
                      <w:rFonts w:hint="eastAsia"/>
                      <w:color w:val="000000"/>
                      <w:kern w:val="0"/>
                      <w:sz w:val="21"/>
                      <w:szCs w:val="21"/>
                      <w:highlight w:val="none"/>
                      <w:lang w:val="en-US" w:eastAsia="zh-CN"/>
                    </w:rPr>
                    <w:t>本项目不涉及该条款。</w:t>
                  </w:r>
                </w:p>
              </w:tc>
              <w:tc>
                <w:tcPr>
                  <w:tcW w:w="684" w:type="dxa"/>
                  <w:noWrap w:val="0"/>
                  <w:vAlign w:val="center"/>
                </w:tcPr>
                <w:p w14:paraId="79B0F07A">
                  <w:pPr>
                    <w:widowControl/>
                    <w:jc w:val="center"/>
                    <w:rPr>
                      <w:rFonts w:hint="eastAsia" w:eastAsia="宋体"/>
                      <w:color w:val="000000"/>
                      <w:kern w:val="0"/>
                      <w:sz w:val="21"/>
                      <w:szCs w:val="21"/>
                      <w:highlight w:val="none"/>
                      <w:lang w:val="en-US" w:eastAsia="zh-CN"/>
                    </w:rPr>
                  </w:pPr>
                  <w:r>
                    <w:rPr>
                      <w:rFonts w:hint="eastAsia" w:eastAsia="宋体"/>
                      <w:color w:val="000000"/>
                      <w:kern w:val="0"/>
                      <w:sz w:val="21"/>
                      <w:szCs w:val="21"/>
                      <w:highlight w:val="none"/>
                      <w:lang w:val="en-US" w:eastAsia="zh-CN"/>
                    </w:rPr>
                    <w:t>符合</w:t>
                  </w:r>
                </w:p>
              </w:tc>
            </w:tr>
            <w:tr w14:paraId="4CAEB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0" w:hRule="atLeast"/>
                <w:jc w:val="center"/>
              </w:trPr>
              <w:tc>
                <w:tcPr>
                  <w:tcW w:w="568" w:type="dxa"/>
                  <w:vMerge w:val="continue"/>
                  <w:noWrap w:val="0"/>
                  <w:vAlign w:val="center"/>
                </w:tcPr>
                <w:p w14:paraId="0A97B154">
                  <w:pPr>
                    <w:jc w:val="center"/>
                    <w:rPr>
                      <w:rFonts w:eastAsia="宋体"/>
                      <w:b/>
                      <w:color w:val="000000"/>
                      <w:szCs w:val="21"/>
                      <w:highlight w:val="none"/>
                    </w:rPr>
                  </w:pPr>
                </w:p>
              </w:tc>
              <w:tc>
                <w:tcPr>
                  <w:tcW w:w="3694" w:type="dxa"/>
                  <w:noWrap w:val="0"/>
                  <w:vAlign w:val="center"/>
                </w:tcPr>
                <w:p w14:paraId="4DA9EE0F">
                  <w:pPr>
                    <w:jc w:val="both"/>
                    <w:rPr>
                      <w:rFonts w:hint="eastAsia" w:ascii="Times New Roman" w:hAnsi="Times New Roman" w:eastAsia="宋体" w:cs="Times New Roman"/>
                      <w:b w:val="0"/>
                      <w:bCs/>
                      <w:color w:val="000000"/>
                      <w:szCs w:val="21"/>
                      <w:highlight w:val="none"/>
                    </w:rPr>
                  </w:pPr>
                  <w:r>
                    <w:rPr>
                      <w:rFonts w:hint="eastAsia" w:ascii="Times New Roman" w:hAnsi="Times New Roman" w:eastAsia="宋体" w:cs="Times New Roman"/>
                      <w:b w:val="0"/>
                      <w:bCs/>
                      <w:color w:val="000000"/>
                      <w:szCs w:val="21"/>
                      <w:highlight w:val="none"/>
                    </w:rPr>
                    <w:t>1-7.【矿产/限制类】严格控制矿产资源开采及冶炼过程中产生环境污染和生态破坏。严禁在基本农田保护区、居民集中区等环境敏感地区审批新增有镉、汞、砷、铅、铬5种重金属排放的矿产资源开发利用项目。</w:t>
                  </w:r>
                </w:p>
              </w:tc>
              <w:tc>
                <w:tcPr>
                  <w:tcW w:w="1792" w:type="dxa"/>
                  <w:noWrap w:val="0"/>
                  <w:vAlign w:val="center"/>
                </w:tcPr>
                <w:p w14:paraId="56D8A543">
                  <w:pPr>
                    <w:widowControl/>
                    <w:jc w:val="center"/>
                    <w:rPr>
                      <w:rFonts w:hint="default" w:eastAsia="宋体"/>
                      <w:color w:val="000000"/>
                      <w:kern w:val="0"/>
                      <w:sz w:val="21"/>
                      <w:szCs w:val="21"/>
                      <w:highlight w:val="none"/>
                      <w:lang w:val="en-US" w:eastAsia="zh-CN"/>
                    </w:rPr>
                  </w:pPr>
                  <w:r>
                    <w:rPr>
                      <w:rFonts w:hint="eastAsia"/>
                      <w:color w:val="000000"/>
                      <w:kern w:val="0"/>
                      <w:sz w:val="21"/>
                      <w:szCs w:val="21"/>
                      <w:highlight w:val="none"/>
                      <w:lang w:val="en-US" w:eastAsia="zh-CN"/>
                    </w:rPr>
                    <w:t>本项目不涉及矿产资源。</w:t>
                  </w:r>
                </w:p>
              </w:tc>
              <w:tc>
                <w:tcPr>
                  <w:tcW w:w="684" w:type="dxa"/>
                  <w:noWrap w:val="0"/>
                  <w:vAlign w:val="center"/>
                </w:tcPr>
                <w:p w14:paraId="4F3E3F26">
                  <w:pPr>
                    <w:widowControl/>
                    <w:jc w:val="center"/>
                    <w:rPr>
                      <w:rFonts w:hint="eastAsia" w:eastAsia="宋体"/>
                      <w:color w:val="000000"/>
                      <w:kern w:val="0"/>
                      <w:sz w:val="21"/>
                      <w:szCs w:val="21"/>
                      <w:highlight w:val="none"/>
                      <w:lang w:val="en-US" w:eastAsia="zh-CN"/>
                    </w:rPr>
                  </w:pPr>
                  <w:r>
                    <w:rPr>
                      <w:rFonts w:hint="eastAsia" w:eastAsia="宋体"/>
                      <w:color w:val="000000"/>
                      <w:kern w:val="0"/>
                      <w:sz w:val="21"/>
                      <w:szCs w:val="21"/>
                      <w:highlight w:val="none"/>
                      <w:lang w:val="en-US" w:eastAsia="zh-CN"/>
                    </w:rPr>
                    <w:t>符合</w:t>
                  </w:r>
                </w:p>
              </w:tc>
            </w:tr>
            <w:tr w14:paraId="17991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0" w:hRule="atLeast"/>
                <w:jc w:val="center"/>
              </w:trPr>
              <w:tc>
                <w:tcPr>
                  <w:tcW w:w="568" w:type="dxa"/>
                  <w:vMerge w:val="continue"/>
                  <w:noWrap w:val="0"/>
                  <w:vAlign w:val="center"/>
                </w:tcPr>
                <w:p w14:paraId="278AB87F">
                  <w:pPr>
                    <w:jc w:val="center"/>
                    <w:rPr>
                      <w:rFonts w:eastAsia="宋体"/>
                      <w:b/>
                      <w:color w:val="000000"/>
                      <w:szCs w:val="21"/>
                      <w:highlight w:val="none"/>
                    </w:rPr>
                  </w:pPr>
                </w:p>
              </w:tc>
              <w:tc>
                <w:tcPr>
                  <w:tcW w:w="3694" w:type="dxa"/>
                  <w:noWrap w:val="0"/>
                  <w:vAlign w:val="center"/>
                </w:tcPr>
                <w:p w14:paraId="49EC5CD5">
                  <w:pPr>
                    <w:jc w:val="both"/>
                    <w:rPr>
                      <w:rFonts w:hint="eastAsia" w:ascii="Times New Roman" w:hAnsi="Times New Roman" w:eastAsia="宋体" w:cs="Times New Roman"/>
                      <w:b w:val="0"/>
                      <w:bCs/>
                      <w:color w:val="000000"/>
                      <w:szCs w:val="21"/>
                      <w:highlight w:val="none"/>
                    </w:rPr>
                  </w:pPr>
                  <w:r>
                    <w:rPr>
                      <w:rFonts w:hint="eastAsia" w:ascii="Times New Roman" w:hAnsi="Times New Roman" w:eastAsia="宋体" w:cs="Times New Roman"/>
                      <w:b w:val="0"/>
                      <w:bCs/>
                      <w:color w:val="000000"/>
                      <w:szCs w:val="21"/>
                      <w:highlight w:val="none"/>
                    </w:rPr>
                    <w:t>1-8.【其他/综合类】对生态公益林及境内生态脆弱区的林草地实施封育保护，逐步扩大生态公益林保护面积。对面状等轻度水土流失采取封禁、植物措施等进行治理，对坡地、火烧迹地等严重水土流失采取工程措施和植物措施进行综合整治。</w:t>
                  </w:r>
                </w:p>
              </w:tc>
              <w:tc>
                <w:tcPr>
                  <w:tcW w:w="1792" w:type="dxa"/>
                  <w:noWrap w:val="0"/>
                  <w:vAlign w:val="center"/>
                </w:tcPr>
                <w:p w14:paraId="25687C77">
                  <w:pPr>
                    <w:widowControl/>
                    <w:jc w:val="center"/>
                    <w:rPr>
                      <w:rFonts w:hint="default"/>
                      <w:color w:val="000000"/>
                      <w:kern w:val="0"/>
                      <w:sz w:val="21"/>
                      <w:szCs w:val="21"/>
                      <w:highlight w:val="none"/>
                      <w:lang w:val="en-US" w:eastAsia="zh-CN"/>
                    </w:rPr>
                  </w:pPr>
                  <w:r>
                    <w:rPr>
                      <w:rFonts w:hint="eastAsia"/>
                      <w:color w:val="000000"/>
                      <w:kern w:val="0"/>
                      <w:sz w:val="21"/>
                      <w:szCs w:val="21"/>
                      <w:highlight w:val="none"/>
                      <w:lang w:val="en-US" w:eastAsia="zh-CN"/>
                    </w:rPr>
                    <w:t>本项目不涉及该条款。</w:t>
                  </w:r>
                </w:p>
              </w:tc>
              <w:tc>
                <w:tcPr>
                  <w:tcW w:w="684" w:type="dxa"/>
                  <w:noWrap w:val="0"/>
                  <w:vAlign w:val="center"/>
                </w:tcPr>
                <w:p w14:paraId="52C6A1F3">
                  <w:pPr>
                    <w:widowControl/>
                    <w:jc w:val="center"/>
                    <w:rPr>
                      <w:rFonts w:hint="default" w:eastAsia="宋体"/>
                      <w:color w:val="000000"/>
                      <w:kern w:val="0"/>
                      <w:sz w:val="21"/>
                      <w:szCs w:val="21"/>
                      <w:highlight w:val="none"/>
                      <w:lang w:val="en-US" w:eastAsia="zh-CN"/>
                    </w:rPr>
                  </w:pPr>
                  <w:r>
                    <w:rPr>
                      <w:rFonts w:hint="eastAsia"/>
                      <w:color w:val="000000"/>
                      <w:kern w:val="0"/>
                      <w:sz w:val="21"/>
                      <w:szCs w:val="21"/>
                      <w:highlight w:val="none"/>
                      <w:lang w:val="en-US" w:eastAsia="zh-CN"/>
                    </w:rPr>
                    <w:t>符合</w:t>
                  </w:r>
                </w:p>
              </w:tc>
            </w:tr>
            <w:tr w14:paraId="6F2EB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0" w:hRule="atLeast"/>
                <w:jc w:val="center"/>
              </w:trPr>
              <w:tc>
                <w:tcPr>
                  <w:tcW w:w="568" w:type="dxa"/>
                  <w:vMerge w:val="continue"/>
                  <w:noWrap w:val="0"/>
                  <w:vAlign w:val="center"/>
                </w:tcPr>
                <w:p w14:paraId="1F41BD17">
                  <w:pPr>
                    <w:jc w:val="center"/>
                    <w:rPr>
                      <w:rFonts w:eastAsia="宋体"/>
                      <w:b/>
                      <w:color w:val="000000"/>
                      <w:szCs w:val="21"/>
                      <w:highlight w:val="none"/>
                    </w:rPr>
                  </w:pPr>
                </w:p>
              </w:tc>
              <w:tc>
                <w:tcPr>
                  <w:tcW w:w="3694" w:type="dxa"/>
                  <w:noWrap w:val="0"/>
                  <w:vAlign w:val="center"/>
                </w:tcPr>
                <w:p w14:paraId="3BAAFC45">
                  <w:pPr>
                    <w:pStyle w:val="7"/>
                    <w:rPr>
                      <w:rFonts w:hint="eastAsia" w:ascii="Times New Roman" w:hAnsi="Times New Roman" w:eastAsia="宋体" w:cs="Times New Roman"/>
                      <w:b w:val="0"/>
                      <w:bCs/>
                      <w:color w:val="000000"/>
                      <w:kern w:val="2"/>
                      <w:sz w:val="21"/>
                      <w:szCs w:val="21"/>
                      <w:highlight w:val="none"/>
                      <w:lang w:val="en-US" w:eastAsia="zh-CN" w:bidi="ar-SA"/>
                    </w:rPr>
                  </w:pPr>
                  <w:r>
                    <w:rPr>
                      <w:rFonts w:hint="eastAsia" w:ascii="Times New Roman" w:hAnsi="Times New Roman" w:eastAsia="宋体" w:cs="Times New Roman"/>
                      <w:b w:val="0"/>
                      <w:bCs/>
                      <w:color w:val="000000"/>
                      <w:kern w:val="2"/>
                      <w:sz w:val="21"/>
                      <w:szCs w:val="21"/>
                      <w:highlight w:val="none"/>
                      <w:lang w:val="en-US" w:eastAsia="zh-CN" w:bidi="ar-SA"/>
                    </w:rPr>
                    <w:t>1-9.【其他/综合类】推进石漠化治理，实施封山育林、植树造林、退耕还林，开展渠道、陂头和山塘建设。积极推进天然林生态修复与林分改造，加快岩溶地区石漠化治理和重点区域水土流失防治，统筹推进森林进城围城工程、重点林业生态工程。因地制宜采取封山育林、人工造林、退耕还林、土地综合整治等多种措施，着力加强森林植被保护与恢复，推进水土资源合理利用。，对石漠化和其他特别脆弱地区，在经过综合评估后，可考虑采取“光伏+”的形式推进修复工作。</w:t>
                  </w:r>
                </w:p>
              </w:tc>
              <w:tc>
                <w:tcPr>
                  <w:tcW w:w="1792" w:type="dxa"/>
                  <w:noWrap w:val="0"/>
                  <w:vAlign w:val="center"/>
                </w:tcPr>
                <w:p w14:paraId="1D02B8D8">
                  <w:pPr>
                    <w:widowControl/>
                    <w:jc w:val="center"/>
                    <w:rPr>
                      <w:rFonts w:hint="default"/>
                      <w:color w:val="000000"/>
                      <w:kern w:val="0"/>
                      <w:sz w:val="21"/>
                      <w:szCs w:val="21"/>
                      <w:highlight w:val="none"/>
                      <w:lang w:val="en-US" w:eastAsia="zh-CN"/>
                    </w:rPr>
                  </w:pPr>
                  <w:r>
                    <w:rPr>
                      <w:rFonts w:hint="eastAsia"/>
                      <w:color w:val="000000"/>
                      <w:kern w:val="0"/>
                      <w:sz w:val="21"/>
                      <w:szCs w:val="21"/>
                      <w:highlight w:val="none"/>
                      <w:lang w:val="en-US" w:eastAsia="zh-CN"/>
                    </w:rPr>
                    <w:t>本项目不涉及该条款。</w:t>
                  </w:r>
                </w:p>
              </w:tc>
              <w:tc>
                <w:tcPr>
                  <w:tcW w:w="684" w:type="dxa"/>
                  <w:noWrap w:val="0"/>
                  <w:vAlign w:val="center"/>
                </w:tcPr>
                <w:p w14:paraId="1F7DC1F8">
                  <w:pPr>
                    <w:widowControl/>
                    <w:jc w:val="center"/>
                    <w:rPr>
                      <w:rFonts w:hint="default" w:eastAsia="宋体"/>
                      <w:color w:val="000000"/>
                      <w:kern w:val="0"/>
                      <w:sz w:val="21"/>
                      <w:szCs w:val="21"/>
                      <w:highlight w:val="none"/>
                      <w:lang w:val="en-US" w:eastAsia="zh-CN"/>
                    </w:rPr>
                  </w:pPr>
                  <w:r>
                    <w:rPr>
                      <w:rFonts w:hint="eastAsia"/>
                      <w:color w:val="000000"/>
                      <w:kern w:val="0"/>
                      <w:sz w:val="21"/>
                      <w:szCs w:val="21"/>
                      <w:highlight w:val="none"/>
                      <w:lang w:val="en-US" w:eastAsia="zh-CN"/>
                    </w:rPr>
                    <w:t>符合</w:t>
                  </w:r>
                </w:p>
              </w:tc>
            </w:tr>
            <w:tr w14:paraId="75A35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0" w:hRule="atLeast"/>
                <w:jc w:val="center"/>
              </w:trPr>
              <w:tc>
                <w:tcPr>
                  <w:tcW w:w="568" w:type="dxa"/>
                  <w:vMerge w:val="continue"/>
                  <w:noWrap w:val="0"/>
                  <w:vAlign w:val="center"/>
                </w:tcPr>
                <w:p w14:paraId="444BFCDB">
                  <w:pPr>
                    <w:jc w:val="center"/>
                    <w:rPr>
                      <w:rFonts w:eastAsia="宋体"/>
                      <w:b/>
                      <w:color w:val="000000"/>
                      <w:szCs w:val="21"/>
                      <w:highlight w:val="none"/>
                    </w:rPr>
                  </w:pPr>
                </w:p>
              </w:tc>
              <w:tc>
                <w:tcPr>
                  <w:tcW w:w="3694" w:type="dxa"/>
                  <w:noWrap w:val="0"/>
                  <w:vAlign w:val="center"/>
                </w:tcPr>
                <w:p w14:paraId="4B05049C">
                  <w:pPr>
                    <w:pStyle w:val="7"/>
                    <w:rPr>
                      <w:rFonts w:hint="eastAsia" w:ascii="Times New Roman" w:hAnsi="Times New Roman" w:eastAsia="宋体" w:cs="Times New Roman"/>
                      <w:b w:val="0"/>
                      <w:bCs/>
                      <w:color w:val="000000"/>
                      <w:kern w:val="2"/>
                      <w:sz w:val="21"/>
                      <w:szCs w:val="21"/>
                      <w:highlight w:val="none"/>
                      <w:lang w:val="en-US" w:eastAsia="zh-CN" w:bidi="ar-SA"/>
                    </w:rPr>
                  </w:pPr>
                  <w:r>
                    <w:rPr>
                      <w:rFonts w:hint="eastAsia" w:ascii="Times New Roman" w:hAnsi="Times New Roman" w:eastAsia="宋体" w:cs="Times New Roman"/>
                      <w:b w:val="0"/>
                      <w:bCs/>
                      <w:color w:val="000000"/>
                      <w:kern w:val="2"/>
                      <w:sz w:val="21"/>
                      <w:szCs w:val="21"/>
                      <w:highlight w:val="none"/>
                      <w:lang w:val="en-US" w:eastAsia="zh-CN" w:bidi="ar-SA"/>
                    </w:rPr>
                    <w:t>1-10.【土壤/禁止类】禁止在居民区和学校、医院、疗养院、养老院等单位周边新建、改建、扩建可能造成土壤污染的建设项目。</w:t>
                  </w:r>
                </w:p>
              </w:tc>
              <w:tc>
                <w:tcPr>
                  <w:tcW w:w="1792" w:type="dxa"/>
                  <w:noWrap w:val="0"/>
                  <w:vAlign w:val="center"/>
                </w:tcPr>
                <w:p w14:paraId="0D3BDC8C">
                  <w:pPr>
                    <w:widowControl/>
                    <w:jc w:val="center"/>
                    <w:rPr>
                      <w:rFonts w:hint="default"/>
                      <w:color w:val="000000"/>
                      <w:kern w:val="0"/>
                      <w:sz w:val="21"/>
                      <w:szCs w:val="21"/>
                      <w:highlight w:val="none"/>
                      <w:lang w:val="en-US" w:eastAsia="zh-CN"/>
                    </w:rPr>
                  </w:pPr>
                  <w:r>
                    <w:rPr>
                      <w:rFonts w:hint="default"/>
                      <w:color w:val="000000"/>
                      <w:kern w:val="0"/>
                      <w:sz w:val="21"/>
                      <w:szCs w:val="21"/>
                      <w:highlight w:val="none"/>
                      <w:lang w:val="en-US" w:eastAsia="zh-CN"/>
                    </w:rPr>
                    <w:t>本项目</w:t>
                  </w:r>
                  <w:r>
                    <w:rPr>
                      <w:rFonts w:hint="eastAsia"/>
                      <w:color w:val="000000"/>
                      <w:kern w:val="0"/>
                      <w:sz w:val="21"/>
                      <w:szCs w:val="21"/>
                      <w:highlight w:val="none"/>
                      <w:lang w:val="en-US" w:eastAsia="zh-CN"/>
                    </w:rPr>
                    <w:t>不涉及该条款。</w:t>
                  </w:r>
                </w:p>
              </w:tc>
              <w:tc>
                <w:tcPr>
                  <w:tcW w:w="684" w:type="dxa"/>
                  <w:noWrap w:val="0"/>
                  <w:vAlign w:val="center"/>
                </w:tcPr>
                <w:p w14:paraId="4D0D8C90">
                  <w:pPr>
                    <w:widowControl/>
                    <w:jc w:val="center"/>
                    <w:rPr>
                      <w:rFonts w:hint="default" w:eastAsia="宋体"/>
                      <w:color w:val="000000"/>
                      <w:kern w:val="0"/>
                      <w:sz w:val="21"/>
                      <w:szCs w:val="21"/>
                      <w:highlight w:val="none"/>
                      <w:lang w:val="en-US" w:eastAsia="zh-CN"/>
                    </w:rPr>
                  </w:pPr>
                  <w:r>
                    <w:rPr>
                      <w:rFonts w:hint="eastAsia"/>
                      <w:color w:val="000000"/>
                      <w:kern w:val="0"/>
                      <w:sz w:val="21"/>
                      <w:szCs w:val="21"/>
                      <w:highlight w:val="none"/>
                      <w:lang w:val="en-US" w:eastAsia="zh-CN"/>
                    </w:rPr>
                    <w:t>符合</w:t>
                  </w:r>
                </w:p>
              </w:tc>
            </w:tr>
            <w:tr w14:paraId="46CF2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2" w:hRule="atLeast"/>
                <w:jc w:val="center"/>
              </w:trPr>
              <w:tc>
                <w:tcPr>
                  <w:tcW w:w="568" w:type="dxa"/>
                  <w:noWrap w:val="0"/>
                  <w:vAlign w:val="center"/>
                </w:tcPr>
                <w:p w14:paraId="763ED4FD">
                  <w:pPr>
                    <w:jc w:val="center"/>
                    <w:rPr>
                      <w:rFonts w:ascii="Times New Roman" w:hAnsi="Times New Roman" w:eastAsia="宋体" w:cs="Times New Roman"/>
                      <w:b/>
                      <w:color w:val="000000"/>
                      <w:szCs w:val="21"/>
                      <w:highlight w:val="none"/>
                    </w:rPr>
                  </w:pPr>
                  <w:r>
                    <w:rPr>
                      <w:rFonts w:hint="eastAsia" w:ascii="Times New Roman" w:hAnsi="Times New Roman" w:eastAsia="宋体" w:cs="Times New Roman"/>
                      <w:b/>
                      <w:color w:val="000000"/>
                      <w:szCs w:val="21"/>
                      <w:highlight w:val="none"/>
                    </w:rPr>
                    <w:t>能源资源利用</w:t>
                  </w:r>
                </w:p>
              </w:tc>
              <w:tc>
                <w:tcPr>
                  <w:tcW w:w="3694" w:type="dxa"/>
                  <w:noWrap w:val="0"/>
                  <w:vAlign w:val="center"/>
                </w:tcPr>
                <w:p w14:paraId="794E70C2">
                  <w:pPr>
                    <w:jc w:val="both"/>
                    <w:rPr>
                      <w:rFonts w:hint="eastAsia" w:ascii="Times New Roman" w:hAnsi="Times New Roman" w:eastAsia="宋体" w:cs="Times New Roman"/>
                      <w:b w:val="0"/>
                      <w:bCs/>
                      <w:color w:val="000000"/>
                      <w:kern w:val="2"/>
                      <w:sz w:val="21"/>
                      <w:szCs w:val="21"/>
                      <w:highlight w:val="none"/>
                      <w:lang w:val="en-US" w:eastAsia="zh-CN" w:bidi="ar-SA"/>
                    </w:rPr>
                  </w:pPr>
                  <w:r>
                    <w:rPr>
                      <w:rFonts w:hint="eastAsia" w:ascii="Times New Roman" w:hAnsi="Times New Roman" w:eastAsia="宋体" w:cs="Times New Roman"/>
                      <w:b w:val="0"/>
                      <w:bCs/>
                      <w:color w:val="000000"/>
                      <w:kern w:val="2"/>
                      <w:sz w:val="21"/>
                      <w:szCs w:val="21"/>
                      <w:highlight w:val="none"/>
                      <w:lang w:val="en-US" w:eastAsia="zh-CN" w:bidi="ar-SA"/>
                    </w:rPr>
                    <w:t>2-1.【水资源/综合类】贯彻落实“节水优先”方针，实行最严格水资源管理制度。严格控制用水总量。</w:t>
                  </w:r>
                </w:p>
              </w:tc>
              <w:tc>
                <w:tcPr>
                  <w:tcW w:w="1792" w:type="dxa"/>
                  <w:noWrap w:val="0"/>
                  <w:vAlign w:val="center"/>
                </w:tcPr>
                <w:p w14:paraId="4A3273C1">
                  <w:pPr>
                    <w:widowControl/>
                    <w:jc w:val="center"/>
                    <w:rPr>
                      <w:rFonts w:hint="default"/>
                      <w:color w:val="000000"/>
                      <w:kern w:val="0"/>
                      <w:sz w:val="21"/>
                      <w:szCs w:val="21"/>
                      <w:highlight w:val="none"/>
                      <w:lang w:val="en-US" w:eastAsia="zh-CN"/>
                    </w:rPr>
                  </w:pPr>
                  <w:r>
                    <w:rPr>
                      <w:rFonts w:hint="eastAsia"/>
                      <w:color w:val="000000"/>
                      <w:kern w:val="0"/>
                      <w:sz w:val="21"/>
                      <w:szCs w:val="21"/>
                      <w:highlight w:val="none"/>
                      <w:lang w:val="en-US" w:eastAsia="zh-CN"/>
                    </w:rPr>
                    <w:t>本项目将严格控制用水总量。</w:t>
                  </w:r>
                </w:p>
              </w:tc>
              <w:tc>
                <w:tcPr>
                  <w:tcW w:w="684" w:type="dxa"/>
                  <w:noWrap w:val="0"/>
                  <w:vAlign w:val="center"/>
                </w:tcPr>
                <w:p w14:paraId="62A08177">
                  <w:pPr>
                    <w:widowControl/>
                    <w:jc w:val="center"/>
                    <w:rPr>
                      <w:rFonts w:hint="default" w:eastAsia="宋体"/>
                      <w:color w:val="000000"/>
                      <w:kern w:val="0"/>
                      <w:sz w:val="21"/>
                      <w:szCs w:val="21"/>
                      <w:highlight w:val="none"/>
                      <w:lang w:val="en-US" w:eastAsia="zh-CN"/>
                    </w:rPr>
                  </w:pPr>
                  <w:r>
                    <w:rPr>
                      <w:rFonts w:hint="eastAsia"/>
                      <w:color w:val="000000"/>
                      <w:kern w:val="0"/>
                      <w:sz w:val="21"/>
                      <w:szCs w:val="21"/>
                      <w:highlight w:val="none"/>
                      <w:lang w:val="en-US" w:eastAsia="zh-CN"/>
                    </w:rPr>
                    <w:t>符合</w:t>
                  </w:r>
                </w:p>
              </w:tc>
            </w:tr>
            <w:tr w14:paraId="785E8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2" w:hRule="atLeast"/>
                <w:jc w:val="center"/>
              </w:trPr>
              <w:tc>
                <w:tcPr>
                  <w:tcW w:w="568" w:type="dxa"/>
                  <w:vMerge w:val="restart"/>
                  <w:noWrap w:val="0"/>
                  <w:vAlign w:val="center"/>
                </w:tcPr>
                <w:p w14:paraId="3896A2FE">
                  <w:pPr>
                    <w:jc w:val="center"/>
                    <w:rPr>
                      <w:rFonts w:hint="eastAsia" w:ascii="Times New Roman" w:hAnsi="Times New Roman" w:eastAsia="宋体" w:cs="Times New Roman"/>
                      <w:b/>
                      <w:color w:val="000000"/>
                      <w:szCs w:val="21"/>
                      <w:highlight w:val="none"/>
                    </w:rPr>
                  </w:pPr>
                  <w:r>
                    <w:rPr>
                      <w:rFonts w:hint="eastAsia" w:ascii="Times New Roman" w:hAnsi="Times New Roman" w:eastAsia="宋体" w:cs="Times New Roman"/>
                      <w:b/>
                      <w:color w:val="000000"/>
                      <w:szCs w:val="21"/>
                      <w:highlight w:val="none"/>
                    </w:rPr>
                    <w:t>污染物排放管控</w:t>
                  </w:r>
                </w:p>
              </w:tc>
              <w:tc>
                <w:tcPr>
                  <w:tcW w:w="3694" w:type="dxa"/>
                  <w:noWrap w:val="0"/>
                  <w:vAlign w:val="center"/>
                </w:tcPr>
                <w:p w14:paraId="17F3FC2B">
                  <w:pPr>
                    <w:jc w:val="both"/>
                    <w:rPr>
                      <w:rFonts w:hint="eastAsia" w:ascii="Times New Roman" w:hAnsi="Times New Roman" w:eastAsia="宋体" w:cs="Times New Roman"/>
                      <w:b w:val="0"/>
                      <w:bCs/>
                      <w:color w:val="000000"/>
                      <w:kern w:val="2"/>
                      <w:sz w:val="21"/>
                      <w:szCs w:val="21"/>
                      <w:highlight w:val="none"/>
                      <w:lang w:val="en-US" w:eastAsia="zh-CN" w:bidi="ar-SA"/>
                    </w:rPr>
                  </w:pPr>
                  <w:r>
                    <w:rPr>
                      <w:rFonts w:hint="eastAsia" w:ascii="Times New Roman" w:hAnsi="Times New Roman" w:eastAsia="宋体" w:cs="Times New Roman"/>
                      <w:b w:val="0"/>
                      <w:bCs/>
                      <w:color w:val="000000"/>
                      <w:kern w:val="2"/>
                      <w:sz w:val="21"/>
                      <w:szCs w:val="21"/>
                      <w:highlight w:val="none"/>
                      <w:lang w:val="en-US" w:eastAsia="zh-CN" w:bidi="ar-SA"/>
                    </w:rPr>
                    <w:t>3-1.【水/限制类】新建、改建、扩建增加重金属污染物排放总量的建设项目应通过实施“区域削减”，实现增产减污。铅锌工业废水中总锌、总铅、总镉、总汞、总砷、总镍、总铬执行《铅、锌工业污染物排放标准》（GB 25466-2010）特别排放限值。</w:t>
                  </w:r>
                </w:p>
              </w:tc>
              <w:tc>
                <w:tcPr>
                  <w:tcW w:w="1792" w:type="dxa"/>
                  <w:noWrap w:val="0"/>
                  <w:vAlign w:val="center"/>
                </w:tcPr>
                <w:p w14:paraId="504DA091">
                  <w:pPr>
                    <w:widowControl/>
                    <w:jc w:val="center"/>
                    <w:rPr>
                      <w:rFonts w:hint="default"/>
                      <w:color w:val="000000"/>
                      <w:kern w:val="0"/>
                      <w:sz w:val="21"/>
                      <w:szCs w:val="21"/>
                      <w:highlight w:val="none"/>
                      <w:lang w:val="en-US" w:eastAsia="zh-CN"/>
                    </w:rPr>
                  </w:pPr>
                  <w:r>
                    <w:rPr>
                      <w:rFonts w:hint="eastAsia"/>
                      <w:color w:val="000000"/>
                      <w:kern w:val="0"/>
                      <w:sz w:val="21"/>
                      <w:szCs w:val="21"/>
                      <w:highlight w:val="none"/>
                      <w:lang w:val="en-US" w:eastAsia="zh-CN"/>
                    </w:rPr>
                    <w:t>本项目不涉及重金属污染物排放。</w:t>
                  </w:r>
                </w:p>
              </w:tc>
              <w:tc>
                <w:tcPr>
                  <w:tcW w:w="684" w:type="dxa"/>
                  <w:noWrap w:val="0"/>
                  <w:vAlign w:val="center"/>
                </w:tcPr>
                <w:p w14:paraId="317DEBCF">
                  <w:pPr>
                    <w:widowControl/>
                    <w:jc w:val="center"/>
                    <w:rPr>
                      <w:rFonts w:hint="default" w:eastAsia="宋体"/>
                      <w:color w:val="000000"/>
                      <w:kern w:val="0"/>
                      <w:sz w:val="21"/>
                      <w:szCs w:val="21"/>
                      <w:highlight w:val="none"/>
                      <w:lang w:val="en-US" w:eastAsia="zh-CN"/>
                    </w:rPr>
                  </w:pPr>
                  <w:r>
                    <w:rPr>
                      <w:rFonts w:hint="eastAsia"/>
                      <w:color w:val="000000"/>
                      <w:kern w:val="0"/>
                      <w:sz w:val="21"/>
                      <w:szCs w:val="21"/>
                      <w:highlight w:val="none"/>
                      <w:lang w:val="en-US" w:eastAsia="zh-CN"/>
                    </w:rPr>
                    <w:t>符合</w:t>
                  </w:r>
                </w:p>
              </w:tc>
            </w:tr>
            <w:tr w14:paraId="7C7E0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2" w:hRule="atLeast"/>
                <w:jc w:val="center"/>
              </w:trPr>
              <w:tc>
                <w:tcPr>
                  <w:tcW w:w="568" w:type="dxa"/>
                  <w:vMerge w:val="continue"/>
                  <w:noWrap w:val="0"/>
                  <w:vAlign w:val="center"/>
                </w:tcPr>
                <w:p w14:paraId="3386C357">
                  <w:pPr>
                    <w:jc w:val="center"/>
                    <w:rPr>
                      <w:rFonts w:hint="eastAsia" w:ascii="Times New Roman" w:hAnsi="Times New Roman" w:eastAsia="宋体" w:cs="Times New Roman"/>
                      <w:b/>
                      <w:color w:val="000000"/>
                      <w:szCs w:val="21"/>
                      <w:highlight w:val="none"/>
                    </w:rPr>
                  </w:pPr>
                </w:p>
              </w:tc>
              <w:tc>
                <w:tcPr>
                  <w:tcW w:w="3694" w:type="dxa"/>
                  <w:noWrap w:val="0"/>
                  <w:vAlign w:val="center"/>
                </w:tcPr>
                <w:p w14:paraId="05B38840">
                  <w:pPr>
                    <w:jc w:val="both"/>
                    <w:rPr>
                      <w:rFonts w:hint="eastAsia" w:ascii="Times New Roman" w:hAnsi="Times New Roman" w:eastAsia="宋体" w:cs="Times New Roman"/>
                      <w:b w:val="0"/>
                      <w:bCs/>
                      <w:color w:val="000000"/>
                      <w:kern w:val="2"/>
                      <w:sz w:val="21"/>
                      <w:szCs w:val="21"/>
                      <w:highlight w:val="none"/>
                      <w:lang w:val="en-US" w:eastAsia="zh-CN" w:bidi="ar-SA"/>
                    </w:rPr>
                  </w:pPr>
                  <w:r>
                    <w:rPr>
                      <w:rFonts w:hint="eastAsia" w:ascii="Times New Roman" w:hAnsi="Times New Roman" w:eastAsia="宋体" w:cs="Times New Roman"/>
                      <w:b w:val="0"/>
                      <w:bCs/>
                      <w:color w:val="000000"/>
                      <w:kern w:val="2"/>
                      <w:sz w:val="21"/>
                      <w:szCs w:val="21"/>
                      <w:highlight w:val="none"/>
                      <w:lang w:val="en-US" w:eastAsia="zh-CN" w:bidi="ar-SA"/>
                    </w:rPr>
                    <w:t>3-2.【水/综合类】持续推进化肥农药减量增效，加强种植业、水产养殖业废水收集处理，鼓励实施农田灌溉退水生态治理。</w:t>
                  </w:r>
                </w:p>
              </w:tc>
              <w:tc>
                <w:tcPr>
                  <w:tcW w:w="1792" w:type="dxa"/>
                  <w:noWrap w:val="0"/>
                  <w:vAlign w:val="center"/>
                </w:tcPr>
                <w:p w14:paraId="714C9F75">
                  <w:pPr>
                    <w:widowControl/>
                    <w:jc w:val="center"/>
                    <w:rPr>
                      <w:rFonts w:hint="default"/>
                      <w:color w:val="000000"/>
                      <w:kern w:val="0"/>
                      <w:sz w:val="21"/>
                      <w:szCs w:val="21"/>
                      <w:highlight w:val="none"/>
                      <w:lang w:val="en-US" w:eastAsia="zh-CN"/>
                    </w:rPr>
                  </w:pPr>
                  <w:r>
                    <w:rPr>
                      <w:rFonts w:hint="eastAsia"/>
                      <w:color w:val="000000"/>
                      <w:kern w:val="0"/>
                      <w:sz w:val="21"/>
                      <w:szCs w:val="21"/>
                      <w:highlight w:val="none"/>
                      <w:lang w:val="en-US" w:eastAsia="zh-CN"/>
                    </w:rPr>
                    <w:t>本项目不涉及该条款。</w:t>
                  </w:r>
                </w:p>
              </w:tc>
              <w:tc>
                <w:tcPr>
                  <w:tcW w:w="684" w:type="dxa"/>
                  <w:noWrap w:val="0"/>
                  <w:vAlign w:val="center"/>
                </w:tcPr>
                <w:p w14:paraId="057291B0">
                  <w:pPr>
                    <w:widowControl/>
                    <w:jc w:val="center"/>
                    <w:rPr>
                      <w:rFonts w:hint="default" w:eastAsia="宋体"/>
                      <w:color w:val="000000"/>
                      <w:kern w:val="0"/>
                      <w:sz w:val="21"/>
                      <w:szCs w:val="21"/>
                      <w:highlight w:val="none"/>
                      <w:lang w:val="en-US" w:eastAsia="zh-CN"/>
                    </w:rPr>
                  </w:pPr>
                  <w:r>
                    <w:rPr>
                      <w:rFonts w:hint="eastAsia"/>
                      <w:color w:val="000000"/>
                      <w:kern w:val="0"/>
                      <w:sz w:val="21"/>
                      <w:szCs w:val="21"/>
                      <w:highlight w:val="none"/>
                      <w:lang w:val="en-US" w:eastAsia="zh-CN"/>
                    </w:rPr>
                    <w:t>符合</w:t>
                  </w:r>
                </w:p>
              </w:tc>
            </w:tr>
            <w:tr w14:paraId="375E8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2" w:hRule="atLeast"/>
                <w:jc w:val="center"/>
              </w:trPr>
              <w:tc>
                <w:tcPr>
                  <w:tcW w:w="568" w:type="dxa"/>
                  <w:vMerge w:val="continue"/>
                  <w:noWrap w:val="0"/>
                  <w:vAlign w:val="center"/>
                </w:tcPr>
                <w:p w14:paraId="63DB1D1C">
                  <w:pPr>
                    <w:jc w:val="center"/>
                    <w:rPr>
                      <w:rFonts w:hint="eastAsia" w:ascii="Times New Roman" w:hAnsi="Times New Roman" w:eastAsia="宋体" w:cs="Times New Roman"/>
                      <w:b/>
                      <w:color w:val="000000"/>
                      <w:szCs w:val="21"/>
                      <w:highlight w:val="none"/>
                    </w:rPr>
                  </w:pPr>
                </w:p>
              </w:tc>
              <w:tc>
                <w:tcPr>
                  <w:tcW w:w="3694" w:type="dxa"/>
                  <w:noWrap w:val="0"/>
                  <w:vAlign w:val="center"/>
                </w:tcPr>
                <w:p w14:paraId="51AB4634">
                  <w:pPr>
                    <w:jc w:val="both"/>
                    <w:rPr>
                      <w:rFonts w:hint="eastAsia" w:ascii="Times New Roman" w:hAnsi="Times New Roman" w:eastAsia="宋体" w:cs="Times New Roman"/>
                      <w:b w:val="0"/>
                      <w:bCs/>
                      <w:color w:val="000000"/>
                      <w:kern w:val="2"/>
                      <w:sz w:val="21"/>
                      <w:szCs w:val="21"/>
                      <w:highlight w:val="none"/>
                      <w:lang w:val="en-US" w:eastAsia="zh-CN" w:bidi="ar-SA"/>
                    </w:rPr>
                  </w:pPr>
                  <w:r>
                    <w:rPr>
                      <w:rFonts w:hint="eastAsia" w:ascii="Times New Roman" w:hAnsi="Times New Roman" w:eastAsia="宋体" w:cs="Times New Roman"/>
                      <w:b w:val="0"/>
                      <w:bCs/>
                      <w:color w:val="000000"/>
                      <w:kern w:val="2"/>
                      <w:sz w:val="21"/>
                      <w:szCs w:val="21"/>
                      <w:highlight w:val="none"/>
                      <w:lang w:val="en-US" w:eastAsia="zh-CN" w:bidi="ar-SA"/>
                    </w:rPr>
                    <w:t>3-3.【水/综合类】以集中处理为主、分散处理为辅，科学筛选适合本地区的污水治理模式、技术和设施设备，因地制宜加强农村生活污水处理。</w:t>
                  </w:r>
                </w:p>
              </w:tc>
              <w:tc>
                <w:tcPr>
                  <w:tcW w:w="1792" w:type="dxa"/>
                  <w:noWrap w:val="0"/>
                  <w:vAlign w:val="center"/>
                </w:tcPr>
                <w:p w14:paraId="081549B0">
                  <w:pPr>
                    <w:widowControl/>
                    <w:jc w:val="center"/>
                    <w:rPr>
                      <w:rFonts w:hint="default"/>
                      <w:color w:val="000000"/>
                      <w:kern w:val="0"/>
                      <w:sz w:val="21"/>
                      <w:szCs w:val="21"/>
                      <w:highlight w:val="none"/>
                      <w:lang w:val="en-US" w:eastAsia="zh-CN"/>
                    </w:rPr>
                  </w:pPr>
                  <w:r>
                    <w:rPr>
                      <w:rFonts w:hint="eastAsia"/>
                      <w:color w:val="000000"/>
                      <w:kern w:val="0"/>
                      <w:sz w:val="21"/>
                      <w:szCs w:val="21"/>
                      <w:highlight w:val="none"/>
                      <w:lang w:val="en-US" w:eastAsia="zh-CN"/>
                    </w:rPr>
                    <w:t>本项目不涉及该条款。</w:t>
                  </w:r>
                </w:p>
              </w:tc>
              <w:tc>
                <w:tcPr>
                  <w:tcW w:w="684" w:type="dxa"/>
                  <w:noWrap w:val="0"/>
                  <w:vAlign w:val="center"/>
                </w:tcPr>
                <w:p w14:paraId="008787BF">
                  <w:pPr>
                    <w:widowControl/>
                    <w:jc w:val="center"/>
                    <w:rPr>
                      <w:rFonts w:hint="default" w:eastAsia="宋体"/>
                      <w:color w:val="000000"/>
                      <w:kern w:val="0"/>
                      <w:sz w:val="21"/>
                      <w:szCs w:val="21"/>
                      <w:highlight w:val="none"/>
                      <w:lang w:val="en-US" w:eastAsia="zh-CN"/>
                    </w:rPr>
                  </w:pPr>
                  <w:r>
                    <w:rPr>
                      <w:rFonts w:hint="eastAsia"/>
                      <w:color w:val="000000"/>
                      <w:kern w:val="0"/>
                      <w:sz w:val="21"/>
                      <w:szCs w:val="21"/>
                      <w:highlight w:val="none"/>
                      <w:lang w:val="en-US" w:eastAsia="zh-CN"/>
                    </w:rPr>
                    <w:t>符合</w:t>
                  </w:r>
                </w:p>
              </w:tc>
            </w:tr>
            <w:tr w14:paraId="162D0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2" w:hRule="atLeast"/>
                <w:jc w:val="center"/>
              </w:trPr>
              <w:tc>
                <w:tcPr>
                  <w:tcW w:w="568" w:type="dxa"/>
                  <w:noWrap w:val="0"/>
                  <w:vAlign w:val="center"/>
                </w:tcPr>
                <w:p w14:paraId="1D72250A">
                  <w:pPr>
                    <w:jc w:val="center"/>
                    <w:rPr>
                      <w:rFonts w:hint="eastAsia" w:ascii="Times New Roman" w:hAnsi="Times New Roman" w:eastAsia="宋体" w:cs="Times New Roman"/>
                      <w:b/>
                      <w:color w:val="000000"/>
                      <w:szCs w:val="21"/>
                      <w:highlight w:val="none"/>
                    </w:rPr>
                  </w:pPr>
                  <w:r>
                    <w:rPr>
                      <w:rFonts w:hint="eastAsia" w:ascii="Times New Roman" w:hAnsi="Times New Roman" w:eastAsia="宋体" w:cs="Times New Roman"/>
                      <w:b/>
                      <w:color w:val="000000"/>
                      <w:szCs w:val="21"/>
                      <w:highlight w:val="none"/>
                    </w:rPr>
                    <w:t>环境风险防控</w:t>
                  </w:r>
                </w:p>
              </w:tc>
              <w:tc>
                <w:tcPr>
                  <w:tcW w:w="3694" w:type="dxa"/>
                  <w:noWrap w:val="0"/>
                  <w:vAlign w:val="center"/>
                </w:tcPr>
                <w:p w14:paraId="3454F282">
                  <w:pPr>
                    <w:jc w:val="both"/>
                    <w:rPr>
                      <w:rFonts w:hint="eastAsia" w:ascii="Times New Roman" w:hAnsi="Times New Roman" w:eastAsia="宋体" w:cs="Times New Roman"/>
                      <w:b w:val="0"/>
                      <w:bCs/>
                      <w:color w:val="000000"/>
                      <w:kern w:val="2"/>
                      <w:sz w:val="21"/>
                      <w:szCs w:val="21"/>
                      <w:highlight w:val="none"/>
                      <w:lang w:val="en-US" w:eastAsia="zh-CN" w:bidi="ar-SA"/>
                    </w:rPr>
                  </w:pPr>
                  <w:r>
                    <w:rPr>
                      <w:rFonts w:hint="eastAsia" w:ascii="Times New Roman" w:hAnsi="Times New Roman" w:eastAsia="宋体" w:cs="Times New Roman"/>
                      <w:b w:val="0"/>
                      <w:bCs/>
                      <w:color w:val="000000"/>
                      <w:kern w:val="2"/>
                      <w:sz w:val="21"/>
                      <w:szCs w:val="21"/>
                      <w:highlight w:val="none"/>
                      <w:lang w:val="en-US" w:eastAsia="zh-CN" w:bidi="ar-SA"/>
                    </w:rPr>
                    <w:t>4-1.【其他/综合类】建立健全政府主导、部门协调、分级负责的环境应急管理机制，构建多级环境风险应急预案体系，加强和完善基层环境应急管理。</w:t>
                  </w:r>
                </w:p>
              </w:tc>
              <w:tc>
                <w:tcPr>
                  <w:tcW w:w="1792" w:type="dxa"/>
                  <w:noWrap w:val="0"/>
                  <w:vAlign w:val="center"/>
                </w:tcPr>
                <w:p w14:paraId="75BD19BE">
                  <w:pPr>
                    <w:widowControl/>
                    <w:jc w:val="center"/>
                    <w:rPr>
                      <w:rFonts w:hint="eastAsia"/>
                      <w:color w:val="000000"/>
                      <w:kern w:val="0"/>
                      <w:sz w:val="21"/>
                      <w:szCs w:val="21"/>
                      <w:highlight w:val="none"/>
                      <w:lang w:val="en-US" w:eastAsia="zh-CN"/>
                    </w:rPr>
                  </w:pPr>
                  <w:r>
                    <w:rPr>
                      <w:rFonts w:hint="eastAsia"/>
                      <w:color w:val="000000"/>
                      <w:kern w:val="0"/>
                      <w:sz w:val="21"/>
                      <w:szCs w:val="21"/>
                      <w:highlight w:val="none"/>
                      <w:lang w:val="en-US" w:eastAsia="zh-CN"/>
                    </w:rPr>
                    <w:t>本项目将建立并落实有效的事故风险防范和应急管理体系。</w:t>
                  </w:r>
                </w:p>
              </w:tc>
              <w:tc>
                <w:tcPr>
                  <w:tcW w:w="684" w:type="dxa"/>
                  <w:noWrap w:val="0"/>
                  <w:vAlign w:val="center"/>
                </w:tcPr>
                <w:p w14:paraId="5624AC30">
                  <w:pPr>
                    <w:widowControl/>
                    <w:jc w:val="center"/>
                    <w:rPr>
                      <w:rFonts w:hint="default" w:eastAsia="宋体"/>
                      <w:color w:val="000000"/>
                      <w:kern w:val="0"/>
                      <w:sz w:val="21"/>
                      <w:szCs w:val="21"/>
                      <w:highlight w:val="none"/>
                      <w:lang w:val="en-US" w:eastAsia="zh-CN"/>
                    </w:rPr>
                  </w:pPr>
                  <w:r>
                    <w:rPr>
                      <w:rFonts w:hint="eastAsia"/>
                      <w:color w:val="000000"/>
                      <w:kern w:val="0"/>
                      <w:sz w:val="21"/>
                      <w:szCs w:val="21"/>
                      <w:highlight w:val="none"/>
                      <w:lang w:val="en-US" w:eastAsia="zh-CN"/>
                    </w:rPr>
                    <w:t>符合</w:t>
                  </w:r>
                </w:p>
              </w:tc>
            </w:tr>
          </w:tbl>
          <w:p w14:paraId="4BF16B6A">
            <w:pPr>
              <w:pStyle w:val="109"/>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jc w:val="both"/>
              <w:textAlignment w:val="auto"/>
              <w:rPr>
                <w:rFonts w:hint="default" w:ascii="Times New Roman" w:hAnsi="Times New Roman" w:eastAsia="宋体" w:cs="Times New Roman"/>
                <w:b w:val="0"/>
                <w:bCs/>
                <w:color w:val="000000"/>
                <w:highlight w:val="none"/>
                <w:lang w:val="en-US" w:eastAsia="zh-CN"/>
              </w:rPr>
            </w:pPr>
            <w:r>
              <w:rPr>
                <w:rFonts w:hint="eastAsia"/>
                <w:b w:val="0"/>
                <w:bCs/>
                <w:color w:val="000000"/>
                <w:kern w:val="0"/>
                <w:sz w:val="24"/>
                <w:szCs w:val="21"/>
                <w:highlight w:val="none"/>
              </w:rPr>
              <w:t>由表</w:t>
            </w:r>
            <w:r>
              <w:rPr>
                <w:rFonts w:hint="default" w:ascii="Times New Roman" w:hAnsi="Times New Roman" w:cs="Times New Roman"/>
                <w:b w:val="0"/>
                <w:bCs/>
                <w:color w:val="000000"/>
                <w:kern w:val="0"/>
                <w:sz w:val="24"/>
                <w:szCs w:val="21"/>
                <w:highlight w:val="none"/>
                <w:lang w:val="en-US" w:eastAsia="zh-CN"/>
              </w:rPr>
              <w:t>1-2</w:t>
            </w:r>
            <w:r>
              <w:rPr>
                <w:rFonts w:hint="eastAsia"/>
                <w:b w:val="0"/>
                <w:bCs/>
                <w:color w:val="000000"/>
                <w:kern w:val="0"/>
                <w:sz w:val="24"/>
                <w:szCs w:val="21"/>
                <w:highlight w:val="none"/>
              </w:rPr>
              <w:t>可知，本项目符合环境管控单元总体管控要求。</w:t>
            </w:r>
          </w:p>
          <w:p w14:paraId="4C8DC580">
            <w:pPr>
              <w:pStyle w:val="109"/>
              <w:bidi w:val="0"/>
              <w:spacing w:line="360" w:lineRule="auto"/>
              <w:ind w:firstLine="482" w:firstLineChars="200"/>
              <w:jc w:val="both"/>
              <w:rPr>
                <w:rFonts w:hint="default" w:ascii="Times New Roman" w:hAnsi="Times New Roman" w:eastAsia="宋体" w:cs="Times New Roman"/>
                <w:b/>
                <w:bCs w:val="0"/>
                <w:color w:val="000000"/>
                <w:highlight w:val="none"/>
                <w:lang w:val="en-US" w:eastAsia="zh-CN"/>
              </w:rPr>
            </w:pPr>
            <w:r>
              <w:rPr>
                <w:rFonts w:hint="eastAsia" w:ascii="Times New Roman" w:hAnsi="Times New Roman" w:cs="Times New Roman"/>
                <w:b/>
                <w:bCs w:val="0"/>
                <w:color w:val="000000"/>
                <w:highlight w:val="none"/>
                <w:lang w:val="en-US" w:eastAsia="zh-CN"/>
              </w:rPr>
              <w:t>5、</w:t>
            </w:r>
            <w:r>
              <w:rPr>
                <w:rFonts w:hint="default" w:ascii="Times New Roman" w:hAnsi="Times New Roman" w:eastAsia="宋体" w:cs="Times New Roman"/>
                <w:b/>
                <w:bCs w:val="0"/>
                <w:color w:val="000000"/>
                <w:highlight w:val="none"/>
                <w:lang w:val="en-US" w:eastAsia="zh-CN"/>
              </w:rPr>
              <w:t>环境准入负面清单相符性</w:t>
            </w:r>
            <w:r>
              <w:rPr>
                <w:rFonts w:hint="eastAsia" w:ascii="Times New Roman" w:hAnsi="Times New Roman" w:cs="Times New Roman"/>
                <w:b/>
                <w:bCs w:val="0"/>
                <w:color w:val="000000"/>
                <w:highlight w:val="none"/>
                <w:lang w:val="en-US" w:eastAsia="zh-CN"/>
              </w:rPr>
              <w:t>分析</w:t>
            </w:r>
          </w:p>
          <w:p w14:paraId="18391306">
            <w:pPr>
              <w:pStyle w:val="109"/>
              <w:bidi w:val="0"/>
              <w:spacing w:line="360" w:lineRule="auto"/>
              <w:ind w:firstLine="480" w:firstLineChars="200"/>
              <w:jc w:val="both"/>
              <w:rPr>
                <w:rFonts w:hint="default" w:ascii="Times New Roman" w:hAnsi="Times New Roman" w:cs="Times New Roman"/>
                <w:b w:val="0"/>
                <w:bCs/>
                <w:color w:val="000000"/>
                <w:highlight w:val="none"/>
                <w:lang w:val="en-US" w:eastAsia="zh-CN"/>
              </w:rPr>
            </w:pPr>
            <w:r>
              <w:rPr>
                <w:rFonts w:hint="default" w:ascii="Times New Roman" w:hAnsi="Times New Roman" w:cs="Times New Roman"/>
                <w:b w:val="0"/>
                <w:bCs/>
                <w:color w:val="000000"/>
                <w:highlight w:val="none"/>
                <w:lang w:val="en-US" w:eastAsia="zh-CN"/>
              </w:rPr>
              <w:t>本项目不属于国家《产业结构调整指导目录（2024年本）》的淘汰类和限制类，属于允许建设类项目；不属于《市场准入负面清单》（202</w:t>
            </w:r>
            <w:r>
              <w:rPr>
                <w:rFonts w:hint="eastAsia" w:ascii="Times New Roman" w:hAnsi="Times New Roman" w:cs="Times New Roman"/>
                <w:b w:val="0"/>
                <w:bCs/>
                <w:color w:val="000000"/>
                <w:highlight w:val="none"/>
                <w:lang w:val="en-US" w:eastAsia="zh-CN"/>
              </w:rPr>
              <w:t>5</w:t>
            </w:r>
            <w:r>
              <w:rPr>
                <w:rFonts w:hint="default" w:ascii="Times New Roman" w:hAnsi="Times New Roman" w:cs="Times New Roman"/>
                <w:b w:val="0"/>
                <w:bCs/>
                <w:color w:val="000000"/>
                <w:highlight w:val="none"/>
                <w:lang w:val="en-US" w:eastAsia="zh-CN"/>
              </w:rPr>
              <w:t>年版）中的禁止准入类。综上所述，本项目符合韶关市“三线一单”各项管控要求。</w:t>
            </w:r>
          </w:p>
          <w:p w14:paraId="561D00C9">
            <w:pPr>
              <w:pStyle w:val="109"/>
              <w:numPr>
                <w:ilvl w:val="0"/>
                <w:numId w:val="1"/>
              </w:numPr>
              <w:bidi w:val="0"/>
              <w:spacing w:line="360" w:lineRule="auto"/>
              <w:ind w:firstLine="482" w:firstLineChars="200"/>
              <w:jc w:val="both"/>
              <w:rPr>
                <w:rFonts w:hint="eastAsia" w:ascii="Times New Roman" w:hAnsi="Times New Roman" w:eastAsia="宋体" w:cs="Times New Roman"/>
                <w:b/>
                <w:bCs w:val="0"/>
                <w:color w:val="000000"/>
                <w:highlight w:val="none"/>
                <w:lang w:val="en-US" w:eastAsia="zh-CN"/>
              </w:rPr>
            </w:pPr>
            <w:r>
              <w:rPr>
                <w:rFonts w:hint="eastAsia" w:ascii="Times New Roman" w:hAnsi="Times New Roman" w:eastAsia="宋体" w:cs="Times New Roman"/>
                <w:b/>
                <w:bCs w:val="0"/>
                <w:color w:val="000000"/>
                <w:highlight w:val="none"/>
                <w:lang w:val="en-US" w:eastAsia="zh-CN"/>
              </w:rPr>
              <w:t>与《关于印发&lt;广东省生态环境保护“十四五”规划&gt;的通知》（粤环〔2021〕10号）相符性</w:t>
            </w:r>
          </w:p>
          <w:p w14:paraId="20B061C5">
            <w:pPr>
              <w:pStyle w:val="109"/>
              <w:bidi w:val="0"/>
              <w:spacing w:line="360" w:lineRule="auto"/>
              <w:ind w:firstLine="480" w:firstLineChars="200"/>
              <w:jc w:val="both"/>
              <w:rPr>
                <w:rFonts w:hint="eastAsia" w:ascii="Times New Roman" w:hAnsi="Times New Roman" w:eastAsia="宋体" w:cs="Times New Roman"/>
                <w:b w:val="0"/>
                <w:bCs/>
                <w:color w:val="000000"/>
                <w:highlight w:val="none"/>
                <w:lang w:val="en-US" w:eastAsia="zh-CN"/>
              </w:rPr>
            </w:pPr>
            <w:r>
              <w:rPr>
                <w:rFonts w:hint="eastAsia" w:ascii="Times New Roman" w:hAnsi="Times New Roman" w:eastAsia="宋体" w:cs="Times New Roman"/>
                <w:b w:val="0"/>
                <w:bCs/>
                <w:color w:val="000000"/>
                <w:highlight w:val="none"/>
                <w:lang w:val="en-US" w:eastAsia="zh-CN"/>
              </w:rPr>
              <w:t>《广东省生态环境保护“十四五”规划》要求：珠三角禁止新建、扩建燃煤燃油火电机组和企业燃煤燃油自备电站，推进沙角电厂等列入淘汰计划的老旧燃煤机组和企业自备电站有序退出，原则上不再新建燃煤锅炉，逐步淘汰生物质锅炉、集中供热管网覆盖区域内的分散供热锅炉；粤东西北地区县级及以上城市建成区禁止新建35蒸吨/小时及以下燃煤锅炉。加强生物质锅炉燃料品质及排放管控，禁止使用劣质燃料或掺烧垃圾、工业固废等。</w:t>
            </w:r>
          </w:p>
          <w:p w14:paraId="6BB231AB">
            <w:pPr>
              <w:pStyle w:val="109"/>
              <w:bidi w:val="0"/>
              <w:spacing w:line="360" w:lineRule="auto"/>
              <w:ind w:firstLine="480" w:firstLineChars="200"/>
              <w:jc w:val="both"/>
              <w:rPr>
                <w:rFonts w:hint="eastAsia" w:ascii="Times New Roman" w:hAnsi="Times New Roman" w:eastAsia="宋体" w:cs="Times New Roman"/>
                <w:b w:val="0"/>
                <w:bCs/>
                <w:color w:val="000000"/>
                <w:highlight w:val="none"/>
                <w:lang w:val="en-US" w:eastAsia="zh-CN"/>
              </w:rPr>
            </w:pPr>
            <w:r>
              <w:rPr>
                <w:rFonts w:hint="eastAsia" w:ascii="Times New Roman" w:hAnsi="Times New Roman" w:eastAsia="宋体" w:cs="Times New Roman"/>
                <w:b w:val="0"/>
                <w:bCs/>
                <w:color w:val="000000"/>
                <w:highlight w:val="none"/>
                <w:lang w:val="en-US" w:eastAsia="zh-CN"/>
              </w:rPr>
              <w:t>本项目位于乐昌市坪石镇粤湘产业工业园内，为解决近期广东华电坪石发电厂供热能力不能满足乐昌东锆新材料有限公司蒸汽需求的问题</w:t>
            </w:r>
            <w:r>
              <w:rPr>
                <w:rFonts w:hint="eastAsia" w:ascii="Times New Roman" w:hAnsi="Times New Roman" w:cs="Times New Roman"/>
                <w:b w:val="0"/>
                <w:bCs/>
                <w:color w:val="000000"/>
                <w:highlight w:val="none"/>
                <w:lang w:val="en-US" w:eastAsia="zh-CN"/>
              </w:rPr>
              <w:t>，</w:t>
            </w:r>
            <w:r>
              <w:rPr>
                <w:rFonts w:hint="eastAsia" w:ascii="Times New Roman" w:hAnsi="Times New Roman" w:eastAsia="宋体" w:cs="Times New Roman"/>
                <w:b w:val="0"/>
                <w:bCs/>
                <w:color w:val="000000"/>
                <w:highlight w:val="none"/>
                <w:lang w:val="en-US" w:eastAsia="zh-CN"/>
              </w:rPr>
              <w:t>新建2×25t/h的生物质锅炉充分保障乐昌东锆新材料有限公司的蒸汽需求，同时保留将来为粤湘产业园内企业的用热需求的扩产条件，不在珠三角地区，不属于35蒸吨/小时及以下燃煤锅炉，使用的生物质燃料不掺烧垃圾、工业固废，不使用劣质燃料。</w:t>
            </w:r>
          </w:p>
          <w:p w14:paraId="1D696BBB">
            <w:pPr>
              <w:pStyle w:val="109"/>
              <w:bidi w:val="0"/>
              <w:spacing w:line="360" w:lineRule="auto"/>
              <w:ind w:firstLine="480" w:firstLineChars="200"/>
              <w:jc w:val="both"/>
              <w:rPr>
                <w:rFonts w:hint="eastAsia" w:ascii="Times New Roman" w:hAnsi="Times New Roman" w:eastAsia="宋体" w:cs="Times New Roman"/>
                <w:b w:val="0"/>
                <w:bCs/>
                <w:color w:val="000000"/>
                <w:highlight w:val="none"/>
                <w:lang w:val="en-US" w:eastAsia="zh-CN"/>
              </w:rPr>
            </w:pPr>
            <w:r>
              <w:rPr>
                <w:rFonts w:hint="eastAsia" w:ascii="Times New Roman" w:hAnsi="Times New Roman" w:eastAsia="宋体" w:cs="Times New Roman"/>
                <w:b w:val="0"/>
                <w:bCs/>
                <w:color w:val="000000"/>
                <w:highlight w:val="none"/>
                <w:lang w:val="en-US" w:eastAsia="zh-CN"/>
              </w:rPr>
              <w:t>综上所述，本项目与《关于印发&lt;广东省生态环境保护“十四五”规划&gt;的通知》（粤环〔2021〕10号）相符。</w:t>
            </w:r>
          </w:p>
          <w:p w14:paraId="240DB307">
            <w:pPr>
              <w:pStyle w:val="109"/>
              <w:numPr>
                <w:ilvl w:val="0"/>
                <w:numId w:val="1"/>
              </w:numPr>
              <w:bidi w:val="0"/>
              <w:spacing w:line="360" w:lineRule="auto"/>
              <w:ind w:firstLine="482" w:firstLineChars="200"/>
              <w:jc w:val="both"/>
              <w:rPr>
                <w:rFonts w:hint="default" w:ascii="Times New Roman" w:hAnsi="Times New Roman" w:eastAsia="宋体" w:cs="Times New Roman"/>
                <w:b/>
                <w:bCs w:val="0"/>
                <w:color w:val="000000"/>
                <w:highlight w:val="none"/>
                <w:lang w:val="en-US" w:eastAsia="zh-CN"/>
              </w:rPr>
            </w:pPr>
            <w:r>
              <w:rPr>
                <w:rFonts w:hint="default" w:ascii="Times New Roman" w:hAnsi="Times New Roman" w:eastAsia="宋体" w:cs="Times New Roman"/>
                <w:b/>
                <w:bCs w:val="0"/>
                <w:color w:val="000000"/>
                <w:highlight w:val="none"/>
                <w:lang w:val="en-US" w:eastAsia="zh-CN"/>
              </w:rPr>
              <w:t>与《广东省生态环境厅关于 2021 年工业炉窑、锅炉综合整治重点工作的通知》（粤环函[2021]461 号）相符性分析</w:t>
            </w:r>
          </w:p>
          <w:p w14:paraId="5C5CBDDC">
            <w:pPr>
              <w:pStyle w:val="109"/>
              <w:bidi w:val="0"/>
              <w:spacing w:line="360" w:lineRule="auto"/>
              <w:ind w:firstLine="480" w:firstLineChars="200"/>
              <w:jc w:val="both"/>
              <w:rPr>
                <w:rFonts w:hint="default" w:ascii="Times New Roman" w:hAnsi="Times New Roman" w:eastAsia="宋体" w:cs="Times New Roman"/>
                <w:b w:val="0"/>
                <w:bCs/>
                <w:color w:val="000000"/>
                <w:highlight w:val="none"/>
                <w:lang w:val="en-US" w:eastAsia="zh-CN"/>
              </w:rPr>
            </w:pPr>
            <w:r>
              <w:rPr>
                <w:rFonts w:hint="default" w:ascii="Times New Roman" w:hAnsi="Times New Roman" w:eastAsia="宋体" w:cs="Times New Roman"/>
                <w:b w:val="0"/>
                <w:bCs/>
                <w:color w:val="000000"/>
                <w:highlight w:val="none"/>
                <w:lang w:val="en-US" w:eastAsia="zh-CN"/>
              </w:rPr>
              <w:t>1、珠三角各地应按照《广东省人民政府关于印发广东省 “三线一单”生态环境分区管控方案的通知》有关珠三角地区“逐步淘汰生物质锅炉”要求，优先淘汰由燃煤改造为燃生物质的锅炉。</w:t>
            </w:r>
          </w:p>
          <w:p w14:paraId="285E5F18">
            <w:pPr>
              <w:pStyle w:val="109"/>
              <w:bidi w:val="0"/>
              <w:spacing w:line="360" w:lineRule="auto"/>
              <w:ind w:firstLine="480" w:firstLineChars="200"/>
              <w:jc w:val="both"/>
              <w:rPr>
                <w:rFonts w:hint="default" w:ascii="Times New Roman" w:hAnsi="Times New Roman" w:eastAsia="宋体" w:cs="Times New Roman"/>
                <w:b w:val="0"/>
                <w:bCs/>
                <w:color w:val="000000"/>
                <w:highlight w:val="none"/>
                <w:lang w:val="en-US" w:eastAsia="zh-CN"/>
              </w:rPr>
            </w:pPr>
            <w:r>
              <w:rPr>
                <w:rFonts w:hint="default" w:ascii="Times New Roman" w:hAnsi="Times New Roman" w:eastAsia="宋体" w:cs="Times New Roman"/>
                <w:b w:val="0"/>
                <w:bCs/>
                <w:color w:val="000000"/>
                <w:highlight w:val="none"/>
                <w:lang w:val="en-US" w:eastAsia="zh-CN"/>
              </w:rPr>
              <w:t>2、加强工业炉窑、锅炉污染物排放环境执法力度，对不能稳定达标、存在违法违规行为的企业依法处罚、严格监管，并作为污染天气应对重点管控对象及监督性监测、双随机和相关专项行动的重点检查对象。</w:t>
            </w:r>
          </w:p>
          <w:p w14:paraId="364E77A5">
            <w:pPr>
              <w:pStyle w:val="109"/>
              <w:bidi w:val="0"/>
              <w:spacing w:line="360" w:lineRule="auto"/>
              <w:ind w:firstLine="480" w:firstLineChars="200"/>
              <w:jc w:val="both"/>
              <w:rPr>
                <w:rFonts w:hint="default" w:ascii="Times New Roman" w:hAnsi="Times New Roman" w:eastAsia="宋体" w:cs="Times New Roman"/>
                <w:b/>
                <w:bCs w:val="0"/>
                <w:color w:val="000000"/>
                <w:highlight w:val="none"/>
                <w:lang w:val="en-US" w:eastAsia="zh-CN"/>
              </w:rPr>
            </w:pPr>
            <w:r>
              <w:rPr>
                <w:rFonts w:hint="default" w:ascii="Times New Roman" w:hAnsi="Times New Roman" w:eastAsia="宋体" w:cs="Times New Roman"/>
                <w:b w:val="0"/>
                <w:bCs/>
                <w:color w:val="000000"/>
                <w:highlight w:val="none"/>
                <w:lang w:val="en-US" w:eastAsia="zh-CN"/>
              </w:rPr>
              <w:t>本项目位于粤北地区，锅炉污染物将采取严格的废气、废水污染治理措施进行治理，同时安装烟气自动监测设施并与环境管理部门联网以确保废气稳定达标排放。</w:t>
            </w:r>
          </w:p>
          <w:p w14:paraId="12BCE498">
            <w:pPr>
              <w:pStyle w:val="109"/>
              <w:numPr>
                <w:ilvl w:val="0"/>
                <w:numId w:val="1"/>
              </w:numPr>
              <w:bidi w:val="0"/>
              <w:spacing w:line="360" w:lineRule="auto"/>
              <w:ind w:firstLine="482" w:firstLineChars="200"/>
              <w:jc w:val="both"/>
              <w:rPr>
                <w:rFonts w:hint="eastAsia" w:ascii="Times New Roman" w:hAnsi="Times New Roman" w:eastAsia="宋体" w:cs="Times New Roman"/>
                <w:b/>
                <w:bCs w:val="0"/>
                <w:color w:val="000000"/>
                <w:highlight w:val="none"/>
                <w:lang w:val="en-US" w:eastAsia="zh-CN"/>
              </w:rPr>
            </w:pPr>
            <w:r>
              <w:rPr>
                <w:rFonts w:hint="eastAsia" w:ascii="Times New Roman" w:hAnsi="Times New Roman" w:eastAsia="宋体" w:cs="Times New Roman"/>
                <w:b/>
                <w:bCs w:val="0"/>
                <w:color w:val="000000"/>
                <w:highlight w:val="none"/>
                <w:lang w:val="en-US" w:eastAsia="zh-CN"/>
              </w:rPr>
              <w:t>与《关于印发韶关市生态环境保护“十四五”规划的通知》（韶府办〔2022〕1号）相符性</w:t>
            </w:r>
          </w:p>
          <w:p w14:paraId="55B3FD39">
            <w:pPr>
              <w:pStyle w:val="4"/>
              <w:spacing w:before="0" w:after="0"/>
              <w:ind w:firstLine="480" w:firstLineChars="200"/>
              <w:rPr>
                <w:rFonts w:hint="eastAsia" w:ascii="Times New Roman" w:hAnsi="Times New Roman" w:eastAsia="宋体" w:cs="Times New Roman"/>
                <w:b w:val="0"/>
                <w:bCs/>
                <w:color w:val="000000"/>
                <w:spacing w:val="0"/>
                <w:kern w:val="2"/>
                <w:sz w:val="24"/>
                <w:szCs w:val="24"/>
                <w:highlight w:val="none"/>
                <w:lang w:val="en-US" w:eastAsia="zh-CN" w:bidi="ar-SA"/>
              </w:rPr>
            </w:pPr>
            <w:bookmarkStart w:id="12" w:name="_Toc12826"/>
            <w:bookmarkStart w:id="13" w:name="_Toc26485"/>
            <w:bookmarkStart w:id="14" w:name="_Toc10991"/>
            <w:bookmarkStart w:id="15" w:name="_Toc1380"/>
            <w:bookmarkStart w:id="16" w:name="_Toc844"/>
            <w:bookmarkStart w:id="17" w:name="_Toc11925"/>
            <w:bookmarkStart w:id="18" w:name="_Toc18260"/>
            <w:bookmarkStart w:id="19" w:name="_Toc5626"/>
            <w:bookmarkStart w:id="20" w:name="_Toc23049"/>
            <w:bookmarkStart w:id="21" w:name="_Toc8797"/>
            <w:bookmarkStart w:id="22" w:name="_Toc26871"/>
            <w:bookmarkStart w:id="23" w:name="_Toc27877"/>
            <w:bookmarkStart w:id="24" w:name="_Toc18412"/>
            <w:bookmarkStart w:id="25" w:name="_Toc20513"/>
            <w:bookmarkStart w:id="26" w:name="_Toc22423"/>
            <w:bookmarkStart w:id="27" w:name="_Toc21148"/>
            <w:bookmarkStart w:id="28" w:name="_Toc17044"/>
            <w:bookmarkStart w:id="29" w:name="_Toc29502"/>
            <w:bookmarkStart w:id="30" w:name="_Toc7743"/>
            <w:bookmarkStart w:id="31" w:name="_Toc9364"/>
            <w:bookmarkStart w:id="32" w:name="_Toc13532"/>
            <w:r>
              <w:rPr>
                <w:rFonts w:hint="eastAsia" w:ascii="Times New Roman" w:hAnsi="Times New Roman" w:cs="Times New Roman"/>
                <w:b w:val="0"/>
                <w:bCs/>
                <w:color w:val="000000"/>
                <w:spacing w:val="0"/>
                <w:kern w:val="2"/>
                <w:sz w:val="24"/>
                <w:szCs w:val="24"/>
                <w:highlight w:val="none"/>
                <w:lang w:val="en-US" w:eastAsia="zh-CN" w:bidi="ar-SA"/>
              </w:rPr>
              <w:t>《韶关市生态环境保护“十四五”规划》要求：</w:t>
            </w:r>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r>
              <w:rPr>
                <w:rFonts w:hint="eastAsia" w:ascii="Times New Roman" w:hAnsi="Times New Roman" w:eastAsia="宋体" w:cs="Times New Roman"/>
                <w:b w:val="0"/>
                <w:bCs/>
                <w:color w:val="000000"/>
                <w:spacing w:val="0"/>
                <w:kern w:val="2"/>
                <w:sz w:val="24"/>
                <w:szCs w:val="24"/>
                <w:highlight w:val="none"/>
                <w:lang w:val="en-US" w:eastAsia="zh-CN" w:bidi="ar-SA"/>
              </w:rPr>
              <w:t>加大工业锅炉整治力度，禁止新建35蒸吨/小时以下燃煤锅炉；推进陶瓷等行业实施深度治理，持续开展生物质成型燃料锅炉整治，推动实施燃气锅炉低氮燃烧改造。</w:t>
            </w:r>
            <w:bookmarkEnd w:id="27"/>
            <w:bookmarkEnd w:id="28"/>
            <w:bookmarkEnd w:id="29"/>
            <w:bookmarkEnd w:id="30"/>
            <w:bookmarkEnd w:id="31"/>
            <w:bookmarkEnd w:id="32"/>
          </w:p>
          <w:p w14:paraId="40868A84">
            <w:pPr>
              <w:pStyle w:val="109"/>
              <w:bidi w:val="0"/>
              <w:spacing w:line="360" w:lineRule="auto"/>
              <w:ind w:firstLine="480" w:firstLineChars="200"/>
              <w:jc w:val="both"/>
              <w:rPr>
                <w:rFonts w:hint="eastAsia" w:ascii="Times New Roman" w:hAnsi="Times New Roman" w:eastAsia="宋体" w:cs="Times New Roman"/>
                <w:b w:val="0"/>
                <w:bCs/>
                <w:color w:val="000000"/>
                <w:highlight w:val="none"/>
                <w:lang w:val="en-US" w:eastAsia="zh-CN"/>
              </w:rPr>
            </w:pPr>
            <w:r>
              <w:rPr>
                <w:rFonts w:hint="eastAsia" w:ascii="Times New Roman" w:hAnsi="Times New Roman" w:eastAsia="宋体" w:cs="Times New Roman"/>
                <w:b w:val="0"/>
                <w:bCs/>
                <w:color w:val="000000"/>
                <w:highlight w:val="none"/>
                <w:lang w:val="en-US" w:eastAsia="zh-CN"/>
              </w:rPr>
              <w:t>本项目不属于35蒸吨/小时及以下燃煤锅炉</w:t>
            </w:r>
            <w:r>
              <w:rPr>
                <w:rFonts w:hint="eastAsia" w:ascii="Times New Roman" w:hAnsi="Times New Roman" w:cs="Times New Roman"/>
                <w:b w:val="0"/>
                <w:bCs/>
                <w:color w:val="000000"/>
                <w:highlight w:val="none"/>
                <w:lang w:val="en-US" w:eastAsia="zh-CN"/>
              </w:rPr>
              <w:t>，为新建生物质锅炉项目</w:t>
            </w:r>
            <w:r>
              <w:rPr>
                <w:rFonts w:hint="eastAsia" w:ascii="Times New Roman" w:hAnsi="Times New Roman" w:eastAsia="宋体" w:cs="Times New Roman"/>
                <w:b w:val="0"/>
                <w:bCs/>
                <w:color w:val="000000"/>
                <w:highlight w:val="none"/>
                <w:lang w:val="en-US" w:eastAsia="zh-CN"/>
              </w:rPr>
              <w:t>。综上所述，本项目与《关于印发韶关市生态环境保护“十四五”规划的通知》（韶府办〔2022〕1号）相符。</w:t>
            </w:r>
          </w:p>
          <w:p w14:paraId="158A3D62">
            <w:pPr>
              <w:pStyle w:val="109"/>
              <w:numPr>
                <w:ilvl w:val="0"/>
                <w:numId w:val="1"/>
              </w:numPr>
              <w:bidi w:val="0"/>
              <w:spacing w:line="360" w:lineRule="auto"/>
              <w:ind w:left="0" w:leftChars="0" w:firstLine="482" w:firstLineChars="200"/>
              <w:jc w:val="both"/>
              <w:rPr>
                <w:rFonts w:hint="eastAsia" w:ascii="Times New Roman" w:hAnsi="Times New Roman" w:cs="Times New Roman"/>
                <w:b/>
                <w:bCs w:val="0"/>
                <w:color w:val="000000"/>
                <w:highlight w:val="none"/>
                <w:lang w:val="en-US" w:eastAsia="zh-CN"/>
              </w:rPr>
            </w:pPr>
            <w:r>
              <w:rPr>
                <w:rFonts w:hint="eastAsia" w:ascii="Times New Roman" w:hAnsi="Times New Roman" w:cs="Times New Roman"/>
                <w:b/>
                <w:bCs w:val="0"/>
                <w:color w:val="000000"/>
                <w:highlight w:val="none"/>
                <w:lang w:val="en-US" w:eastAsia="zh-CN"/>
              </w:rPr>
              <w:t>与韶关市污染防治攻坚战指挥部办公室关于印发韶关市 2024 年大气污染防治工作方案的通知相符性分析</w:t>
            </w:r>
          </w:p>
          <w:p w14:paraId="5A607BE3">
            <w:pPr>
              <w:pStyle w:val="109"/>
              <w:numPr>
                <w:ilvl w:val="0"/>
                <w:numId w:val="0"/>
              </w:numPr>
              <w:bidi w:val="0"/>
              <w:spacing w:line="360" w:lineRule="auto"/>
              <w:ind w:firstLine="480" w:firstLineChars="200"/>
              <w:jc w:val="left"/>
              <w:rPr>
                <w:rFonts w:hint="eastAsia" w:ascii="Times New Roman" w:hAnsi="Times New Roman" w:cs="Times New Roman"/>
                <w:b w:val="0"/>
                <w:bCs/>
                <w:color w:val="000000"/>
                <w:highlight w:val="none"/>
                <w:lang w:val="en-US" w:eastAsia="zh-CN"/>
              </w:rPr>
            </w:pPr>
            <w:r>
              <w:rPr>
                <w:rFonts w:hint="eastAsia" w:ascii="Times New Roman" w:hAnsi="Times New Roman" w:cs="Times New Roman"/>
                <w:b w:val="0"/>
                <w:bCs/>
                <w:color w:val="000000"/>
                <w:highlight w:val="none"/>
                <w:lang w:val="en-US" w:eastAsia="zh-CN"/>
              </w:rPr>
              <w:t>《韶关市 2024 年大气污染防治工作方案》提出：</w:t>
            </w:r>
          </w:p>
          <w:p w14:paraId="26F9FAA1">
            <w:pPr>
              <w:pStyle w:val="109"/>
              <w:numPr>
                <w:ilvl w:val="0"/>
                <w:numId w:val="0"/>
              </w:numPr>
              <w:bidi w:val="0"/>
              <w:spacing w:line="360" w:lineRule="auto"/>
              <w:ind w:firstLine="480" w:firstLineChars="200"/>
              <w:jc w:val="left"/>
              <w:rPr>
                <w:rFonts w:hint="default" w:ascii="Times New Roman" w:hAnsi="Times New Roman" w:cs="Times New Roman"/>
                <w:b w:val="0"/>
                <w:bCs/>
                <w:color w:val="000000"/>
                <w:highlight w:val="none"/>
                <w:lang w:val="en-US" w:eastAsia="zh-CN"/>
              </w:rPr>
            </w:pPr>
            <w:r>
              <w:rPr>
                <w:rFonts w:hint="eastAsia" w:ascii="Times New Roman" w:hAnsi="Times New Roman" w:cs="Times New Roman"/>
                <w:b w:val="0"/>
                <w:bCs/>
                <w:color w:val="000000"/>
                <w:highlight w:val="none"/>
                <w:lang w:val="en-US" w:eastAsia="zh-CN"/>
              </w:rPr>
              <w:t>（1）促进燃料清洁化。在保证电力、热力供应等前提下，推进30 万千瓦及以上热电联产机组供热半径 15 公里范围内的燃煤锅炉、生物质锅炉（含气化炉）和燃煤小热电机组（含自备电厂）关停整合。</w:t>
            </w:r>
            <w:r>
              <w:rPr>
                <w:rFonts w:hint="default" w:ascii="Times New Roman" w:hAnsi="Times New Roman" w:cs="Times New Roman"/>
                <w:b w:val="0"/>
                <w:bCs/>
                <w:color w:val="000000"/>
                <w:highlight w:val="none"/>
                <w:lang w:val="en-US" w:eastAsia="zh-CN"/>
              </w:rPr>
              <w:t>在市区及各县（市）建成区和天然气管网覆盖范围内，禁止新建 35 蒸吨/小时及以下燃煤锅炉，推进淘汰市区及各县（市）建成区内 35 蒸吨/小时及以下燃煤锅炉。</w:t>
            </w:r>
          </w:p>
          <w:p w14:paraId="39BBBF7D">
            <w:pPr>
              <w:pStyle w:val="109"/>
              <w:numPr>
                <w:ilvl w:val="0"/>
                <w:numId w:val="0"/>
              </w:numPr>
              <w:bidi w:val="0"/>
              <w:spacing w:line="360" w:lineRule="auto"/>
              <w:ind w:firstLine="480" w:firstLineChars="200"/>
              <w:jc w:val="left"/>
              <w:rPr>
                <w:rFonts w:hint="eastAsia" w:ascii="Times New Roman" w:hAnsi="Times New Roman" w:cs="Times New Roman"/>
                <w:b w:val="0"/>
                <w:bCs/>
                <w:color w:val="000000"/>
                <w:highlight w:val="none"/>
                <w:lang w:val="en-US" w:eastAsia="zh-CN"/>
              </w:rPr>
            </w:pPr>
            <w:r>
              <w:rPr>
                <w:rFonts w:hint="eastAsia" w:ascii="Times New Roman" w:hAnsi="Times New Roman" w:cs="Times New Roman"/>
                <w:b w:val="0"/>
                <w:bCs/>
                <w:color w:val="000000"/>
                <w:highlight w:val="none"/>
                <w:lang w:val="en-US" w:eastAsia="zh-CN"/>
              </w:rPr>
              <w:t>（2）工业锅炉有序执行特别排放限值。落实《韶关市人民政府关于燃气锅炉执行大气污染物特别排放限值的通告》，推动燃气锅炉实施低氮燃烧改造，新建燃气锅炉排放的大气污染物执行广东省《锅炉大气污染物排放标准》（DB 44/765—2019）大气污染物特别排放限值（颗粒物 10 毫克/立方米、二氧化硫 35 毫克/立方米、氮氧化物 50 毫克/立方米，下同），在用燃气锅炉有序执行特别排放限值。未实行清洁能源改造的 35 蒸吨/小时以上燃煤锅炉和自备电厂执行特别排放限值。</w:t>
            </w:r>
          </w:p>
          <w:p w14:paraId="3A28B2E5">
            <w:pPr>
              <w:pStyle w:val="109"/>
              <w:numPr>
                <w:ilvl w:val="0"/>
                <w:numId w:val="0"/>
              </w:numPr>
              <w:bidi w:val="0"/>
              <w:spacing w:line="360" w:lineRule="auto"/>
              <w:ind w:firstLine="480" w:firstLineChars="200"/>
              <w:jc w:val="left"/>
              <w:rPr>
                <w:rFonts w:hint="default" w:ascii="Times New Roman" w:hAnsi="Times New Roman" w:cs="Times New Roman"/>
                <w:b w:val="0"/>
                <w:bCs/>
                <w:color w:val="000000"/>
                <w:highlight w:val="none"/>
                <w:lang w:val="en-US" w:eastAsia="zh-CN"/>
              </w:rPr>
            </w:pPr>
            <w:r>
              <w:rPr>
                <w:rFonts w:hint="eastAsia" w:ascii="Times New Roman" w:hAnsi="Times New Roman" w:cs="Times New Roman"/>
                <w:b w:val="0"/>
                <w:bCs/>
                <w:color w:val="000000"/>
                <w:highlight w:val="none"/>
                <w:lang w:val="en-US" w:eastAsia="zh-CN"/>
              </w:rPr>
              <w:t>（3）</w:t>
            </w:r>
            <w:r>
              <w:rPr>
                <w:rFonts w:hint="default" w:ascii="Times New Roman" w:hAnsi="Times New Roman" w:cs="Times New Roman"/>
                <w:b w:val="0"/>
                <w:bCs/>
                <w:color w:val="000000"/>
                <w:highlight w:val="none"/>
                <w:lang w:val="en-US" w:eastAsia="zh-CN"/>
              </w:rPr>
              <w:t>加强生物质锅炉管理。生物质锅炉采用专用锅炉，须配套布袋等高效除尘设施，禁止掺烧煤炭、煤矸石、垃圾、胶合板和漆板（或含有胶水、油漆、有机涂层等的木材）、工业固体废物等其他物料。推进整合小型生物质锅炉，积极引导大型生物质锅炉（含电力）开展超低排放改造。</w:t>
            </w:r>
          </w:p>
          <w:p w14:paraId="61D479F7">
            <w:pPr>
              <w:pStyle w:val="109"/>
              <w:numPr>
                <w:ilvl w:val="0"/>
                <w:numId w:val="0"/>
              </w:numPr>
              <w:bidi w:val="0"/>
              <w:spacing w:line="360" w:lineRule="auto"/>
              <w:ind w:firstLine="480" w:firstLineChars="200"/>
              <w:jc w:val="both"/>
              <w:rPr>
                <w:rFonts w:hint="eastAsia" w:ascii="Times New Roman" w:hAnsi="Times New Roman" w:cs="Times New Roman"/>
                <w:b w:val="0"/>
                <w:bCs/>
                <w:color w:val="000000"/>
                <w:highlight w:val="none"/>
                <w:lang w:val="en-US" w:eastAsia="zh-CN"/>
              </w:rPr>
            </w:pPr>
            <w:r>
              <w:rPr>
                <w:rFonts w:hint="eastAsia" w:ascii="Times New Roman" w:hAnsi="Times New Roman" w:cs="Times New Roman"/>
                <w:b w:val="0"/>
                <w:bCs/>
                <w:color w:val="000000"/>
                <w:highlight w:val="none"/>
                <w:lang w:val="en-US" w:eastAsia="zh-CN"/>
              </w:rPr>
              <w:t>本项目建设主要为解决近期广东华电坪石发电厂供热能力不能满足乐昌东锆新材料有限公司蒸汽需求的问题，同时保留将来为粤湘产业园内企业用热需求的扩产条件。项目锅炉</w:t>
            </w:r>
            <w:r>
              <w:rPr>
                <w:rFonts w:hint="eastAsia" w:ascii="Times New Roman" w:hAnsi="Times New Roman" w:eastAsia="宋体" w:cs="Times New Roman"/>
                <w:b w:val="0"/>
                <w:bCs/>
                <w:color w:val="000000"/>
                <w:highlight w:val="none"/>
                <w:lang w:val="en-US" w:eastAsia="zh-CN"/>
              </w:rPr>
              <w:t>不属于35蒸吨/小时及以下燃煤锅炉</w:t>
            </w:r>
            <w:r>
              <w:rPr>
                <w:rFonts w:hint="eastAsia" w:ascii="Times New Roman" w:hAnsi="Times New Roman" w:cs="Times New Roman"/>
                <w:b w:val="0"/>
                <w:bCs/>
                <w:color w:val="000000"/>
                <w:highlight w:val="none"/>
                <w:lang w:val="en-US" w:eastAsia="zh-CN"/>
              </w:rPr>
              <w:t>，为生物质锅炉，为</w:t>
            </w:r>
            <w:r>
              <w:rPr>
                <w:rFonts w:hint="default" w:ascii="Times New Roman" w:hAnsi="Times New Roman" w:cs="Times New Roman"/>
                <w:b w:val="0"/>
                <w:bCs/>
                <w:color w:val="000000"/>
                <w:highlight w:val="none"/>
                <w:lang w:val="en-US" w:eastAsia="zh-CN"/>
              </w:rPr>
              <w:t>专用锅炉，配套高效除尘设施</w:t>
            </w:r>
            <w:r>
              <w:rPr>
                <w:rFonts w:hint="eastAsia" w:ascii="Times New Roman" w:hAnsi="Times New Roman" w:cs="Times New Roman"/>
                <w:b w:val="0"/>
                <w:bCs/>
                <w:color w:val="000000"/>
                <w:highlight w:val="none"/>
                <w:lang w:val="en-US" w:eastAsia="zh-CN"/>
              </w:rPr>
              <w:t>，使用燃料为生物质成型燃料，满足《生物质锅炉技术规范》GB/T 44906-2024中表1 生物质成型燃料的要求；项目锅炉废气排放执行广东省地方标准《锅炉大气污染物排放标准》DB44/765-2019)。</w:t>
            </w:r>
          </w:p>
          <w:p w14:paraId="5233E818">
            <w:pPr>
              <w:pStyle w:val="109"/>
              <w:numPr>
                <w:ilvl w:val="0"/>
                <w:numId w:val="0"/>
              </w:numPr>
              <w:bidi w:val="0"/>
              <w:spacing w:line="360" w:lineRule="auto"/>
              <w:ind w:firstLine="480" w:firstLineChars="200"/>
              <w:jc w:val="both"/>
              <w:rPr>
                <w:rFonts w:hint="default" w:ascii="Times New Roman" w:hAnsi="Times New Roman" w:cs="Times New Roman"/>
                <w:b w:val="0"/>
                <w:bCs/>
                <w:color w:val="000000"/>
                <w:highlight w:val="none"/>
                <w:lang w:val="en-US" w:eastAsia="zh-CN"/>
              </w:rPr>
            </w:pPr>
            <w:r>
              <w:rPr>
                <w:rFonts w:hint="eastAsia" w:ascii="Times New Roman" w:hAnsi="Times New Roman" w:eastAsia="宋体" w:cs="Times New Roman"/>
                <w:b w:val="0"/>
                <w:bCs/>
                <w:color w:val="000000"/>
                <w:highlight w:val="none"/>
                <w:lang w:val="en-US" w:eastAsia="zh-CN"/>
              </w:rPr>
              <w:t>综上所述，本项目与《韶关市污染防治攻坚战指挥部办公室关于印发韶关市 2024 年大气污染防治工作方案的通知》（韶环〔2024]56号）相符。</w:t>
            </w:r>
          </w:p>
          <w:p w14:paraId="44B48C43">
            <w:pPr>
              <w:pStyle w:val="109"/>
              <w:numPr>
                <w:ilvl w:val="0"/>
                <w:numId w:val="0"/>
              </w:numPr>
              <w:bidi w:val="0"/>
              <w:spacing w:line="360" w:lineRule="auto"/>
              <w:ind w:firstLine="482" w:firstLineChars="200"/>
              <w:jc w:val="both"/>
              <w:rPr>
                <w:rFonts w:hint="default" w:ascii="Times New Roman" w:hAnsi="Times New Roman" w:eastAsia="宋体" w:cs="Times New Roman"/>
                <w:b/>
                <w:bCs w:val="0"/>
                <w:color w:val="000000"/>
                <w:highlight w:val="none"/>
                <w:lang w:val="en-US" w:eastAsia="zh-CN"/>
              </w:rPr>
            </w:pPr>
            <w:r>
              <w:rPr>
                <w:rFonts w:hint="eastAsia" w:ascii="Times New Roman" w:hAnsi="Times New Roman" w:cs="Times New Roman"/>
                <w:b/>
                <w:bCs w:val="0"/>
                <w:color w:val="000000"/>
                <w:highlight w:val="none"/>
                <w:lang w:val="en-US" w:eastAsia="zh-CN"/>
              </w:rPr>
              <w:t>10、</w:t>
            </w:r>
            <w:r>
              <w:rPr>
                <w:rFonts w:hint="default" w:ascii="Times New Roman" w:hAnsi="Times New Roman" w:eastAsia="宋体" w:cs="Times New Roman"/>
                <w:b/>
                <w:bCs w:val="0"/>
                <w:color w:val="000000"/>
                <w:highlight w:val="none"/>
                <w:lang w:val="en-US" w:eastAsia="zh-CN"/>
              </w:rPr>
              <w:t>“两高”符合性分析</w:t>
            </w:r>
          </w:p>
          <w:p w14:paraId="7D0C7EA6">
            <w:pPr>
              <w:pStyle w:val="109"/>
              <w:bidi w:val="0"/>
              <w:spacing w:line="360" w:lineRule="auto"/>
              <w:ind w:firstLine="480" w:firstLineChars="200"/>
              <w:jc w:val="both"/>
              <w:rPr>
                <w:rFonts w:hint="eastAsia" w:ascii="Times New Roman" w:hAnsi="Times New Roman" w:eastAsia="宋体" w:cs="Times New Roman"/>
                <w:b w:val="0"/>
                <w:bCs/>
                <w:color w:val="000000"/>
                <w:highlight w:val="none"/>
                <w:lang w:val="en-US" w:eastAsia="zh-CN"/>
              </w:rPr>
            </w:pPr>
            <w:r>
              <w:rPr>
                <w:rFonts w:hint="eastAsia" w:ascii="Times New Roman" w:hAnsi="Times New Roman" w:eastAsia="宋体" w:cs="Times New Roman"/>
                <w:b w:val="0"/>
                <w:bCs/>
                <w:color w:val="000000"/>
                <w:highlight w:val="none"/>
                <w:lang w:val="en-US" w:eastAsia="zh-CN"/>
              </w:rPr>
              <w:t>生态环境部《关于加强高耗能、高排放建设项目生态环境源</w:t>
            </w:r>
            <w:r>
              <w:rPr>
                <w:rFonts w:hint="default" w:ascii="Times New Roman" w:hAnsi="Times New Roman" w:eastAsia="宋体" w:cs="Times New Roman"/>
                <w:b w:val="0"/>
                <w:bCs/>
                <w:color w:val="000000"/>
                <w:highlight w:val="none"/>
                <w:lang w:val="en-US" w:eastAsia="zh-CN"/>
              </w:rPr>
              <w:t xml:space="preserve">头防控的指导意见》（环环评〔2021〕45 号）提出：严格“两高”项目环评审批，该指导意见提出：“两高”项目暂按煤电、石化、化工、钢铁、有色金属冶炼、建材等六个行业类别统计，后续对“两高”范围国家如有明确规定的，从其规定。 </w:t>
            </w:r>
          </w:p>
          <w:p w14:paraId="72FF7879">
            <w:pPr>
              <w:pStyle w:val="109"/>
              <w:bidi w:val="0"/>
              <w:spacing w:line="360" w:lineRule="auto"/>
              <w:ind w:firstLine="480" w:firstLineChars="200"/>
              <w:jc w:val="both"/>
              <w:rPr>
                <w:rFonts w:hint="eastAsia" w:ascii="Times New Roman" w:hAnsi="Times New Roman" w:eastAsia="宋体" w:cs="Times New Roman"/>
                <w:b w:val="0"/>
                <w:bCs/>
                <w:color w:val="000000"/>
                <w:highlight w:val="none"/>
                <w:lang w:val="en-US" w:eastAsia="zh-CN"/>
              </w:rPr>
            </w:pPr>
            <w:r>
              <w:rPr>
                <w:rFonts w:hint="default" w:ascii="Times New Roman" w:hAnsi="Times New Roman" w:eastAsia="宋体" w:cs="Times New Roman"/>
                <w:b w:val="0"/>
                <w:bCs/>
                <w:color w:val="000000"/>
                <w:highlight w:val="none"/>
                <w:lang w:val="en-US" w:eastAsia="zh-CN"/>
              </w:rPr>
              <w:t xml:space="preserve">《广东省发展改革委关于印发〈广东省坚决遏制“两高”项目盲目发展的实施方案〉的通知》（粤发改能源〔2021〕368号），明确了“两高”行业是指煤电、石化、化工、钢铁、有色金属、建材、煤化工、焦化等 8 个行业。“两高”项目，是指“两高”行业生产高耗能高排放产品或具有高耗能高排放生产工序，年综合能源消费量 1 万吨标准煤以上的固定资产投资项目，后续国家对“两高”项目范围如有明确规定，从其规定。 </w:t>
            </w:r>
          </w:p>
          <w:p w14:paraId="6CC64DCA">
            <w:pPr>
              <w:pStyle w:val="109"/>
              <w:bidi w:val="0"/>
              <w:spacing w:line="360" w:lineRule="auto"/>
              <w:ind w:firstLine="480" w:firstLineChars="200"/>
              <w:jc w:val="both"/>
              <w:rPr>
                <w:rFonts w:hint="eastAsia" w:ascii="Times New Roman" w:hAnsi="Times New Roman" w:eastAsia="宋体" w:cs="Times New Roman"/>
                <w:b w:val="0"/>
                <w:bCs/>
                <w:color w:val="000000"/>
                <w:highlight w:val="none"/>
                <w:lang w:val="en-US" w:eastAsia="zh-CN"/>
              </w:rPr>
            </w:pPr>
            <w:r>
              <w:rPr>
                <w:rFonts w:hint="default" w:ascii="Times New Roman" w:hAnsi="Times New Roman" w:eastAsia="宋体" w:cs="Times New Roman"/>
                <w:b w:val="0"/>
                <w:bCs/>
                <w:color w:val="000000"/>
                <w:highlight w:val="none"/>
                <w:lang w:val="en-US" w:eastAsia="zh-CN"/>
              </w:rPr>
              <w:t xml:space="preserve">本项目属于热力生产和供应行业，根据《广东省发展改革委关于印发&lt;广东省“两高”项目管理目录（2022 年版）&gt;的通知》（粤发改能源函〔2022〕1363号）中附件，热力生产和供应行业未列入目录中，可见本项目不属于两高项目。 </w:t>
            </w:r>
          </w:p>
          <w:p w14:paraId="182EBD21">
            <w:pPr>
              <w:pStyle w:val="109"/>
              <w:bidi w:val="0"/>
              <w:spacing w:line="360" w:lineRule="auto"/>
              <w:ind w:firstLine="480" w:firstLineChars="200"/>
              <w:jc w:val="both"/>
              <w:rPr>
                <w:rFonts w:hint="eastAsia" w:ascii="Times New Roman" w:hAnsi="Times New Roman" w:eastAsia="宋体" w:cs="Times New Roman"/>
                <w:b w:val="0"/>
                <w:bCs/>
                <w:color w:val="000000"/>
                <w:highlight w:val="none"/>
                <w:lang w:val="en-US" w:eastAsia="zh-CN"/>
              </w:rPr>
            </w:pPr>
            <w:r>
              <w:rPr>
                <w:rFonts w:hint="default" w:ascii="Times New Roman" w:hAnsi="Times New Roman" w:eastAsia="宋体" w:cs="Times New Roman"/>
                <w:b w:val="0"/>
                <w:bCs/>
                <w:color w:val="000000"/>
                <w:highlight w:val="none"/>
                <w:lang w:val="en-US" w:eastAsia="zh-CN"/>
              </w:rPr>
              <w:t>企业将采取严格的废气、废水污染治理措施，确保各污染物长期稳定达标排放，不会对区域生态环境造成不良影响。总体而言，本项目与《关于加强高耗能、高排放建设项目生态环境源头防控的指导意见》（环环评</w:t>
            </w:r>
            <w:r>
              <w:rPr>
                <w:rFonts w:hint="eastAsia" w:ascii="Times New Roman" w:hAnsi="Times New Roman" w:eastAsia="宋体" w:cs="Times New Roman"/>
                <w:b w:val="0"/>
                <w:bCs/>
                <w:color w:val="000000"/>
                <w:highlight w:val="none"/>
                <w:lang w:val="en-US" w:eastAsia="zh-CN"/>
              </w:rPr>
              <w:t>（</w:t>
            </w:r>
            <w:r>
              <w:rPr>
                <w:rFonts w:hint="default" w:ascii="Times New Roman" w:hAnsi="Times New Roman" w:eastAsia="宋体" w:cs="Times New Roman"/>
                <w:b w:val="0"/>
                <w:bCs/>
                <w:color w:val="000000"/>
                <w:highlight w:val="none"/>
                <w:lang w:val="en-US" w:eastAsia="zh-CN"/>
              </w:rPr>
              <w:t xml:space="preserve">2021）45 号）、《广东省发展改革委关于印发〈广东省坚决遏制“两高”项目盲目发展的实施方案〉的通知》（粤发改能源〔2021〕368 号）的相关要求不相冲突。 </w:t>
            </w:r>
          </w:p>
          <w:p w14:paraId="46819856">
            <w:pPr>
              <w:pStyle w:val="109"/>
              <w:bidi w:val="0"/>
              <w:spacing w:line="360" w:lineRule="auto"/>
              <w:ind w:firstLine="480" w:firstLineChars="200"/>
              <w:jc w:val="both"/>
              <w:rPr>
                <w:rFonts w:hint="eastAsia" w:ascii="Times New Roman" w:hAnsi="Times New Roman" w:eastAsia="宋体" w:cs="Times New Roman"/>
                <w:b w:val="0"/>
                <w:bCs/>
                <w:color w:val="000000"/>
                <w:highlight w:val="none"/>
                <w:lang w:val="en-US" w:eastAsia="zh-CN"/>
              </w:rPr>
            </w:pPr>
            <w:r>
              <w:rPr>
                <w:rFonts w:hint="default" w:ascii="Times New Roman" w:hAnsi="Times New Roman" w:eastAsia="宋体" w:cs="Times New Roman"/>
                <w:b w:val="0"/>
                <w:bCs/>
                <w:color w:val="000000"/>
                <w:highlight w:val="none"/>
                <w:lang w:val="en-US" w:eastAsia="zh-CN"/>
              </w:rPr>
              <w:t>综上所述，本项目符合当前国家及地方产业政策，符合项目所在区域“三线一单”各项管控要求，符合生态环境部、广东省发展改革委严格 “两高”项目环评审批、“韶关市生态环境保护“十四五”规划”等要求。</w:t>
            </w:r>
          </w:p>
          <w:p w14:paraId="23C8A506">
            <w:pPr>
              <w:pStyle w:val="109"/>
              <w:numPr>
                <w:ilvl w:val="0"/>
                <w:numId w:val="0"/>
              </w:numPr>
              <w:bidi w:val="0"/>
              <w:spacing w:line="360" w:lineRule="auto"/>
              <w:jc w:val="both"/>
              <w:rPr>
                <w:rFonts w:hint="default" w:ascii="Times New Roman" w:hAnsi="Times New Roman" w:eastAsia="宋体" w:cs="Times New Roman"/>
                <w:b/>
                <w:bCs w:val="0"/>
                <w:color w:val="000000"/>
                <w:highlight w:val="none"/>
                <w:lang w:val="en-US" w:eastAsia="zh-CN"/>
              </w:rPr>
            </w:pPr>
          </w:p>
        </w:tc>
      </w:tr>
    </w:tbl>
    <w:p w14:paraId="5972859C">
      <w:pPr>
        <w:spacing w:line="360" w:lineRule="auto"/>
        <w:outlineLvl w:val="0"/>
        <w:rPr>
          <w:rFonts w:eastAsia="黑体"/>
          <w:color w:val="auto"/>
          <w:sz w:val="30"/>
          <w:highlight w:val="none"/>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026A3367">
      <w:pPr>
        <w:pStyle w:val="2"/>
        <w:jc w:val="center"/>
        <w:rPr>
          <w:rFonts w:hint="eastAsia" w:ascii="宋体" w:hAnsi="宋体" w:eastAsia="宋体" w:cs="宋体"/>
          <w:sz w:val="36"/>
          <w:szCs w:val="36"/>
          <w:highlight w:val="none"/>
        </w:rPr>
      </w:pPr>
      <w:bookmarkStart w:id="33" w:name="_Toc15534"/>
      <w:bookmarkStart w:id="34" w:name="_Toc32738"/>
      <w:r>
        <w:rPr>
          <w:rFonts w:hint="eastAsia" w:ascii="宋体" w:hAnsi="宋体" w:eastAsia="宋体" w:cs="宋体"/>
          <w:sz w:val="36"/>
          <w:szCs w:val="36"/>
          <w:highlight w:val="none"/>
        </w:rPr>
        <w:t>二、建设项目工程分析</w:t>
      </w:r>
      <w:bookmarkEnd w:id="33"/>
      <w:bookmarkEnd w:id="34"/>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14:paraId="304556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649" w:hRule="atLeast"/>
          <w:jc w:val="center"/>
        </w:trPr>
        <w:tc>
          <w:tcPr>
            <w:tcW w:w="823" w:type="dxa"/>
            <w:vAlign w:val="center"/>
          </w:tcPr>
          <w:p w14:paraId="77043123">
            <w:pPr>
              <w:pStyle w:val="26"/>
              <w:adjustRightInd w:val="0"/>
              <w:snapToGrid w:val="0"/>
              <w:spacing w:before="0" w:beforeAutospacing="0" w:after="0" w:afterAutospacing="0"/>
              <w:jc w:val="center"/>
              <w:rPr>
                <w:rFonts w:ascii="Times New Roman" w:hAnsi="Times New Roman"/>
                <w:color w:val="auto"/>
                <w:sz w:val="21"/>
                <w:szCs w:val="21"/>
                <w:highlight w:val="none"/>
              </w:rPr>
            </w:pPr>
            <w:r>
              <w:rPr>
                <w:rFonts w:ascii="Times New Roman" w:hAnsi="Times New Roman"/>
                <w:color w:val="auto"/>
                <w:sz w:val="24"/>
                <w:szCs w:val="24"/>
                <w:highlight w:val="none"/>
              </w:rPr>
              <w:t>建设内容</w:t>
            </w:r>
          </w:p>
        </w:tc>
        <w:tc>
          <w:tcPr>
            <w:tcW w:w="8161" w:type="dxa"/>
            <w:vAlign w:val="center"/>
          </w:tcPr>
          <w:p w14:paraId="097AFA34">
            <w:pPr>
              <w:snapToGrid w:val="0"/>
              <w:spacing w:before="120" w:beforeLines="50" w:line="360" w:lineRule="auto"/>
              <w:ind w:firstLine="482" w:firstLineChars="200"/>
              <w:rPr>
                <w:rFonts w:hint="default" w:eastAsia="宋体"/>
                <w:b/>
                <w:bCs/>
                <w:sz w:val="24"/>
                <w:highlight w:val="none"/>
                <w:lang w:val="en-US" w:eastAsia="zh-CN"/>
              </w:rPr>
            </w:pPr>
            <w:r>
              <w:rPr>
                <w:b/>
                <w:bCs/>
                <w:sz w:val="24"/>
                <w:highlight w:val="none"/>
              </w:rPr>
              <w:t>1、</w:t>
            </w:r>
            <w:r>
              <w:rPr>
                <w:rFonts w:hint="eastAsia"/>
                <w:b/>
                <w:bCs/>
                <w:sz w:val="24"/>
                <w:highlight w:val="none"/>
                <w:lang w:val="en-US" w:eastAsia="zh-CN"/>
              </w:rPr>
              <w:t>项目概述</w:t>
            </w:r>
          </w:p>
          <w:p w14:paraId="2B3DA763">
            <w:pPr>
              <w:widowControl/>
              <w:adjustRightInd w:val="0"/>
              <w:snapToGrid w:val="0"/>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2019年，超腾智慧能源（乐昌）有限公司与韶关市坪石发电厂有限公司正式签署《供用汽合同》，并投资</w:t>
            </w:r>
            <w:r>
              <w:rPr>
                <w:rFonts w:hint="eastAsia" w:cs="Times New Roman"/>
                <w:color w:val="auto"/>
                <w:sz w:val="24"/>
                <w:highlight w:val="none"/>
                <w:lang w:val="en-US" w:eastAsia="zh-CN"/>
              </w:rPr>
              <w:t>5800</w:t>
            </w:r>
            <w:r>
              <w:rPr>
                <w:rFonts w:hint="eastAsia" w:ascii="Times New Roman" w:hAnsi="Times New Roman" w:cs="Times New Roman"/>
                <w:color w:val="auto"/>
                <w:sz w:val="24"/>
                <w:highlight w:val="none"/>
                <w:lang w:val="en-US" w:eastAsia="zh-CN"/>
              </w:rPr>
              <w:t>万元用于蒸汽管网建设</w:t>
            </w:r>
            <w:r>
              <w:rPr>
                <w:rFonts w:hint="eastAsia"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蒸汽管网从韶关市坪石发电厂延伸至乐昌东锆新材料有限公司，自2020年初起利用广东华电坪石发电有限公司的余热，为乐昌东锆新材料有限公司稳定供应生产所需蒸汽。</w:t>
            </w:r>
          </w:p>
          <w:p w14:paraId="043BB1FB">
            <w:pPr>
              <w:widowControl/>
              <w:adjustRightInd w:val="0"/>
              <w:snapToGrid w:val="0"/>
              <w:spacing w:line="360" w:lineRule="auto"/>
              <w:ind w:firstLine="480" w:firstLineChars="200"/>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自2022年起，受国际国内经济形势疲软的影响，广东省内企业订单量显著减少，用电量急剧下降。这一状况直接导致坪石发电厂有限公司的机组运行天数逐年下滑，2023年机组运行仅163天，到了2024年，更是减少至126天。由于蒸汽供应不足，乐昌东锆新材料有限公司无法完成年度生产订单任务，致使大量订单流失，企业发展遭受严重阻碍，进而对乐昌市的工业产值产生负面影响，不利于当地经济的高质量发展。</w:t>
            </w:r>
          </w:p>
          <w:p w14:paraId="68388027">
            <w:pPr>
              <w:widowControl/>
              <w:adjustRightInd w:val="0"/>
              <w:snapToGrid w:val="0"/>
              <w:spacing w:line="360" w:lineRule="auto"/>
              <w:ind w:firstLine="480" w:firstLineChars="200"/>
              <w:rPr>
                <w:rFonts w:hint="eastAsia" w:eastAsia="宋体"/>
                <w:highlight w:val="none"/>
                <w:lang w:val="en-US" w:eastAsia="zh-CN"/>
              </w:rPr>
            </w:pPr>
            <w:r>
              <w:rPr>
                <w:rFonts w:hint="eastAsia" w:ascii="Times New Roman" w:hAnsi="Times New Roman" w:cs="Times New Roman"/>
                <w:color w:val="auto"/>
                <w:sz w:val="24"/>
                <w:highlight w:val="none"/>
                <w:lang w:val="en-US" w:eastAsia="zh-CN"/>
              </w:rPr>
              <w:t>为有效解决乐昌东锆新材料有限公司的用汽难题，</w:t>
            </w:r>
            <w:r>
              <w:rPr>
                <w:rFonts w:hint="eastAsia" w:ascii="Times New Roman" w:hAnsi="Times New Roman" w:eastAsia="宋体" w:cs="Times New Roman"/>
                <w:color w:val="auto"/>
                <w:spacing w:val="-4"/>
                <w:sz w:val="24"/>
                <w:szCs w:val="24"/>
                <w:highlight w:val="none"/>
              </w:rPr>
              <w:t>韶关市恒鹏超腾能源科技有限公司计划投资3000万元，在粤湘产业工业园范围内新建2台25t/h生物质往复炉排蒸汽锅炉及敷设粤湘产业园蒸汽管网，项目投运后，将优先保障乐昌东锆新材料有限公司的稳定用汽需求，同时辐射服务园区内其他企业的蒸汽使用，为园区产业发展提供可靠能源支撑。此外，项目在规划阶段已预留远期扩产条件，可根据粤湘产业园内企业日益增长的用热需求适时扩容，持续提升园区能源保障能力</w:t>
            </w:r>
            <w:r>
              <w:rPr>
                <w:rFonts w:hint="eastAsia" w:cs="Times New Roman"/>
                <w:color w:val="auto"/>
                <w:spacing w:val="-4"/>
                <w:sz w:val="24"/>
                <w:szCs w:val="24"/>
                <w:highlight w:val="none"/>
                <w:lang w:eastAsia="zh-CN"/>
              </w:rPr>
              <w:t>。</w:t>
            </w:r>
          </w:p>
          <w:p w14:paraId="64261D7B">
            <w:pPr>
              <w:widowControl/>
              <w:adjustRightInd w:val="0"/>
              <w:snapToGrid w:val="0"/>
              <w:spacing w:line="360" w:lineRule="auto"/>
              <w:ind w:firstLine="480" w:firstLineChars="200"/>
              <w:rPr>
                <w:rFonts w:hint="eastAsia"/>
                <w:b/>
                <w:bCs/>
                <w:color w:val="auto"/>
                <w:sz w:val="24"/>
                <w:szCs w:val="21"/>
                <w:highlight w:val="none"/>
              </w:rPr>
            </w:pPr>
            <w:r>
              <w:rPr>
                <w:rFonts w:hint="default" w:ascii="Times New Roman" w:hAnsi="Times New Roman" w:cs="Times New Roman"/>
                <w:color w:val="auto"/>
                <w:sz w:val="24"/>
                <w:highlight w:val="none"/>
              </w:rPr>
              <w:t>根据《建设项目环境影响评价分类管理名录（2021年版）》（生态环境部令 第16号），本项目属于“</w:t>
            </w:r>
            <w:r>
              <w:rPr>
                <w:rFonts w:hint="eastAsia" w:ascii="Times New Roman" w:hAnsi="Times New Roman" w:cs="Times New Roman"/>
                <w:color w:val="auto"/>
                <w:sz w:val="24"/>
                <w:highlight w:val="none"/>
                <w:lang w:val="en-US" w:eastAsia="zh-CN"/>
              </w:rPr>
              <w:t>四</w:t>
            </w:r>
            <w:r>
              <w:rPr>
                <w:rFonts w:hint="default" w:ascii="Times New Roman" w:hAnsi="Times New Roman" w:cs="Times New Roman"/>
                <w:color w:val="auto"/>
                <w:sz w:val="24"/>
                <w:highlight w:val="none"/>
              </w:rPr>
              <w:t>十一、</w:t>
            </w:r>
            <w:r>
              <w:rPr>
                <w:rFonts w:hint="eastAsia" w:ascii="Times New Roman" w:hAnsi="Times New Roman" w:cs="Times New Roman"/>
                <w:color w:val="auto"/>
                <w:sz w:val="24"/>
                <w:highlight w:val="none"/>
                <w:lang w:val="en-US" w:eastAsia="zh-CN"/>
              </w:rPr>
              <w:t>电力、热力生产和供应业</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91</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热力生产和供应工程</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包括建设单位自建自用的供热工程</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燃煤、燃油锅炉总容量65吨/小时（45.5兆瓦）；天然气锅炉总容量1吨/小时（0.7兆瓦）以上的；使用其他高污染燃料的（高污染燃料指国环规大气〔2017〕2号《高污染燃料目录》中规定的燃料）</w:t>
            </w:r>
            <w:r>
              <w:rPr>
                <w:rFonts w:hint="default" w:ascii="Times New Roman" w:hAnsi="Times New Roman" w:cs="Times New Roman"/>
                <w:color w:val="auto"/>
                <w:sz w:val="24"/>
                <w:highlight w:val="none"/>
              </w:rPr>
              <w:t>”类别，因此本项目需编制环境影响报告表。我单位接受委托后进行了实地勘察，收集了有关的资料，并按照国家相关法律法规，编制了本环境影响报告表</w:t>
            </w:r>
            <w:r>
              <w:rPr>
                <w:rFonts w:hint="eastAsia" w:ascii="Times New Roman" w:hAnsi="Times New Roman" w:eastAsia="宋体" w:cs="Times New Roman"/>
                <w:color w:val="000000"/>
                <w:kern w:val="2"/>
                <w:sz w:val="24"/>
                <w:szCs w:val="24"/>
                <w:highlight w:val="none"/>
                <w:lang w:val="en-US" w:eastAsia="zh-CN" w:bidi="ar-SA"/>
              </w:rPr>
              <w:t>。</w:t>
            </w:r>
          </w:p>
          <w:p w14:paraId="6211C6EB">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jc w:val="left"/>
              <w:textAlignment w:val="auto"/>
              <w:rPr>
                <w:rFonts w:hint="eastAsia"/>
                <w:b/>
                <w:bCs/>
                <w:color w:val="auto"/>
                <w:sz w:val="24"/>
                <w:szCs w:val="21"/>
                <w:highlight w:val="none"/>
                <w:lang w:val="en-US" w:eastAsia="zh-CN"/>
              </w:rPr>
            </w:pPr>
            <w:r>
              <w:rPr>
                <w:rFonts w:hint="eastAsia"/>
                <w:b/>
                <w:bCs/>
                <w:color w:val="auto"/>
                <w:sz w:val="24"/>
                <w:szCs w:val="21"/>
                <w:highlight w:val="none"/>
                <w:lang w:val="en-US" w:eastAsia="zh-CN"/>
              </w:rPr>
              <w:t>2</w:t>
            </w:r>
            <w:r>
              <w:rPr>
                <w:rFonts w:hint="eastAsia"/>
                <w:b/>
                <w:bCs/>
                <w:color w:val="auto"/>
                <w:sz w:val="24"/>
                <w:szCs w:val="21"/>
                <w:highlight w:val="none"/>
                <w:lang w:eastAsia="zh-CN"/>
              </w:rPr>
              <w:t>、</w:t>
            </w:r>
            <w:r>
              <w:rPr>
                <w:rFonts w:hint="eastAsia"/>
                <w:b/>
                <w:bCs/>
                <w:color w:val="auto"/>
                <w:sz w:val="24"/>
                <w:szCs w:val="21"/>
                <w:highlight w:val="none"/>
                <w:lang w:val="en-US" w:eastAsia="zh-CN"/>
              </w:rPr>
              <w:t>主要产品及产能</w:t>
            </w:r>
          </w:p>
          <w:p w14:paraId="09FDCBF9">
            <w:pPr>
              <w:adjustRightInd w:val="0"/>
              <w:snapToGrid w:val="0"/>
              <w:spacing w:line="360" w:lineRule="auto"/>
              <w:ind w:firstLine="480" w:firstLineChars="200"/>
              <w:jc w:val="both"/>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本项目新建的2台25t/h生物质往复炉排蒸汽锅炉</w:t>
            </w:r>
            <w:r>
              <w:rPr>
                <w:rFonts w:hint="eastAsia" w:cs="Times New Roman"/>
                <w:color w:val="auto"/>
                <w:sz w:val="24"/>
                <w:highlight w:val="none"/>
                <w:lang w:val="en-US" w:eastAsia="zh-CN"/>
              </w:rPr>
              <w:t>（一用一备）</w:t>
            </w:r>
            <w:r>
              <w:rPr>
                <w:rFonts w:hint="eastAsia" w:ascii="Times New Roman" w:hAnsi="Times New Roman" w:cs="Times New Roman"/>
                <w:color w:val="auto"/>
                <w:sz w:val="24"/>
                <w:highlight w:val="none"/>
                <w:lang w:val="en-US" w:eastAsia="zh-CN"/>
              </w:rPr>
              <w:t>近期</w:t>
            </w:r>
            <w:r>
              <w:rPr>
                <w:rFonts w:hint="eastAsia" w:cs="Times New Roman"/>
                <w:color w:val="auto"/>
                <w:sz w:val="24"/>
                <w:highlight w:val="none"/>
                <w:lang w:val="en-US" w:eastAsia="zh-CN"/>
              </w:rPr>
              <w:t>计划</w:t>
            </w:r>
            <w:r>
              <w:rPr>
                <w:rFonts w:hint="eastAsia" w:ascii="Times New Roman" w:hAnsi="Times New Roman" w:cs="Times New Roman"/>
                <w:color w:val="auto"/>
                <w:sz w:val="24"/>
                <w:highlight w:val="none"/>
                <w:lang w:val="en-US" w:eastAsia="zh-CN"/>
              </w:rPr>
              <w:t>主要是为乐昌东锆新材料有限公司进行供热，</w:t>
            </w:r>
            <w:r>
              <w:rPr>
                <w:rFonts w:hint="eastAsia" w:cs="Times New Roman"/>
                <w:color w:val="auto"/>
                <w:sz w:val="24"/>
                <w:highlight w:val="none"/>
                <w:lang w:val="en-US" w:eastAsia="zh-CN"/>
              </w:rPr>
              <w:t>同时保留远期</w:t>
            </w:r>
            <w:r>
              <w:rPr>
                <w:rFonts w:hint="eastAsia" w:ascii="Times New Roman" w:hAnsi="Times New Roman" w:cs="Times New Roman"/>
                <w:color w:val="auto"/>
                <w:sz w:val="24"/>
                <w:highlight w:val="none"/>
                <w:lang w:val="en-US" w:eastAsia="zh-CN"/>
              </w:rPr>
              <w:t>为粤湘产业园内企业用热需求的扩产条件</w:t>
            </w:r>
            <w:r>
              <w:rPr>
                <w:rFonts w:hint="eastAsia" w:cs="Times New Roman"/>
                <w:color w:val="auto"/>
                <w:sz w:val="24"/>
                <w:highlight w:val="none"/>
                <w:lang w:val="en-US" w:eastAsia="zh-CN"/>
              </w:rPr>
              <w:t>。</w:t>
            </w:r>
          </w:p>
          <w:p w14:paraId="2EC73961">
            <w:pPr>
              <w:adjustRightInd w:val="0"/>
              <w:snapToGrid w:val="0"/>
              <w:spacing w:line="360" w:lineRule="auto"/>
              <w:ind w:firstLine="480" w:firstLineChars="200"/>
              <w:jc w:val="both"/>
              <w:rPr>
                <w:rFonts w:hint="default" w:hAnsi="宋体"/>
                <w:color w:val="auto"/>
                <w:sz w:val="24"/>
                <w:highlight w:val="none"/>
                <w:lang w:val="en-US" w:eastAsia="zh-CN"/>
              </w:rPr>
            </w:pPr>
            <w:r>
              <w:rPr>
                <w:rFonts w:hint="eastAsia" w:ascii="Times New Roman" w:hAnsi="Times New Roman" w:cs="Times New Roman"/>
                <w:color w:val="auto"/>
                <w:sz w:val="24"/>
                <w:highlight w:val="none"/>
                <w:lang w:val="en-US" w:eastAsia="zh-CN"/>
              </w:rPr>
              <w:t>乐昌东锆新材料有限公司</w:t>
            </w:r>
            <w:r>
              <w:rPr>
                <w:rFonts w:hint="eastAsia" w:cs="Times New Roman"/>
                <w:color w:val="auto"/>
                <w:sz w:val="24"/>
                <w:highlight w:val="none"/>
                <w:lang w:val="en-US" w:eastAsia="zh-CN"/>
              </w:rPr>
              <w:t>厂内设置有1台</w:t>
            </w:r>
            <w:r>
              <w:rPr>
                <w:rFonts w:hint="eastAsia" w:ascii="Times New Roman" w:hAnsi="Times New Roman" w:eastAsia="宋体" w:cs="Times New Roman"/>
                <w:color w:val="auto"/>
                <w:sz w:val="24"/>
                <w:highlight w:val="none"/>
                <w:lang w:val="en-US" w:eastAsia="zh-CN"/>
              </w:rPr>
              <w:t>25吨循环流化床锅炉</w:t>
            </w:r>
            <w:r>
              <w:rPr>
                <w:rFonts w:hint="eastAsia" w:cs="Times New Roman"/>
                <w:color w:val="auto"/>
                <w:sz w:val="24"/>
                <w:highlight w:val="none"/>
                <w:lang w:val="en-US" w:eastAsia="zh-CN"/>
              </w:rPr>
              <w:t>（年运行7200小时），该锅炉已于21年已转为</w:t>
            </w:r>
            <w:r>
              <w:rPr>
                <w:rFonts w:hint="eastAsia" w:ascii="Times New Roman" w:hAnsi="Times New Roman" w:eastAsia="宋体" w:cs="Times New Roman"/>
                <w:color w:val="auto"/>
                <w:sz w:val="24"/>
                <w:highlight w:val="none"/>
                <w:lang w:val="en-US" w:eastAsia="zh-CN"/>
              </w:rPr>
              <w:t>备用锅炉，</w:t>
            </w:r>
            <w:r>
              <w:rPr>
                <w:rFonts w:hint="eastAsia" w:cs="Times New Roman"/>
                <w:color w:val="auto"/>
                <w:sz w:val="24"/>
                <w:highlight w:val="none"/>
                <w:lang w:val="en-US" w:eastAsia="zh-CN"/>
              </w:rPr>
              <w:t>在</w:t>
            </w:r>
            <w:r>
              <w:rPr>
                <w:rFonts w:hint="eastAsia" w:ascii="Times New Roman" w:hAnsi="Times New Roman" w:cs="Times New Roman"/>
                <w:color w:val="auto"/>
                <w:sz w:val="24"/>
                <w:highlight w:val="none"/>
                <w:lang w:val="en-US" w:eastAsia="zh-CN"/>
              </w:rPr>
              <w:t>韶关市坪石发电厂</w:t>
            </w:r>
            <w:r>
              <w:rPr>
                <w:rFonts w:hint="eastAsia" w:cs="Times New Roman"/>
                <w:color w:val="auto"/>
                <w:sz w:val="24"/>
                <w:highlight w:val="none"/>
                <w:lang w:val="en-US" w:eastAsia="zh-CN"/>
              </w:rPr>
              <w:t>无法正常供热时</w:t>
            </w:r>
            <w:r>
              <w:rPr>
                <w:rFonts w:hint="eastAsia" w:ascii="Times New Roman" w:hAnsi="Times New Roman" w:eastAsia="宋体" w:cs="Times New Roman"/>
                <w:color w:val="auto"/>
                <w:sz w:val="24"/>
                <w:highlight w:val="none"/>
                <w:lang w:val="en-US" w:eastAsia="zh-CN"/>
              </w:rPr>
              <w:t>启用</w:t>
            </w:r>
            <w:r>
              <w:rPr>
                <w:rFonts w:hint="eastAsia" w:cs="Times New Roman"/>
                <w:color w:val="auto"/>
                <w:sz w:val="24"/>
                <w:highlight w:val="none"/>
                <w:lang w:val="en-US" w:eastAsia="zh-CN"/>
              </w:rPr>
              <w:t>。根据企业提供资料</w:t>
            </w:r>
            <w:r>
              <w:rPr>
                <w:rFonts w:hint="eastAsia" w:ascii="Times New Roman" w:hAnsi="Times New Roman" w:cs="Times New Roman"/>
                <w:color w:val="auto"/>
                <w:sz w:val="24"/>
                <w:highlight w:val="none"/>
                <w:lang w:val="en-US" w:eastAsia="zh-CN"/>
              </w:rPr>
              <w:t>乐昌东锆新材料有限公司</w:t>
            </w:r>
            <w:r>
              <w:rPr>
                <w:rFonts w:hint="eastAsia" w:cs="Times New Roman"/>
                <w:color w:val="auto"/>
                <w:sz w:val="24"/>
                <w:highlight w:val="none"/>
                <w:lang w:val="en-US" w:eastAsia="zh-CN"/>
              </w:rPr>
              <w:t>正常生产情况下全年所需蒸汽总量为7.5万吨，本项目最大供热能力为12万吨/a，因此本项目锅炉年产能可覆盖</w:t>
            </w:r>
            <w:r>
              <w:rPr>
                <w:rFonts w:hint="eastAsia" w:ascii="Times New Roman" w:hAnsi="Times New Roman" w:cs="Times New Roman"/>
                <w:color w:val="auto"/>
                <w:sz w:val="24"/>
                <w:highlight w:val="none"/>
                <w:lang w:val="en-US" w:eastAsia="zh-CN"/>
              </w:rPr>
              <w:t>乐昌东锆新材料有限公司</w:t>
            </w:r>
            <w:r>
              <w:rPr>
                <w:rFonts w:hint="eastAsia" w:cs="Times New Roman"/>
                <w:color w:val="auto"/>
                <w:sz w:val="24"/>
                <w:highlight w:val="none"/>
                <w:lang w:val="en-US" w:eastAsia="zh-CN"/>
              </w:rPr>
              <w:t>当前需求，供热总量合理；同时当</w:t>
            </w:r>
            <w:r>
              <w:rPr>
                <w:rFonts w:hint="eastAsia" w:ascii="Times New Roman" w:hAnsi="Times New Roman" w:cs="Times New Roman"/>
                <w:color w:val="auto"/>
                <w:sz w:val="24"/>
                <w:highlight w:val="none"/>
                <w:lang w:val="en-US" w:eastAsia="zh-CN"/>
              </w:rPr>
              <w:t>乐昌东锆新材料有限公司</w:t>
            </w:r>
            <w:r>
              <w:rPr>
                <w:rFonts w:hint="eastAsia" w:cs="Times New Roman"/>
                <w:color w:val="auto"/>
                <w:sz w:val="24"/>
                <w:highlight w:val="none"/>
                <w:lang w:val="en-US" w:eastAsia="zh-CN"/>
              </w:rPr>
              <w:t>需求达到原备用锅炉容量（25 t/h）时，则本项目锅炉满负荷运行也可达到该公司用热需求。</w:t>
            </w:r>
          </w:p>
          <w:p w14:paraId="4ADF63E9">
            <w:pPr>
              <w:adjustRightInd w:val="0"/>
              <w:snapToGrid w:val="0"/>
              <w:spacing w:line="360" w:lineRule="auto"/>
              <w:ind w:firstLine="480" w:firstLineChars="200"/>
              <w:jc w:val="both"/>
              <w:rPr>
                <w:rFonts w:hint="default"/>
                <w:highlight w:val="none"/>
                <w:lang w:val="en-US" w:eastAsia="zh-CN"/>
              </w:rPr>
            </w:pPr>
            <w:r>
              <w:rPr>
                <w:rFonts w:hint="eastAsia" w:hAnsi="宋体"/>
                <w:color w:val="auto"/>
                <w:sz w:val="24"/>
                <w:highlight w:val="none"/>
                <w:lang w:val="en-US" w:eastAsia="zh-CN"/>
              </w:rPr>
              <w:t>本项目具体</w:t>
            </w:r>
            <w:r>
              <w:rPr>
                <w:rFonts w:hint="eastAsia" w:ascii="Times New Roman" w:hAnsi="Times New Roman" w:cs="Times New Roman" w:eastAsiaTheme="majorEastAsia"/>
                <w:color w:val="auto"/>
                <w:sz w:val="24"/>
                <w:szCs w:val="24"/>
                <w:highlight w:val="none"/>
                <w:lang w:eastAsia="zh-CN"/>
              </w:rPr>
              <w:t>产品方案</w:t>
            </w:r>
            <w:r>
              <w:rPr>
                <w:rFonts w:hint="eastAsia" w:cs="Times New Roman" w:eastAsiaTheme="majorEastAsia"/>
                <w:color w:val="auto"/>
                <w:sz w:val="24"/>
                <w:szCs w:val="24"/>
                <w:highlight w:val="none"/>
                <w:lang w:val="en-US" w:eastAsia="zh-CN"/>
              </w:rPr>
              <w:t>详见下表。</w:t>
            </w:r>
          </w:p>
          <w:p w14:paraId="5EF611E8">
            <w:pPr>
              <w:pStyle w:val="44"/>
              <w:numPr>
                <w:ilvl w:val="0"/>
                <w:numId w:val="0"/>
              </w:numPr>
              <w:ind w:leftChars="0"/>
              <w:jc w:val="center"/>
              <w:rPr>
                <w:rFonts w:hint="default" w:ascii="宋体" w:hAnsi="宋体" w:eastAsia="宋体" w:cs="Times New Roman"/>
                <w:b/>
                <w:bCs/>
                <w:color w:val="auto"/>
                <w:highlight w:val="none"/>
                <w:lang w:val="en-US" w:eastAsia="zh-CN"/>
              </w:rPr>
            </w:pPr>
            <w:r>
              <w:rPr>
                <w:rFonts w:hint="eastAsia" w:eastAsia="宋体"/>
                <w:b/>
                <w:bCs/>
                <w:color w:val="000000" w:themeColor="text1"/>
                <w:kern w:val="2"/>
                <w:szCs w:val="24"/>
                <w:highlight w:val="none"/>
                <w:lang w:val="en-US" w:eastAsia="zh-CN"/>
                <w14:textFill>
                  <w14:solidFill>
                    <w14:schemeClr w14:val="tx1"/>
                  </w14:solidFill>
                </w14:textFill>
              </w:rPr>
              <w:t>表</w:t>
            </w:r>
            <w:r>
              <w:rPr>
                <w:rFonts w:hint="default" w:ascii="Times New Roman" w:hAnsi="Times New Roman" w:eastAsia="宋体" w:cs="Times New Roman"/>
                <w:b/>
                <w:bCs/>
                <w:color w:val="000000" w:themeColor="text1"/>
                <w:kern w:val="2"/>
                <w:szCs w:val="24"/>
                <w:highlight w:val="none"/>
                <w:lang w:val="en-US" w:eastAsia="zh-CN"/>
                <w14:textFill>
                  <w14:solidFill>
                    <w14:schemeClr w14:val="tx1"/>
                  </w14:solidFill>
                </w14:textFill>
              </w:rPr>
              <w:t>2-1</w:t>
            </w:r>
            <w:r>
              <w:rPr>
                <w:rFonts w:hint="eastAsia" w:ascii="Times New Roman" w:hAnsi="Times New Roman" w:cs="Times New Roman"/>
                <w:b/>
                <w:bCs/>
                <w:color w:val="000000" w:themeColor="text1"/>
                <w:kern w:val="2"/>
                <w:szCs w:val="24"/>
                <w:highlight w:val="none"/>
                <w:lang w:val="en-US" w:eastAsia="zh-CN"/>
                <w14:textFill>
                  <w14:solidFill>
                    <w14:schemeClr w14:val="tx1"/>
                  </w14:solidFill>
                </w14:textFill>
              </w:rPr>
              <w:t xml:space="preserve"> </w:t>
            </w:r>
            <w:r>
              <w:rPr>
                <w:rFonts w:hint="eastAsia" w:eastAsia="宋体"/>
                <w:b/>
                <w:bCs/>
                <w:color w:val="000000" w:themeColor="text1"/>
                <w:kern w:val="2"/>
                <w:szCs w:val="24"/>
                <w:highlight w:val="none"/>
                <w:lang w:val="en-US" w:eastAsia="zh-CN"/>
                <w14:textFill>
                  <w14:solidFill>
                    <w14:schemeClr w14:val="tx1"/>
                  </w14:solidFill>
                </w14:textFill>
              </w:rPr>
              <w:t>项目</w:t>
            </w:r>
            <w:r>
              <w:rPr>
                <w:rFonts w:eastAsia="宋体"/>
                <w:b/>
                <w:bCs/>
                <w:color w:val="000000" w:themeColor="text1"/>
                <w:kern w:val="2"/>
                <w:szCs w:val="24"/>
                <w:highlight w:val="none"/>
                <w14:textFill>
                  <w14:solidFill>
                    <w14:schemeClr w14:val="tx1"/>
                  </w14:solidFill>
                </w14:textFill>
              </w:rPr>
              <w:t>产品方案一览表</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940"/>
              <w:gridCol w:w="1311"/>
              <w:gridCol w:w="1856"/>
              <w:gridCol w:w="1045"/>
              <w:gridCol w:w="2086"/>
            </w:tblGrid>
            <w:tr w14:paraId="207ED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439" w:type="pct"/>
                  <w:tcBorders>
                    <w:tl2br w:val="nil"/>
                    <w:tr2bl w:val="nil"/>
                  </w:tcBorders>
                  <w:noWrap w:val="0"/>
                  <w:vAlign w:val="center"/>
                </w:tcPr>
                <w:p w14:paraId="68F53C18">
                  <w:pPr>
                    <w:snapToGrid w:val="0"/>
                    <w:jc w:val="center"/>
                    <w:rPr>
                      <w:rFonts w:hint="eastAsia" w:ascii="Times New Roman" w:hAnsi="Times New Roman" w:eastAsia="宋体" w:cs="Times New Roman"/>
                      <w:b/>
                      <w:bCs w:val="0"/>
                      <w:sz w:val="21"/>
                      <w:szCs w:val="21"/>
                      <w:highlight w:val="none"/>
                    </w:rPr>
                  </w:pPr>
                  <w:r>
                    <w:rPr>
                      <w:rFonts w:hint="eastAsia" w:ascii="Times New Roman" w:hAnsi="Times New Roman" w:eastAsia="宋体" w:cs="Times New Roman"/>
                      <w:b/>
                      <w:bCs w:val="0"/>
                      <w:sz w:val="21"/>
                      <w:szCs w:val="21"/>
                      <w:highlight w:val="none"/>
                    </w:rPr>
                    <w:t>序号</w:t>
                  </w:r>
                </w:p>
              </w:tc>
              <w:tc>
                <w:tcPr>
                  <w:tcW w:w="592" w:type="pct"/>
                  <w:tcBorders>
                    <w:tl2br w:val="nil"/>
                    <w:tr2bl w:val="nil"/>
                  </w:tcBorders>
                  <w:noWrap w:val="0"/>
                  <w:vAlign w:val="center"/>
                </w:tcPr>
                <w:p w14:paraId="3E49180C">
                  <w:pPr>
                    <w:snapToGrid w:val="0"/>
                    <w:jc w:val="center"/>
                    <w:rPr>
                      <w:rFonts w:hint="eastAsia" w:ascii="Times New Roman" w:hAnsi="Times New Roman" w:eastAsia="宋体" w:cs="Times New Roman"/>
                      <w:b/>
                      <w:bCs w:val="0"/>
                      <w:sz w:val="21"/>
                      <w:szCs w:val="21"/>
                      <w:highlight w:val="none"/>
                    </w:rPr>
                  </w:pPr>
                  <w:r>
                    <w:rPr>
                      <w:rFonts w:hint="eastAsia" w:ascii="Times New Roman" w:hAnsi="Times New Roman" w:eastAsia="宋体" w:cs="Times New Roman"/>
                      <w:b/>
                      <w:bCs w:val="0"/>
                      <w:sz w:val="21"/>
                      <w:szCs w:val="21"/>
                      <w:highlight w:val="none"/>
                    </w:rPr>
                    <w:t>产品名称</w:t>
                  </w:r>
                </w:p>
              </w:tc>
              <w:tc>
                <w:tcPr>
                  <w:tcW w:w="826" w:type="pct"/>
                  <w:tcBorders>
                    <w:tl2br w:val="nil"/>
                    <w:tr2bl w:val="nil"/>
                  </w:tcBorders>
                  <w:noWrap w:val="0"/>
                  <w:vAlign w:val="center"/>
                </w:tcPr>
                <w:p w14:paraId="5E1EFB4A">
                  <w:pPr>
                    <w:snapToGrid w:val="0"/>
                    <w:jc w:val="center"/>
                    <w:rPr>
                      <w:rFonts w:hint="eastAsia" w:ascii="Times New Roman" w:hAnsi="Times New Roman" w:eastAsia="宋体" w:cs="Times New Roman"/>
                      <w:b/>
                      <w:bCs w:val="0"/>
                      <w:sz w:val="21"/>
                      <w:szCs w:val="21"/>
                      <w:highlight w:val="none"/>
                    </w:rPr>
                  </w:pPr>
                  <w:r>
                    <w:rPr>
                      <w:rFonts w:hint="eastAsia" w:cs="Times New Roman"/>
                      <w:b/>
                      <w:bCs w:val="0"/>
                      <w:sz w:val="21"/>
                      <w:szCs w:val="21"/>
                      <w:highlight w:val="none"/>
                      <w:lang w:val="en-US" w:eastAsia="zh-CN"/>
                    </w:rPr>
                    <w:t>设计能力</w:t>
                  </w:r>
                  <w:r>
                    <w:rPr>
                      <w:rFonts w:hint="eastAsia" w:ascii="Times New Roman" w:hAnsi="Times New Roman" w:eastAsia="宋体" w:cs="Times New Roman"/>
                      <w:b/>
                      <w:bCs w:val="0"/>
                      <w:sz w:val="21"/>
                      <w:szCs w:val="21"/>
                      <w:highlight w:val="none"/>
                    </w:rPr>
                    <w:t>（t/</w:t>
                  </w:r>
                  <w:r>
                    <w:rPr>
                      <w:rFonts w:hint="eastAsia" w:cs="Times New Roman"/>
                      <w:b/>
                      <w:bCs w:val="0"/>
                      <w:sz w:val="21"/>
                      <w:szCs w:val="21"/>
                      <w:highlight w:val="none"/>
                      <w:lang w:val="en-US" w:eastAsia="zh-CN"/>
                    </w:rPr>
                    <w:t>h</w:t>
                  </w:r>
                  <w:r>
                    <w:rPr>
                      <w:rFonts w:hint="eastAsia" w:ascii="Times New Roman" w:hAnsi="Times New Roman" w:eastAsia="宋体" w:cs="Times New Roman"/>
                      <w:b/>
                      <w:bCs w:val="0"/>
                      <w:sz w:val="21"/>
                      <w:szCs w:val="21"/>
                      <w:highlight w:val="none"/>
                    </w:rPr>
                    <w:t>）</w:t>
                  </w:r>
                </w:p>
              </w:tc>
              <w:tc>
                <w:tcPr>
                  <w:tcW w:w="1169" w:type="pct"/>
                  <w:tcBorders>
                    <w:tl2br w:val="nil"/>
                    <w:tr2bl w:val="nil"/>
                  </w:tcBorders>
                  <w:noWrap w:val="0"/>
                  <w:vAlign w:val="center"/>
                </w:tcPr>
                <w:p w14:paraId="66F517B0">
                  <w:pPr>
                    <w:snapToGrid w:val="0"/>
                    <w:jc w:val="center"/>
                    <w:rPr>
                      <w:rFonts w:hint="default" w:cs="Times New Roman"/>
                      <w:b/>
                      <w:bCs w:val="0"/>
                      <w:sz w:val="21"/>
                      <w:szCs w:val="21"/>
                      <w:highlight w:val="none"/>
                      <w:lang w:val="en-US" w:eastAsia="zh-CN"/>
                    </w:rPr>
                  </w:pPr>
                  <w:r>
                    <w:rPr>
                      <w:rFonts w:hint="eastAsia" w:cs="Times New Roman"/>
                      <w:b/>
                      <w:bCs w:val="0"/>
                      <w:sz w:val="21"/>
                      <w:szCs w:val="21"/>
                      <w:highlight w:val="none"/>
                      <w:lang w:val="en-US" w:eastAsia="zh-CN"/>
                    </w:rPr>
                    <w:t>产品规格</w:t>
                  </w:r>
                </w:p>
              </w:tc>
              <w:tc>
                <w:tcPr>
                  <w:tcW w:w="658" w:type="pct"/>
                  <w:tcBorders>
                    <w:tl2br w:val="nil"/>
                    <w:tr2bl w:val="nil"/>
                  </w:tcBorders>
                  <w:noWrap w:val="0"/>
                  <w:vAlign w:val="center"/>
                </w:tcPr>
                <w:p w14:paraId="2736A44C">
                  <w:pPr>
                    <w:snapToGrid w:val="0"/>
                    <w:jc w:val="center"/>
                    <w:rPr>
                      <w:rFonts w:hint="default" w:cs="Times New Roman"/>
                      <w:b/>
                      <w:bCs w:val="0"/>
                      <w:sz w:val="21"/>
                      <w:szCs w:val="21"/>
                      <w:highlight w:val="none"/>
                      <w:lang w:val="en-US" w:eastAsia="zh-CN"/>
                    </w:rPr>
                  </w:pPr>
                  <w:r>
                    <w:rPr>
                      <w:rFonts w:hint="eastAsia" w:cs="Times New Roman"/>
                      <w:b/>
                      <w:bCs w:val="0"/>
                      <w:sz w:val="21"/>
                      <w:szCs w:val="21"/>
                      <w:highlight w:val="none"/>
                      <w:lang w:val="en-US" w:eastAsia="zh-CN"/>
                    </w:rPr>
                    <w:t>年运行小时数</w:t>
                  </w:r>
                </w:p>
              </w:tc>
              <w:tc>
                <w:tcPr>
                  <w:tcW w:w="1314" w:type="pct"/>
                  <w:tcBorders>
                    <w:tl2br w:val="nil"/>
                    <w:tr2bl w:val="nil"/>
                  </w:tcBorders>
                  <w:noWrap w:val="0"/>
                  <w:vAlign w:val="center"/>
                </w:tcPr>
                <w:p w14:paraId="626E38CE">
                  <w:pPr>
                    <w:snapToGrid w:val="0"/>
                    <w:jc w:val="center"/>
                    <w:rPr>
                      <w:rFonts w:hint="eastAsia" w:ascii="Times New Roman" w:hAnsi="Times New Roman" w:eastAsia="宋体" w:cs="Times New Roman"/>
                      <w:b/>
                      <w:bCs w:val="0"/>
                      <w:sz w:val="21"/>
                      <w:szCs w:val="21"/>
                      <w:highlight w:val="none"/>
                      <w:lang w:eastAsia="zh-CN"/>
                    </w:rPr>
                  </w:pPr>
                  <w:r>
                    <w:rPr>
                      <w:rFonts w:hint="eastAsia" w:ascii="Times New Roman" w:hAnsi="Times New Roman" w:eastAsia="宋体" w:cs="Times New Roman"/>
                      <w:b/>
                      <w:bCs w:val="0"/>
                      <w:sz w:val="21"/>
                      <w:szCs w:val="21"/>
                      <w:highlight w:val="none"/>
                      <w:lang w:val="en-US" w:eastAsia="zh-CN"/>
                    </w:rPr>
                    <w:t>备注</w:t>
                  </w:r>
                </w:p>
              </w:tc>
            </w:tr>
            <w:tr w14:paraId="7ECF1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6" w:hRule="atLeast"/>
              </w:trPr>
              <w:tc>
                <w:tcPr>
                  <w:tcW w:w="439" w:type="pct"/>
                  <w:tcBorders>
                    <w:tl2br w:val="nil"/>
                    <w:tr2bl w:val="nil"/>
                  </w:tcBorders>
                  <w:noWrap w:val="0"/>
                  <w:vAlign w:val="center"/>
                </w:tcPr>
                <w:p w14:paraId="08DF5F7D">
                  <w:pPr>
                    <w:snapToGrid w:val="0"/>
                    <w:jc w:val="center"/>
                    <w:rPr>
                      <w:rFonts w:hint="eastAsia" w:ascii="Times New Roman" w:hAnsi="Times New Roman" w:eastAsia="宋体" w:cs="Times New Roman"/>
                      <w:b w:val="0"/>
                      <w:bCs/>
                      <w:sz w:val="21"/>
                      <w:szCs w:val="21"/>
                      <w:highlight w:val="none"/>
                    </w:rPr>
                  </w:pPr>
                  <w:r>
                    <w:rPr>
                      <w:rFonts w:hint="eastAsia" w:ascii="Times New Roman" w:hAnsi="Times New Roman" w:eastAsia="宋体" w:cs="Times New Roman"/>
                      <w:b w:val="0"/>
                      <w:bCs/>
                      <w:sz w:val="21"/>
                      <w:szCs w:val="21"/>
                      <w:highlight w:val="none"/>
                    </w:rPr>
                    <w:t>1</w:t>
                  </w:r>
                </w:p>
              </w:tc>
              <w:tc>
                <w:tcPr>
                  <w:tcW w:w="592" w:type="pct"/>
                  <w:tcBorders>
                    <w:tl2br w:val="nil"/>
                    <w:tr2bl w:val="nil"/>
                  </w:tcBorders>
                  <w:noWrap w:val="0"/>
                  <w:vAlign w:val="center"/>
                </w:tcPr>
                <w:p w14:paraId="1E7078A3">
                  <w:pPr>
                    <w:snapToGrid w:val="0"/>
                    <w:jc w:val="center"/>
                    <w:rPr>
                      <w:rFonts w:hint="eastAsia" w:ascii="Times New Roman" w:hAnsi="Times New Roman" w:eastAsia="宋体" w:cs="Times New Roman"/>
                      <w:b w:val="0"/>
                      <w:bCs/>
                      <w:sz w:val="21"/>
                      <w:szCs w:val="21"/>
                      <w:highlight w:val="none"/>
                      <w:lang w:eastAsia="zh-CN"/>
                    </w:rPr>
                  </w:pPr>
                  <w:r>
                    <w:rPr>
                      <w:rFonts w:hint="eastAsia" w:cs="Times New Roman"/>
                      <w:b w:val="0"/>
                      <w:bCs/>
                      <w:sz w:val="21"/>
                      <w:szCs w:val="21"/>
                      <w:highlight w:val="none"/>
                      <w:lang w:val="en-US" w:eastAsia="zh-CN"/>
                    </w:rPr>
                    <w:t>蒸汽</w:t>
                  </w:r>
                </w:p>
              </w:tc>
              <w:tc>
                <w:tcPr>
                  <w:tcW w:w="826" w:type="pct"/>
                  <w:tcBorders>
                    <w:tl2br w:val="nil"/>
                    <w:tr2bl w:val="nil"/>
                  </w:tcBorders>
                  <w:noWrap w:val="0"/>
                  <w:vAlign w:val="center"/>
                </w:tcPr>
                <w:p w14:paraId="374E8839">
                  <w:pPr>
                    <w:snapToGrid w:val="0"/>
                    <w:jc w:val="center"/>
                    <w:rPr>
                      <w:rFonts w:hint="default" w:ascii="Times New Roman" w:hAnsi="Times New Roman" w:eastAsia="宋体" w:cs="Times New Roman"/>
                      <w:b w:val="0"/>
                      <w:bCs/>
                      <w:sz w:val="21"/>
                      <w:szCs w:val="21"/>
                      <w:highlight w:val="none"/>
                      <w:lang w:val="en-US"/>
                    </w:rPr>
                  </w:pPr>
                  <w:r>
                    <w:rPr>
                      <w:rFonts w:hint="eastAsia" w:cs="Times New Roman"/>
                      <w:b w:val="0"/>
                      <w:bCs/>
                      <w:sz w:val="21"/>
                      <w:szCs w:val="21"/>
                      <w:highlight w:val="none"/>
                      <w:lang w:val="en-US" w:eastAsia="zh-CN"/>
                    </w:rPr>
                    <w:t>25</w:t>
                  </w:r>
                </w:p>
              </w:tc>
              <w:tc>
                <w:tcPr>
                  <w:tcW w:w="1169" w:type="pct"/>
                  <w:tcBorders>
                    <w:tl2br w:val="nil"/>
                    <w:tr2bl w:val="nil"/>
                  </w:tcBorders>
                  <w:noWrap/>
                  <w:vAlign w:val="center"/>
                </w:tcPr>
                <w:p w14:paraId="7391B83D">
                  <w:pPr>
                    <w:snapToGrid w:val="0"/>
                    <w:jc w:val="center"/>
                    <w:rPr>
                      <w:rFonts w:hint="eastAsia" w:cs="Times New Roman"/>
                      <w:b w:val="0"/>
                      <w:bCs/>
                      <w:sz w:val="21"/>
                      <w:szCs w:val="21"/>
                      <w:highlight w:val="none"/>
                      <w:lang w:val="en-US" w:eastAsia="zh-CN"/>
                    </w:rPr>
                  </w:pPr>
                  <w:r>
                    <w:rPr>
                      <w:rFonts w:hint="default" w:ascii="Times New Roman" w:hAnsi="Times New Roman" w:cs="Times New Roman"/>
                      <w:b w:val="0"/>
                      <w:bCs/>
                      <w:sz w:val="21"/>
                      <w:szCs w:val="21"/>
                      <w:highlight w:val="none"/>
                      <w:lang w:val="en-US" w:eastAsia="zh-CN"/>
                    </w:rPr>
                    <w:t>额定蒸汽压力：1.6兆帕；额定蒸汽温度：204℃</w:t>
                  </w:r>
                </w:p>
              </w:tc>
              <w:tc>
                <w:tcPr>
                  <w:tcW w:w="658" w:type="pct"/>
                  <w:tcBorders>
                    <w:tl2br w:val="nil"/>
                    <w:tr2bl w:val="nil"/>
                  </w:tcBorders>
                  <w:noWrap/>
                  <w:vAlign w:val="center"/>
                </w:tcPr>
                <w:p w14:paraId="76807B55">
                  <w:pPr>
                    <w:snapToGrid w:val="0"/>
                    <w:jc w:val="center"/>
                    <w:rPr>
                      <w:rFonts w:hint="default" w:cs="Times New Roman"/>
                      <w:b w:val="0"/>
                      <w:bCs/>
                      <w:sz w:val="21"/>
                      <w:szCs w:val="21"/>
                      <w:highlight w:val="none"/>
                      <w:lang w:val="en-US" w:eastAsia="zh-CN"/>
                    </w:rPr>
                  </w:pPr>
                  <w:r>
                    <w:rPr>
                      <w:rFonts w:hint="eastAsia" w:cs="Times New Roman"/>
                      <w:b w:val="0"/>
                      <w:bCs/>
                      <w:sz w:val="21"/>
                      <w:szCs w:val="21"/>
                      <w:highlight w:val="none"/>
                      <w:lang w:val="en-US" w:eastAsia="zh-CN"/>
                    </w:rPr>
                    <w:t>4800</w:t>
                  </w:r>
                </w:p>
              </w:tc>
              <w:tc>
                <w:tcPr>
                  <w:tcW w:w="1314" w:type="pct"/>
                  <w:tcBorders>
                    <w:tl2br w:val="nil"/>
                    <w:tr2bl w:val="nil"/>
                  </w:tcBorders>
                  <w:noWrap/>
                  <w:vAlign w:val="center"/>
                </w:tcPr>
                <w:p w14:paraId="550C66E0">
                  <w:pPr>
                    <w:snapToGrid w:val="0"/>
                    <w:jc w:val="center"/>
                    <w:rPr>
                      <w:rFonts w:hint="eastAsia" w:ascii="Times New Roman" w:hAnsi="Times New Roman" w:eastAsia="宋体" w:cs="Times New Roman"/>
                      <w:b w:val="0"/>
                      <w:bCs/>
                      <w:sz w:val="21"/>
                      <w:szCs w:val="21"/>
                      <w:highlight w:val="none"/>
                      <w:lang w:val="en-US" w:eastAsia="zh-CN"/>
                    </w:rPr>
                  </w:pPr>
                  <w:r>
                    <w:rPr>
                      <w:rFonts w:hint="eastAsia" w:cs="Times New Roman"/>
                      <w:b w:val="0"/>
                      <w:bCs/>
                      <w:sz w:val="21"/>
                      <w:szCs w:val="21"/>
                      <w:highlight w:val="none"/>
                      <w:lang w:val="en-US" w:eastAsia="zh-CN"/>
                    </w:rPr>
                    <w:t>2</w:t>
                  </w:r>
                  <w:r>
                    <w:rPr>
                      <w:rFonts w:hint="eastAsia" w:ascii="Times New Roman" w:hAnsi="Times New Roman" w:eastAsia="宋体" w:cs="Times New Roman"/>
                      <w:b w:val="0"/>
                      <w:bCs/>
                      <w:sz w:val="21"/>
                      <w:szCs w:val="21"/>
                      <w:highlight w:val="none"/>
                      <w:lang w:val="en-US" w:eastAsia="zh-CN"/>
                    </w:rPr>
                    <w:t>台</w:t>
                  </w:r>
                  <w:r>
                    <w:rPr>
                      <w:rFonts w:hint="eastAsia" w:cs="Times New Roman"/>
                      <w:b w:val="0"/>
                      <w:bCs/>
                      <w:sz w:val="21"/>
                      <w:szCs w:val="21"/>
                      <w:highlight w:val="none"/>
                      <w:lang w:val="en-US" w:eastAsia="zh-CN"/>
                    </w:rPr>
                    <w:t>25</w:t>
                  </w:r>
                  <w:r>
                    <w:rPr>
                      <w:rFonts w:hint="eastAsia" w:ascii="Times New Roman" w:hAnsi="Times New Roman" w:eastAsia="宋体" w:cs="Times New Roman"/>
                      <w:b w:val="0"/>
                      <w:bCs/>
                      <w:sz w:val="21"/>
                      <w:szCs w:val="21"/>
                      <w:highlight w:val="none"/>
                      <w:lang w:val="en-US" w:eastAsia="zh-CN"/>
                    </w:rPr>
                    <w:t>t/h生物质锅炉</w:t>
                  </w:r>
                  <w:r>
                    <w:rPr>
                      <w:rFonts w:hint="eastAsia" w:cs="Times New Roman"/>
                      <w:b w:val="0"/>
                      <w:bCs/>
                      <w:sz w:val="21"/>
                      <w:szCs w:val="21"/>
                      <w:highlight w:val="none"/>
                      <w:lang w:val="en-US" w:eastAsia="zh-CN"/>
                    </w:rPr>
                    <w:t>（一用一备）</w:t>
                  </w:r>
                  <w:r>
                    <w:rPr>
                      <w:rFonts w:hint="eastAsia" w:ascii="Times New Roman" w:hAnsi="Times New Roman" w:eastAsia="宋体" w:cs="Times New Roman"/>
                      <w:b w:val="0"/>
                      <w:bCs/>
                      <w:sz w:val="21"/>
                      <w:szCs w:val="21"/>
                      <w:highlight w:val="none"/>
                      <w:lang w:val="en-US" w:eastAsia="zh-CN"/>
                    </w:rPr>
                    <w:t>，蒸汽最大产生量为</w:t>
                  </w:r>
                  <w:r>
                    <w:rPr>
                      <w:rFonts w:hint="eastAsia" w:cs="Times New Roman"/>
                      <w:b w:val="0"/>
                      <w:bCs/>
                      <w:sz w:val="21"/>
                      <w:szCs w:val="21"/>
                      <w:highlight w:val="none"/>
                      <w:lang w:val="en-US" w:eastAsia="zh-CN"/>
                    </w:rPr>
                    <w:t>12万</w:t>
                  </w:r>
                  <w:r>
                    <w:rPr>
                      <w:rFonts w:hint="eastAsia" w:ascii="Times New Roman" w:hAnsi="Times New Roman" w:eastAsia="宋体" w:cs="Times New Roman"/>
                      <w:b w:val="0"/>
                      <w:bCs/>
                      <w:sz w:val="21"/>
                      <w:szCs w:val="21"/>
                      <w:highlight w:val="none"/>
                      <w:lang w:val="en-US" w:eastAsia="zh-CN"/>
                    </w:rPr>
                    <w:t>t/a。</w:t>
                  </w:r>
                </w:p>
              </w:tc>
            </w:tr>
          </w:tbl>
          <w:p w14:paraId="65DCF3BD">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jc w:val="left"/>
              <w:textAlignment w:val="auto"/>
              <w:rPr>
                <w:b/>
                <w:bCs/>
                <w:color w:val="auto"/>
                <w:sz w:val="24"/>
                <w:szCs w:val="21"/>
                <w:highlight w:val="none"/>
              </w:rPr>
            </w:pPr>
            <w:r>
              <w:rPr>
                <w:rFonts w:hint="eastAsia"/>
                <w:b/>
                <w:bCs/>
                <w:color w:val="auto"/>
                <w:sz w:val="24"/>
                <w:szCs w:val="21"/>
                <w:highlight w:val="none"/>
                <w:lang w:val="en-US" w:eastAsia="zh-CN"/>
              </w:rPr>
              <w:t>3</w:t>
            </w:r>
            <w:r>
              <w:rPr>
                <w:rFonts w:hint="eastAsia"/>
                <w:b/>
                <w:bCs/>
                <w:color w:val="auto"/>
                <w:sz w:val="24"/>
                <w:szCs w:val="21"/>
                <w:highlight w:val="none"/>
                <w:lang w:eastAsia="zh-CN"/>
              </w:rPr>
              <w:t>、</w:t>
            </w:r>
            <w:r>
              <w:rPr>
                <w:rFonts w:hint="eastAsia"/>
                <w:b/>
                <w:bCs/>
                <w:color w:val="auto"/>
                <w:sz w:val="24"/>
                <w:szCs w:val="21"/>
                <w:highlight w:val="none"/>
              </w:rPr>
              <w:t>项目组成和平面布置</w:t>
            </w:r>
          </w:p>
          <w:p w14:paraId="30F1ED23">
            <w:pPr>
              <w:adjustRightInd w:val="0"/>
              <w:snapToGrid w:val="0"/>
              <w:spacing w:line="360" w:lineRule="auto"/>
              <w:ind w:firstLine="480" w:firstLineChars="200"/>
              <w:jc w:val="left"/>
              <w:rPr>
                <w:rFonts w:hint="eastAsia" w:hAnsi="Courier New"/>
                <w:color w:val="auto"/>
                <w:sz w:val="24"/>
                <w:highlight w:val="none"/>
              </w:rPr>
            </w:pPr>
            <w:r>
              <w:rPr>
                <w:rFonts w:hint="eastAsia"/>
                <w:color w:val="auto"/>
                <w:sz w:val="24"/>
                <w:szCs w:val="24"/>
                <w:highlight w:val="none"/>
                <w:lang w:val="en-US" w:eastAsia="zh-CN"/>
              </w:rPr>
              <w:t>本项目拟于乐昌市坪石镇粤湘产业工业园规划范围内</w:t>
            </w:r>
            <w:r>
              <w:rPr>
                <w:rFonts w:hint="eastAsia" w:cs="Times New Roman"/>
                <w:color w:val="auto"/>
                <w:sz w:val="24"/>
                <w:highlight w:val="none"/>
                <w:lang w:val="en-US" w:eastAsia="zh-CN"/>
              </w:rPr>
              <w:t>建设生物质锅炉项目</w:t>
            </w:r>
            <w:r>
              <w:rPr>
                <w:rFonts w:hint="eastAsia"/>
                <w:color w:val="auto"/>
                <w:sz w:val="24"/>
                <w:szCs w:val="24"/>
                <w:highlight w:val="none"/>
                <w:lang w:val="en-US" w:eastAsia="zh-CN"/>
              </w:rPr>
              <w:t>。本项目具体</w:t>
            </w:r>
            <w:r>
              <w:rPr>
                <w:rFonts w:hint="eastAsia"/>
                <w:color w:val="auto"/>
                <w:sz w:val="24"/>
                <w:szCs w:val="24"/>
                <w:highlight w:val="none"/>
                <w:lang w:eastAsia="zh-CN"/>
              </w:rPr>
              <w:t>建设内容</w:t>
            </w:r>
            <w:r>
              <w:rPr>
                <w:rFonts w:hint="eastAsia" w:hAnsi="Courier New"/>
                <w:color w:val="auto"/>
                <w:sz w:val="24"/>
                <w:highlight w:val="none"/>
              </w:rPr>
              <w:t>表</w:t>
            </w:r>
            <w:r>
              <w:rPr>
                <w:rFonts w:hint="eastAsia" w:hAnsi="Courier New"/>
                <w:color w:val="auto"/>
                <w:sz w:val="24"/>
                <w:highlight w:val="none"/>
                <w:lang w:val="en-US" w:eastAsia="zh-CN"/>
              </w:rPr>
              <w:t>2-2</w:t>
            </w:r>
            <w:r>
              <w:rPr>
                <w:rFonts w:hint="eastAsia" w:hAnsi="Courier New"/>
                <w:color w:val="auto"/>
                <w:sz w:val="24"/>
                <w:highlight w:val="none"/>
              </w:rPr>
              <w:t>，平面布置如附图</w:t>
            </w:r>
            <w:r>
              <w:rPr>
                <w:rFonts w:hint="eastAsia" w:hAnsi="Courier New"/>
                <w:color w:val="auto"/>
                <w:sz w:val="24"/>
                <w:highlight w:val="none"/>
                <w:lang w:val="en-US" w:eastAsia="zh-CN"/>
              </w:rPr>
              <w:t>3</w:t>
            </w:r>
            <w:r>
              <w:rPr>
                <w:rFonts w:hint="eastAsia" w:hAnsi="Courier New"/>
                <w:color w:val="auto"/>
                <w:sz w:val="24"/>
                <w:highlight w:val="none"/>
              </w:rPr>
              <w:t>所示。</w:t>
            </w:r>
          </w:p>
          <w:p w14:paraId="329B65F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hAnsi="Courier New"/>
                <w:b/>
                <w:color w:val="auto"/>
                <w:sz w:val="24"/>
                <w:highlight w:val="none"/>
              </w:rPr>
            </w:pPr>
            <w:r>
              <w:rPr>
                <w:rFonts w:hint="eastAsia" w:hAnsi="Courier New"/>
                <w:b/>
                <w:color w:val="auto"/>
                <w:sz w:val="24"/>
                <w:highlight w:val="none"/>
              </w:rPr>
              <w:t>表</w:t>
            </w:r>
            <w:r>
              <w:rPr>
                <w:rFonts w:hint="eastAsia" w:hAnsi="Courier New"/>
                <w:b/>
                <w:color w:val="auto"/>
                <w:sz w:val="24"/>
                <w:highlight w:val="none"/>
                <w:lang w:val="en-US" w:eastAsia="zh-CN"/>
              </w:rPr>
              <w:t>2-2</w:t>
            </w:r>
            <w:r>
              <w:rPr>
                <w:rFonts w:hint="eastAsia" w:hAnsi="Courier New"/>
                <w:b/>
                <w:color w:val="auto"/>
                <w:sz w:val="24"/>
                <w:highlight w:val="none"/>
              </w:rPr>
              <w:t>项目组成表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1222"/>
              <w:gridCol w:w="5624"/>
            </w:tblGrid>
            <w:tr w14:paraId="13CC2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86" w:type="pct"/>
                  <w:tcBorders>
                    <w:tl2br w:val="nil"/>
                    <w:tr2bl w:val="nil"/>
                  </w:tcBorders>
                  <w:noWrap w:val="0"/>
                  <w:vAlign w:val="center"/>
                </w:tcPr>
                <w:p w14:paraId="7A8F6C37">
                  <w:pPr>
                    <w:adjustRightInd w:val="0"/>
                    <w:snapToGrid w:val="0"/>
                    <w:ind w:firstLine="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类别</w:t>
                  </w:r>
                </w:p>
              </w:tc>
              <w:tc>
                <w:tcPr>
                  <w:tcW w:w="770" w:type="pct"/>
                  <w:tcBorders>
                    <w:tl2br w:val="nil"/>
                    <w:tr2bl w:val="nil"/>
                  </w:tcBorders>
                  <w:noWrap w:val="0"/>
                  <w:vAlign w:val="center"/>
                </w:tcPr>
                <w:p w14:paraId="7644BBA4">
                  <w:pPr>
                    <w:adjustRightInd w:val="0"/>
                    <w:snapToGrid w:val="0"/>
                    <w:ind w:firstLine="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项目名称</w:t>
                  </w:r>
                </w:p>
              </w:tc>
              <w:tc>
                <w:tcPr>
                  <w:tcW w:w="3543" w:type="pct"/>
                  <w:tcBorders>
                    <w:tl2br w:val="nil"/>
                    <w:tr2bl w:val="nil"/>
                  </w:tcBorders>
                  <w:noWrap w:val="0"/>
                  <w:vAlign w:val="center"/>
                </w:tcPr>
                <w:p w14:paraId="664A0B9E">
                  <w:pPr>
                    <w:adjustRightInd w:val="0"/>
                    <w:snapToGrid w:val="0"/>
                    <w:ind w:firstLine="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工程内容及规模</w:t>
                  </w:r>
                </w:p>
              </w:tc>
            </w:tr>
            <w:tr w14:paraId="6C699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86" w:type="pct"/>
                  <w:tcBorders>
                    <w:tl2br w:val="nil"/>
                    <w:tr2bl w:val="nil"/>
                  </w:tcBorders>
                  <w:noWrap w:val="0"/>
                  <w:vAlign w:val="center"/>
                </w:tcPr>
                <w:p w14:paraId="18FCE3F2">
                  <w:pPr>
                    <w:adjustRightInd w:val="0"/>
                    <w:snapToGrid w:val="0"/>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主体工程</w:t>
                  </w:r>
                </w:p>
              </w:tc>
              <w:tc>
                <w:tcPr>
                  <w:tcW w:w="770" w:type="pct"/>
                  <w:tcBorders>
                    <w:tl2br w:val="nil"/>
                    <w:tr2bl w:val="nil"/>
                  </w:tcBorders>
                  <w:noWrap w:val="0"/>
                  <w:vAlign w:val="center"/>
                </w:tcPr>
                <w:p w14:paraId="3DC977B1">
                  <w:pPr>
                    <w:adjustRightInd w:val="0"/>
                    <w:snapToGrid w:val="0"/>
                    <w:ind w:firstLine="0"/>
                    <w:jc w:val="center"/>
                    <w:rPr>
                      <w:rFonts w:hint="default" w:ascii="Times New Roman" w:hAnsi="Times New Roman" w:cs="Times New Roman"/>
                      <w:color w:val="auto"/>
                      <w:sz w:val="21"/>
                      <w:szCs w:val="21"/>
                      <w:highlight w:val="none"/>
                    </w:rPr>
                  </w:pPr>
                  <w:r>
                    <w:rPr>
                      <w:spacing w:val="-2"/>
                      <w:highlight w:val="none"/>
                    </w:rPr>
                    <w:t>生物质锅炉房</w:t>
                  </w:r>
                </w:p>
              </w:tc>
              <w:tc>
                <w:tcPr>
                  <w:tcW w:w="3543" w:type="pct"/>
                  <w:tcBorders>
                    <w:tl2br w:val="nil"/>
                    <w:tr2bl w:val="nil"/>
                  </w:tcBorders>
                  <w:noWrap w:val="0"/>
                  <w:vAlign w:val="center"/>
                </w:tcPr>
                <w:p w14:paraId="337908A3">
                  <w:pPr>
                    <w:tabs>
                      <w:tab w:val="left" w:pos="567"/>
                      <w:tab w:val="left" w:pos="709"/>
                      <w:tab w:val="left" w:pos="851"/>
                    </w:tabs>
                    <w:autoSpaceDE w:val="0"/>
                    <w:autoSpaceDN w:val="0"/>
                    <w:adjustRightInd w:val="0"/>
                    <w:snapToGrid w:val="0"/>
                    <w:ind w:firstLine="0"/>
                    <w:jc w:val="center"/>
                    <w:rPr>
                      <w:rFonts w:hint="eastAsia" w:ascii="Times New Roman" w:hAnsi="Times New Roman" w:eastAsia="宋体" w:cs="Times New Roman"/>
                      <w:color w:val="auto"/>
                      <w:sz w:val="21"/>
                      <w:szCs w:val="21"/>
                      <w:highlight w:val="none"/>
                      <w:lang w:val="en-US" w:eastAsia="zh-CN"/>
                    </w:rPr>
                  </w:pPr>
                  <w:r>
                    <w:rPr>
                      <w:rFonts w:hint="eastAsia"/>
                      <w:spacing w:val="-8"/>
                      <w:highlight w:val="none"/>
                      <w:lang w:val="en-US" w:eastAsia="zh-CN"/>
                    </w:rPr>
                    <w:t>占地面积约1417m</w:t>
                  </w:r>
                  <w:r>
                    <w:rPr>
                      <w:rFonts w:hint="eastAsia"/>
                      <w:spacing w:val="-8"/>
                      <w:highlight w:val="none"/>
                      <w:vertAlign w:val="superscript"/>
                      <w:lang w:val="en-US" w:eastAsia="zh-CN"/>
                    </w:rPr>
                    <w:t>2</w:t>
                  </w:r>
                  <w:r>
                    <w:rPr>
                      <w:rFonts w:hint="eastAsia"/>
                      <w:spacing w:val="-8"/>
                      <w:highlight w:val="none"/>
                      <w:lang w:val="en-US" w:eastAsia="zh-CN"/>
                    </w:rPr>
                    <w:t>，1F，设置有2</w:t>
                  </w:r>
                  <w:r>
                    <w:rPr>
                      <w:spacing w:val="-8"/>
                      <w:highlight w:val="none"/>
                    </w:rPr>
                    <w:t>台</w:t>
                  </w:r>
                  <w:r>
                    <w:rPr>
                      <w:rFonts w:hint="eastAsia"/>
                      <w:spacing w:val="-8"/>
                      <w:highlight w:val="none"/>
                      <w:lang w:val="en-US" w:eastAsia="zh-CN"/>
                    </w:rPr>
                    <w:t>25t/h</w:t>
                  </w:r>
                  <w:r>
                    <w:rPr>
                      <w:spacing w:val="-8"/>
                      <w:highlight w:val="none"/>
                    </w:rPr>
                    <w:t>生物质蒸汽锅炉</w:t>
                  </w:r>
                  <w:r>
                    <w:rPr>
                      <w:rFonts w:hint="eastAsia"/>
                      <w:spacing w:val="-8"/>
                      <w:highlight w:val="none"/>
                      <w:lang w:eastAsia="zh-CN"/>
                    </w:rPr>
                    <w:t>（</w:t>
                  </w:r>
                  <w:r>
                    <w:rPr>
                      <w:rFonts w:hint="eastAsia"/>
                      <w:spacing w:val="-8"/>
                      <w:highlight w:val="none"/>
                      <w:lang w:val="en-US" w:eastAsia="zh-CN"/>
                    </w:rPr>
                    <w:t>一用一备</w:t>
                  </w:r>
                  <w:r>
                    <w:rPr>
                      <w:rFonts w:hint="eastAsia"/>
                      <w:spacing w:val="-8"/>
                      <w:highlight w:val="none"/>
                      <w:lang w:eastAsia="zh-CN"/>
                    </w:rPr>
                    <w:t>）</w:t>
                  </w:r>
                </w:p>
              </w:tc>
            </w:tr>
            <w:tr w14:paraId="6A0A4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86" w:type="pct"/>
                  <w:vMerge w:val="restart"/>
                  <w:tcBorders>
                    <w:tl2br w:val="nil"/>
                    <w:tr2bl w:val="nil"/>
                  </w:tcBorders>
                  <w:noWrap w:val="0"/>
                  <w:vAlign w:val="center"/>
                </w:tcPr>
                <w:p w14:paraId="01173FB9">
                  <w:pPr>
                    <w:adjustRightInd w:val="0"/>
                    <w:snapToGrid w:val="0"/>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辅助工程</w:t>
                  </w:r>
                </w:p>
              </w:tc>
              <w:tc>
                <w:tcPr>
                  <w:tcW w:w="770" w:type="pct"/>
                  <w:tcBorders>
                    <w:tl2br w:val="nil"/>
                    <w:tr2bl w:val="nil"/>
                  </w:tcBorders>
                  <w:noWrap w:val="0"/>
                  <w:vAlign w:val="center"/>
                </w:tcPr>
                <w:p w14:paraId="31BC27C9">
                  <w:pPr>
                    <w:adjustRightInd w:val="0"/>
                    <w:snapToGrid w:val="0"/>
                    <w:ind w:firstLine="0"/>
                    <w:jc w:val="center"/>
                    <w:rPr>
                      <w:rFonts w:hint="default" w:ascii="Times New Roman" w:hAnsi="Times New Roman" w:eastAsia="宋体" w:cs="Times New Roman"/>
                      <w:spacing w:val="-2"/>
                      <w:highlight w:val="none"/>
                      <w:lang w:val="en-US" w:eastAsia="zh-CN"/>
                    </w:rPr>
                  </w:pPr>
                  <w:r>
                    <w:rPr>
                      <w:rFonts w:hint="eastAsia" w:cs="Times New Roman"/>
                      <w:spacing w:val="-2"/>
                      <w:highlight w:val="none"/>
                      <w:lang w:val="en-US" w:eastAsia="zh-CN"/>
                    </w:rPr>
                    <w:t>软水制备系统</w:t>
                  </w:r>
                </w:p>
              </w:tc>
              <w:tc>
                <w:tcPr>
                  <w:tcW w:w="3543" w:type="pct"/>
                  <w:tcBorders>
                    <w:tl2br w:val="nil"/>
                    <w:tr2bl w:val="nil"/>
                  </w:tcBorders>
                  <w:noWrap w:val="0"/>
                  <w:vAlign w:val="center"/>
                </w:tcPr>
                <w:p w14:paraId="0722EA0E">
                  <w:pPr>
                    <w:adjustRightInd w:val="0"/>
                    <w:snapToGrid w:val="0"/>
                    <w:ind w:firstLine="0"/>
                    <w:jc w:val="center"/>
                    <w:rPr>
                      <w:rFonts w:hint="default" w:ascii="Times New Roman" w:hAnsi="Times New Roman" w:eastAsia="宋体" w:cs="Times New Roman"/>
                      <w:spacing w:val="-2"/>
                      <w:highlight w:val="none"/>
                      <w:lang w:val="en-US" w:eastAsia="zh-CN"/>
                    </w:rPr>
                  </w:pPr>
                  <w:r>
                    <w:rPr>
                      <w:rFonts w:hint="eastAsia"/>
                      <w:bCs/>
                      <w:color w:val="auto"/>
                      <w:sz w:val="21"/>
                      <w:szCs w:val="21"/>
                      <w:highlight w:val="none"/>
                      <w:lang w:val="en-US" w:eastAsia="zh-CN"/>
                    </w:rPr>
                    <w:t>1套</w:t>
                  </w:r>
                  <w:r>
                    <w:rPr>
                      <w:rFonts w:hint="eastAsia"/>
                      <w:bCs/>
                      <w:color w:val="auto"/>
                      <w:sz w:val="21"/>
                      <w:szCs w:val="21"/>
                      <w:highlight w:val="none"/>
                    </w:rPr>
                    <w:t>软水制备系统</w:t>
                  </w:r>
                  <w:r>
                    <w:rPr>
                      <w:rFonts w:hint="eastAsia"/>
                      <w:bCs/>
                      <w:color w:val="auto"/>
                      <w:sz w:val="21"/>
                      <w:szCs w:val="21"/>
                      <w:highlight w:val="none"/>
                      <w:lang w:eastAsia="zh-CN"/>
                    </w:rPr>
                    <w:t>（</w:t>
                  </w:r>
                  <w:r>
                    <w:rPr>
                      <w:rFonts w:hint="eastAsia"/>
                      <w:bCs/>
                      <w:color w:val="auto"/>
                      <w:sz w:val="21"/>
                      <w:szCs w:val="21"/>
                      <w:highlight w:val="none"/>
                      <w:lang w:val="en-US" w:eastAsia="zh-CN"/>
                    </w:rPr>
                    <w:t>25t/h，反渗透膜，制备率75%</w:t>
                  </w:r>
                  <w:r>
                    <w:rPr>
                      <w:rFonts w:hint="eastAsia"/>
                      <w:bCs/>
                      <w:color w:val="auto"/>
                      <w:sz w:val="21"/>
                      <w:szCs w:val="21"/>
                      <w:highlight w:val="none"/>
                      <w:lang w:eastAsia="zh-CN"/>
                    </w:rPr>
                    <w:t>）</w:t>
                  </w:r>
                </w:p>
              </w:tc>
            </w:tr>
            <w:tr w14:paraId="1369F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86" w:type="pct"/>
                  <w:vMerge w:val="continue"/>
                  <w:tcBorders>
                    <w:tl2br w:val="nil"/>
                    <w:tr2bl w:val="nil"/>
                  </w:tcBorders>
                  <w:noWrap w:val="0"/>
                  <w:vAlign w:val="center"/>
                </w:tcPr>
                <w:p w14:paraId="06E43E54">
                  <w:pPr>
                    <w:adjustRightInd w:val="0"/>
                    <w:snapToGrid w:val="0"/>
                    <w:ind w:firstLine="0"/>
                    <w:jc w:val="center"/>
                    <w:rPr>
                      <w:rFonts w:hint="default" w:ascii="Times New Roman" w:hAnsi="Times New Roman" w:cs="Times New Roman"/>
                      <w:color w:val="auto"/>
                      <w:sz w:val="21"/>
                      <w:szCs w:val="21"/>
                      <w:highlight w:val="none"/>
                    </w:rPr>
                  </w:pPr>
                </w:p>
              </w:tc>
              <w:tc>
                <w:tcPr>
                  <w:tcW w:w="770" w:type="pct"/>
                  <w:tcBorders>
                    <w:tl2br w:val="nil"/>
                    <w:tr2bl w:val="nil"/>
                  </w:tcBorders>
                  <w:noWrap w:val="0"/>
                  <w:vAlign w:val="center"/>
                </w:tcPr>
                <w:p w14:paraId="371A05D8">
                  <w:pPr>
                    <w:adjustRightInd w:val="0"/>
                    <w:snapToGrid w:val="0"/>
                    <w:ind w:firstLine="0"/>
                    <w:jc w:val="center"/>
                    <w:rPr>
                      <w:rFonts w:hint="eastAsia" w:ascii="Times New Roman" w:hAnsi="Times New Roman" w:eastAsia="宋体" w:cs="Times New Roman"/>
                      <w:spacing w:val="-2"/>
                      <w:highlight w:val="none"/>
                      <w:lang w:eastAsia="zh-CN"/>
                    </w:rPr>
                  </w:pPr>
                  <w:r>
                    <w:rPr>
                      <w:rFonts w:hint="eastAsia" w:cs="Times New Roman"/>
                      <w:spacing w:val="-2"/>
                      <w:highlight w:val="none"/>
                      <w:lang w:val="en-US" w:eastAsia="zh-CN"/>
                    </w:rPr>
                    <w:t>上料</w:t>
                  </w:r>
                  <w:r>
                    <w:rPr>
                      <w:rFonts w:ascii="Times New Roman" w:hAnsi="Times New Roman" w:eastAsia="宋体" w:cs="Times New Roman"/>
                      <w:spacing w:val="-2"/>
                      <w:highlight w:val="none"/>
                    </w:rPr>
                    <w:t>间</w:t>
                  </w:r>
                </w:p>
              </w:tc>
              <w:tc>
                <w:tcPr>
                  <w:tcW w:w="3543" w:type="pct"/>
                  <w:tcBorders>
                    <w:tl2br w:val="nil"/>
                    <w:tr2bl w:val="nil"/>
                  </w:tcBorders>
                  <w:noWrap w:val="0"/>
                  <w:vAlign w:val="center"/>
                </w:tcPr>
                <w:p w14:paraId="0968EC95">
                  <w:pPr>
                    <w:adjustRightInd w:val="0"/>
                    <w:snapToGrid w:val="0"/>
                    <w:ind w:firstLine="0"/>
                    <w:jc w:val="center"/>
                    <w:rPr>
                      <w:rFonts w:hint="default" w:ascii="Times New Roman" w:hAnsi="Times New Roman" w:eastAsia="宋体" w:cs="Times New Roman"/>
                      <w:spacing w:val="-2"/>
                      <w:highlight w:val="none"/>
                    </w:rPr>
                  </w:pPr>
                  <w:r>
                    <w:rPr>
                      <w:rFonts w:hint="eastAsia" w:cs="Times New Roman"/>
                      <w:spacing w:val="-2"/>
                      <w:highlight w:val="none"/>
                      <w:lang w:val="en-US" w:eastAsia="zh-CN"/>
                    </w:rPr>
                    <w:t>占地面积约844.75m</w:t>
                  </w:r>
                  <w:r>
                    <w:rPr>
                      <w:rFonts w:hint="eastAsia" w:cs="Times New Roman"/>
                      <w:spacing w:val="-2"/>
                      <w:highlight w:val="none"/>
                      <w:vertAlign w:val="superscript"/>
                      <w:lang w:val="en-US" w:eastAsia="zh-CN"/>
                    </w:rPr>
                    <w:t>2</w:t>
                  </w:r>
                  <w:r>
                    <w:rPr>
                      <w:rFonts w:hint="eastAsia" w:cs="Times New Roman"/>
                      <w:spacing w:val="-2"/>
                      <w:highlight w:val="none"/>
                      <w:lang w:val="en-US" w:eastAsia="zh-CN"/>
                    </w:rPr>
                    <w:t>，</w:t>
                  </w:r>
                  <w:r>
                    <w:rPr>
                      <w:rFonts w:ascii="Times New Roman" w:hAnsi="Times New Roman" w:eastAsia="宋体" w:cs="Times New Roman"/>
                      <w:spacing w:val="-2"/>
                      <w:highlight w:val="none"/>
                    </w:rPr>
                    <w:t>设置1套上料系统</w:t>
                  </w:r>
                </w:p>
              </w:tc>
            </w:tr>
            <w:tr w14:paraId="5881B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86" w:type="pct"/>
                  <w:vMerge w:val="continue"/>
                  <w:tcBorders>
                    <w:tl2br w:val="nil"/>
                    <w:tr2bl w:val="nil"/>
                  </w:tcBorders>
                  <w:noWrap w:val="0"/>
                  <w:vAlign w:val="center"/>
                </w:tcPr>
                <w:p w14:paraId="45F76EC8">
                  <w:pPr>
                    <w:adjustRightInd w:val="0"/>
                    <w:snapToGrid w:val="0"/>
                    <w:ind w:firstLine="0"/>
                    <w:jc w:val="center"/>
                    <w:rPr>
                      <w:rFonts w:hint="default" w:ascii="Times New Roman" w:hAnsi="Times New Roman" w:cs="Times New Roman"/>
                      <w:color w:val="auto"/>
                      <w:sz w:val="21"/>
                      <w:szCs w:val="21"/>
                      <w:highlight w:val="none"/>
                    </w:rPr>
                  </w:pPr>
                </w:p>
              </w:tc>
              <w:tc>
                <w:tcPr>
                  <w:tcW w:w="770" w:type="pct"/>
                  <w:tcBorders>
                    <w:tl2br w:val="nil"/>
                    <w:tr2bl w:val="nil"/>
                  </w:tcBorders>
                  <w:noWrap w:val="0"/>
                  <w:vAlign w:val="center"/>
                </w:tcPr>
                <w:p w14:paraId="17931AE3">
                  <w:pPr>
                    <w:adjustRightInd w:val="0"/>
                    <w:snapToGrid w:val="0"/>
                    <w:ind w:firstLine="0"/>
                    <w:jc w:val="center"/>
                    <w:rPr>
                      <w:rFonts w:hint="default" w:ascii="Times New Roman" w:hAnsi="Times New Roman" w:eastAsia="宋体" w:cs="Times New Roman"/>
                      <w:spacing w:val="-2"/>
                      <w:highlight w:val="none"/>
                      <w:lang w:val="en-US" w:eastAsia="zh-CN"/>
                    </w:rPr>
                  </w:pPr>
                  <w:r>
                    <w:rPr>
                      <w:rFonts w:hint="eastAsia" w:cs="Times New Roman"/>
                      <w:spacing w:val="-2"/>
                      <w:highlight w:val="none"/>
                      <w:lang w:val="en-US" w:eastAsia="zh-CN"/>
                    </w:rPr>
                    <w:t>办公楼</w:t>
                  </w:r>
                </w:p>
              </w:tc>
              <w:tc>
                <w:tcPr>
                  <w:tcW w:w="3543" w:type="pct"/>
                  <w:tcBorders>
                    <w:tl2br w:val="nil"/>
                    <w:tr2bl w:val="nil"/>
                  </w:tcBorders>
                  <w:noWrap w:val="0"/>
                  <w:vAlign w:val="center"/>
                </w:tcPr>
                <w:p w14:paraId="577C3E50">
                  <w:pPr>
                    <w:adjustRightInd w:val="0"/>
                    <w:snapToGrid w:val="0"/>
                    <w:ind w:firstLine="0"/>
                    <w:jc w:val="center"/>
                    <w:rPr>
                      <w:rFonts w:hint="default" w:ascii="Times New Roman" w:hAnsi="Times New Roman" w:eastAsia="宋体" w:cs="Times New Roman"/>
                      <w:spacing w:val="-2"/>
                      <w:highlight w:val="none"/>
                    </w:rPr>
                  </w:pPr>
                  <w:r>
                    <w:rPr>
                      <w:rFonts w:hint="eastAsia" w:cs="Times New Roman"/>
                      <w:spacing w:val="-2"/>
                      <w:highlight w:val="none"/>
                      <w:lang w:val="en-US" w:eastAsia="zh-CN"/>
                    </w:rPr>
                    <w:t>占地面积195m</w:t>
                  </w:r>
                  <w:r>
                    <w:rPr>
                      <w:rFonts w:hint="eastAsia" w:cs="Times New Roman"/>
                      <w:spacing w:val="-2"/>
                      <w:highlight w:val="none"/>
                      <w:vertAlign w:val="superscript"/>
                      <w:lang w:val="en-US" w:eastAsia="zh-CN"/>
                    </w:rPr>
                    <w:t>2</w:t>
                  </w:r>
                  <w:r>
                    <w:rPr>
                      <w:rFonts w:hint="eastAsia" w:cs="Times New Roman"/>
                      <w:spacing w:val="-2"/>
                      <w:highlight w:val="none"/>
                      <w:lang w:val="en-US" w:eastAsia="zh-CN"/>
                    </w:rPr>
                    <w:t>，3F，</w:t>
                  </w:r>
                  <w:r>
                    <w:rPr>
                      <w:rFonts w:ascii="Times New Roman" w:hAnsi="Times New Roman" w:eastAsia="宋体" w:cs="Times New Roman"/>
                      <w:spacing w:val="-2"/>
                      <w:highlight w:val="none"/>
                    </w:rPr>
                    <w:t>设置办公</w:t>
                  </w:r>
                  <w:r>
                    <w:rPr>
                      <w:rFonts w:hint="eastAsia" w:cs="Times New Roman"/>
                      <w:spacing w:val="-2"/>
                      <w:highlight w:val="none"/>
                      <w:lang w:val="en-US" w:eastAsia="zh-CN"/>
                    </w:rPr>
                    <w:t>室</w:t>
                  </w:r>
                  <w:r>
                    <w:rPr>
                      <w:rFonts w:ascii="Times New Roman" w:hAnsi="Times New Roman" w:eastAsia="宋体" w:cs="Times New Roman"/>
                      <w:spacing w:val="-2"/>
                      <w:highlight w:val="none"/>
                    </w:rPr>
                    <w:t>、备品备件仓库</w:t>
                  </w:r>
                </w:p>
              </w:tc>
            </w:tr>
            <w:tr w14:paraId="44CE3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86" w:type="pct"/>
                  <w:vMerge w:val="restart"/>
                  <w:tcBorders>
                    <w:tl2br w:val="nil"/>
                    <w:tr2bl w:val="nil"/>
                  </w:tcBorders>
                  <w:noWrap w:val="0"/>
                  <w:vAlign w:val="center"/>
                </w:tcPr>
                <w:p w14:paraId="5D736797">
                  <w:pPr>
                    <w:adjustRightInd w:val="0"/>
                    <w:snapToGrid w:val="0"/>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公用</w:t>
                  </w:r>
                </w:p>
                <w:p w14:paraId="30429397">
                  <w:pPr>
                    <w:adjustRightInd w:val="0"/>
                    <w:snapToGrid w:val="0"/>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工程</w:t>
                  </w:r>
                </w:p>
              </w:tc>
              <w:tc>
                <w:tcPr>
                  <w:tcW w:w="770" w:type="pct"/>
                  <w:tcBorders>
                    <w:tl2br w:val="nil"/>
                    <w:tr2bl w:val="nil"/>
                  </w:tcBorders>
                  <w:noWrap w:val="0"/>
                  <w:vAlign w:val="top"/>
                </w:tcPr>
                <w:p w14:paraId="18E18CD1">
                  <w:pPr>
                    <w:adjustRightInd w:val="0"/>
                    <w:snapToGrid w:val="0"/>
                    <w:ind w:firstLine="0"/>
                    <w:jc w:val="center"/>
                    <w:rPr>
                      <w:rFonts w:hint="default" w:ascii="Times New Roman" w:hAnsi="Times New Roman" w:eastAsia="宋体" w:cs="Times New Roman"/>
                      <w:spacing w:val="-2"/>
                      <w:highlight w:val="none"/>
                    </w:rPr>
                  </w:pPr>
                  <w:r>
                    <w:rPr>
                      <w:rFonts w:ascii="Times New Roman" w:hAnsi="Times New Roman" w:eastAsia="宋体" w:cs="Times New Roman"/>
                      <w:spacing w:val="-2"/>
                      <w:highlight w:val="none"/>
                    </w:rPr>
                    <w:t>供电工程</w:t>
                  </w:r>
                </w:p>
              </w:tc>
              <w:tc>
                <w:tcPr>
                  <w:tcW w:w="3543" w:type="pct"/>
                  <w:tcBorders>
                    <w:tl2br w:val="nil"/>
                    <w:tr2bl w:val="nil"/>
                  </w:tcBorders>
                  <w:noWrap w:val="0"/>
                  <w:vAlign w:val="top"/>
                </w:tcPr>
                <w:p w14:paraId="5CAF0EA1">
                  <w:pPr>
                    <w:adjustRightInd w:val="0"/>
                    <w:snapToGrid w:val="0"/>
                    <w:ind w:firstLine="0"/>
                    <w:jc w:val="center"/>
                    <w:rPr>
                      <w:rFonts w:hint="default" w:ascii="Times New Roman" w:hAnsi="Times New Roman" w:eastAsia="宋体" w:cs="Times New Roman"/>
                      <w:spacing w:val="-2"/>
                      <w:highlight w:val="none"/>
                    </w:rPr>
                  </w:pPr>
                  <w:r>
                    <w:rPr>
                      <w:rFonts w:ascii="Times New Roman" w:hAnsi="Times New Roman" w:eastAsia="宋体" w:cs="Times New Roman"/>
                      <w:spacing w:val="-2"/>
                      <w:highlight w:val="none"/>
                    </w:rPr>
                    <w:t>由市政电网直接供应</w:t>
                  </w:r>
                </w:p>
              </w:tc>
            </w:tr>
            <w:tr w14:paraId="3882C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86" w:type="pct"/>
                  <w:vMerge w:val="continue"/>
                  <w:tcBorders>
                    <w:tl2br w:val="nil"/>
                    <w:tr2bl w:val="nil"/>
                  </w:tcBorders>
                  <w:noWrap w:val="0"/>
                  <w:vAlign w:val="center"/>
                </w:tcPr>
                <w:p w14:paraId="40459367">
                  <w:pPr>
                    <w:adjustRightInd w:val="0"/>
                    <w:snapToGrid w:val="0"/>
                    <w:ind w:firstLine="0"/>
                    <w:jc w:val="center"/>
                    <w:rPr>
                      <w:rFonts w:hint="default" w:ascii="Times New Roman" w:hAnsi="Times New Roman" w:cs="Times New Roman"/>
                      <w:color w:val="auto"/>
                      <w:sz w:val="21"/>
                      <w:szCs w:val="21"/>
                      <w:highlight w:val="none"/>
                    </w:rPr>
                  </w:pPr>
                </w:p>
              </w:tc>
              <w:tc>
                <w:tcPr>
                  <w:tcW w:w="770" w:type="pct"/>
                  <w:tcBorders>
                    <w:tl2br w:val="nil"/>
                    <w:tr2bl w:val="nil"/>
                  </w:tcBorders>
                  <w:noWrap w:val="0"/>
                  <w:vAlign w:val="top"/>
                </w:tcPr>
                <w:p w14:paraId="074200B9">
                  <w:pPr>
                    <w:adjustRightInd w:val="0"/>
                    <w:snapToGrid w:val="0"/>
                    <w:ind w:firstLine="0"/>
                    <w:jc w:val="center"/>
                    <w:rPr>
                      <w:rFonts w:hint="default" w:ascii="Times New Roman" w:hAnsi="Times New Roman" w:eastAsia="宋体" w:cs="Times New Roman"/>
                      <w:spacing w:val="-2"/>
                      <w:highlight w:val="none"/>
                      <w:lang w:val="zh-CN"/>
                    </w:rPr>
                  </w:pPr>
                  <w:r>
                    <w:rPr>
                      <w:rFonts w:ascii="Times New Roman" w:hAnsi="Times New Roman" w:eastAsia="宋体" w:cs="Times New Roman"/>
                      <w:spacing w:val="-2"/>
                      <w:highlight w:val="none"/>
                    </w:rPr>
                    <w:t>给水工程</w:t>
                  </w:r>
                </w:p>
              </w:tc>
              <w:tc>
                <w:tcPr>
                  <w:tcW w:w="3543" w:type="pct"/>
                  <w:tcBorders>
                    <w:tl2br w:val="nil"/>
                    <w:tr2bl w:val="nil"/>
                  </w:tcBorders>
                  <w:noWrap w:val="0"/>
                  <w:vAlign w:val="top"/>
                </w:tcPr>
                <w:p w14:paraId="39AC3080">
                  <w:pPr>
                    <w:adjustRightInd w:val="0"/>
                    <w:snapToGrid w:val="0"/>
                    <w:ind w:firstLine="0"/>
                    <w:jc w:val="center"/>
                    <w:rPr>
                      <w:rFonts w:hint="default" w:ascii="Times New Roman" w:hAnsi="Times New Roman" w:eastAsia="宋体" w:cs="Times New Roman"/>
                      <w:spacing w:val="-2"/>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由市政管网直接供应</w:t>
                  </w:r>
                  <w:r>
                    <w:rPr>
                      <w:rFonts w:hint="eastAsia" w:cs="Times New Roman"/>
                      <w:spacing w:val="-2"/>
                      <w:highlight w:val="none"/>
                      <w:lang w:eastAsia="zh-CN"/>
                    </w:rPr>
                    <w:t>；</w:t>
                  </w:r>
                  <w:r>
                    <w:rPr>
                      <w:rFonts w:hint="eastAsia" w:cs="Times New Roman"/>
                      <w:spacing w:val="-2"/>
                      <w:highlight w:val="none"/>
                      <w:lang w:val="en-US" w:eastAsia="zh-CN"/>
                    </w:rPr>
                    <w:t>生产所需软化水由厂内软水制备系统（25t/h）制备。</w:t>
                  </w:r>
                </w:p>
              </w:tc>
            </w:tr>
            <w:tr w14:paraId="443DC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86" w:type="pct"/>
                  <w:vMerge w:val="restart"/>
                  <w:tcBorders>
                    <w:tl2br w:val="nil"/>
                    <w:tr2bl w:val="nil"/>
                  </w:tcBorders>
                  <w:noWrap w:val="0"/>
                  <w:vAlign w:val="center"/>
                </w:tcPr>
                <w:p w14:paraId="01D4EE07">
                  <w:pPr>
                    <w:adjustRightInd w:val="0"/>
                    <w:snapToGrid w:val="0"/>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环保工程</w:t>
                  </w:r>
                </w:p>
              </w:tc>
              <w:tc>
                <w:tcPr>
                  <w:tcW w:w="770" w:type="pct"/>
                  <w:tcBorders>
                    <w:tl2br w:val="nil"/>
                    <w:tr2bl w:val="nil"/>
                  </w:tcBorders>
                  <w:noWrap w:val="0"/>
                  <w:vAlign w:val="center"/>
                </w:tcPr>
                <w:p w14:paraId="0E551F2F">
                  <w:pPr>
                    <w:adjustRightInd w:val="0"/>
                    <w:snapToGrid w:val="0"/>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废水处理设施</w:t>
                  </w:r>
                </w:p>
              </w:tc>
              <w:tc>
                <w:tcPr>
                  <w:tcW w:w="3543" w:type="pct"/>
                  <w:tcBorders>
                    <w:tl2br w:val="nil"/>
                    <w:tr2bl w:val="nil"/>
                  </w:tcBorders>
                  <w:noWrap w:val="0"/>
                  <w:vAlign w:val="center"/>
                </w:tcPr>
                <w:p w14:paraId="6C29F630">
                  <w:pPr>
                    <w:numPr>
                      <w:ilvl w:val="0"/>
                      <w:numId w:val="2"/>
                    </w:numPr>
                    <w:adjustRightInd w:val="0"/>
                    <w:snapToGrid w:val="0"/>
                    <w:ind w:firstLine="0"/>
                    <w:rPr>
                      <w:rFonts w:hint="eastAsia" w:cs="Times New Roman"/>
                      <w:bCs/>
                      <w:color w:val="auto"/>
                      <w:sz w:val="21"/>
                      <w:szCs w:val="21"/>
                      <w:highlight w:val="none"/>
                      <w:lang w:eastAsia="zh-CN"/>
                    </w:rPr>
                  </w:pPr>
                  <w:r>
                    <w:rPr>
                      <w:rFonts w:hint="eastAsia" w:ascii="Times New Roman" w:hAnsi="Times New Roman" w:cs="Times New Roman"/>
                      <w:bCs/>
                      <w:color w:val="auto"/>
                      <w:sz w:val="21"/>
                      <w:szCs w:val="21"/>
                      <w:highlight w:val="none"/>
                      <w:lang w:val="en-US" w:eastAsia="zh-CN"/>
                    </w:rPr>
                    <w:t>项目</w:t>
                  </w:r>
                  <w:r>
                    <w:rPr>
                      <w:rFonts w:hint="default" w:ascii="Times New Roman" w:hAnsi="Times New Roman" w:cs="Times New Roman"/>
                      <w:bCs/>
                      <w:color w:val="auto"/>
                      <w:sz w:val="21"/>
                      <w:szCs w:val="21"/>
                      <w:highlight w:val="none"/>
                    </w:rPr>
                    <w:t>生活污水经三级化粪池</w:t>
                  </w:r>
                  <w:r>
                    <w:rPr>
                      <w:rFonts w:hint="eastAsia" w:cs="Times New Roman"/>
                      <w:i w:val="0"/>
                      <w:iCs w:val="0"/>
                      <w:color w:val="000000"/>
                      <w:spacing w:val="0"/>
                      <w:kern w:val="0"/>
                      <w:sz w:val="21"/>
                      <w:szCs w:val="21"/>
                      <w:highlight w:val="none"/>
                      <w:u w:val="none"/>
                      <w:lang w:val="en-US" w:eastAsia="zh-CN" w:bidi="ar"/>
                    </w:rPr>
                    <w:t>（0.6m</w:t>
                  </w:r>
                  <w:r>
                    <w:rPr>
                      <w:rFonts w:hint="eastAsia" w:cs="Times New Roman"/>
                      <w:i w:val="0"/>
                      <w:iCs w:val="0"/>
                      <w:color w:val="000000"/>
                      <w:spacing w:val="0"/>
                      <w:kern w:val="0"/>
                      <w:sz w:val="21"/>
                      <w:szCs w:val="21"/>
                      <w:highlight w:val="none"/>
                      <w:u w:val="none"/>
                      <w:vertAlign w:val="superscript"/>
                      <w:lang w:val="en-US" w:eastAsia="zh-CN" w:bidi="ar"/>
                    </w:rPr>
                    <w:t>3</w:t>
                  </w:r>
                  <w:r>
                    <w:rPr>
                      <w:rFonts w:hint="eastAsia" w:cs="Times New Roman"/>
                      <w:i w:val="0"/>
                      <w:iCs w:val="0"/>
                      <w:color w:val="000000"/>
                      <w:spacing w:val="0"/>
                      <w:kern w:val="0"/>
                      <w:sz w:val="21"/>
                      <w:szCs w:val="21"/>
                      <w:highlight w:val="none"/>
                      <w:u w:val="none"/>
                      <w:lang w:val="en-US" w:eastAsia="zh-CN" w:bidi="ar"/>
                    </w:rPr>
                    <w:t>）</w:t>
                  </w:r>
                  <w:r>
                    <w:rPr>
                      <w:rFonts w:hint="default" w:ascii="Times New Roman" w:hAnsi="Times New Roman" w:cs="Times New Roman"/>
                      <w:bCs/>
                      <w:color w:val="auto"/>
                      <w:sz w:val="21"/>
                      <w:szCs w:val="21"/>
                      <w:highlight w:val="none"/>
                    </w:rPr>
                    <w:t>处理后，</w:t>
                  </w:r>
                  <w:r>
                    <w:rPr>
                      <w:rFonts w:hint="eastAsia" w:ascii="Times New Roman" w:hAnsi="Times New Roman" w:cs="Times New Roman"/>
                      <w:bCs/>
                      <w:color w:val="auto"/>
                      <w:sz w:val="21"/>
                      <w:szCs w:val="21"/>
                      <w:highlight w:val="none"/>
                    </w:rPr>
                    <w:t>用于浇灌厂区附近的林地、菜地</w:t>
                  </w:r>
                  <w:r>
                    <w:rPr>
                      <w:rFonts w:hint="eastAsia" w:cs="Times New Roman"/>
                      <w:bCs/>
                      <w:color w:val="auto"/>
                      <w:sz w:val="21"/>
                      <w:szCs w:val="21"/>
                      <w:highlight w:val="none"/>
                      <w:lang w:eastAsia="zh-CN"/>
                    </w:rPr>
                    <w:t>；</w:t>
                  </w:r>
                </w:p>
                <w:p w14:paraId="13B0F7FB">
                  <w:pPr>
                    <w:numPr>
                      <w:ilvl w:val="0"/>
                      <w:numId w:val="2"/>
                    </w:numPr>
                    <w:adjustRightInd w:val="0"/>
                    <w:snapToGrid w:val="0"/>
                    <w:ind w:firstLine="0"/>
                    <w:rPr>
                      <w:rFonts w:hint="default" w:ascii="Times New Roman" w:hAnsi="Times New Roman" w:cs="Times New Roman"/>
                      <w:bCs/>
                      <w:color w:val="auto"/>
                      <w:spacing w:val="6"/>
                      <w:sz w:val="21"/>
                      <w:szCs w:val="21"/>
                      <w:highlight w:val="none"/>
                    </w:rPr>
                  </w:pPr>
                  <w:r>
                    <w:rPr>
                      <w:rFonts w:hint="eastAsia" w:cs="Times New Roman"/>
                      <w:bCs/>
                      <w:color w:val="auto"/>
                      <w:sz w:val="21"/>
                      <w:szCs w:val="21"/>
                      <w:highlight w:val="none"/>
                      <w:lang w:val="en-US" w:eastAsia="zh-CN"/>
                    </w:rPr>
                    <w:t>生产废水设置30m</w:t>
                  </w:r>
                  <w:r>
                    <w:rPr>
                      <w:rFonts w:hint="eastAsia" w:cs="Times New Roman"/>
                      <w:bCs/>
                      <w:color w:val="auto"/>
                      <w:sz w:val="21"/>
                      <w:szCs w:val="21"/>
                      <w:highlight w:val="none"/>
                      <w:vertAlign w:val="superscript"/>
                      <w:lang w:val="en-US" w:eastAsia="zh-CN"/>
                    </w:rPr>
                    <w:t>3</w:t>
                  </w:r>
                  <w:r>
                    <w:rPr>
                      <w:rFonts w:hint="eastAsia" w:cs="Times New Roman"/>
                      <w:bCs/>
                      <w:color w:val="auto"/>
                      <w:sz w:val="21"/>
                      <w:szCs w:val="21"/>
                      <w:highlight w:val="none"/>
                      <w:lang w:val="en-US" w:eastAsia="zh-CN"/>
                    </w:rPr>
                    <w:t>水池，降温、絮凝沉淀处理达标后外排至武江。</w:t>
                  </w:r>
                </w:p>
              </w:tc>
            </w:tr>
            <w:tr w14:paraId="0A774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86" w:type="pct"/>
                  <w:vMerge w:val="continue"/>
                  <w:tcBorders>
                    <w:tl2br w:val="nil"/>
                    <w:tr2bl w:val="nil"/>
                  </w:tcBorders>
                  <w:noWrap w:val="0"/>
                  <w:vAlign w:val="center"/>
                </w:tcPr>
                <w:p w14:paraId="0B4772D8">
                  <w:pPr>
                    <w:adjustRightInd w:val="0"/>
                    <w:snapToGrid w:val="0"/>
                    <w:ind w:firstLine="0"/>
                    <w:rPr>
                      <w:rFonts w:hint="default" w:ascii="Times New Roman" w:hAnsi="Times New Roman" w:cs="Times New Roman"/>
                      <w:color w:val="auto"/>
                      <w:sz w:val="21"/>
                      <w:szCs w:val="21"/>
                      <w:highlight w:val="none"/>
                    </w:rPr>
                  </w:pPr>
                </w:p>
              </w:tc>
              <w:tc>
                <w:tcPr>
                  <w:tcW w:w="770" w:type="pct"/>
                  <w:tcBorders>
                    <w:tl2br w:val="nil"/>
                    <w:tr2bl w:val="nil"/>
                  </w:tcBorders>
                  <w:noWrap w:val="0"/>
                  <w:vAlign w:val="center"/>
                </w:tcPr>
                <w:p w14:paraId="08E0728D">
                  <w:pPr>
                    <w:adjustRightInd w:val="0"/>
                    <w:snapToGrid w:val="0"/>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废气处理设施</w:t>
                  </w:r>
                </w:p>
              </w:tc>
              <w:tc>
                <w:tcPr>
                  <w:tcW w:w="3543" w:type="pct"/>
                  <w:tcBorders>
                    <w:tl2br w:val="nil"/>
                    <w:tr2bl w:val="nil"/>
                  </w:tcBorders>
                  <w:noWrap w:val="0"/>
                  <w:vAlign w:val="center"/>
                </w:tcPr>
                <w:p w14:paraId="4E1716B0">
                  <w:pPr>
                    <w:adjustRightInd w:val="0"/>
                    <w:snapToGrid w:val="0"/>
                    <w:ind w:firstLine="0"/>
                    <w:rPr>
                      <w:rFonts w:hint="default" w:ascii="Times New Roman" w:hAnsi="Times New Roman" w:cs="Times New Roman"/>
                      <w:color w:val="auto"/>
                      <w:sz w:val="21"/>
                      <w:szCs w:val="21"/>
                      <w:highlight w:val="none"/>
                    </w:rPr>
                  </w:pPr>
                  <w:r>
                    <w:rPr>
                      <w:rFonts w:hint="default" w:ascii="Times New Roman" w:hAnsi="Times New Roman" w:cs="Times New Roman"/>
                      <w:bCs/>
                      <w:color w:val="auto"/>
                      <w:spacing w:val="6"/>
                      <w:sz w:val="21"/>
                      <w:szCs w:val="21"/>
                      <w:highlight w:val="none"/>
                    </w:rPr>
                    <w:t>生物质锅炉</w:t>
                  </w:r>
                  <w:r>
                    <w:rPr>
                      <w:rFonts w:hint="eastAsia" w:cs="Times New Roman"/>
                      <w:bCs/>
                      <w:color w:val="auto"/>
                      <w:spacing w:val="6"/>
                      <w:sz w:val="21"/>
                      <w:szCs w:val="21"/>
                      <w:highlight w:val="none"/>
                      <w:lang w:val="en-US" w:eastAsia="zh-CN"/>
                    </w:rPr>
                    <w:t>烟气</w:t>
                  </w:r>
                  <w:r>
                    <w:rPr>
                      <w:rFonts w:hint="default" w:ascii="Times New Roman" w:hAnsi="Times New Roman" w:cs="Times New Roman"/>
                      <w:bCs/>
                      <w:color w:val="auto"/>
                      <w:spacing w:val="6"/>
                      <w:sz w:val="21"/>
                      <w:szCs w:val="21"/>
                      <w:highlight w:val="none"/>
                    </w:rPr>
                    <w:t>：</w:t>
                  </w:r>
                  <w:r>
                    <w:rPr>
                      <w:rFonts w:hint="eastAsia" w:cs="Times New Roman"/>
                      <w:bCs/>
                      <w:color w:val="auto"/>
                      <w:spacing w:val="6"/>
                      <w:sz w:val="21"/>
                      <w:szCs w:val="21"/>
                      <w:highlight w:val="none"/>
                      <w:lang w:eastAsia="zh-CN"/>
                    </w:rPr>
                    <w:t>“</w:t>
                  </w:r>
                  <w:r>
                    <w:rPr>
                      <w:rFonts w:hint="default" w:ascii="Times New Roman" w:hAnsi="Times New Roman" w:cs="Times New Roman"/>
                      <w:bCs/>
                      <w:color w:val="auto"/>
                      <w:spacing w:val="6"/>
                      <w:sz w:val="21"/>
                      <w:szCs w:val="21"/>
                      <w:highlight w:val="none"/>
                    </w:rPr>
                    <w:t>设备密闭收集+炉内</w:t>
                  </w:r>
                  <w:r>
                    <w:rPr>
                      <w:rFonts w:hint="eastAsia" w:cs="Times New Roman"/>
                      <w:bCs/>
                      <w:color w:val="auto"/>
                      <w:spacing w:val="6"/>
                      <w:sz w:val="21"/>
                      <w:szCs w:val="21"/>
                      <w:highlight w:val="none"/>
                      <w:lang w:eastAsia="zh-CN"/>
                    </w:rPr>
                    <w:t>脱硝</w:t>
                  </w:r>
                  <w:r>
                    <w:rPr>
                      <w:rFonts w:hint="default" w:ascii="Times New Roman" w:hAnsi="Times New Roman" w:cs="Times New Roman"/>
                      <w:bCs/>
                      <w:color w:val="auto"/>
                      <w:spacing w:val="6"/>
                      <w:sz w:val="21"/>
                      <w:szCs w:val="21"/>
                      <w:highlight w:val="none"/>
                    </w:rPr>
                    <w:t>SNCR+</w:t>
                  </w:r>
                  <w:r>
                    <w:rPr>
                      <w:rFonts w:hint="eastAsia" w:cs="Times New Roman"/>
                      <w:bCs/>
                      <w:color w:val="auto"/>
                      <w:spacing w:val="6"/>
                      <w:sz w:val="21"/>
                      <w:szCs w:val="21"/>
                      <w:highlight w:val="none"/>
                      <w:lang w:val="en-US" w:eastAsia="zh-CN"/>
                    </w:rPr>
                    <w:t>省煤器+</w:t>
                  </w:r>
                  <w:r>
                    <w:rPr>
                      <w:rFonts w:hint="default" w:ascii="Times New Roman" w:hAnsi="Times New Roman" w:cs="Times New Roman"/>
                      <w:bCs/>
                      <w:color w:val="auto"/>
                      <w:spacing w:val="6"/>
                      <w:sz w:val="21"/>
                      <w:szCs w:val="21"/>
                      <w:highlight w:val="none"/>
                    </w:rPr>
                    <w:t>多管旋风除尘+干法脱硫+高温袋式除尘+炉外</w:t>
                  </w:r>
                  <w:r>
                    <w:rPr>
                      <w:rFonts w:hint="eastAsia" w:cs="Times New Roman"/>
                      <w:bCs/>
                      <w:color w:val="auto"/>
                      <w:spacing w:val="6"/>
                      <w:sz w:val="21"/>
                      <w:szCs w:val="21"/>
                      <w:highlight w:val="none"/>
                      <w:lang w:eastAsia="zh-CN"/>
                    </w:rPr>
                    <w:t>脱硝</w:t>
                  </w:r>
                  <w:r>
                    <w:rPr>
                      <w:rFonts w:hint="default" w:ascii="Times New Roman" w:hAnsi="Times New Roman" w:cs="Times New Roman"/>
                      <w:bCs/>
                      <w:color w:val="auto"/>
                      <w:spacing w:val="6"/>
                      <w:sz w:val="21"/>
                      <w:szCs w:val="21"/>
                      <w:highlight w:val="none"/>
                    </w:rPr>
                    <w:t>SCR</w:t>
                  </w:r>
                  <w:r>
                    <w:rPr>
                      <w:rFonts w:hint="eastAsia" w:cs="Times New Roman"/>
                      <w:bCs/>
                      <w:color w:val="auto"/>
                      <w:spacing w:val="6"/>
                      <w:sz w:val="21"/>
                      <w:szCs w:val="21"/>
                      <w:highlight w:val="none"/>
                      <w:lang w:eastAsia="zh-CN"/>
                    </w:rPr>
                    <w:t>”</w:t>
                  </w:r>
                  <w:r>
                    <w:rPr>
                      <w:rFonts w:hint="eastAsia" w:cs="Times New Roman"/>
                      <w:bCs/>
                      <w:color w:val="auto"/>
                      <w:spacing w:val="6"/>
                      <w:sz w:val="21"/>
                      <w:szCs w:val="21"/>
                      <w:highlight w:val="none"/>
                      <w:lang w:val="en-US" w:eastAsia="zh-CN"/>
                    </w:rPr>
                    <w:t>处理</w:t>
                  </w:r>
                  <w:r>
                    <w:rPr>
                      <w:rFonts w:hint="default" w:ascii="Times New Roman" w:hAnsi="Times New Roman" w:cs="Times New Roman"/>
                      <w:bCs/>
                      <w:color w:val="auto"/>
                      <w:spacing w:val="6"/>
                      <w:sz w:val="21"/>
                      <w:szCs w:val="21"/>
                      <w:highlight w:val="none"/>
                    </w:rPr>
                    <w:t>后经</w:t>
                  </w:r>
                  <w:r>
                    <w:rPr>
                      <w:rFonts w:hint="eastAsia" w:cs="Times New Roman"/>
                      <w:bCs/>
                      <w:color w:val="auto"/>
                      <w:spacing w:val="6"/>
                      <w:sz w:val="21"/>
                      <w:szCs w:val="21"/>
                      <w:highlight w:val="none"/>
                      <w:lang w:val="en-US" w:eastAsia="zh-CN"/>
                    </w:rPr>
                    <w:t>45米高</w:t>
                  </w:r>
                  <w:r>
                    <w:rPr>
                      <w:rFonts w:hint="default" w:ascii="Times New Roman" w:hAnsi="Times New Roman" w:cs="Times New Roman"/>
                      <w:bCs/>
                      <w:color w:val="auto"/>
                      <w:spacing w:val="6"/>
                      <w:sz w:val="21"/>
                      <w:szCs w:val="21"/>
                      <w:highlight w:val="none"/>
                    </w:rPr>
                    <w:t>排气筒（DA001）排放。</w:t>
                  </w:r>
                </w:p>
              </w:tc>
            </w:tr>
            <w:tr w14:paraId="0DBAB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86" w:type="pct"/>
                  <w:vMerge w:val="continue"/>
                  <w:tcBorders>
                    <w:tl2br w:val="nil"/>
                    <w:tr2bl w:val="nil"/>
                  </w:tcBorders>
                  <w:noWrap w:val="0"/>
                  <w:vAlign w:val="center"/>
                </w:tcPr>
                <w:p w14:paraId="67B627BD">
                  <w:pPr>
                    <w:adjustRightInd w:val="0"/>
                    <w:snapToGrid w:val="0"/>
                    <w:ind w:firstLine="0"/>
                    <w:rPr>
                      <w:rFonts w:hint="default" w:ascii="Times New Roman" w:hAnsi="Times New Roman" w:cs="Times New Roman"/>
                      <w:color w:val="auto"/>
                      <w:sz w:val="21"/>
                      <w:szCs w:val="21"/>
                      <w:highlight w:val="none"/>
                    </w:rPr>
                  </w:pPr>
                </w:p>
              </w:tc>
              <w:tc>
                <w:tcPr>
                  <w:tcW w:w="770" w:type="pct"/>
                  <w:tcBorders>
                    <w:tl2br w:val="nil"/>
                    <w:tr2bl w:val="nil"/>
                  </w:tcBorders>
                  <w:noWrap w:val="0"/>
                  <w:vAlign w:val="center"/>
                </w:tcPr>
                <w:p w14:paraId="609814D6">
                  <w:pPr>
                    <w:pStyle w:val="171"/>
                    <w:adjustRightInd w:val="0"/>
                    <w:snapToGrid w:val="0"/>
                    <w:spacing w:before="0" w:line="240" w:lineRule="auto"/>
                    <w:ind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噪声治理措施</w:t>
                  </w:r>
                </w:p>
              </w:tc>
              <w:tc>
                <w:tcPr>
                  <w:tcW w:w="3543" w:type="pct"/>
                  <w:tcBorders>
                    <w:tl2br w:val="nil"/>
                    <w:tr2bl w:val="nil"/>
                  </w:tcBorders>
                  <w:noWrap w:val="0"/>
                  <w:vAlign w:val="center"/>
                </w:tcPr>
                <w:p w14:paraId="2BE4F1BC">
                  <w:pPr>
                    <w:pStyle w:val="171"/>
                    <w:adjustRightInd w:val="0"/>
                    <w:snapToGrid w:val="0"/>
                    <w:spacing w:before="0" w:line="240" w:lineRule="auto"/>
                    <w:ind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采用隔声、吸声、减震等措施。</w:t>
                  </w:r>
                </w:p>
              </w:tc>
            </w:tr>
            <w:tr w14:paraId="1ECAC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86" w:type="pct"/>
                  <w:vMerge w:val="continue"/>
                  <w:tcBorders>
                    <w:tl2br w:val="nil"/>
                    <w:tr2bl w:val="nil"/>
                  </w:tcBorders>
                  <w:noWrap w:val="0"/>
                  <w:vAlign w:val="center"/>
                </w:tcPr>
                <w:p w14:paraId="5CCEA90E">
                  <w:pPr>
                    <w:adjustRightInd w:val="0"/>
                    <w:snapToGrid w:val="0"/>
                    <w:ind w:firstLine="0"/>
                    <w:jc w:val="center"/>
                    <w:rPr>
                      <w:rFonts w:hint="default" w:ascii="Times New Roman" w:hAnsi="Times New Roman" w:cs="Times New Roman"/>
                      <w:color w:val="auto"/>
                      <w:sz w:val="21"/>
                      <w:szCs w:val="21"/>
                      <w:highlight w:val="none"/>
                    </w:rPr>
                  </w:pPr>
                </w:p>
              </w:tc>
              <w:tc>
                <w:tcPr>
                  <w:tcW w:w="770" w:type="pct"/>
                  <w:tcBorders>
                    <w:tl2br w:val="nil"/>
                    <w:tr2bl w:val="nil"/>
                  </w:tcBorders>
                  <w:noWrap w:val="0"/>
                  <w:vAlign w:val="center"/>
                </w:tcPr>
                <w:p w14:paraId="094AD0CF">
                  <w:pPr>
                    <w:adjustRightInd w:val="0"/>
                    <w:snapToGrid w:val="0"/>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固体废物处理设施</w:t>
                  </w:r>
                </w:p>
              </w:tc>
              <w:tc>
                <w:tcPr>
                  <w:tcW w:w="3543" w:type="pct"/>
                  <w:tcBorders>
                    <w:tl2br w:val="nil"/>
                    <w:tr2bl w:val="nil"/>
                  </w:tcBorders>
                  <w:noWrap w:val="0"/>
                  <w:vAlign w:val="center"/>
                </w:tcPr>
                <w:p w14:paraId="6DAEEEB9">
                  <w:pPr>
                    <w:numPr>
                      <w:ilvl w:val="0"/>
                      <w:numId w:val="3"/>
                    </w:numPr>
                    <w:adjustRightInd w:val="0"/>
                    <w:snapToGrid w:val="0"/>
                    <w:ind w:firstLine="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生活垃圾交由环卫部门清理运走</w:t>
                  </w:r>
                  <w:r>
                    <w:rPr>
                      <w:rFonts w:hint="eastAsia" w:cs="Times New Roman"/>
                      <w:color w:val="auto"/>
                      <w:sz w:val="21"/>
                      <w:szCs w:val="21"/>
                      <w:highlight w:val="none"/>
                      <w:lang w:eastAsia="zh-CN"/>
                    </w:rPr>
                    <w:t>；</w:t>
                  </w:r>
                </w:p>
                <w:p w14:paraId="13A72160">
                  <w:pPr>
                    <w:numPr>
                      <w:ilvl w:val="0"/>
                      <w:numId w:val="3"/>
                    </w:numPr>
                    <w:adjustRightInd w:val="0"/>
                    <w:snapToGrid w:val="0"/>
                    <w:ind w:firstLine="0"/>
                    <w:rPr>
                      <w:rFonts w:hint="default" w:ascii="Times New Roman" w:hAnsi="Times New Roman" w:cs="Times New Roman"/>
                      <w:bCs/>
                      <w:color w:val="auto"/>
                      <w:sz w:val="21"/>
                      <w:szCs w:val="21"/>
                      <w:highlight w:val="none"/>
                    </w:rPr>
                  </w:pPr>
                  <w:r>
                    <w:rPr>
                      <w:spacing w:val="-9"/>
                      <w:highlight w:val="none"/>
                    </w:rPr>
                    <w:t>设</w:t>
                  </w:r>
                  <w:r>
                    <w:rPr>
                      <w:rFonts w:hint="eastAsia"/>
                      <w:spacing w:val="-9"/>
                      <w:highlight w:val="none"/>
                      <w:lang w:val="en-US" w:eastAsia="zh-CN"/>
                    </w:rPr>
                    <w:t>固废间1</w:t>
                  </w:r>
                  <w:r>
                    <w:rPr>
                      <w:spacing w:val="-9"/>
                      <w:highlight w:val="none"/>
                    </w:rPr>
                    <w:t>个，占地面积约</w:t>
                  </w:r>
                  <w:r>
                    <w:rPr>
                      <w:rFonts w:hint="eastAsia" w:eastAsia="宋体" w:cs="Times New Roman"/>
                      <w:spacing w:val="-9"/>
                      <w:highlight w:val="none"/>
                      <w:lang w:val="en-US" w:eastAsia="zh-CN"/>
                    </w:rPr>
                    <w:t>5</w:t>
                  </w:r>
                  <w:r>
                    <w:rPr>
                      <w:rFonts w:ascii="Times New Roman" w:hAnsi="Times New Roman" w:eastAsia="Times New Roman" w:cs="Times New Roman"/>
                      <w:spacing w:val="-9"/>
                      <w:highlight w:val="none"/>
                    </w:rPr>
                    <w:t>m</w:t>
                  </w:r>
                  <w:r>
                    <w:rPr>
                      <w:rFonts w:ascii="Times New Roman" w:hAnsi="Times New Roman" w:eastAsia="Times New Roman" w:cs="Times New Roman"/>
                      <w:spacing w:val="-2"/>
                      <w:position w:val="6"/>
                      <w:sz w:val="13"/>
                      <w:szCs w:val="13"/>
                      <w:highlight w:val="none"/>
                    </w:rPr>
                    <w:t>2</w:t>
                  </w:r>
                  <w:r>
                    <w:rPr>
                      <w:rFonts w:ascii="Times New Roman" w:hAnsi="Times New Roman" w:eastAsia="Times New Roman" w:cs="Times New Roman"/>
                      <w:spacing w:val="-5"/>
                      <w:position w:val="6"/>
                      <w:sz w:val="13"/>
                      <w:szCs w:val="13"/>
                      <w:highlight w:val="none"/>
                    </w:rPr>
                    <w:t xml:space="preserve"> </w:t>
                  </w:r>
                  <w:r>
                    <w:rPr>
                      <w:rFonts w:hint="default" w:ascii="Times New Roman" w:hAnsi="Times New Roman" w:cs="Times New Roman"/>
                      <w:color w:val="auto"/>
                      <w:sz w:val="21"/>
                      <w:szCs w:val="21"/>
                      <w:highlight w:val="none"/>
                    </w:rPr>
                    <w:t>一般工业固废交有一般工业固废处理能力的单位处理</w:t>
                  </w:r>
                  <w:r>
                    <w:rPr>
                      <w:rFonts w:hint="eastAsia" w:cs="Times New Roman"/>
                      <w:color w:val="auto"/>
                      <w:sz w:val="21"/>
                      <w:szCs w:val="21"/>
                      <w:highlight w:val="none"/>
                      <w:lang w:eastAsia="zh-CN"/>
                    </w:rPr>
                    <w:t>；</w:t>
                  </w:r>
                </w:p>
                <w:p w14:paraId="54BF4048">
                  <w:pPr>
                    <w:numPr>
                      <w:ilvl w:val="0"/>
                      <w:numId w:val="3"/>
                    </w:numPr>
                    <w:adjustRightInd w:val="0"/>
                    <w:snapToGrid w:val="0"/>
                    <w:ind w:firstLine="0"/>
                    <w:rPr>
                      <w:rFonts w:hint="default" w:ascii="Times New Roman" w:hAnsi="Times New Roman" w:cs="Times New Roman"/>
                      <w:bCs/>
                      <w:color w:val="auto"/>
                      <w:sz w:val="21"/>
                      <w:szCs w:val="21"/>
                      <w:highlight w:val="none"/>
                    </w:rPr>
                  </w:pPr>
                  <w:r>
                    <w:rPr>
                      <w:spacing w:val="-9"/>
                      <w:highlight w:val="none"/>
                    </w:rPr>
                    <w:t>设危废</w:t>
                  </w:r>
                  <w:r>
                    <w:rPr>
                      <w:rFonts w:hint="eastAsia"/>
                      <w:spacing w:val="-9"/>
                      <w:highlight w:val="none"/>
                      <w:lang w:val="en-US" w:eastAsia="zh-CN"/>
                    </w:rPr>
                    <w:t>间1</w:t>
                  </w:r>
                  <w:r>
                    <w:rPr>
                      <w:spacing w:val="-9"/>
                      <w:highlight w:val="none"/>
                    </w:rPr>
                    <w:t>个，占地面积约</w:t>
                  </w:r>
                  <w:r>
                    <w:rPr>
                      <w:rFonts w:hint="eastAsia"/>
                      <w:spacing w:val="-9"/>
                      <w:highlight w:val="none"/>
                      <w:lang w:val="en-US" w:eastAsia="zh-CN"/>
                    </w:rPr>
                    <w:t>5</w:t>
                  </w:r>
                  <w:r>
                    <w:rPr>
                      <w:rFonts w:ascii="Times New Roman" w:hAnsi="Times New Roman" w:eastAsia="Times New Roman" w:cs="Times New Roman"/>
                      <w:spacing w:val="-9"/>
                      <w:highlight w:val="none"/>
                    </w:rPr>
                    <w:t>m</w:t>
                  </w:r>
                  <w:r>
                    <w:rPr>
                      <w:rFonts w:ascii="Times New Roman" w:hAnsi="Times New Roman" w:eastAsia="Times New Roman" w:cs="Times New Roman"/>
                      <w:spacing w:val="-2"/>
                      <w:position w:val="6"/>
                      <w:sz w:val="13"/>
                      <w:szCs w:val="13"/>
                      <w:highlight w:val="none"/>
                    </w:rPr>
                    <w:t>2</w:t>
                  </w:r>
                  <w:r>
                    <w:rPr>
                      <w:rFonts w:ascii="Times New Roman" w:hAnsi="Times New Roman" w:eastAsia="Times New Roman" w:cs="Times New Roman"/>
                      <w:spacing w:val="-5"/>
                      <w:position w:val="6"/>
                      <w:sz w:val="13"/>
                      <w:szCs w:val="13"/>
                      <w:highlight w:val="none"/>
                    </w:rPr>
                    <w:t xml:space="preserve"> </w:t>
                  </w:r>
                  <w:r>
                    <w:rPr>
                      <w:rFonts w:hint="eastAsia" w:eastAsia="宋体"/>
                      <w:spacing w:val="-2"/>
                      <w:highlight w:val="none"/>
                      <w:lang w:eastAsia="zh-CN"/>
                    </w:rPr>
                    <w:t>，</w:t>
                  </w:r>
                  <w:r>
                    <w:rPr>
                      <w:rFonts w:hint="default" w:ascii="Times New Roman" w:hAnsi="Times New Roman" w:cs="Times New Roman"/>
                      <w:color w:val="auto"/>
                      <w:sz w:val="21"/>
                      <w:szCs w:val="21"/>
                      <w:highlight w:val="none"/>
                    </w:rPr>
                    <w:t>危险废物交由具有相关危险废物经营许可证的单位处理。</w:t>
                  </w:r>
                </w:p>
              </w:tc>
            </w:tr>
            <w:tr w14:paraId="4FCD2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86" w:type="pct"/>
                  <w:vMerge w:val="restart"/>
                  <w:tcBorders>
                    <w:tl2br w:val="nil"/>
                    <w:tr2bl w:val="nil"/>
                  </w:tcBorders>
                  <w:noWrap w:val="0"/>
                  <w:vAlign w:val="center"/>
                </w:tcPr>
                <w:p w14:paraId="159B7FAE">
                  <w:pPr>
                    <w:adjustRightInd w:val="0"/>
                    <w:snapToGrid w:val="0"/>
                    <w:ind w:firstLine="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储运工程</w:t>
                  </w:r>
                </w:p>
              </w:tc>
              <w:tc>
                <w:tcPr>
                  <w:tcW w:w="770" w:type="pct"/>
                  <w:tcBorders>
                    <w:tl2br w:val="nil"/>
                    <w:tr2bl w:val="nil"/>
                  </w:tcBorders>
                  <w:noWrap w:val="0"/>
                  <w:vAlign w:val="center"/>
                </w:tcPr>
                <w:p w14:paraId="3F24689D">
                  <w:pPr>
                    <w:adjustRightInd w:val="0"/>
                    <w:snapToGrid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材料堆场</w:t>
                  </w:r>
                </w:p>
              </w:tc>
              <w:tc>
                <w:tcPr>
                  <w:tcW w:w="3543" w:type="pct"/>
                  <w:tcBorders>
                    <w:tl2br w:val="nil"/>
                    <w:tr2bl w:val="nil"/>
                  </w:tcBorders>
                  <w:noWrap w:val="0"/>
                  <w:vAlign w:val="top"/>
                </w:tcPr>
                <w:p w14:paraId="1FAA356A">
                  <w:pPr>
                    <w:adjustRightInd w:val="0"/>
                    <w:snapToGrid w:val="0"/>
                    <w:ind w:firstLine="0" w:firstLineChars="0"/>
                    <w:rPr>
                      <w:spacing w:val="-9"/>
                      <w:highlight w:val="none"/>
                    </w:rPr>
                  </w:pPr>
                  <w:r>
                    <w:rPr>
                      <w:rFonts w:hint="default" w:ascii="Times New Roman" w:hAnsi="Times New Roman" w:eastAsia="宋体" w:cs="Times New Roman"/>
                      <w:color w:val="auto"/>
                      <w:sz w:val="21"/>
                      <w:szCs w:val="21"/>
                      <w:highlight w:val="none"/>
                    </w:rPr>
                    <w:t>1个，地面积约</w:t>
                  </w:r>
                  <w:r>
                    <w:rPr>
                      <w:rFonts w:hint="eastAsia" w:cs="Times New Roman"/>
                      <w:color w:val="auto"/>
                      <w:sz w:val="21"/>
                      <w:szCs w:val="21"/>
                      <w:highlight w:val="none"/>
                      <w:lang w:val="en-US" w:eastAsia="zh-CN"/>
                    </w:rPr>
                    <w:t>1445</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，存放生物质成型燃料</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脱硫剂和尿素</w:t>
                  </w:r>
                  <w:r>
                    <w:rPr>
                      <w:rFonts w:hint="default" w:ascii="Times New Roman" w:hAnsi="Times New Roman" w:eastAsia="宋体" w:cs="Times New Roman"/>
                      <w:color w:val="auto"/>
                      <w:sz w:val="21"/>
                      <w:szCs w:val="21"/>
                      <w:highlight w:val="none"/>
                    </w:rPr>
                    <w:t>，地面已硬化处理</w:t>
                  </w:r>
                </w:p>
              </w:tc>
            </w:tr>
            <w:tr w14:paraId="79D95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86" w:type="pct"/>
                  <w:vMerge w:val="continue"/>
                  <w:tcBorders>
                    <w:tl2br w:val="nil"/>
                    <w:tr2bl w:val="nil"/>
                  </w:tcBorders>
                  <w:noWrap w:val="0"/>
                  <w:vAlign w:val="center"/>
                </w:tcPr>
                <w:p w14:paraId="3AF1B099">
                  <w:pPr>
                    <w:adjustRightInd w:val="0"/>
                    <w:snapToGrid w:val="0"/>
                    <w:ind w:firstLine="0"/>
                    <w:jc w:val="center"/>
                    <w:rPr>
                      <w:rFonts w:hint="default" w:ascii="Times New Roman" w:hAnsi="Times New Roman" w:cs="Times New Roman"/>
                      <w:color w:val="auto"/>
                      <w:sz w:val="21"/>
                      <w:szCs w:val="21"/>
                      <w:highlight w:val="none"/>
                    </w:rPr>
                  </w:pPr>
                </w:p>
              </w:tc>
              <w:tc>
                <w:tcPr>
                  <w:tcW w:w="770" w:type="pct"/>
                  <w:tcBorders>
                    <w:tl2br w:val="nil"/>
                    <w:tr2bl w:val="nil"/>
                  </w:tcBorders>
                  <w:noWrap w:val="0"/>
                  <w:vAlign w:val="center"/>
                </w:tcPr>
                <w:p w14:paraId="76BC0A41">
                  <w:pPr>
                    <w:adjustRightInd w:val="0"/>
                    <w:snapToGrid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渣仓区</w:t>
                  </w:r>
                </w:p>
              </w:tc>
              <w:tc>
                <w:tcPr>
                  <w:tcW w:w="3543" w:type="pct"/>
                  <w:tcBorders>
                    <w:tl2br w:val="nil"/>
                    <w:tr2bl w:val="nil"/>
                  </w:tcBorders>
                  <w:noWrap w:val="0"/>
                  <w:vAlign w:val="top"/>
                </w:tcPr>
                <w:p w14:paraId="62CBDA09">
                  <w:pPr>
                    <w:adjustRightInd w:val="0"/>
                    <w:snapToGrid w:val="0"/>
                    <w:ind w:firstLine="0" w:firstLineChars="0"/>
                    <w:rPr>
                      <w:spacing w:val="-9"/>
                      <w:highlight w:val="none"/>
                    </w:rPr>
                  </w:pPr>
                  <w:r>
                    <w:rPr>
                      <w:rFonts w:hint="default" w:ascii="Times New Roman" w:hAnsi="Times New Roman" w:eastAsia="宋体" w:cs="Times New Roman"/>
                      <w:color w:val="auto"/>
                      <w:sz w:val="21"/>
                      <w:szCs w:val="21"/>
                      <w:highlight w:val="none"/>
                    </w:rPr>
                    <w:t>1个，有效容积约</w:t>
                  </w:r>
                  <w:r>
                    <w:rPr>
                      <w:rFonts w:hint="eastAsia" w:cs="Times New Roman"/>
                      <w:color w:val="auto"/>
                      <w:sz w:val="21"/>
                      <w:szCs w:val="21"/>
                      <w:highlight w:val="none"/>
                      <w:lang w:val="en-US" w:eastAsia="zh-CN"/>
                    </w:rPr>
                    <w:t>200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，存放灰渣</w:t>
                  </w:r>
                </w:p>
              </w:tc>
            </w:tr>
          </w:tbl>
          <w:p w14:paraId="2F552D05">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jc w:val="left"/>
              <w:textAlignment w:val="auto"/>
              <w:rPr>
                <w:rFonts w:hint="default" w:eastAsia="宋体"/>
                <w:b/>
                <w:bCs/>
                <w:color w:val="auto"/>
                <w:sz w:val="24"/>
                <w:szCs w:val="21"/>
                <w:highlight w:val="none"/>
                <w:lang w:val="en-US" w:eastAsia="zh-CN"/>
              </w:rPr>
            </w:pPr>
            <w:r>
              <w:rPr>
                <w:rFonts w:hint="eastAsia"/>
                <w:b/>
                <w:bCs/>
                <w:color w:val="auto"/>
                <w:sz w:val="24"/>
                <w:szCs w:val="21"/>
                <w:highlight w:val="none"/>
                <w:lang w:val="en-US" w:eastAsia="zh-CN"/>
              </w:rPr>
              <w:t>4</w:t>
            </w:r>
            <w:r>
              <w:rPr>
                <w:rFonts w:hint="eastAsia"/>
                <w:b/>
                <w:bCs/>
                <w:color w:val="auto"/>
                <w:sz w:val="24"/>
                <w:szCs w:val="21"/>
                <w:highlight w:val="none"/>
                <w:lang w:eastAsia="zh-CN"/>
              </w:rPr>
              <w:t>、主要设备和设施</w:t>
            </w:r>
          </w:p>
          <w:p w14:paraId="2CF36DCB">
            <w:pPr>
              <w:adjustRightInd w:val="0"/>
              <w:snapToGrid w:val="0"/>
              <w:spacing w:line="360" w:lineRule="auto"/>
              <w:ind w:firstLine="470" w:firstLineChars="196"/>
              <w:jc w:val="left"/>
              <w:rPr>
                <w:color w:val="auto"/>
                <w:sz w:val="24"/>
                <w:highlight w:val="none"/>
              </w:rPr>
            </w:pPr>
            <w:r>
              <w:rPr>
                <w:rFonts w:hint="eastAsia"/>
                <w:color w:val="auto"/>
                <w:sz w:val="24"/>
                <w:highlight w:val="none"/>
              </w:rPr>
              <w:t>本项目主要设备和设施如表</w:t>
            </w:r>
            <w:r>
              <w:rPr>
                <w:rFonts w:hint="eastAsia"/>
                <w:color w:val="auto"/>
                <w:sz w:val="24"/>
                <w:highlight w:val="none"/>
                <w:lang w:val="en-US" w:eastAsia="zh-CN"/>
              </w:rPr>
              <w:t>2-3</w:t>
            </w:r>
            <w:r>
              <w:rPr>
                <w:rFonts w:hint="eastAsia"/>
                <w:color w:val="auto"/>
                <w:sz w:val="24"/>
                <w:highlight w:val="none"/>
              </w:rPr>
              <w:t>所示。</w:t>
            </w:r>
          </w:p>
          <w:p w14:paraId="169A240E">
            <w:pPr>
              <w:adjustRightInd w:val="0"/>
              <w:snapToGrid w:val="0"/>
              <w:jc w:val="center"/>
              <w:rPr>
                <w:rFonts w:hint="eastAsia"/>
                <w:b/>
                <w:color w:val="auto"/>
                <w:sz w:val="24"/>
                <w:highlight w:val="none"/>
              </w:rPr>
            </w:pPr>
            <w:r>
              <w:rPr>
                <w:rFonts w:hint="eastAsia"/>
                <w:b/>
                <w:color w:val="auto"/>
                <w:sz w:val="24"/>
                <w:highlight w:val="none"/>
              </w:rPr>
              <w:t>表</w:t>
            </w:r>
            <w:r>
              <w:rPr>
                <w:rFonts w:hint="eastAsia"/>
                <w:b/>
                <w:color w:val="auto"/>
                <w:sz w:val="24"/>
                <w:highlight w:val="none"/>
                <w:lang w:val="en-US" w:eastAsia="zh-CN"/>
              </w:rPr>
              <w:t>2-3主要设备和设施</w:t>
            </w:r>
            <w:r>
              <w:rPr>
                <w:rFonts w:hint="eastAsia"/>
                <w:b/>
                <w:color w:val="auto"/>
                <w:sz w:val="24"/>
                <w:highlight w:val="none"/>
              </w:rPr>
              <w:t>一览表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7"/>
              <w:gridCol w:w="4794"/>
              <w:gridCol w:w="603"/>
              <w:gridCol w:w="605"/>
              <w:gridCol w:w="1173"/>
            </w:tblGrid>
            <w:tr w14:paraId="5F0B3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477" w:type="pct"/>
                  <w:noWrap/>
                  <w:vAlign w:val="center"/>
                </w:tcPr>
                <w:p w14:paraId="336D9E66">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bCs w:val="0"/>
                      <w:sz w:val="21"/>
                      <w:szCs w:val="21"/>
                      <w:highlight w:val="none"/>
                      <w:lang w:val="en-US" w:eastAsia="zh-CN"/>
                    </w:rPr>
                  </w:pPr>
                  <w:r>
                    <w:rPr>
                      <w:rFonts w:hint="default" w:ascii="Times New Roman" w:hAnsi="Times New Roman" w:eastAsia="宋体" w:cs="Times New Roman"/>
                      <w:b/>
                      <w:bCs w:val="0"/>
                      <w:sz w:val="21"/>
                      <w:szCs w:val="21"/>
                      <w:highlight w:val="none"/>
                      <w:lang w:val="en-US" w:eastAsia="zh-CN"/>
                    </w:rPr>
                    <w:t>序号</w:t>
                  </w:r>
                </w:p>
              </w:tc>
              <w:tc>
                <w:tcPr>
                  <w:tcW w:w="3021" w:type="pct"/>
                  <w:noWrap/>
                  <w:vAlign w:val="center"/>
                </w:tcPr>
                <w:p w14:paraId="3472F00D">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bCs w:val="0"/>
                      <w:sz w:val="21"/>
                      <w:szCs w:val="21"/>
                      <w:highlight w:val="none"/>
                      <w:lang w:val="en-US" w:eastAsia="zh-CN"/>
                    </w:rPr>
                  </w:pPr>
                  <w:r>
                    <w:rPr>
                      <w:rFonts w:hint="default" w:ascii="Times New Roman" w:hAnsi="Times New Roman" w:eastAsia="宋体" w:cs="Times New Roman"/>
                      <w:b/>
                      <w:bCs w:val="0"/>
                      <w:sz w:val="21"/>
                      <w:szCs w:val="21"/>
                      <w:highlight w:val="none"/>
                      <w:lang w:val="en-US" w:eastAsia="zh-CN"/>
                    </w:rPr>
                    <w:t>名  称</w:t>
                  </w:r>
                </w:p>
              </w:tc>
              <w:tc>
                <w:tcPr>
                  <w:tcW w:w="380" w:type="pct"/>
                  <w:noWrap/>
                  <w:vAlign w:val="center"/>
                </w:tcPr>
                <w:p w14:paraId="2CC1382A">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bCs w:val="0"/>
                      <w:sz w:val="21"/>
                      <w:szCs w:val="21"/>
                      <w:highlight w:val="none"/>
                      <w:lang w:val="en-US" w:eastAsia="zh-CN"/>
                    </w:rPr>
                  </w:pPr>
                  <w:r>
                    <w:rPr>
                      <w:rFonts w:hint="default" w:ascii="Times New Roman" w:hAnsi="Times New Roman" w:eastAsia="宋体" w:cs="Times New Roman"/>
                      <w:b/>
                      <w:bCs w:val="0"/>
                      <w:sz w:val="21"/>
                      <w:szCs w:val="21"/>
                      <w:highlight w:val="none"/>
                      <w:lang w:val="en-US" w:eastAsia="zh-CN"/>
                    </w:rPr>
                    <w:t>单位</w:t>
                  </w:r>
                </w:p>
              </w:tc>
              <w:tc>
                <w:tcPr>
                  <w:tcW w:w="381" w:type="pct"/>
                  <w:noWrap/>
                  <w:vAlign w:val="center"/>
                </w:tcPr>
                <w:p w14:paraId="65FF7F5F">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bCs w:val="0"/>
                      <w:sz w:val="21"/>
                      <w:szCs w:val="21"/>
                      <w:highlight w:val="none"/>
                      <w:lang w:val="en-US" w:eastAsia="zh-CN"/>
                    </w:rPr>
                  </w:pPr>
                  <w:r>
                    <w:rPr>
                      <w:rFonts w:hint="default" w:ascii="Times New Roman" w:hAnsi="Times New Roman" w:eastAsia="宋体" w:cs="Times New Roman"/>
                      <w:b/>
                      <w:bCs w:val="0"/>
                      <w:sz w:val="21"/>
                      <w:szCs w:val="21"/>
                      <w:highlight w:val="none"/>
                      <w:lang w:val="en-US" w:eastAsia="zh-CN"/>
                    </w:rPr>
                    <w:t>数量</w:t>
                  </w:r>
                </w:p>
              </w:tc>
              <w:tc>
                <w:tcPr>
                  <w:tcW w:w="739" w:type="pct"/>
                  <w:noWrap/>
                  <w:vAlign w:val="center"/>
                </w:tcPr>
                <w:p w14:paraId="13833DED">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bCs w:val="0"/>
                      <w:sz w:val="21"/>
                      <w:szCs w:val="21"/>
                      <w:highlight w:val="none"/>
                      <w:lang w:val="en-US" w:eastAsia="zh-CN"/>
                    </w:rPr>
                  </w:pPr>
                  <w:r>
                    <w:rPr>
                      <w:rFonts w:hint="default" w:ascii="Times New Roman" w:hAnsi="Times New Roman" w:eastAsia="宋体" w:cs="Times New Roman"/>
                      <w:b/>
                      <w:bCs w:val="0"/>
                      <w:sz w:val="21"/>
                      <w:szCs w:val="21"/>
                      <w:highlight w:val="none"/>
                      <w:lang w:val="en-US" w:eastAsia="zh-CN"/>
                    </w:rPr>
                    <w:t>备注</w:t>
                  </w:r>
                </w:p>
              </w:tc>
            </w:tr>
            <w:tr w14:paraId="65B52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0" w:hRule="atLeast"/>
                <w:jc w:val="center"/>
              </w:trPr>
              <w:tc>
                <w:tcPr>
                  <w:tcW w:w="477" w:type="pct"/>
                  <w:noWrap/>
                  <w:vAlign w:val="center"/>
                </w:tcPr>
                <w:p w14:paraId="76A51E6C">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一</w:t>
                  </w:r>
                </w:p>
              </w:tc>
              <w:tc>
                <w:tcPr>
                  <w:tcW w:w="3021" w:type="pct"/>
                  <w:vAlign w:val="center"/>
                </w:tcPr>
                <w:p w14:paraId="0ED42C84">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DZW25-1.6-SS蒸汽锅炉（不含现场筑炉材料)</w:t>
                  </w:r>
                  <w:r>
                    <w:rPr>
                      <w:rFonts w:hint="default" w:ascii="Times New Roman" w:hAnsi="Times New Roman" w:eastAsia="宋体" w:cs="Times New Roman"/>
                      <w:b w:val="0"/>
                      <w:bCs/>
                      <w:sz w:val="21"/>
                      <w:szCs w:val="21"/>
                      <w:highlight w:val="none"/>
                      <w:lang w:val="en-US" w:eastAsia="zh-CN"/>
                    </w:rPr>
                    <w:br w:type="textWrapping"/>
                  </w:r>
                  <w:r>
                    <w:rPr>
                      <w:rFonts w:hint="default" w:ascii="Times New Roman" w:hAnsi="Times New Roman" w:eastAsia="宋体" w:cs="Times New Roman"/>
                      <w:b w:val="0"/>
                      <w:bCs/>
                      <w:sz w:val="21"/>
                      <w:szCs w:val="21"/>
                      <w:highlight w:val="none"/>
                      <w:lang w:val="en-US" w:eastAsia="zh-CN"/>
                    </w:rPr>
                    <w:t>额定蒸发量：25000kg/h</w:t>
                  </w:r>
                  <w:r>
                    <w:rPr>
                      <w:rFonts w:hint="default" w:ascii="Times New Roman" w:hAnsi="Times New Roman" w:eastAsia="宋体" w:cs="Times New Roman"/>
                      <w:b w:val="0"/>
                      <w:bCs/>
                      <w:sz w:val="21"/>
                      <w:szCs w:val="21"/>
                      <w:highlight w:val="none"/>
                      <w:lang w:val="en-US" w:eastAsia="zh-CN"/>
                    </w:rPr>
                    <w:br w:type="textWrapping"/>
                  </w:r>
                  <w:r>
                    <w:rPr>
                      <w:rFonts w:hint="default" w:ascii="Times New Roman" w:hAnsi="Times New Roman" w:eastAsia="宋体" w:cs="Times New Roman"/>
                      <w:b w:val="0"/>
                      <w:bCs/>
                      <w:sz w:val="21"/>
                      <w:szCs w:val="21"/>
                      <w:highlight w:val="none"/>
                      <w:lang w:val="en-US" w:eastAsia="zh-CN"/>
                    </w:rPr>
                    <w:t>额定压力：1.6Mpa</w:t>
                  </w:r>
                  <w:r>
                    <w:rPr>
                      <w:rFonts w:hint="default" w:ascii="Times New Roman" w:hAnsi="Times New Roman" w:eastAsia="宋体" w:cs="Times New Roman"/>
                      <w:b w:val="0"/>
                      <w:bCs/>
                      <w:sz w:val="21"/>
                      <w:szCs w:val="21"/>
                      <w:highlight w:val="none"/>
                      <w:lang w:val="en-US" w:eastAsia="zh-CN"/>
                    </w:rPr>
                    <w:br w:type="textWrapping"/>
                  </w:r>
                  <w:r>
                    <w:rPr>
                      <w:rFonts w:hint="default" w:ascii="Times New Roman" w:hAnsi="Times New Roman" w:eastAsia="宋体" w:cs="Times New Roman"/>
                      <w:b w:val="0"/>
                      <w:bCs/>
                      <w:sz w:val="21"/>
                      <w:szCs w:val="21"/>
                      <w:highlight w:val="none"/>
                      <w:lang w:val="en-US" w:eastAsia="zh-CN"/>
                    </w:rPr>
                    <w:t>结构：组装卧式三锅筒纵置式锅炉</w:t>
                  </w:r>
                  <w:r>
                    <w:rPr>
                      <w:rFonts w:hint="default" w:ascii="Times New Roman" w:hAnsi="Times New Roman" w:eastAsia="宋体" w:cs="Times New Roman"/>
                      <w:b w:val="0"/>
                      <w:bCs/>
                      <w:sz w:val="21"/>
                      <w:szCs w:val="21"/>
                      <w:highlight w:val="none"/>
                      <w:lang w:val="en-US" w:eastAsia="zh-CN"/>
                    </w:rPr>
                    <w:br w:type="textWrapping"/>
                  </w:r>
                  <w:r>
                    <w:rPr>
                      <w:rFonts w:hint="default" w:ascii="Times New Roman" w:hAnsi="Times New Roman" w:eastAsia="宋体" w:cs="Times New Roman"/>
                      <w:b w:val="0"/>
                      <w:bCs/>
                      <w:sz w:val="21"/>
                      <w:szCs w:val="21"/>
                      <w:highlight w:val="none"/>
                      <w:lang w:val="en-US" w:eastAsia="zh-CN"/>
                    </w:rPr>
                    <w:t>适用燃料：破碎后的木片（水分约30%，长径30-50mm）</w:t>
                  </w:r>
                  <w:r>
                    <w:rPr>
                      <w:rFonts w:hint="default" w:ascii="Times New Roman" w:hAnsi="Times New Roman" w:eastAsia="宋体" w:cs="Times New Roman"/>
                      <w:b w:val="0"/>
                      <w:bCs/>
                      <w:sz w:val="21"/>
                      <w:szCs w:val="21"/>
                      <w:highlight w:val="none"/>
                      <w:lang w:val="en-US" w:eastAsia="zh-CN"/>
                    </w:rPr>
                    <w:br w:type="textWrapping"/>
                  </w:r>
                  <w:r>
                    <w:rPr>
                      <w:rFonts w:hint="default" w:ascii="Times New Roman" w:hAnsi="Times New Roman" w:eastAsia="宋体" w:cs="Times New Roman"/>
                      <w:b w:val="0"/>
                      <w:bCs/>
                      <w:sz w:val="21"/>
                      <w:szCs w:val="21"/>
                      <w:highlight w:val="none"/>
                      <w:lang w:val="en-US" w:eastAsia="zh-CN"/>
                    </w:rPr>
                    <w:t>主机（含合金钢往复炉排、进料器、双向螺旋、合金钢料口、液压站、管件）</w:t>
                  </w:r>
                </w:p>
              </w:tc>
              <w:tc>
                <w:tcPr>
                  <w:tcW w:w="380" w:type="pct"/>
                  <w:noWrap/>
                  <w:vAlign w:val="center"/>
                </w:tcPr>
                <w:p w14:paraId="54B83242">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5F88764B">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w:t>
                  </w:r>
                </w:p>
              </w:tc>
              <w:tc>
                <w:tcPr>
                  <w:tcW w:w="739" w:type="pct"/>
                  <w:noWrap/>
                  <w:vAlign w:val="center"/>
                </w:tcPr>
                <w:p w14:paraId="518D4C95">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eastAsia" w:ascii="Times New Roman" w:hAnsi="Times New Roman" w:eastAsia="宋体" w:cs="Times New Roman"/>
                      <w:b w:val="0"/>
                      <w:bCs/>
                      <w:sz w:val="21"/>
                      <w:szCs w:val="21"/>
                      <w:highlight w:val="none"/>
                      <w:lang w:val="en-US" w:eastAsia="zh-CN"/>
                    </w:rPr>
                    <w:t>一用一备</w:t>
                  </w:r>
                </w:p>
              </w:tc>
            </w:tr>
            <w:tr w14:paraId="7C375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498F9DDB">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二</w:t>
                  </w:r>
                </w:p>
              </w:tc>
              <w:tc>
                <w:tcPr>
                  <w:tcW w:w="3021" w:type="pct"/>
                  <w:noWrap/>
                  <w:vAlign w:val="center"/>
                </w:tcPr>
                <w:p w14:paraId="48F93428">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清灰系统</w:t>
                  </w:r>
                </w:p>
              </w:tc>
              <w:tc>
                <w:tcPr>
                  <w:tcW w:w="380" w:type="pct"/>
                  <w:noWrap/>
                  <w:vAlign w:val="center"/>
                </w:tcPr>
                <w:p w14:paraId="3AE849E1">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p>
              </w:tc>
              <w:tc>
                <w:tcPr>
                  <w:tcW w:w="381" w:type="pct"/>
                  <w:noWrap/>
                  <w:vAlign w:val="center"/>
                </w:tcPr>
                <w:p w14:paraId="70E751E7">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p>
              </w:tc>
              <w:tc>
                <w:tcPr>
                  <w:tcW w:w="739" w:type="pct"/>
                  <w:noWrap/>
                  <w:vAlign w:val="center"/>
                </w:tcPr>
                <w:p w14:paraId="706B3A3B">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p>
              </w:tc>
            </w:tr>
            <w:tr w14:paraId="4AEC3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17393510">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2.1</w:t>
                  </w:r>
                </w:p>
              </w:tc>
              <w:tc>
                <w:tcPr>
                  <w:tcW w:w="3021" w:type="pct"/>
                  <w:noWrap/>
                  <w:vAlign w:val="center"/>
                </w:tcPr>
                <w:p w14:paraId="063D0D65">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激波吹灰器</w:t>
                  </w:r>
                </w:p>
              </w:tc>
              <w:tc>
                <w:tcPr>
                  <w:tcW w:w="380" w:type="pct"/>
                  <w:noWrap/>
                  <w:vAlign w:val="center"/>
                </w:tcPr>
                <w:p w14:paraId="0CD65451">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套</w:t>
                  </w:r>
                </w:p>
              </w:tc>
              <w:tc>
                <w:tcPr>
                  <w:tcW w:w="381" w:type="pct"/>
                  <w:noWrap/>
                  <w:vAlign w:val="center"/>
                </w:tcPr>
                <w:p w14:paraId="3B7D3901">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w:t>
                  </w:r>
                </w:p>
              </w:tc>
              <w:tc>
                <w:tcPr>
                  <w:tcW w:w="739" w:type="pct"/>
                  <w:noWrap/>
                  <w:vAlign w:val="center"/>
                </w:tcPr>
                <w:p w14:paraId="46AFDF81">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p>
              </w:tc>
            </w:tr>
            <w:tr w14:paraId="7900F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5C380545">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2.2</w:t>
                  </w:r>
                </w:p>
              </w:tc>
              <w:tc>
                <w:tcPr>
                  <w:tcW w:w="3021" w:type="pct"/>
                  <w:noWrap/>
                  <w:vAlign w:val="center"/>
                </w:tcPr>
                <w:p w14:paraId="75B4FA76">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星型泄灰阀</w:t>
                  </w:r>
                </w:p>
              </w:tc>
              <w:tc>
                <w:tcPr>
                  <w:tcW w:w="380" w:type="pct"/>
                  <w:noWrap/>
                  <w:vAlign w:val="center"/>
                </w:tcPr>
                <w:p w14:paraId="183DA5EA">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套</w:t>
                  </w:r>
                </w:p>
              </w:tc>
              <w:tc>
                <w:tcPr>
                  <w:tcW w:w="381" w:type="pct"/>
                  <w:noWrap/>
                  <w:vAlign w:val="center"/>
                </w:tcPr>
                <w:p w14:paraId="0AB8B374">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w:t>
                  </w:r>
                </w:p>
              </w:tc>
              <w:tc>
                <w:tcPr>
                  <w:tcW w:w="739" w:type="pct"/>
                  <w:vAlign w:val="center"/>
                </w:tcPr>
                <w:p w14:paraId="4463C6B5">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p>
              </w:tc>
            </w:tr>
            <w:tr w14:paraId="1D733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0F7CE4C7">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2.3</w:t>
                  </w:r>
                </w:p>
              </w:tc>
              <w:tc>
                <w:tcPr>
                  <w:tcW w:w="3021" w:type="pct"/>
                  <w:noWrap/>
                  <w:vAlign w:val="center"/>
                </w:tcPr>
                <w:p w14:paraId="41215239">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清灰绞龙                           7.5KW</w:t>
                  </w:r>
                </w:p>
              </w:tc>
              <w:tc>
                <w:tcPr>
                  <w:tcW w:w="380" w:type="pct"/>
                  <w:noWrap/>
                  <w:vAlign w:val="center"/>
                </w:tcPr>
                <w:p w14:paraId="72F76C5A">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4BD58BAE">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w:t>
                  </w:r>
                </w:p>
              </w:tc>
              <w:tc>
                <w:tcPr>
                  <w:tcW w:w="739" w:type="pct"/>
                  <w:vAlign w:val="center"/>
                </w:tcPr>
                <w:p w14:paraId="2C00F34A">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p>
              </w:tc>
            </w:tr>
            <w:tr w14:paraId="47ADB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6F13105D">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三</w:t>
                  </w:r>
                </w:p>
              </w:tc>
              <w:tc>
                <w:tcPr>
                  <w:tcW w:w="3021" w:type="pct"/>
                  <w:noWrap/>
                  <w:vAlign w:val="center"/>
                </w:tcPr>
                <w:p w14:paraId="41628F40">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锅炉房内辅机设备</w:t>
                  </w:r>
                </w:p>
              </w:tc>
              <w:tc>
                <w:tcPr>
                  <w:tcW w:w="380" w:type="pct"/>
                  <w:noWrap/>
                  <w:vAlign w:val="center"/>
                </w:tcPr>
                <w:p w14:paraId="2E260DEE">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p>
              </w:tc>
              <w:tc>
                <w:tcPr>
                  <w:tcW w:w="381" w:type="pct"/>
                  <w:noWrap/>
                  <w:vAlign w:val="center"/>
                </w:tcPr>
                <w:p w14:paraId="43C25506">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p>
              </w:tc>
              <w:tc>
                <w:tcPr>
                  <w:tcW w:w="739" w:type="pct"/>
                  <w:noWrap/>
                  <w:vAlign w:val="center"/>
                </w:tcPr>
                <w:p w14:paraId="12C3F018">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p>
              </w:tc>
            </w:tr>
            <w:tr w14:paraId="68E95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5137D478">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1</w:t>
                  </w:r>
                </w:p>
              </w:tc>
              <w:tc>
                <w:tcPr>
                  <w:tcW w:w="3021" w:type="pct"/>
                  <w:noWrap/>
                  <w:vAlign w:val="center"/>
                </w:tcPr>
                <w:p w14:paraId="625CA331">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鼓风机     G4-73No:10D             55KW</w:t>
                  </w:r>
                </w:p>
              </w:tc>
              <w:tc>
                <w:tcPr>
                  <w:tcW w:w="380" w:type="pct"/>
                  <w:noWrap/>
                  <w:vAlign w:val="center"/>
                </w:tcPr>
                <w:p w14:paraId="194EA823">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21B9A9FF">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w:t>
                  </w:r>
                </w:p>
              </w:tc>
              <w:tc>
                <w:tcPr>
                  <w:tcW w:w="739" w:type="pct"/>
                  <w:noWrap/>
                  <w:vAlign w:val="center"/>
                </w:tcPr>
                <w:p w14:paraId="6D666EF5">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 xml:space="preserve"> </w:t>
                  </w:r>
                </w:p>
              </w:tc>
            </w:tr>
            <w:tr w14:paraId="17EA8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4FEDD174">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w:t>
                  </w:r>
                </w:p>
              </w:tc>
              <w:tc>
                <w:tcPr>
                  <w:tcW w:w="3021" w:type="pct"/>
                  <w:noWrap/>
                  <w:vAlign w:val="center"/>
                </w:tcPr>
                <w:p w14:paraId="3E68AFB2">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引风机     Y9-38                   250KW</w:t>
                  </w:r>
                </w:p>
              </w:tc>
              <w:tc>
                <w:tcPr>
                  <w:tcW w:w="380" w:type="pct"/>
                  <w:noWrap/>
                  <w:vAlign w:val="center"/>
                </w:tcPr>
                <w:p w14:paraId="57649013">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6CCB3C8E">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w:t>
                  </w:r>
                </w:p>
              </w:tc>
              <w:tc>
                <w:tcPr>
                  <w:tcW w:w="739" w:type="pct"/>
                  <w:vAlign w:val="center"/>
                </w:tcPr>
                <w:p w14:paraId="62795FA5">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p>
              </w:tc>
            </w:tr>
            <w:tr w14:paraId="24C66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4922A8E0">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3</w:t>
                  </w:r>
                </w:p>
              </w:tc>
              <w:tc>
                <w:tcPr>
                  <w:tcW w:w="3021" w:type="pct"/>
                  <w:noWrap/>
                  <w:vAlign w:val="center"/>
                </w:tcPr>
                <w:p w14:paraId="6499E299">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二次风机   6-41  6.4A              37KW</w:t>
                  </w:r>
                </w:p>
              </w:tc>
              <w:tc>
                <w:tcPr>
                  <w:tcW w:w="380" w:type="pct"/>
                  <w:noWrap/>
                  <w:vAlign w:val="center"/>
                </w:tcPr>
                <w:p w14:paraId="6D1C65C2">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628177DE">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w:t>
                  </w:r>
                </w:p>
              </w:tc>
              <w:tc>
                <w:tcPr>
                  <w:tcW w:w="739" w:type="pct"/>
                  <w:vAlign w:val="center"/>
                </w:tcPr>
                <w:p w14:paraId="68ED17AD">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p>
              </w:tc>
            </w:tr>
            <w:tr w14:paraId="2E559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2A696586">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4</w:t>
                  </w:r>
                </w:p>
              </w:tc>
              <w:tc>
                <w:tcPr>
                  <w:tcW w:w="3021" w:type="pct"/>
                  <w:noWrap/>
                  <w:vAlign w:val="center"/>
                </w:tcPr>
                <w:p w14:paraId="1F063AB5">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 xml:space="preserve">立式不锈钢给水泵JGGC25-35×7       37KW </w:t>
                  </w:r>
                </w:p>
                <w:p w14:paraId="060C23A1">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 xml:space="preserve">或    DG25-30×9                   37KW    </w:t>
                  </w:r>
                </w:p>
              </w:tc>
              <w:tc>
                <w:tcPr>
                  <w:tcW w:w="380" w:type="pct"/>
                  <w:noWrap/>
                  <w:vAlign w:val="center"/>
                </w:tcPr>
                <w:p w14:paraId="71018108">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2862C835">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w:t>
                  </w:r>
                </w:p>
              </w:tc>
              <w:tc>
                <w:tcPr>
                  <w:tcW w:w="739" w:type="pct"/>
                  <w:vAlign w:val="center"/>
                </w:tcPr>
                <w:p w14:paraId="70B3687F">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两炉共用</w:t>
                  </w:r>
                </w:p>
              </w:tc>
            </w:tr>
            <w:tr w14:paraId="661ED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147C5E90">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5</w:t>
                  </w:r>
                </w:p>
              </w:tc>
              <w:tc>
                <w:tcPr>
                  <w:tcW w:w="3021" w:type="pct"/>
                  <w:noWrap/>
                  <w:vAlign w:val="center"/>
                </w:tcPr>
                <w:p w14:paraId="49A897A6">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调速箱(无极变速)GL-30P             3KW</w:t>
                  </w:r>
                </w:p>
              </w:tc>
              <w:tc>
                <w:tcPr>
                  <w:tcW w:w="380" w:type="pct"/>
                  <w:noWrap/>
                  <w:vAlign w:val="center"/>
                </w:tcPr>
                <w:p w14:paraId="5CE67584">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21F3E9C3">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w:t>
                  </w:r>
                </w:p>
              </w:tc>
              <w:tc>
                <w:tcPr>
                  <w:tcW w:w="739" w:type="pct"/>
                  <w:vAlign w:val="center"/>
                </w:tcPr>
                <w:p w14:paraId="075C071B">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p>
              </w:tc>
            </w:tr>
            <w:tr w14:paraId="79038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15B8F7FF">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6</w:t>
                  </w:r>
                </w:p>
              </w:tc>
              <w:tc>
                <w:tcPr>
                  <w:tcW w:w="3021" w:type="pct"/>
                  <w:noWrap/>
                  <w:vAlign w:val="center"/>
                </w:tcPr>
                <w:p w14:paraId="508FA73A">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电控柜（含风机、给水泵国产变频器，含除氧控制）</w:t>
                  </w:r>
                </w:p>
              </w:tc>
              <w:tc>
                <w:tcPr>
                  <w:tcW w:w="380" w:type="pct"/>
                  <w:noWrap/>
                  <w:vAlign w:val="center"/>
                </w:tcPr>
                <w:p w14:paraId="7AEF92B5">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64ADABF9">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w:t>
                  </w:r>
                </w:p>
              </w:tc>
              <w:tc>
                <w:tcPr>
                  <w:tcW w:w="739" w:type="pct"/>
                  <w:vAlign w:val="center"/>
                </w:tcPr>
                <w:p w14:paraId="614A5686">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p>
              </w:tc>
            </w:tr>
            <w:tr w14:paraId="67E28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2143FB30">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7</w:t>
                  </w:r>
                </w:p>
              </w:tc>
              <w:tc>
                <w:tcPr>
                  <w:tcW w:w="3021" w:type="pct"/>
                  <w:noWrap/>
                  <w:vAlign w:val="center"/>
                </w:tcPr>
                <w:p w14:paraId="0E790FE3">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承压省煤器                         配25t/h锅炉</w:t>
                  </w:r>
                </w:p>
              </w:tc>
              <w:tc>
                <w:tcPr>
                  <w:tcW w:w="380" w:type="pct"/>
                  <w:noWrap/>
                  <w:vAlign w:val="center"/>
                </w:tcPr>
                <w:p w14:paraId="2EF5FE91">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462EBC63">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w:t>
                  </w:r>
                </w:p>
              </w:tc>
              <w:tc>
                <w:tcPr>
                  <w:tcW w:w="739" w:type="pct"/>
                  <w:vAlign w:val="center"/>
                </w:tcPr>
                <w:p w14:paraId="68853F9D">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p>
              </w:tc>
            </w:tr>
            <w:tr w14:paraId="24572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34E3E4DF">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8</w:t>
                  </w:r>
                </w:p>
              </w:tc>
              <w:tc>
                <w:tcPr>
                  <w:tcW w:w="3021" w:type="pct"/>
                  <w:noWrap/>
                  <w:vAlign w:val="center"/>
                </w:tcPr>
                <w:p w14:paraId="546F8A90">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空预器                         配25t/h锅炉</w:t>
                  </w:r>
                </w:p>
              </w:tc>
              <w:tc>
                <w:tcPr>
                  <w:tcW w:w="380" w:type="pct"/>
                  <w:noWrap/>
                  <w:vAlign w:val="center"/>
                </w:tcPr>
                <w:p w14:paraId="536E6E3A">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761E9F48">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w:t>
                  </w:r>
                </w:p>
              </w:tc>
              <w:tc>
                <w:tcPr>
                  <w:tcW w:w="739" w:type="pct"/>
                  <w:vAlign w:val="center"/>
                </w:tcPr>
                <w:p w14:paraId="192EC71C">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可共用1台</w:t>
                  </w:r>
                </w:p>
              </w:tc>
            </w:tr>
            <w:tr w14:paraId="2C833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3D8BB451">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9</w:t>
                  </w:r>
                </w:p>
              </w:tc>
              <w:tc>
                <w:tcPr>
                  <w:tcW w:w="3021" w:type="pct"/>
                  <w:noWrap/>
                  <w:vAlign w:val="center"/>
                </w:tcPr>
                <w:p w14:paraId="495D8733">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尾部换热器                     配25t/h锅炉</w:t>
                  </w:r>
                </w:p>
              </w:tc>
              <w:tc>
                <w:tcPr>
                  <w:tcW w:w="380" w:type="pct"/>
                  <w:noWrap/>
                  <w:vAlign w:val="center"/>
                </w:tcPr>
                <w:p w14:paraId="254C8707">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6DED11FB">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w:t>
                  </w:r>
                </w:p>
              </w:tc>
              <w:tc>
                <w:tcPr>
                  <w:tcW w:w="739" w:type="pct"/>
                  <w:vAlign w:val="center"/>
                </w:tcPr>
                <w:p w14:paraId="612A78F4">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可共用1台</w:t>
                  </w:r>
                </w:p>
              </w:tc>
            </w:tr>
            <w:tr w14:paraId="713BF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4329EDC2">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10</w:t>
                  </w:r>
                </w:p>
              </w:tc>
              <w:tc>
                <w:tcPr>
                  <w:tcW w:w="3021" w:type="pct"/>
                  <w:noWrap/>
                  <w:vAlign w:val="center"/>
                </w:tcPr>
                <w:p w14:paraId="2C626622">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 xml:space="preserve">一次仪表阀门(与锅炉直接联接的)  </w:t>
                  </w:r>
                </w:p>
              </w:tc>
              <w:tc>
                <w:tcPr>
                  <w:tcW w:w="380" w:type="pct"/>
                  <w:noWrap/>
                  <w:vAlign w:val="center"/>
                </w:tcPr>
                <w:p w14:paraId="1D46611E">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套</w:t>
                  </w:r>
                </w:p>
              </w:tc>
              <w:tc>
                <w:tcPr>
                  <w:tcW w:w="381" w:type="pct"/>
                  <w:noWrap/>
                  <w:vAlign w:val="center"/>
                </w:tcPr>
                <w:p w14:paraId="37D1AAE3">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w:t>
                  </w:r>
                </w:p>
              </w:tc>
              <w:tc>
                <w:tcPr>
                  <w:tcW w:w="739" w:type="pct"/>
                  <w:vAlign w:val="center"/>
                </w:tcPr>
                <w:p w14:paraId="70D21AD6">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p>
              </w:tc>
            </w:tr>
            <w:tr w14:paraId="6A7E8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552BA93F">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11</w:t>
                  </w:r>
                </w:p>
              </w:tc>
              <w:tc>
                <w:tcPr>
                  <w:tcW w:w="3021" w:type="pct"/>
                  <w:noWrap/>
                  <w:vAlign w:val="center"/>
                </w:tcPr>
                <w:p w14:paraId="75591B07">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 xml:space="preserve">取样冷却器Φ273mm               配25t/h锅炉 </w:t>
                  </w:r>
                </w:p>
              </w:tc>
              <w:tc>
                <w:tcPr>
                  <w:tcW w:w="380" w:type="pct"/>
                  <w:noWrap/>
                  <w:vAlign w:val="center"/>
                </w:tcPr>
                <w:p w14:paraId="75B3B77D">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20CE9331">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4</w:t>
                  </w:r>
                </w:p>
              </w:tc>
              <w:tc>
                <w:tcPr>
                  <w:tcW w:w="739" w:type="pct"/>
                  <w:vAlign w:val="center"/>
                </w:tcPr>
                <w:p w14:paraId="6A063063">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p>
              </w:tc>
            </w:tr>
            <w:tr w14:paraId="44F8A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71462811">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12</w:t>
                  </w:r>
                </w:p>
              </w:tc>
              <w:tc>
                <w:tcPr>
                  <w:tcW w:w="3021" w:type="pct"/>
                  <w:noWrap/>
                  <w:vAlign w:val="center"/>
                </w:tcPr>
                <w:p w14:paraId="0BC321DA">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 xml:space="preserve">出渣机（刮板式）       2.2KW    配25t/h锅炉        </w:t>
                  </w:r>
                </w:p>
              </w:tc>
              <w:tc>
                <w:tcPr>
                  <w:tcW w:w="380" w:type="pct"/>
                  <w:noWrap/>
                  <w:vAlign w:val="center"/>
                </w:tcPr>
                <w:p w14:paraId="4DE42924">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4A617AFC">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w:t>
                  </w:r>
                </w:p>
              </w:tc>
              <w:tc>
                <w:tcPr>
                  <w:tcW w:w="739" w:type="pct"/>
                  <w:vAlign w:val="center"/>
                </w:tcPr>
                <w:p w14:paraId="76F14802">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p>
              </w:tc>
            </w:tr>
            <w:tr w14:paraId="1638C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2045A3B6">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14</w:t>
                  </w:r>
                </w:p>
              </w:tc>
              <w:tc>
                <w:tcPr>
                  <w:tcW w:w="3021" w:type="pct"/>
                  <w:noWrap/>
                  <w:vAlign w:val="center"/>
                </w:tcPr>
                <w:p w14:paraId="1ABACA8B">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落地料仓含双螺旋给料机               2×4KW</w:t>
                  </w:r>
                </w:p>
              </w:tc>
              <w:tc>
                <w:tcPr>
                  <w:tcW w:w="380" w:type="pct"/>
                  <w:noWrap/>
                  <w:vAlign w:val="center"/>
                </w:tcPr>
                <w:p w14:paraId="1B93BCC9">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5D8BE792">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w:t>
                  </w:r>
                </w:p>
              </w:tc>
              <w:tc>
                <w:tcPr>
                  <w:tcW w:w="739" w:type="pct"/>
                  <w:vAlign w:val="center"/>
                </w:tcPr>
                <w:p w14:paraId="6C376451">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p>
              </w:tc>
            </w:tr>
            <w:tr w14:paraId="15EDC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1465FF53">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15</w:t>
                  </w:r>
                </w:p>
              </w:tc>
              <w:tc>
                <w:tcPr>
                  <w:tcW w:w="3021" w:type="pct"/>
                  <w:noWrap/>
                  <w:vAlign w:val="center"/>
                </w:tcPr>
                <w:p w14:paraId="3AD37D9C">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上料皮带机          B=1000           11KW</w:t>
                  </w:r>
                </w:p>
              </w:tc>
              <w:tc>
                <w:tcPr>
                  <w:tcW w:w="380" w:type="pct"/>
                  <w:noWrap/>
                  <w:vAlign w:val="center"/>
                </w:tcPr>
                <w:p w14:paraId="178D4976">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30E4B2D0">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w:t>
                  </w:r>
                </w:p>
              </w:tc>
              <w:tc>
                <w:tcPr>
                  <w:tcW w:w="739" w:type="pct"/>
                  <w:vAlign w:val="center"/>
                </w:tcPr>
                <w:p w14:paraId="1CB7B299">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p>
              </w:tc>
            </w:tr>
            <w:tr w14:paraId="41A59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228BD3D6">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16</w:t>
                  </w:r>
                </w:p>
              </w:tc>
              <w:tc>
                <w:tcPr>
                  <w:tcW w:w="3021" w:type="pct"/>
                  <w:noWrap/>
                  <w:vAlign w:val="center"/>
                </w:tcPr>
                <w:p w14:paraId="045564C8">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全自动水处理   ZDF-25</w:t>
                  </w:r>
                </w:p>
              </w:tc>
              <w:tc>
                <w:tcPr>
                  <w:tcW w:w="380" w:type="pct"/>
                  <w:noWrap/>
                  <w:vAlign w:val="center"/>
                </w:tcPr>
                <w:p w14:paraId="6CF20026">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2AA43D9D">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1</w:t>
                  </w:r>
                </w:p>
              </w:tc>
              <w:tc>
                <w:tcPr>
                  <w:tcW w:w="739" w:type="pct"/>
                  <w:vAlign w:val="center"/>
                </w:tcPr>
                <w:p w14:paraId="4AFEE9A1">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两炉共用</w:t>
                  </w:r>
                </w:p>
              </w:tc>
            </w:tr>
            <w:tr w14:paraId="6F135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09772DBD">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17</w:t>
                  </w:r>
                </w:p>
              </w:tc>
              <w:tc>
                <w:tcPr>
                  <w:tcW w:w="3021" w:type="pct"/>
                  <w:noWrap/>
                  <w:vAlign w:val="center"/>
                </w:tcPr>
                <w:p w14:paraId="5D9F47C5">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分汽缸         Φ600</w:t>
                  </w:r>
                </w:p>
              </w:tc>
              <w:tc>
                <w:tcPr>
                  <w:tcW w:w="380" w:type="pct"/>
                  <w:noWrap/>
                  <w:vAlign w:val="center"/>
                </w:tcPr>
                <w:p w14:paraId="05F351C3">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2B766208">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1</w:t>
                  </w:r>
                </w:p>
              </w:tc>
              <w:tc>
                <w:tcPr>
                  <w:tcW w:w="739" w:type="pct"/>
                  <w:vAlign w:val="center"/>
                </w:tcPr>
                <w:p w14:paraId="11463D95">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两炉共用</w:t>
                  </w:r>
                </w:p>
              </w:tc>
            </w:tr>
            <w:tr w14:paraId="3951E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57A75F3E">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19</w:t>
                  </w:r>
                </w:p>
              </w:tc>
              <w:tc>
                <w:tcPr>
                  <w:tcW w:w="3021" w:type="pct"/>
                  <w:noWrap/>
                  <w:vAlign w:val="center"/>
                </w:tcPr>
                <w:p w14:paraId="1C782A5A">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高位热力除氧器 25t/h    含水箱V=13m3</w:t>
                  </w:r>
                </w:p>
              </w:tc>
              <w:tc>
                <w:tcPr>
                  <w:tcW w:w="380" w:type="pct"/>
                  <w:noWrap/>
                  <w:vAlign w:val="center"/>
                </w:tcPr>
                <w:p w14:paraId="6DC1ED15">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163848D3">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1</w:t>
                  </w:r>
                </w:p>
              </w:tc>
              <w:tc>
                <w:tcPr>
                  <w:tcW w:w="739" w:type="pct"/>
                  <w:vAlign w:val="center"/>
                </w:tcPr>
                <w:p w14:paraId="1BD8CB63">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两炉共用</w:t>
                  </w:r>
                </w:p>
              </w:tc>
            </w:tr>
            <w:tr w14:paraId="5D0F3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71BC3051">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20</w:t>
                  </w:r>
                </w:p>
              </w:tc>
              <w:tc>
                <w:tcPr>
                  <w:tcW w:w="3021" w:type="pct"/>
                  <w:noWrap/>
                  <w:vAlign w:val="center"/>
                </w:tcPr>
                <w:p w14:paraId="350DD691">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除氧器给水泵   IRG80-200A    11KW</w:t>
                  </w:r>
                </w:p>
              </w:tc>
              <w:tc>
                <w:tcPr>
                  <w:tcW w:w="380" w:type="pct"/>
                  <w:noWrap/>
                  <w:vAlign w:val="center"/>
                </w:tcPr>
                <w:p w14:paraId="2237D50B">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058DDEDB">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w:t>
                  </w:r>
                </w:p>
              </w:tc>
              <w:tc>
                <w:tcPr>
                  <w:tcW w:w="739" w:type="pct"/>
                  <w:vAlign w:val="center"/>
                </w:tcPr>
                <w:p w14:paraId="03A0B4BD">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两炉共用</w:t>
                  </w:r>
                </w:p>
              </w:tc>
            </w:tr>
            <w:tr w14:paraId="5E378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3DE371FF">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21</w:t>
                  </w:r>
                </w:p>
              </w:tc>
              <w:tc>
                <w:tcPr>
                  <w:tcW w:w="3021" w:type="pct"/>
                  <w:noWrap/>
                  <w:vAlign w:val="center"/>
                </w:tcPr>
                <w:p w14:paraId="3575DA98">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炉水加药装置</w:t>
                  </w:r>
                </w:p>
              </w:tc>
              <w:tc>
                <w:tcPr>
                  <w:tcW w:w="380" w:type="pct"/>
                  <w:noWrap/>
                  <w:vAlign w:val="center"/>
                </w:tcPr>
                <w:p w14:paraId="053FD74C">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21C043FA">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1</w:t>
                  </w:r>
                </w:p>
              </w:tc>
              <w:tc>
                <w:tcPr>
                  <w:tcW w:w="739" w:type="pct"/>
                  <w:vAlign w:val="center"/>
                </w:tcPr>
                <w:p w14:paraId="6868F77F">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两炉共用</w:t>
                  </w:r>
                </w:p>
              </w:tc>
            </w:tr>
            <w:tr w14:paraId="561B2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495776C2">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22</w:t>
                  </w:r>
                </w:p>
              </w:tc>
              <w:tc>
                <w:tcPr>
                  <w:tcW w:w="3021" w:type="pct"/>
                  <w:noWrap/>
                  <w:vAlign w:val="center"/>
                </w:tcPr>
                <w:p w14:paraId="1E796FDA">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定期排污膨胀器1500mm</w:t>
                  </w:r>
                </w:p>
              </w:tc>
              <w:tc>
                <w:tcPr>
                  <w:tcW w:w="380" w:type="pct"/>
                  <w:noWrap/>
                  <w:vAlign w:val="center"/>
                </w:tcPr>
                <w:p w14:paraId="732B7F1F">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34E4F10C">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1</w:t>
                  </w:r>
                </w:p>
              </w:tc>
              <w:tc>
                <w:tcPr>
                  <w:tcW w:w="739" w:type="pct"/>
                  <w:vAlign w:val="center"/>
                </w:tcPr>
                <w:p w14:paraId="70139B72">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两炉共用</w:t>
                  </w:r>
                </w:p>
              </w:tc>
            </w:tr>
            <w:tr w14:paraId="235A4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77" w:type="pct"/>
                  <w:noWrap/>
                  <w:vAlign w:val="center"/>
                </w:tcPr>
                <w:p w14:paraId="69670377">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23</w:t>
                  </w:r>
                </w:p>
              </w:tc>
              <w:tc>
                <w:tcPr>
                  <w:tcW w:w="3021" w:type="pct"/>
                  <w:noWrap/>
                  <w:vAlign w:val="center"/>
                </w:tcPr>
                <w:p w14:paraId="6F241329">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left"/>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连续排污膨胀器800mm</w:t>
                  </w:r>
                </w:p>
              </w:tc>
              <w:tc>
                <w:tcPr>
                  <w:tcW w:w="380" w:type="pct"/>
                  <w:noWrap/>
                  <w:vAlign w:val="center"/>
                </w:tcPr>
                <w:p w14:paraId="323D35A4">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台</w:t>
                  </w:r>
                </w:p>
              </w:tc>
              <w:tc>
                <w:tcPr>
                  <w:tcW w:w="381" w:type="pct"/>
                  <w:noWrap/>
                  <w:vAlign w:val="center"/>
                </w:tcPr>
                <w:p w14:paraId="241E5729">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1</w:t>
                  </w:r>
                </w:p>
              </w:tc>
              <w:tc>
                <w:tcPr>
                  <w:tcW w:w="739" w:type="pct"/>
                  <w:vAlign w:val="center"/>
                </w:tcPr>
                <w:p w14:paraId="37878EF8">
                  <w:pPr>
                    <w:pStyle w:val="13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两炉共用</w:t>
                  </w:r>
                </w:p>
              </w:tc>
            </w:tr>
            <w:tr w14:paraId="4A44D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57" w:type="dxa"/>
                  <w:noWrap/>
                  <w:vAlign w:val="top"/>
                </w:tcPr>
                <w:p w14:paraId="7A0CD109">
                  <w:pPr>
                    <w:jc w:val="center"/>
                    <w:rPr>
                      <w:rFonts w:hint="default" w:ascii="Times New Roman" w:hAnsi="Times New Roman" w:eastAsia="宋体" w:cs="Times New Roman"/>
                      <w:b w:val="0"/>
                      <w:bCs/>
                      <w:sz w:val="21"/>
                      <w:szCs w:val="21"/>
                      <w:highlight w:val="none"/>
                      <w:lang w:val="en-US" w:eastAsia="zh-CN"/>
                    </w:rPr>
                  </w:pPr>
                  <w:r>
                    <w:rPr>
                      <w:rFonts w:hint="eastAsia"/>
                      <w:highlight w:val="none"/>
                    </w:rPr>
                    <w:t>四</w:t>
                  </w:r>
                </w:p>
              </w:tc>
              <w:tc>
                <w:tcPr>
                  <w:tcW w:w="4794" w:type="dxa"/>
                  <w:noWrap/>
                  <w:vAlign w:val="top"/>
                </w:tcPr>
                <w:p w14:paraId="620EE691">
                  <w:pPr>
                    <w:jc w:val="left"/>
                    <w:rPr>
                      <w:rFonts w:hint="default" w:ascii="Times New Roman" w:hAnsi="Times New Roman" w:eastAsia="宋体" w:cs="Times New Roman"/>
                      <w:b w:val="0"/>
                      <w:bCs/>
                      <w:sz w:val="21"/>
                      <w:szCs w:val="21"/>
                      <w:highlight w:val="none"/>
                      <w:lang w:val="en-US" w:eastAsia="zh-CN"/>
                    </w:rPr>
                  </w:pPr>
                  <w:r>
                    <w:rPr>
                      <w:rFonts w:hint="eastAsia"/>
                      <w:highlight w:val="none"/>
                    </w:rPr>
                    <w:t>环保系统</w:t>
                  </w:r>
                </w:p>
              </w:tc>
              <w:tc>
                <w:tcPr>
                  <w:tcW w:w="603" w:type="dxa"/>
                  <w:noWrap/>
                  <w:vAlign w:val="top"/>
                </w:tcPr>
                <w:p w14:paraId="0B1008F7">
                  <w:pPr>
                    <w:rPr>
                      <w:rFonts w:hint="default" w:ascii="Times New Roman" w:hAnsi="Times New Roman" w:eastAsia="宋体" w:cs="Times New Roman"/>
                      <w:b w:val="0"/>
                      <w:bCs/>
                      <w:sz w:val="21"/>
                      <w:szCs w:val="21"/>
                      <w:highlight w:val="none"/>
                      <w:lang w:val="en-US" w:eastAsia="zh-CN"/>
                    </w:rPr>
                  </w:pPr>
                </w:p>
              </w:tc>
              <w:tc>
                <w:tcPr>
                  <w:tcW w:w="605" w:type="dxa"/>
                  <w:noWrap/>
                  <w:vAlign w:val="top"/>
                </w:tcPr>
                <w:p w14:paraId="3D654A7C">
                  <w:pPr>
                    <w:rPr>
                      <w:rFonts w:hint="default" w:ascii="Times New Roman" w:hAnsi="Times New Roman" w:eastAsia="宋体" w:cs="Times New Roman"/>
                      <w:b w:val="0"/>
                      <w:bCs/>
                      <w:sz w:val="21"/>
                      <w:szCs w:val="21"/>
                      <w:highlight w:val="none"/>
                      <w:lang w:val="en-US" w:eastAsia="zh-CN"/>
                    </w:rPr>
                  </w:pPr>
                </w:p>
              </w:tc>
              <w:tc>
                <w:tcPr>
                  <w:tcW w:w="1173" w:type="dxa"/>
                  <w:vAlign w:val="top"/>
                </w:tcPr>
                <w:p w14:paraId="738A0866">
                  <w:pPr>
                    <w:rPr>
                      <w:rFonts w:hint="default" w:ascii="Times New Roman" w:hAnsi="Times New Roman" w:eastAsia="宋体" w:cs="Times New Roman"/>
                      <w:b w:val="0"/>
                      <w:bCs/>
                      <w:sz w:val="21"/>
                      <w:szCs w:val="21"/>
                      <w:highlight w:val="none"/>
                      <w:lang w:val="en-US" w:eastAsia="zh-CN"/>
                    </w:rPr>
                  </w:pPr>
                </w:p>
              </w:tc>
            </w:tr>
            <w:tr w14:paraId="35D6F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7" w:type="dxa"/>
                  <w:noWrap/>
                  <w:vAlign w:val="center"/>
                </w:tcPr>
                <w:p w14:paraId="62685417">
                  <w:pPr>
                    <w:jc w:val="center"/>
                    <w:rPr>
                      <w:rFonts w:hint="default" w:ascii="Times New Roman" w:hAnsi="Times New Roman" w:eastAsia="宋体" w:cs="Times New Roman"/>
                      <w:b w:val="0"/>
                      <w:bCs/>
                      <w:sz w:val="21"/>
                      <w:szCs w:val="21"/>
                      <w:highlight w:val="none"/>
                      <w:lang w:val="en-US" w:eastAsia="zh-CN"/>
                    </w:rPr>
                  </w:pPr>
                  <w:r>
                    <w:rPr>
                      <w:rFonts w:hint="eastAsia"/>
                      <w:highlight w:val="none"/>
                      <w:lang w:val="en-US" w:eastAsia="zh-CN"/>
                    </w:rPr>
                    <w:t>24</w:t>
                  </w:r>
                </w:p>
              </w:tc>
              <w:tc>
                <w:tcPr>
                  <w:tcW w:w="4794" w:type="dxa"/>
                  <w:noWrap/>
                  <w:vAlign w:val="center"/>
                </w:tcPr>
                <w:p w14:paraId="73EEAA78">
                  <w:pPr>
                    <w:jc w:val="left"/>
                    <w:rPr>
                      <w:rFonts w:hint="default" w:ascii="Times New Roman" w:hAnsi="Times New Roman" w:eastAsia="宋体" w:cs="Times New Roman"/>
                      <w:b w:val="0"/>
                      <w:bCs/>
                      <w:sz w:val="21"/>
                      <w:szCs w:val="21"/>
                      <w:highlight w:val="none"/>
                      <w:lang w:val="en-US" w:eastAsia="zh-CN"/>
                    </w:rPr>
                  </w:pPr>
                  <w:r>
                    <w:rPr>
                      <w:rFonts w:hint="eastAsia"/>
                      <w:highlight w:val="none"/>
                    </w:rPr>
                    <w:t>炉内</w:t>
                  </w:r>
                  <w:r>
                    <w:rPr>
                      <w:rFonts w:hint="eastAsia"/>
                      <w:highlight w:val="none"/>
                      <w:lang w:eastAsia="zh-CN"/>
                    </w:rPr>
                    <w:t>脱硝</w:t>
                  </w:r>
                  <w:r>
                    <w:rPr>
                      <w:rFonts w:hint="eastAsia"/>
                      <w:highlight w:val="none"/>
                    </w:rPr>
                    <w:t>SNCR</w:t>
                  </w:r>
                </w:p>
              </w:tc>
              <w:tc>
                <w:tcPr>
                  <w:tcW w:w="603" w:type="dxa"/>
                  <w:noWrap/>
                  <w:vAlign w:val="center"/>
                </w:tcPr>
                <w:p w14:paraId="67D9ECFF">
                  <w:pPr>
                    <w:jc w:val="center"/>
                    <w:rPr>
                      <w:rFonts w:hint="default" w:ascii="Times New Roman" w:hAnsi="Times New Roman" w:eastAsia="宋体" w:cs="Times New Roman"/>
                      <w:b w:val="0"/>
                      <w:bCs/>
                      <w:sz w:val="21"/>
                      <w:szCs w:val="21"/>
                      <w:highlight w:val="none"/>
                      <w:lang w:val="en-US" w:eastAsia="zh-CN"/>
                    </w:rPr>
                  </w:pPr>
                  <w:r>
                    <w:rPr>
                      <w:rFonts w:hint="eastAsia"/>
                      <w:highlight w:val="none"/>
                    </w:rPr>
                    <w:t>套</w:t>
                  </w:r>
                </w:p>
              </w:tc>
              <w:tc>
                <w:tcPr>
                  <w:tcW w:w="605" w:type="dxa"/>
                  <w:noWrap/>
                  <w:vAlign w:val="center"/>
                </w:tcPr>
                <w:p w14:paraId="3ACD8E70">
                  <w:pPr>
                    <w:jc w:val="center"/>
                    <w:rPr>
                      <w:rFonts w:hint="default" w:ascii="Times New Roman" w:hAnsi="Times New Roman" w:eastAsia="宋体" w:cs="Times New Roman"/>
                      <w:b w:val="0"/>
                      <w:bCs/>
                      <w:sz w:val="21"/>
                      <w:szCs w:val="21"/>
                      <w:highlight w:val="none"/>
                      <w:lang w:val="en-US" w:eastAsia="zh-CN"/>
                    </w:rPr>
                  </w:pPr>
                  <w:r>
                    <w:rPr>
                      <w:rFonts w:hint="eastAsia"/>
                      <w:highlight w:val="none"/>
                    </w:rPr>
                    <w:t>2</w:t>
                  </w:r>
                </w:p>
              </w:tc>
              <w:tc>
                <w:tcPr>
                  <w:tcW w:w="1173" w:type="dxa"/>
                  <w:vAlign w:val="center"/>
                </w:tcPr>
                <w:p w14:paraId="0EB46AC5">
                  <w:pPr>
                    <w:jc w:val="center"/>
                    <w:rPr>
                      <w:rFonts w:hint="default" w:ascii="Times New Roman" w:hAnsi="Times New Roman" w:eastAsia="宋体" w:cs="Times New Roman"/>
                      <w:b w:val="0"/>
                      <w:bCs/>
                      <w:sz w:val="21"/>
                      <w:szCs w:val="21"/>
                      <w:highlight w:val="none"/>
                      <w:lang w:val="en-US" w:eastAsia="zh-CN"/>
                    </w:rPr>
                  </w:pPr>
                </w:p>
              </w:tc>
            </w:tr>
            <w:tr w14:paraId="4F1BD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7" w:type="dxa"/>
                  <w:noWrap/>
                  <w:vAlign w:val="center"/>
                </w:tcPr>
                <w:p w14:paraId="5F62C577">
                  <w:pPr>
                    <w:jc w:val="center"/>
                    <w:rPr>
                      <w:rFonts w:hint="default" w:ascii="Times New Roman" w:hAnsi="Times New Roman" w:eastAsia="宋体" w:cs="Times New Roman"/>
                      <w:b w:val="0"/>
                      <w:bCs/>
                      <w:sz w:val="21"/>
                      <w:szCs w:val="21"/>
                      <w:highlight w:val="none"/>
                      <w:lang w:val="en-US" w:eastAsia="zh-CN"/>
                    </w:rPr>
                  </w:pPr>
                  <w:r>
                    <w:rPr>
                      <w:rFonts w:hint="eastAsia"/>
                      <w:highlight w:val="none"/>
                      <w:lang w:val="en-US" w:eastAsia="zh-CN"/>
                    </w:rPr>
                    <w:t>25</w:t>
                  </w:r>
                </w:p>
              </w:tc>
              <w:tc>
                <w:tcPr>
                  <w:tcW w:w="4794" w:type="dxa"/>
                  <w:noWrap/>
                  <w:vAlign w:val="center"/>
                </w:tcPr>
                <w:p w14:paraId="7724A38A">
                  <w:pPr>
                    <w:jc w:val="left"/>
                    <w:rPr>
                      <w:rFonts w:hint="default" w:ascii="Times New Roman" w:hAnsi="Times New Roman" w:eastAsia="宋体" w:cs="Times New Roman"/>
                      <w:b w:val="0"/>
                      <w:bCs/>
                      <w:sz w:val="21"/>
                      <w:szCs w:val="21"/>
                      <w:highlight w:val="none"/>
                      <w:lang w:val="en-US" w:eastAsia="zh-CN"/>
                    </w:rPr>
                  </w:pPr>
                  <w:r>
                    <w:rPr>
                      <w:rFonts w:hint="eastAsia"/>
                      <w:highlight w:val="none"/>
                    </w:rPr>
                    <w:t>多管除尘器 XTD-25</w:t>
                  </w:r>
                </w:p>
              </w:tc>
              <w:tc>
                <w:tcPr>
                  <w:tcW w:w="603" w:type="dxa"/>
                  <w:noWrap/>
                  <w:vAlign w:val="center"/>
                </w:tcPr>
                <w:p w14:paraId="2E358195">
                  <w:pPr>
                    <w:jc w:val="center"/>
                    <w:rPr>
                      <w:rFonts w:hint="default" w:ascii="Times New Roman" w:hAnsi="Times New Roman" w:eastAsia="宋体" w:cs="Times New Roman"/>
                      <w:b w:val="0"/>
                      <w:bCs/>
                      <w:sz w:val="21"/>
                      <w:szCs w:val="21"/>
                      <w:highlight w:val="none"/>
                      <w:lang w:val="en-US" w:eastAsia="zh-CN"/>
                    </w:rPr>
                  </w:pPr>
                  <w:r>
                    <w:rPr>
                      <w:rFonts w:hint="eastAsia"/>
                      <w:highlight w:val="none"/>
                    </w:rPr>
                    <w:t>台</w:t>
                  </w:r>
                </w:p>
              </w:tc>
              <w:tc>
                <w:tcPr>
                  <w:tcW w:w="605" w:type="dxa"/>
                  <w:noWrap/>
                  <w:vAlign w:val="center"/>
                </w:tcPr>
                <w:p w14:paraId="35BDECDC">
                  <w:pPr>
                    <w:jc w:val="center"/>
                    <w:rPr>
                      <w:rFonts w:hint="default" w:ascii="Times New Roman" w:hAnsi="Times New Roman" w:eastAsia="宋体" w:cs="Times New Roman"/>
                      <w:b w:val="0"/>
                      <w:bCs/>
                      <w:sz w:val="21"/>
                      <w:szCs w:val="21"/>
                      <w:highlight w:val="none"/>
                      <w:lang w:val="en-US" w:eastAsia="zh-CN"/>
                    </w:rPr>
                  </w:pPr>
                  <w:r>
                    <w:rPr>
                      <w:rFonts w:hint="eastAsia"/>
                      <w:highlight w:val="none"/>
                    </w:rPr>
                    <w:t>1</w:t>
                  </w:r>
                </w:p>
              </w:tc>
              <w:tc>
                <w:tcPr>
                  <w:tcW w:w="1173" w:type="dxa"/>
                  <w:vAlign w:val="center"/>
                </w:tcPr>
                <w:p w14:paraId="03EAC563">
                  <w:pPr>
                    <w:jc w:val="center"/>
                    <w:rPr>
                      <w:rFonts w:hint="default" w:ascii="Times New Roman" w:hAnsi="Times New Roman" w:eastAsia="宋体" w:cs="Times New Roman"/>
                      <w:b w:val="0"/>
                      <w:bCs/>
                      <w:sz w:val="21"/>
                      <w:szCs w:val="21"/>
                      <w:highlight w:val="none"/>
                      <w:lang w:val="en-US" w:eastAsia="zh-CN"/>
                    </w:rPr>
                  </w:pPr>
                </w:p>
              </w:tc>
            </w:tr>
            <w:tr w14:paraId="11ED0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7" w:type="dxa"/>
                  <w:noWrap/>
                  <w:vAlign w:val="center"/>
                </w:tcPr>
                <w:p w14:paraId="40EFB4E5">
                  <w:pPr>
                    <w:jc w:val="center"/>
                    <w:rPr>
                      <w:rFonts w:hint="default" w:ascii="Times New Roman" w:hAnsi="Times New Roman" w:eastAsia="宋体" w:cs="Times New Roman"/>
                      <w:b w:val="0"/>
                      <w:bCs/>
                      <w:sz w:val="21"/>
                      <w:szCs w:val="21"/>
                      <w:highlight w:val="none"/>
                      <w:lang w:val="en-US" w:eastAsia="zh-CN"/>
                    </w:rPr>
                  </w:pPr>
                  <w:r>
                    <w:rPr>
                      <w:rFonts w:hint="eastAsia"/>
                      <w:highlight w:val="none"/>
                      <w:lang w:val="en-US" w:eastAsia="zh-CN"/>
                    </w:rPr>
                    <w:t>26</w:t>
                  </w:r>
                </w:p>
              </w:tc>
              <w:tc>
                <w:tcPr>
                  <w:tcW w:w="4794" w:type="dxa"/>
                  <w:noWrap/>
                  <w:vAlign w:val="center"/>
                </w:tcPr>
                <w:p w14:paraId="32295593">
                  <w:pPr>
                    <w:jc w:val="left"/>
                    <w:rPr>
                      <w:rFonts w:hint="default" w:ascii="Times New Roman" w:hAnsi="Times New Roman" w:eastAsia="宋体" w:cs="Times New Roman"/>
                      <w:b w:val="0"/>
                      <w:bCs/>
                      <w:sz w:val="21"/>
                      <w:szCs w:val="21"/>
                      <w:highlight w:val="none"/>
                      <w:lang w:val="en-US" w:eastAsia="zh-CN"/>
                    </w:rPr>
                  </w:pPr>
                  <w:r>
                    <w:rPr>
                      <w:rFonts w:hint="eastAsia"/>
                      <w:highlight w:val="none"/>
                      <w:lang w:val="en-US" w:eastAsia="zh-CN"/>
                    </w:rPr>
                    <w:t>高温</w:t>
                  </w:r>
                  <w:r>
                    <w:rPr>
                      <w:rFonts w:hint="eastAsia"/>
                      <w:highlight w:val="none"/>
                    </w:rPr>
                    <w:t>布袋除尘器 DMC-1543</w:t>
                  </w:r>
                </w:p>
              </w:tc>
              <w:tc>
                <w:tcPr>
                  <w:tcW w:w="603" w:type="dxa"/>
                  <w:noWrap/>
                  <w:vAlign w:val="center"/>
                </w:tcPr>
                <w:p w14:paraId="36CF5EAB">
                  <w:pPr>
                    <w:jc w:val="center"/>
                    <w:rPr>
                      <w:rFonts w:hint="default" w:ascii="Times New Roman" w:hAnsi="Times New Roman" w:eastAsia="宋体" w:cs="Times New Roman"/>
                      <w:b w:val="0"/>
                      <w:bCs/>
                      <w:sz w:val="21"/>
                      <w:szCs w:val="21"/>
                      <w:highlight w:val="none"/>
                      <w:lang w:val="en-US" w:eastAsia="zh-CN"/>
                    </w:rPr>
                  </w:pPr>
                  <w:r>
                    <w:rPr>
                      <w:rFonts w:hint="eastAsia"/>
                      <w:highlight w:val="none"/>
                    </w:rPr>
                    <w:t>台</w:t>
                  </w:r>
                </w:p>
              </w:tc>
              <w:tc>
                <w:tcPr>
                  <w:tcW w:w="605" w:type="dxa"/>
                  <w:noWrap/>
                  <w:vAlign w:val="center"/>
                </w:tcPr>
                <w:p w14:paraId="527364C3">
                  <w:pPr>
                    <w:jc w:val="center"/>
                    <w:rPr>
                      <w:rFonts w:hint="default" w:ascii="Times New Roman" w:hAnsi="Times New Roman" w:eastAsia="宋体" w:cs="Times New Roman"/>
                      <w:b w:val="0"/>
                      <w:bCs/>
                      <w:sz w:val="21"/>
                      <w:szCs w:val="21"/>
                      <w:highlight w:val="none"/>
                      <w:lang w:val="en-US" w:eastAsia="zh-CN"/>
                    </w:rPr>
                  </w:pPr>
                  <w:r>
                    <w:rPr>
                      <w:rFonts w:hint="eastAsia"/>
                      <w:highlight w:val="none"/>
                    </w:rPr>
                    <w:t>1</w:t>
                  </w:r>
                </w:p>
              </w:tc>
              <w:tc>
                <w:tcPr>
                  <w:tcW w:w="1173" w:type="dxa"/>
                  <w:vAlign w:val="center"/>
                </w:tcPr>
                <w:p w14:paraId="49F2858D">
                  <w:pPr>
                    <w:jc w:val="center"/>
                    <w:rPr>
                      <w:rFonts w:hint="default" w:ascii="Times New Roman" w:hAnsi="Times New Roman" w:eastAsia="宋体" w:cs="Times New Roman"/>
                      <w:b w:val="0"/>
                      <w:bCs/>
                      <w:sz w:val="21"/>
                      <w:szCs w:val="21"/>
                      <w:highlight w:val="none"/>
                      <w:lang w:val="en-US" w:eastAsia="zh-CN"/>
                    </w:rPr>
                  </w:pPr>
                </w:p>
              </w:tc>
            </w:tr>
            <w:tr w14:paraId="73BE5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7" w:type="dxa"/>
                  <w:noWrap/>
                  <w:vAlign w:val="center"/>
                </w:tcPr>
                <w:p w14:paraId="2A0B0343">
                  <w:pPr>
                    <w:jc w:val="center"/>
                    <w:rPr>
                      <w:rFonts w:hint="default" w:ascii="Times New Roman" w:hAnsi="Times New Roman" w:eastAsia="宋体" w:cs="Times New Roman"/>
                      <w:b w:val="0"/>
                      <w:bCs/>
                      <w:sz w:val="21"/>
                      <w:szCs w:val="21"/>
                      <w:highlight w:val="none"/>
                      <w:lang w:val="en-US" w:eastAsia="zh-CN"/>
                    </w:rPr>
                  </w:pPr>
                  <w:r>
                    <w:rPr>
                      <w:rFonts w:hint="eastAsia"/>
                      <w:highlight w:val="none"/>
                      <w:lang w:val="en-US" w:eastAsia="zh-CN"/>
                    </w:rPr>
                    <w:t>27</w:t>
                  </w:r>
                </w:p>
              </w:tc>
              <w:tc>
                <w:tcPr>
                  <w:tcW w:w="4794" w:type="dxa"/>
                  <w:noWrap/>
                  <w:vAlign w:val="center"/>
                </w:tcPr>
                <w:p w14:paraId="442818AF">
                  <w:pPr>
                    <w:jc w:val="left"/>
                    <w:rPr>
                      <w:rFonts w:hint="default" w:ascii="Times New Roman" w:hAnsi="Times New Roman" w:eastAsia="宋体" w:cs="Times New Roman"/>
                      <w:b w:val="0"/>
                      <w:bCs/>
                      <w:sz w:val="21"/>
                      <w:szCs w:val="21"/>
                      <w:highlight w:val="none"/>
                      <w:lang w:val="en-US" w:eastAsia="zh-CN"/>
                    </w:rPr>
                  </w:pPr>
                  <w:r>
                    <w:rPr>
                      <w:rFonts w:hint="eastAsia"/>
                      <w:highlight w:val="none"/>
                    </w:rPr>
                    <w:t>炉外</w:t>
                  </w:r>
                  <w:r>
                    <w:rPr>
                      <w:rFonts w:hint="eastAsia"/>
                      <w:highlight w:val="none"/>
                      <w:lang w:eastAsia="zh-CN"/>
                    </w:rPr>
                    <w:t>脱硝</w:t>
                  </w:r>
                  <w:r>
                    <w:rPr>
                      <w:rFonts w:hint="eastAsia"/>
                      <w:highlight w:val="none"/>
                    </w:rPr>
                    <w:t>SCR</w:t>
                  </w:r>
                </w:p>
              </w:tc>
              <w:tc>
                <w:tcPr>
                  <w:tcW w:w="603" w:type="dxa"/>
                  <w:noWrap/>
                  <w:vAlign w:val="center"/>
                </w:tcPr>
                <w:p w14:paraId="31CE36F1">
                  <w:pPr>
                    <w:jc w:val="center"/>
                    <w:rPr>
                      <w:rFonts w:hint="default" w:ascii="Times New Roman" w:hAnsi="Times New Roman" w:eastAsia="宋体" w:cs="Times New Roman"/>
                      <w:b w:val="0"/>
                      <w:bCs/>
                      <w:sz w:val="21"/>
                      <w:szCs w:val="21"/>
                      <w:highlight w:val="none"/>
                      <w:lang w:val="en-US" w:eastAsia="zh-CN"/>
                    </w:rPr>
                  </w:pPr>
                  <w:r>
                    <w:rPr>
                      <w:rFonts w:hint="eastAsia"/>
                      <w:highlight w:val="none"/>
                    </w:rPr>
                    <w:t>套</w:t>
                  </w:r>
                </w:p>
              </w:tc>
              <w:tc>
                <w:tcPr>
                  <w:tcW w:w="605" w:type="dxa"/>
                  <w:noWrap/>
                  <w:vAlign w:val="center"/>
                </w:tcPr>
                <w:p w14:paraId="4764928D">
                  <w:pPr>
                    <w:jc w:val="center"/>
                    <w:rPr>
                      <w:rFonts w:hint="default" w:ascii="Times New Roman" w:hAnsi="Times New Roman" w:eastAsia="宋体" w:cs="Times New Roman"/>
                      <w:b w:val="0"/>
                      <w:bCs/>
                      <w:sz w:val="21"/>
                      <w:szCs w:val="21"/>
                      <w:highlight w:val="none"/>
                      <w:lang w:val="en-US" w:eastAsia="zh-CN"/>
                    </w:rPr>
                  </w:pPr>
                  <w:r>
                    <w:rPr>
                      <w:rFonts w:hint="eastAsia"/>
                      <w:highlight w:val="none"/>
                    </w:rPr>
                    <w:t>1</w:t>
                  </w:r>
                </w:p>
              </w:tc>
              <w:tc>
                <w:tcPr>
                  <w:tcW w:w="1173" w:type="dxa"/>
                  <w:vAlign w:val="center"/>
                </w:tcPr>
                <w:p w14:paraId="1ED64006">
                  <w:pPr>
                    <w:jc w:val="center"/>
                    <w:rPr>
                      <w:rFonts w:hint="default" w:ascii="Times New Roman" w:hAnsi="Times New Roman" w:eastAsia="宋体" w:cs="Times New Roman"/>
                      <w:b w:val="0"/>
                      <w:bCs/>
                      <w:sz w:val="21"/>
                      <w:szCs w:val="21"/>
                      <w:highlight w:val="none"/>
                      <w:lang w:val="en-US" w:eastAsia="zh-CN"/>
                    </w:rPr>
                  </w:pPr>
                </w:p>
              </w:tc>
            </w:tr>
            <w:tr w14:paraId="3466C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7" w:type="dxa"/>
                  <w:noWrap/>
                  <w:vAlign w:val="center"/>
                </w:tcPr>
                <w:p w14:paraId="35904DA1">
                  <w:pPr>
                    <w:jc w:val="center"/>
                    <w:rPr>
                      <w:rFonts w:hint="default" w:ascii="Times New Roman" w:hAnsi="Times New Roman" w:eastAsia="宋体" w:cs="Times New Roman"/>
                      <w:b w:val="0"/>
                      <w:bCs/>
                      <w:sz w:val="21"/>
                      <w:szCs w:val="21"/>
                      <w:highlight w:val="none"/>
                      <w:lang w:val="en-US" w:eastAsia="zh-CN"/>
                    </w:rPr>
                  </w:pPr>
                  <w:r>
                    <w:rPr>
                      <w:rFonts w:hint="eastAsia"/>
                      <w:highlight w:val="none"/>
                      <w:lang w:val="en-US" w:eastAsia="zh-CN"/>
                    </w:rPr>
                    <w:t>28</w:t>
                  </w:r>
                </w:p>
              </w:tc>
              <w:tc>
                <w:tcPr>
                  <w:tcW w:w="4794" w:type="dxa"/>
                  <w:noWrap/>
                  <w:vAlign w:val="center"/>
                </w:tcPr>
                <w:p w14:paraId="7FB187A5">
                  <w:pPr>
                    <w:jc w:val="left"/>
                    <w:rPr>
                      <w:rFonts w:hint="default" w:ascii="Times New Roman" w:hAnsi="Times New Roman" w:eastAsia="宋体" w:cs="Times New Roman"/>
                      <w:b w:val="0"/>
                      <w:bCs/>
                      <w:sz w:val="21"/>
                      <w:szCs w:val="21"/>
                      <w:highlight w:val="none"/>
                      <w:lang w:val="en-US" w:eastAsia="zh-CN"/>
                    </w:rPr>
                  </w:pPr>
                  <w:r>
                    <w:rPr>
                      <w:rFonts w:hint="eastAsia"/>
                      <w:highlight w:val="none"/>
                      <w:lang w:val="en-US" w:eastAsia="zh-CN"/>
                    </w:rPr>
                    <w:t>干法</w:t>
                  </w:r>
                  <w:r>
                    <w:rPr>
                      <w:rFonts w:hint="eastAsia"/>
                      <w:highlight w:val="none"/>
                      <w:lang w:eastAsia="zh-CN"/>
                    </w:rPr>
                    <w:t>脱硫系统</w:t>
                  </w:r>
                </w:p>
              </w:tc>
              <w:tc>
                <w:tcPr>
                  <w:tcW w:w="603" w:type="dxa"/>
                  <w:noWrap/>
                  <w:vAlign w:val="center"/>
                </w:tcPr>
                <w:p w14:paraId="2EC9524C">
                  <w:pPr>
                    <w:jc w:val="center"/>
                    <w:rPr>
                      <w:rFonts w:hint="default" w:ascii="Times New Roman" w:hAnsi="Times New Roman" w:eastAsia="宋体" w:cs="Times New Roman"/>
                      <w:b w:val="0"/>
                      <w:bCs/>
                      <w:sz w:val="21"/>
                      <w:szCs w:val="21"/>
                      <w:highlight w:val="none"/>
                      <w:lang w:val="en-US" w:eastAsia="zh-CN"/>
                    </w:rPr>
                  </w:pPr>
                  <w:r>
                    <w:rPr>
                      <w:rFonts w:hint="eastAsia"/>
                      <w:highlight w:val="none"/>
                    </w:rPr>
                    <w:t>套</w:t>
                  </w:r>
                </w:p>
              </w:tc>
              <w:tc>
                <w:tcPr>
                  <w:tcW w:w="605" w:type="dxa"/>
                  <w:noWrap/>
                  <w:vAlign w:val="center"/>
                </w:tcPr>
                <w:p w14:paraId="103DC4F4">
                  <w:pPr>
                    <w:jc w:val="center"/>
                    <w:rPr>
                      <w:rFonts w:hint="default" w:ascii="Times New Roman" w:hAnsi="Times New Roman" w:eastAsia="宋体" w:cs="Times New Roman"/>
                      <w:b w:val="0"/>
                      <w:bCs/>
                      <w:sz w:val="21"/>
                      <w:szCs w:val="21"/>
                      <w:highlight w:val="none"/>
                      <w:lang w:val="en-US" w:eastAsia="zh-CN"/>
                    </w:rPr>
                  </w:pPr>
                  <w:r>
                    <w:rPr>
                      <w:rFonts w:hint="eastAsia"/>
                      <w:highlight w:val="none"/>
                    </w:rPr>
                    <w:t>1</w:t>
                  </w:r>
                </w:p>
              </w:tc>
              <w:tc>
                <w:tcPr>
                  <w:tcW w:w="1173" w:type="dxa"/>
                  <w:vAlign w:val="center"/>
                </w:tcPr>
                <w:p w14:paraId="29DC9084">
                  <w:pPr>
                    <w:jc w:val="center"/>
                    <w:rPr>
                      <w:rFonts w:hint="default" w:ascii="Times New Roman" w:hAnsi="Times New Roman" w:eastAsia="宋体" w:cs="Times New Roman"/>
                      <w:b w:val="0"/>
                      <w:bCs/>
                      <w:sz w:val="21"/>
                      <w:szCs w:val="21"/>
                      <w:highlight w:val="none"/>
                      <w:lang w:val="en-US" w:eastAsia="zh-CN"/>
                    </w:rPr>
                  </w:pPr>
                </w:p>
              </w:tc>
            </w:tr>
            <w:tr w14:paraId="5A1A2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7" w:type="dxa"/>
                  <w:noWrap/>
                  <w:vAlign w:val="center"/>
                </w:tcPr>
                <w:p w14:paraId="1A62D52B">
                  <w:pPr>
                    <w:jc w:val="center"/>
                    <w:rPr>
                      <w:rFonts w:hint="default" w:ascii="Times New Roman" w:hAnsi="Times New Roman" w:eastAsia="宋体" w:cs="Times New Roman"/>
                      <w:b w:val="0"/>
                      <w:bCs/>
                      <w:sz w:val="21"/>
                      <w:szCs w:val="21"/>
                      <w:highlight w:val="none"/>
                      <w:lang w:val="en-US" w:eastAsia="zh-CN"/>
                    </w:rPr>
                  </w:pPr>
                  <w:r>
                    <w:rPr>
                      <w:rFonts w:hint="eastAsia"/>
                      <w:highlight w:val="none"/>
                      <w:lang w:val="en-US" w:eastAsia="zh-CN"/>
                    </w:rPr>
                    <w:t>29</w:t>
                  </w:r>
                </w:p>
              </w:tc>
              <w:tc>
                <w:tcPr>
                  <w:tcW w:w="4794" w:type="dxa"/>
                  <w:noWrap/>
                  <w:vAlign w:val="center"/>
                </w:tcPr>
                <w:p w14:paraId="078DB676">
                  <w:pPr>
                    <w:jc w:val="left"/>
                    <w:rPr>
                      <w:rFonts w:hint="default" w:ascii="Times New Roman" w:hAnsi="Times New Roman" w:eastAsia="宋体" w:cs="Times New Roman"/>
                      <w:b w:val="0"/>
                      <w:bCs/>
                      <w:sz w:val="21"/>
                      <w:szCs w:val="21"/>
                      <w:highlight w:val="none"/>
                      <w:lang w:val="en-US" w:eastAsia="zh-CN"/>
                    </w:rPr>
                  </w:pPr>
                  <w:r>
                    <w:rPr>
                      <w:rFonts w:hint="eastAsia"/>
                      <w:highlight w:val="none"/>
                    </w:rPr>
                    <w:t>烟囱D=1400mm</w:t>
                  </w:r>
                  <w:r>
                    <w:rPr>
                      <w:rFonts w:hint="eastAsia"/>
                      <w:highlight w:val="none"/>
                      <w:lang w:eastAsia="zh-CN"/>
                    </w:rPr>
                    <w:t>；</w:t>
                  </w:r>
                  <w:r>
                    <w:rPr>
                      <w:rFonts w:hint="eastAsia"/>
                      <w:highlight w:val="none"/>
                    </w:rPr>
                    <w:t>H=</w:t>
                  </w:r>
                  <w:r>
                    <w:rPr>
                      <w:rFonts w:hint="eastAsia"/>
                      <w:highlight w:val="none"/>
                      <w:lang w:val="en-US" w:eastAsia="zh-CN"/>
                    </w:rPr>
                    <w:t>45m</w:t>
                  </w:r>
                </w:p>
              </w:tc>
              <w:tc>
                <w:tcPr>
                  <w:tcW w:w="603" w:type="dxa"/>
                  <w:noWrap/>
                  <w:vAlign w:val="center"/>
                </w:tcPr>
                <w:p w14:paraId="152665AF">
                  <w:pPr>
                    <w:jc w:val="center"/>
                    <w:rPr>
                      <w:rFonts w:hint="default" w:ascii="Times New Roman" w:hAnsi="Times New Roman" w:eastAsia="宋体" w:cs="Times New Roman"/>
                      <w:b w:val="0"/>
                      <w:bCs/>
                      <w:sz w:val="21"/>
                      <w:szCs w:val="21"/>
                      <w:highlight w:val="none"/>
                      <w:lang w:val="en-US" w:eastAsia="zh-CN"/>
                    </w:rPr>
                  </w:pPr>
                  <w:r>
                    <w:rPr>
                      <w:rFonts w:hint="eastAsia"/>
                      <w:highlight w:val="none"/>
                    </w:rPr>
                    <w:t>支</w:t>
                  </w:r>
                </w:p>
              </w:tc>
              <w:tc>
                <w:tcPr>
                  <w:tcW w:w="605" w:type="dxa"/>
                  <w:noWrap/>
                  <w:vAlign w:val="center"/>
                </w:tcPr>
                <w:p w14:paraId="49C5D5D0">
                  <w:pPr>
                    <w:jc w:val="center"/>
                    <w:rPr>
                      <w:rFonts w:hint="default" w:ascii="Times New Roman" w:hAnsi="Times New Roman" w:eastAsia="宋体" w:cs="Times New Roman"/>
                      <w:b w:val="0"/>
                      <w:bCs/>
                      <w:sz w:val="21"/>
                      <w:szCs w:val="21"/>
                      <w:highlight w:val="none"/>
                      <w:lang w:val="en-US" w:eastAsia="zh-CN"/>
                    </w:rPr>
                  </w:pPr>
                  <w:r>
                    <w:rPr>
                      <w:rFonts w:hint="eastAsia"/>
                      <w:highlight w:val="none"/>
                    </w:rPr>
                    <w:t>1</w:t>
                  </w:r>
                </w:p>
              </w:tc>
              <w:tc>
                <w:tcPr>
                  <w:tcW w:w="1173" w:type="dxa"/>
                  <w:vAlign w:val="center"/>
                </w:tcPr>
                <w:p w14:paraId="3EC52E57">
                  <w:pPr>
                    <w:jc w:val="center"/>
                    <w:rPr>
                      <w:rFonts w:hint="default" w:ascii="Times New Roman" w:hAnsi="Times New Roman" w:eastAsia="宋体" w:cs="Times New Roman"/>
                      <w:b w:val="0"/>
                      <w:bCs/>
                      <w:sz w:val="21"/>
                      <w:szCs w:val="21"/>
                      <w:highlight w:val="none"/>
                      <w:lang w:val="en-US" w:eastAsia="zh-CN"/>
                    </w:rPr>
                  </w:pPr>
                </w:p>
              </w:tc>
            </w:tr>
          </w:tbl>
          <w:p w14:paraId="55EF0669">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jc w:val="left"/>
              <w:textAlignment w:val="auto"/>
              <w:rPr>
                <w:rFonts w:hint="default" w:eastAsia="宋体"/>
                <w:b/>
                <w:bCs/>
                <w:color w:val="auto"/>
                <w:sz w:val="24"/>
                <w:szCs w:val="21"/>
                <w:highlight w:val="none"/>
                <w:lang w:val="en-US" w:eastAsia="zh-CN"/>
              </w:rPr>
            </w:pPr>
            <w:r>
              <w:rPr>
                <w:rFonts w:hint="eastAsia"/>
                <w:b/>
                <w:bCs/>
                <w:color w:val="auto"/>
                <w:sz w:val="24"/>
                <w:szCs w:val="21"/>
                <w:highlight w:val="none"/>
                <w:lang w:val="en-US" w:eastAsia="zh-CN"/>
              </w:rPr>
              <w:t>5</w:t>
            </w:r>
            <w:r>
              <w:rPr>
                <w:rFonts w:hint="eastAsia"/>
                <w:b/>
                <w:bCs/>
                <w:color w:val="auto"/>
                <w:sz w:val="24"/>
                <w:szCs w:val="21"/>
                <w:highlight w:val="none"/>
                <w:lang w:eastAsia="zh-CN"/>
              </w:rPr>
              <w:t>、主要原辅材料</w:t>
            </w:r>
          </w:p>
          <w:p w14:paraId="73B3F312">
            <w:pPr>
              <w:adjustRightInd w:val="0"/>
              <w:snapToGrid w:val="0"/>
              <w:spacing w:line="360" w:lineRule="auto"/>
              <w:ind w:firstLine="480" w:firstLineChars="200"/>
              <w:jc w:val="both"/>
              <w:rPr>
                <w:rFonts w:hAnsi="宋体"/>
                <w:color w:val="auto"/>
                <w:sz w:val="24"/>
                <w:highlight w:val="none"/>
              </w:rPr>
            </w:pPr>
            <w:r>
              <w:rPr>
                <w:rFonts w:hint="eastAsia" w:ascii="Times New Roman" w:hAnsi="宋体" w:eastAsia="宋体" w:cs="Times New Roman"/>
                <w:color w:val="auto"/>
                <w:kern w:val="2"/>
                <w:sz w:val="24"/>
                <w:szCs w:val="24"/>
                <w:highlight w:val="none"/>
                <w:lang w:val="en-US" w:eastAsia="zh-CN" w:bidi="ar-SA"/>
              </w:rPr>
              <w:t>本项目设有2台</w:t>
            </w:r>
            <w:r>
              <w:rPr>
                <w:rFonts w:hint="eastAsia" w:hAnsi="宋体" w:cs="Times New Roman"/>
                <w:color w:val="auto"/>
                <w:kern w:val="2"/>
                <w:sz w:val="24"/>
                <w:szCs w:val="24"/>
                <w:highlight w:val="none"/>
                <w:lang w:val="en-US" w:eastAsia="zh-CN" w:bidi="ar-SA"/>
              </w:rPr>
              <w:t>2</w:t>
            </w:r>
            <w:r>
              <w:rPr>
                <w:rFonts w:hint="eastAsia" w:ascii="Times New Roman" w:hAnsi="宋体" w:eastAsia="宋体" w:cs="Times New Roman"/>
                <w:color w:val="auto"/>
                <w:kern w:val="2"/>
                <w:sz w:val="24"/>
                <w:szCs w:val="24"/>
                <w:highlight w:val="none"/>
                <w:lang w:val="en-US" w:eastAsia="zh-CN" w:bidi="ar-SA"/>
              </w:rPr>
              <w:t>5t/h生物质蒸汽锅炉，年工作</w:t>
            </w:r>
            <w:r>
              <w:rPr>
                <w:rFonts w:hint="eastAsia" w:hAnsi="宋体" w:cs="Times New Roman"/>
                <w:color w:val="auto"/>
                <w:kern w:val="2"/>
                <w:sz w:val="24"/>
                <w:szCs w:val="24"/>
                <w:highlight w:val="none"/>
                <w:lang w:val="en-US" w:eastAsia="zh-CN" w:bidi="ar-SA"/>
              </w:rPr>
              <w:t>4800</w:t>
            </w:r>
            <w:r>
              <w:rPr>
                <w:rFonts w:hint="eastAsia" w:ascii="Times New Roman" w:hAnsi="宋体" w:eastAsia="宋体" w:cs="Times New Roman"/>
                <w:color w:val="auto"/>
                <w:kern w:val="2"/>
                <w:sz w:val="24"/>
                <w:szCs w:val="24"/>
                <w:highlight w:val="none"/>
                <w:lang w:val="en-US" w:eastAsia="zh-CN" w:bidi="ar-SA"/>
              </w:rPr>
              <w:t>小时</w:t>
            </w:r>
            <w:r>
              <w:rPr>
                <w:rFonts w:hint="eastAsia" w:hAnsi="宋体" w:cs="Times New Roman"/>
                <w:color w:val="auto"/>
                <w:kern w:val="2"/>
                <w:sz w:val="24"/>
                <w:szCs w:val="24"/>
                <w:highlight w:val="none"/>
                <w:lang w:val="en-US" w:eastAsia="zh-CN" w:bidi="ar-SA"/>
              </w:rPr>
              <w:t>，</w:t>
            </w:r>
            <w:r>
              <w:rPr>
                <w:rFonts w:hint="eastAsia" w:ascii="Times New Roman" w:hAnsi="宋体" w:eastAsia="宋体" w:cs="Times New Roman"/>
                <w:color w:val="auto"/>
                <w:kern w:val="2"/>
                <w:sz w:val="24"/>
                <w:szCs w:val="24"/>
                <w:highlight w:val="none"/>
                <w:lang w:val="en-US" w:eastAsia="zh-CN" w:bidi="ar-SA"/>
              </w:rPr>
              <w:t>由于</w:t>
            </w:r>
            <w:r>
              <w:rPr>
                <w:rFonts w:hint="eastAsia" w:hAnsi="宋体" w:cs="Times New Roman"/>
                <w:color w:val="auto"/>
                <w:kern w:val="2"/>
                <w:sz w:val="24"/>
                <w:szCs w:val="24"/>
                <w:highlight w:val="none"/>
                <w:lang w:val="en-US" w:eastAsia="zh-CN" w:bidi="ar-SA"/>
              </w:rPr>
              <w:t>两台锅炉使用情况为一用一备，</w:t>
            </w:r>
            <w:r>
              <w:rPr>
                <w:rFonts w:hint="eastAsia" w:ascii="Times New Roman" w:hAnsi="宋体" w:eastAsia="宋体" w:cs="Times New Roman"/>
                <w:color w:val="auto"/>
                <w:kern w:val="2"/>
                <w:sz w:val="24"/>
                <w:szCs w:val="24"/>
                <w:highlight w:val="none"/>
                <w:lang w:val="en-US" w:eastAsia="zh-CN" w:bidi="ar-SA"/>
              </w:rPr>
              <w:t>因此本次项目工程分析及后续产排污将按照最大产能</w:t>
            </w:r>
            <w:r>
              <w:rPr>
                <w:rFonts w:hint="eastAsia" w:hAnsi="宋体" w:cs="Times New Roman"/>
                <w:color w:val="auto"/>
                <w:kern w:val="2"/>
                <w:sz w:val="24"/>
                <w:szCs w:val="24"/>
                <w:highlight w:val="none"/>
                <w:lang w:val="en-US" w:eastAsia="zh-CN" w:bidi="ar-SA"/>
              </w:rPr>
              <w:t>25</w:t>
            </w:r>
            <w:r>
              <w:rPr>
                <w:rFonts w:hint="eastAsia" w:ascii="Times New Roman" w:hAnsi="宋体" w:eastAsia="宋体" w:cs="Times New Roman"/>
                <w:color w:val="auto"/>
                <w:kern w:val="2"/>
                <w:sz w:val="24"/>
                <w:szCs w:val="24"/>
                <w:highlight w:val="none"/>
                <w:lang w:val="en-US" w:eastAsia="zh-CN" w:bidi="ar-SA"/>
              </w:rPr>
              <w:t>t/h锅炉生产来进行计算。生物质锅炉生产一吨蒸汽需要6</w:t>
            </w:r>
            <w:r>
              <w:rPr>
                <w:rFonts w:hint="eastAsia" w:hAnsi="宋体" w:cs="Times New Roman"/>
                <w:color w:val="auto"/>
                <w:kern w:val="2"/>
                <w:sz w:val="24"/>
                <w:szCs w:val="24"/>
                <w:highlight w:val="none"/>
                <w:lang w:val="en-US" w:eastAsia="zh-CN" w:bidi="ar-SA"/>
              </w:rPr>
              <w:t>2</w:t>
            </w:r>
            <w:r>
              <w:rPr>
                <w:rFonts w:hint="eastAsia" w:ascii="Times New Roman" w:hAnsi="宋体" w:eastAsia="宋体" w:cs="Times New Roman"/>
                <w:color w:val="auto"/>
                <w:kern w:val="2"/>
                <w:sz w:val="24"/>
                <w:szCs w:val="24"/>
                <w:highlight w:val="none"/>
                <w:lang w:val="en-US" w:eastAsia="zh-CN" w:bidi="ar-SA"/>
              </w:rPr>
              <w:t>万大卡的热量，则总热量为</w:t>
            </w:r>
            <w:r>
              <w:rPr>
                <w:rFonts w:hint="eastAsia" w:hAnsi="宋体" w:cs="Times New Roman"/>
                <w:color w:val="auto"/>
                <w:kern w:val="2"/>
                <w:sz w:val="24"/>
                <w:szCs w:val="24"/>
                <w:highlight w:val="none"/>
                <w:lang w:val="en-US" w:eastAsia="zh-CN" w:bidi="ar-SA"/>
              </w:rPr>
              <w:t>740</w:t>
            </w:r>
            <w:r>
              <w:rPr>
                <w:rFonts w:hint="eastAsia" w:ascii="Times New Roman" w:hAnsi="宋体" w:eastAsia="宋体" w:cs="Times New Roman"/>
                <w:color w:val="auto"/>
                <w:kern w:val="2"/>
                <w:sz w:val="24"/>
                <w:szCs w:val="24"/>
                <w:highlight w:val="none"/>
                <w:lang w:val="en-US" w:eastAsia="zh-CN" w:bidi="ar-SA"/>
              </w:rPr>
              <w:t>×10</w:t>
            </w:r>
            <w:r>
              <w:rPr>
                <w:rFonts w:hint="eastAsia" w:ascii="Times New Roman" w:hAnsi="宋体" w:eastAsia="宋体" w:cs="Times New Roman"/>
                <w:color w:val="auto"/>
                <w:kern w:val="2"/>
                <w:sz w:val="24"/>
                <w:szCs w:val="24"/>
                <w:highlight w:val="none"/>
                <w:vertAlign w:val="superscript"/>
                <w:lang w:val="en-US" w:eastAsia="zh-CN" w:bidi="ar-SA"/>
              </w:rPr>
              <w:t>8</w:t>
            </w:r>
            <w:r>
              <w:rPr>
                <w:rFonts w:hint="eastAsia" w:ascii="Times New Roman" w:hAnsi="宋体" w:eastAsia="宋体" w:cs="Times New Roman"/>
                <w:color w:val="auto"/>
                <w:kern w:val="2"/>
                <w:sz w:val="24"/>
                <w:szCs w:val="24"/>
                <w:highlight w:val="none"/>
                <w:lang w:val="en-US" w:eastAsia="zh-CN" w:bidi="ar-SA"/>
              </w:rPr>
              <w:t>kcal/a。</w:t>
            </w:r>
            <w:r>
              <w:rPr>
                <w:rFonts w:hint="eastAsia" w:hAnsi="宋体" w:cs="Times New Roman"/>
                <w:color w:val="auto"/>
                <w:kern w:val="2"/>
                <w:sz w:val="24"/>
                <w:szCs w:val="24"/>
                <w:highlight w:val="none"/>
                <w:lang w:val="en-US" w:eastAsia="zh-CN" w:bidi="ar-SA"/>
              </w:rPr>
              <w:t>根据企业提供资料</w:t>
            </w:r>
            <w:r>
              <w:rPr>
                <w:rFonts w:hint="eastAsia" w:ascii="Times New Roman" w:hAnsi="宋体" w:eastAsia="宋体" w:cs="Times New Roman"/>
                <w:color w:val="auto"/>
                <w:kern w:val="2"/>
                <w:sz w:val="24"/>
                <w:szCs w:val="24"/>
                <w:highlight w:val="none"/>
                <w:lang w:val="en-US" w:eastAsia="zh-CN" w:bidi="ar-SA"/>
              </w:rPr>
              <w:t>，</w:t>
            </w:r>
            <w:r>
              <w:rPr>
                <w:rFonts w:hint="eastAsia" w:hAnsi="宋体" w:cs="Times New Roman"/>
                <w:color w:val="auto"/>
                <w:kern w:val="2"/>
                <w:sz w:val="24"/>
                <w:szCs w:val="24"/>
                <w:highlight w:val="none"/>
                <w:lang w:val="en-US" w:eastAsia="zh-CN" w:bidi="ar-SA"/>
              </w:rPr>
              <w:t>本项目使用燃料的</w:t>
            </w:r>
            <w:r>
              <w:rPr>
                <w:rFonts w:hint="eastAsia" w:ascii="Times New Roman" w:hAnsi="宋体" w:eastAsia="宋体" w:cs="Times New Roman"/>
                <w:color w:val="auto"/>
                <w:kern w:val="2"/>
                <w:sz w:val="24"/>
                <w:szCs w:val="24"/>
                <w:highlight w:val="none"/>
                <w:lang w:val="en-US" w:eastAsia="zh-CN" w:bidi="ar-SA"/>
              </w:rPr>
              <w:t>平均热值为低位发热量为</w:t>
            </w:r>
            <w:r>
              <w:rPr>
                <w:rFonts w:hint="eastAsia" w:hAnsi="宋体" w:cs="Times New Roman"/>
                <w:color w:val="auto"/>
                <w:kern w:val="2"/>
                <w:sz w:val="24"/>
                <w:szCs w:val="24"/>
                <w:highlight w:val="none"/>
                <w:lang w:val="en-US" w:eastAsia="zh-CN" w:bidi="ar-SA"/>
              </w:rPr>
              <w:t>14.66</w:t>
            </w:r>
            <w:r>
              <w:rPr>
                <w:rFonts w:hint="eastAsia" w:ascii="Times New Roman" w:hAnsi="宋体" w:eastAsia="宋体" w:cs="Times New Roman"/>
                <w:color w:val="auto"/>
                <w:kern w:val="2"/>
                <w:sz w:val="24"/>
                <w:szCs w:val="24"/>
                <w:highlight w:val="none"/>
                <w:lang w:val="en-US" w:eastAsia="zh-CN" w:bidi="ar-SA"/>
              </w:rPr>
              <w:t>MJ/kg（约为</w:t>
            </w:r>
            <w:r>
              <w:rPr>
                <w:rFonts w:hint="eastAsia" w:hAnsi="宋体" w:cs="Times New Roman"/>
                <w:color w:val="auto"/>
                <w:kern w:val="2"/>
                <w:sz w:val="24"/>
                <w:szCs w:val="24"/>
                <w:highlight w:val="none"/>
                <w:lang w:val="en-US" w:eastAsia="zh-CN" w:bidi="ar-SA"/>
              </w:rPr>
              <w:t>3501</w:t>
            </w:r>
            <w:r>
              <w:rPr>
                <w:rFonts w:hint="eastAsia" w:ascii="Times New Roman" w:hAnsi="宋体" w:eastAsia="宋体" w:cs="Times New Roman"/>
                <w:color w:val="auto"/>
                <w:kern w:val="2"/>
                <w:sz w:val="24"/>
                <w:szCs w:val="24"/>
                <w:highlight w:val="none"/>
                <w:lang w:val="en-US" w:eastAsia="zh-CN" w:bidi="ar-SA"/>
              </w:rPr>
              <w:t>kcal/kg），锅炉的热量转换率为85%，因此，本项目共需要生物质燃料</w:t>
            </w:r>
            <w:r>
              <w:rPr>
                <w:rFonts w:hint="eastAsia" w:hAnsi="宋体" w:cs="Times New Roman"/>
                <w:color w:val="auto"/>
                <w:kern w:val="2"/>
                <w:sz w:val="24"/>
                <w:szCs w:val="24"/>
                <w:highlight w:val="none"/>
                <w:lang w:val="en-US" w:eastAsia="zh-CN" w:bidi="ar-SA"/>
              </w:rPr>
              <w:t>740</w:t>
            </w:r>
            <w:r>
              <w:rPr>
                <w:rFonts w:hint="eastAsia" w:ascii="Times New Roman" w:hAnsi="宋体" w:eastAsia="宋体" w:cs="Times New Roman"/>
                <w:color w:val="auto"/>
                <w:kern w:val="2"/>
                <w:sz w:val="24"/>
                <w:szCs w:val="24"/>
                <w:highlight w:val="none"/>
                <w:lang w:val="en-US" w:eastAsia="zh-CN" w:bidi="ar-SA"/>
              </w:rPr>
              <w:t>×10</w:t>
            </w:r>
            <w:r>
              <w:rPr>
                <w:rFonts w:hint="eastAsia" w:ascii="Times New Roman" w:hAnsi="宋体" w:eastAsia="宋体" w:cs="Times New Roman"/>
                <w:color w:val="auto"/>
                <w:kern w:val="2"/>
                <w:sz w:val="24"/>
                <w:szCs w:val="24"/>
                <w:highlight w:val="none"/>
                <w:vertAlign w:val="superscript"/>
                <w:lang w:val="en-US" w:eastAsia="zh-CN" w:bidi="ar-SA"/>
              </w:rPr>
              <w:t>8</w:t>
            </w:r>
            <w:r>
              <w:rPr>
                <w:rFonts w:hint="eastAsia" w:ascii="Times New Roman" w:hAnsi="宋体" w:eastAsia="宋体" w:cs="Times New Roman"/>
                <w:color w:val="auto"/>
                <w:kern w:val="2"/>
                <w:sz w:val="24"/>
                <w:szCs w:val="24"/>
                <w:highlight w:val="none"/>
                <w:lang w:val="en-US" w:eastAsia="zh-CN" w:bidi="ar-SA"/>
              </w:rPr>
              <w:t>/</w:t>
            </w:r>
            <w:r>
              <w:rPr>
                <w:rFonts w:hint="eastAsia" w:hAnsi="宋体" w:cs="Times New Roman"/>
                <w:color w:val="auto"/>
                <w:kern w:val="2"/>
                <w:sz w:val="24"/>
                <w:szCs w:val="24"/>
                <w:highlight w:val="none"/>
                <w:lang w:val="en-US" w:eastAsia="zh-CN" w:bidi="ar-SA"/>
              </w:rPr>
              <w:t>3388</w:t>
            </w:r>
            <w:r>
              <w:rPr>
                <w:rFonts w:hint="eastAsia" w:ascii="Times New Roman" w:hAnsi="宋体" w:eastAsia="宋体" w:cs="Times New Roman"/>
                <w:color w:val="auto"/>
                <w:kern w:val="2"/>
                <w:sz w:val="24"/>
                <w:szCs w:val="24"/>
                <w:highlight w:val="none"/>
                <w:lang w:val="en-US" w:eastAsia="zh-CN" w:bidi="ar-SA"/>
              </w:rPr>
              <w:t>/85%/1000=</w:t>
            </w:r>
            <w:r>
              <w:rPr>
                <w:rFonts w:hint="eastAsia" w:hAnsi="宋体" w:cs="Times New Roman"/>
                <w:color w:val="auto"/>
                <w:kern w:val="2"/>
                <w:sz w:val="24"/>
                <w:szCs w:val="24"/>
                <w:highlight w:val="none"/>
                <w:lang w:val="en-US" w:eastAsia="zh-CN" w:bidi="ar-SA"/>
              </w:rPr>
              <w:t>2.5</w:t>
            </w:r>
            <w:r>
              <w:rPr>
                <w:rFonts w:hint="eastAsia" w:ascii="Times New Roman" w:hAnsi="宋体" w:eastAsia="宋体" w:cs="Times New Roman"/>
                <w:color w:val="auto"/>
                <w:kern w:val="2"/>
                <w:sz w:val="24"/>
                <w:szCs w:val="24"/>
                <w:highlight w:val="none"/>
                <w:lang w:val="en-US" w:eastAsia="zh-CN" w:bidi="ar-SA"/>
              </w:rPr>
              <w:t>万t/a。</w:t>
            </w:r>
            <w:r>
              <w:rPr>
                <w:rFonts w:hint="eastAsia" w:hAnsi="宋体"/>
                <w:color w:val="auto"/>
                <w:sz w:val="24"/>
                <w:highlight w:val="none"/>
                <w:lang w:val="en-US" w:eastAsia="zh-CN"/>
              </w:rPr>
              <w:t>主要原辅料情况</w:t>
            </w:r>
            <w:r>
              <w:rPr>
                <w:rFonts w:hint="eastAsia" w:hAnsi="宋体"/>
                <w:color w:val="auto"/>
                <w:sz w:val="24"/>
                <w:highlight w:val="none"/>
              </w:rPr>
              <w:t>见表2-</w:t>
            </w:r>
            <w:r>
              <w:rPr>
                <w:rFonts w:hint="eastAsia" w:hAnsi="宋体"/>
                <w:color w:val="auto"/>
                <w:sz w:val="24"/>
                <w:highlight w:val="none"/>
                <w:lang w:val="en-US" w:eastAsia="zh-CN"/>
              </w:rPr>
              <w:t>4</w:t>
            </w:r>
            <w:r>
              <w:rPr>
                <w:rFonts w:hint="eastAsia" w:hAnsi="宋体"/>
                <w:color w:val="auto"/>
                <w:sz w:val="24"/>
                <w:highlight w:val="none"/>
              </w:rPr>
              <w:t>。</w:t>
            </w:r>
          </w:p>
          <w:p w14:paraId="46A3E566">
            <w:pPr>
              <w:adjustRightInd w:val="0"/>
              <w:snapToGrid w:val="0"/>
              <w:spacing w:line="240" w:lineRule="auto"/>
              <w:jc w:val="center"/>
              <w:rPr>
                <w:rFonts w:hint="eastAsia" w:hAnsi="宋体"/>
                <w:b/>
                <w:color w:val="auto"/>
                <w:sz w:val="24"/>
                <w:highlight w:val="none"/>
              </w:rPr>
            </w:pPr>
            <w:r>
              <w:rPr>
                <w:rFonts w:hint="eastAsia" w:hAnsi="宋体"/>
                <w:b/>
                <w:color w:val="auto"/>
                <w:sz w:val="24"/>
                <w:highlight w:val="none"/>
              </w:rPr>
              <w:t>表</w:t>
            </w:r>
            <w:r>
              <w:rPr>
                <w:rFonts w:hint="eastAsia" w:hAnsi="宋体"/>
                <w:b/>
                <w:color w:val="auto"/>
                <w:sz w:val="24"/>
                <w:highlight w:val="none"/>
                <w:lang w:val="en-US" w:eastAsia="zh-CN"/>
              </w:rPr>
              <w:t>2-4（a）</w:t>
            </w:r>
            <w:r>
              <w:rPr>
                <w:rFonts w:hint="eastAsia" w:hAnsi="宋体"/>
                <w:b/>
                <w:color w:val="auto"/>
                <w:sz w:val="24"/>
                <w:highlight w:val="none"/>
              </w:rPr>
              <w:t>主要原辅材料一览表</w:t>
            </w:r>
          </w:p>
          <w:tbl>
            <w:tblPr>
              <w:tblStyle w:val="143"/>
              <w:tblW w:w="4992"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37"/>
              <w:gridCol w:w="1264"/>
              <w:gridCol w:w="988"/>
              <w:gridCol w:w="4137"/>
            </w:tblGrid>
            <w:tr w14:paraId="72BF35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969" w:type="pct"/>
                  <w:noWrap w:val="0"/>
                  <w:vAlign w:val="center"/>
                </w:tcPr>
                <w:p w14:paraId="6B10E95C">
                  <w:pPr>
                    <w:pStyle w:val="15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pacing w:val="-3"/>
                      <w:sz w:val="21"/>
                      <w:szCs w:val="21"/>
                      <w:highlight w:val="none"/>
                    </w:rPr>
                    <w:t>名称</w:t>
                  </w:r>
                </w:p>
              </w:tc>
              <w:tc>
                <w:tcPr>
                  <w:tcW w:w="797" w:type="pct"/>
                  <w:noWrap w:val="0"/>
                  <w:vAlign w:val="center"/>
                </w:tcPr>
                <w:p w14:paraId="0536474D">
                  <w:pPr>
                    <w:pStyle w:val="15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pacing w:val="-2"/>
                      <w:sz w:val="21"/>
                      <w:szCs w:val="21"/>
                      <w:highlight w:val="none"/>
                    </w:rPr>
                    <w:t>用量(t/a)</w:t>
                  </w:r>
                </w:p>
              </w:tc>
              <w:tc>
                <w:tcPr>
                  <w:tcW w:w="623" w:type="pct"/>
                  <w:noWrap w:val="0"/>
                  <w:vAlign w:val="center"/>
                </w:tcPr>
                <w:p w14:paraId="60424EB0">
                  <w:pPr>
                    <w:pStyle w:val="15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pacing w:val="-2"/>
                      <w:sz w:val="21"/>
                      <w:szCs w:val="21"/>
                      <w:highlight w:val="none"/>
                    </w:rPr>
                    <w:t>种类</w:t>
                  </w:r>
                </w:p>
              </w:tc>
              <w:tc>
                <w:tcPr>
                  <w:tcW w:w="2609" w:type="pct"/>
                  <w:noWrap w:val="0"/>
                  <w:vAlign w:val="center"/>
                </w:tcPr>
                <w:p w14:paraId="6D5040AB">
                  <w:pPr>
                    <w:pStyle w:val="15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pacing w:val="-3"/>
                      <w:sz w:val="21"/>
                      <w:szCs w:val="21"/>
                      <w:highlight w:val="none"/>
                    </w:rPr>
                    <w:t>备注</w:t>
                  </w:r>
                </w:p>
              </w:tc>
            </w:tr>
            <w:tr w14:paraId="3BA135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1" w:hRule="atLeast"/>
                <w:jc w:val="center"/>
              </w:trPr>
              <w:tc>
                <w:tcPr>
                  <w:tcW w:w="969" w:type="pct"/>
                  <w:noWrap w:val="0"/>
                  <w:vAlign w:val="center"/>
                </w:tcPr>
                <w:p w14:paraId="127E04B1">
                  <w:pPr>
                    <w:pStyle w:val="15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生物质</w:t>
                  </w:r>
                  <w:r>
                    <w:rPr>
                      <w:rFonts w:hint="eastAsia" w:ascii="Times New Roman" w:hAnsi="Times New Roman" w:cs="Times New Roman"/>
                      <w:color w:val="auto"/>
                      <w:sz w:val="21"/>
                      <w:szCs w:val="21"/>
                      <w:highlight w:val="none"/>
                      <w:lang w:val="en-US" w:eastAsia="zh-CN"/>
                    </w:rPr>
                    <w:t>成型</w:t>
                  </w:r>
                  <w:r>
                    <w:rPr>
                      <w:rFonts w:hint="default" w:ascii="Times New Roman" w:hAnsi="Times New Roman" w:eastAsia="宋体" w:cs="Times New Roman"/>
                      <w:color w:val="auto"/>
                      <w:sz w:val="21"/>
                      <w:szCs w:val="21"/>
                      <w:highlight w:val="none"/>
                    </w:rPr>
                    <w:t>燃料</w:t>
                  </w:r>
                </w:p>
              </w:tc>
              <w:tc>
                <w:tcPr>
                  <w:tcW w:w="797" w:type="pct"/>
                  <w:noWrap w:val="0"/>
                  <w:vAlign w:val="center"/>
                </w:tcPr>
                <w:p w14:paraId="6AE0951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pacing w:val="-6"/>
                      <w:sz w:val="21"/>
                      <w:szCs w:val="21"/>
                      <w:highlight w:val="none"/>
                      <w:lang w:val="en-US" w:eastAsia="zh-CN"/>
                    </w:rPr>
                    <w:t>25000</w:t>
                  </w:r>
                </w:p>
              </w:tc>
              <w:tc>
                <w:tcPr>
                  <w:tcW w:w="623" w:type="pct"/>
                  <w:noWrap w:val="0"/>
                  <w:vAlign w:val="center"/>
                </w:tcPr>
                <w:p w14:paraId="769DDE5E">
                  <w:pPr>
                    <w:pStyle w:val="15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燃料</w:t>
                  </w:r>
                </w:p>
              </w:tc>
              <w:tc>
                <w:tcPr>
                  <w:tcW w:w="2609" w:type="pct"/>
                  <w:noWrap w:val="0"/>
                  <w:vAlign w:val="center"/>
                </w:tcPr>
                <w:p w14:paraId="49157CFD">
                  <w:pPr>
                    <w:pStyle w:val="156"/>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本项目生物质燃料由供应商破碎加工后运输到区燃料仓内，厂区不设破碎加工场所。为保证燃烧品质，</w:t>
                  </w:r>
                  <w:r>
                    <w:rPr>
                      <w:rFonts w:hint="eastAsia" w:ascii="Times New Roman" w:hAnsi="Times New Roman" w:cs="Times New Roman"/>
                      <w:color w:val="auto"/>
                      <w:sz w:val="21"/>
                      <w:szCs w:val="21"/>
                      <w:highlight w:val="none"/>
                      <w:lang w:val="en-US" w:eastAsia="zh-CN"/>
                    </w:rPr>
                    <w:t>项目使用</w:t>
                  </w:r>
                  <w:r>
                    <w:rPr>
                      <w:rFonts w:hint="eastAsia" w:ascii="Times New Roman" w:hAnsi="Times New Roman" w:eastAsia="宋体" w:cs="Times New Roman"/>
                      <w:color w:val="auto"/>
                      <w:sz w:val="21"/>
                      <w:szCs w:val="21"/>
                      <w:highlight w:val="none"/>
                      <w:lang w:eastAsia="zh-CN"/>
                    </w:rPr>
                    <w:t>原料不含粘合剂、无油漆等物质，不含有毒有害物质</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且需满足需要满足《生物质锅炉技术规范》GB/T 44906-2024中表1 生物质成型燃料的要求</w:t>
                  </w:r>
                </w:p>
              </w:tc>
            </w:tr>
            <w:tr w14:paraId="3E7F5E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8" w:hRule="atLeast"/>
                <w:jc w:val="center"/>
              </w:trPr>
              <w:tc>
                <w:tcPr>
                  <w:tcW w:w="969" w:type="pct"/>
                  <w:noWrap w:val="0"/>
                  <w:vAlign w:val="center"/>
                </w:tcPr>
                <w:p w14:paraId="590A7437">
                  <w:pPr>
                    <w:pStyle w:val="15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尿素</w:t>
                  </w:r>
                </w:p>
              </w:tc>
              <w:tc>
                <w:tcPr>
                  <w:tcW w:w="797" w:type="pct"/>
                  <w:noWrap w:val="0"/>
                  <w:vAlign w:val="center"/>
                </w:tcPr>
                <w:p w14:paraId="71F6BFE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pacing w:val="-6"/>
                      <w:sz w:val="21"/>
                      <w:szCs w:val="21"/>
                      <w:highlight w:val="none"/>
                      <w:lang w:val="en-US" w:eastAsia="zh-CN"/>
                    </w:rPr>
                    <w:t>10.58</w:t>
                  </w:r>
                </w:p>
              </w:tc>
              <w:tc>
                <w:tcPr>
                  <w:tcW w:w="623" w:type="pct"/>
                  <w:noWrap w:val="0"/>
                  <w:vAlign w:val="center"/>
                </w:tcPr>
                <w:p w14:paraId="0954B3EE">
                  <w:pPr>
                    <w:pStyle w:val="15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辅料</w:t>
                  </w:r>
                </w:p>
              </w:tc>
              <w:tc>
                <w:tcPr>
                  <w:tcW w:w="2609" w:type="pct"/>
                  <w:noWrap w:val="0"/>
                  <w:vAlign w:val="center"/>
                </w:tcPr>
                <w:p w14:paraId="3B5CBF7F">
                  <w:pPr>
                    <w:pStyle w:val="156"/>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1"/>
                      <w:sz w:val="21"/>
                      <w:szCs w:val="21"/>
                      <w:highlight w:val="none"/>
                    </w:rPr>
                    <w:t>脱硝还原剂，袋装颗粒状</w:t>
                  </w:r>
                </w:p>
              </w:tc>
            </w:tr>
            <w:tr w14:paraId="4B2125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969" w:type="pct"/>
                  <w:noWrap w:val="0"/>
                  <w:vAlign w:val="center"/>
                </w:tcPr>
                <w:p w14:paraId="7691045C">
                  <w:pPr>
                    <w:pStyle w:val="15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活性氢氧化钙（Ca(OH)₂）</w:t>
                  </w:r>
                </w:p>
              </w:tc>
              <w:tc>
                <w:tcPr>
                  <w:tcW w:w="797" w:type="pct"/>
                  <w:noWrap w:val="0"/>
                  <w:vAlign w:val="center"/>
                </w:tcPr>
                <w:p w14:paraId="43F7DC6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pacing w:val="-1"/>
                      <w:sz w:val="21"/>
                      <w:szCs w:val="21"/>
                      <w:highlight w:val="none"/>
                      <w:lang w:val="en-US" w:eastAsia="zh-CN"/>
                    </w:rPr>
                    <w:t>6.14</w:t>
                  </w:r>
                </w:p>
              </w:tc>
              <w:tc>
                <w:tcPr>
                  <w:tcW w:w="623" w:type="pct"/>
                  <w:noWrap w:val="0"/>
                  <w:vAlign w:val="center"/>
                </w:tcPr>
                <w:p w14:paraId="133CB022">
                  <w:pPr>
                    <w:pStyle w:val="15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辅料</w:t>
                  </w:r>
                </w:p>
              </w:tc>
              <w:tc>
                <w:tcPr>
                  <w:tcW w:w="2609" w:type="pct"/>
                  <w:noWrap w:val="0"/>
                  <w:vAlign w:val="center"/>
                </w:tcPr>
                <w:p w14:paraId="3379339C">
                  <w:pPr>
                    <w:pStyle w:val="156"/>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pacing w:val="-1"/>
                      <w:sz w:val="21"/>
                      <w:szCs w:val="21"/>
                      <w:highlight w:val="none"/>
                    </w:rPr>
                    <w:t>脱硫剂</w:t>
                  </w:r>
                  <w:r>
                    <w:rPr>
                      <w:rFonts w:hint="eastAsia" w:ascii="Times New Roman" w:hAnsi="Times New Roman" w:cs="Times New Roman"/>
                      <w:color w:val="auto"/>
                      <w:spacing w:val="-1"/>
                      <w:sz w:val="21"/>
                      <w:szCs w:val="21"/>
                      <w:highlight w:val="none"/>
                      <w:lang w:eastAsia="zh-CN"/>
                    </w:rPr>
                    <w:t>；粒径范围20 - 50μm</w:t>
                  </w:r>
                </w:p>
              </w:tc>
            </w:tr>
            <w:tr w14:paraId="2E956B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3" w:hRule="atLeast"/>
                <w:jc w:val="center"/>
              </w:trPr>
              <w:tc>
                <w:tcPr>
                  <w:tcW w:w="969" w:type="pct"/>
                  <w:noWrap w:val="0"/>
                  <w:vAlign w:val="center"/>
                </w:tcPr>
                <w:p w14:paraId="52BFB09D">
                  <w:pPr>
                    <w:pStyle w:val="15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sz w:val="21"/>
                      <w:szCs w:val="21"/>
                      <w:highlight w:val="none"/>
                    </w:rPr>
                    <w:t>润滑油</w:t>
                  </w:r>
                </w:p>
              </w:tc>
              <w:tc>
                <w:tcPr>
                  <w:tcW w:w="797" w:type="pct"/>
                  <w:noWrap w:val="0"/>
                  <w:vAlign w:val="center"/>
                </w:tcPr>
                <w:p w14:paraId="278940F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pacing w:val="-2"/>
                      <w:sz w:val="21"/>
                      <w:szCs w:val="21"/>
                      <w:highlight w:val="none"/>
                      <w:lang w:val="en-US" w:eastAsia="zh-CN"/>
                    </w:rPr>
                    <w:t>0.05</w:t>
                  </w:r>
                </w:p>
              </w:tc>
              <w:tc>
                <w:tcPr>
                  <w:tcW w:w="623" w:type="pct"/>
                  <w:noWrap w:val="0"/>
                  <w:vAlign w:val="center"/>
                </w:tcPr>
                <w:p w14:paraId="23776475">
                  <w:pPr>
                    <w:pStyle w:val="15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辅料</w:t>
                  </w:r>
                </w:p>
              </w:tc>
              <w:tc>
                <w:tcPr>
                  <w:tcW w:w="2609" w:type="pct"/>
                  <w:noWrap w:val="0"/>
                  <w:vAlign w:val="center"/>
                </w:tcPr>
                <w:p w14:paraId="51F975EC">
                  <w:pPr>
                    <w:pStyle w:val="156"/>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设备传动部件润滑</w:t>
                  </w:r>
                </w:p>
              </w:tc>
            </w:tr>
            <w:tr w14:paraId="088848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3" w:hRule="atLeast"/>
                <w:jc w:val="center"/>
              </w:trPr>
              <w:tc>
                <w:tcPr>
                  <w:tcW w:w="969" w:type="pct"/>
                  <w:noWrap w:val="0"/>
                  <w:vAlign w:val="center"/>
                </w:tcPr>
                <w:p w14:paraId="31893520">
                  <w:pPr>
                    <w:pStyle w:val="15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rPr>
                    <w:t>钒基催化剂</w:t>
                  </w:r>
                </w:p>
              </w:tc>
              <w:tc>
                <w:tcPr>
                  <w:tcW w:w="797" w:type="pct"/>
                  <w:noWrap w:val="0"/>
                  <w:vAlign w:val="center"/>
                </w:tcPr>
                <w:p w14:paraId="11C7865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cs="Times New Roman"/>
                      <w:color w:val="auto"/>
                      <w:spacing w:val="-2"/>
                      <w:sz w:val="21"/>
                      <w:szCs w:val="21"/>
                      <w:highlight w:val="none"/>
                      <w:lang w:val="en-US" w:eastAsia="zh-CN"/>
                    </w:rPr>
                  </w:pPr>
                  <w:r>
                    <w:rPr>
                      <w:rFonts w:hint="eastAsia" w:cs="Times New Roman"/>
                      <w:color w:val="auto"/>
                      <w:spacing w:val="-2"/>
                      <w:sz w:val="21"/>
                      <w:szCs w:val="21"/>
                      <w:highlight w:val="none"/>
                      <w:lang w:val="en-US" w:eastAsia="zh-CN"/>
                    </w:rPr>
                    <w:t>5.40</w:t>
                  </w:r>
                </w:p>
              </w:tc>
              <w:tc>
                <w:tcPr>
                  <w:tcW w:w="623" w:type="pct"/>
                  <w:noWrap w:val="0"/>
                  <w:vAlign w:val="center"/>
                </w:tcPr>
                <w:p w14:paraId="3DAA756E">
                  <w:pPr>
                    <w:pStyle w:val="15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2"/>
                      <w:sz w:val="21"/>
                      <w:szCs w:val="21"/>
                      <w:highlight w:val="none"/>
                      <w:lang w:val="en-US" w:eastAsia="zh-CN"/>
                    </w:rPr>
                  </w:pPr>
                  <w:r>
                    <w:rPr>
                      <w:rFonts w:hint="eastAsia" w:ascii="Times New Roman" w:hAnsi="Times New Roman" w:cs="Times New Roman"/>
                      <w:color w:val="auto"/>
                      <w:spacing w:val="-2"/>
                      <w:sz w:val="21"/>
                      <w:szCs w:val="21"/>
                      <w:highlight w:val="none"/>
                      <w:lang w:val="en-US" w:eastAsia="zh-CN"/>
                    </w:rPr>
                    <w:t>辅料</w:t>
                  </w:r>
                </w:p>
              </w:tc>
              <w:tc>
                <w:tcPr>
                  <w:tcW w:w="2609" w:type="pct"/>
                  <w:noWrap w:val="0"/>
                  <w:vAlign w:val="center"/>
                </w:tcPr>
                <w:p w14:paraId="35269581">
                  <w:pPr>
                    <w:pStyle w:val="156"/>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pacing w:val="-2"/>
                      <w:sz w:val="21"/>
                      <w:szCs w:val="21"/>
                      <w:highlight w:val="none"/>
                      <w:lang w:val="en-US" w:eastAsia="zh-CN"/>
                    </w:rPr>
                  </w:pPr>
                  <w:r>
                    <w:rPr>
                      <w:rFonts w:hint="eastAsia" w:ascii="Times New Roman" w:hAnsi="Times New Roman" w:cs="Times New Roman"/>
                      <w:color w:val="auto"/>
                      <w:spacing w:val="-2"/>
                      <w:sz w:val="21"/>
                      <w:szCs w:val="21"/>
                      <w:highlight w:val="none"/>
                      <w:lang w:val="en-US" w:eastAsia="zh-CN"/>
                    </w:rPr>
                    <w:t>废气脱硝，三年更换一次，使用温度：最低180℃</w:t>
                  </w:r>
                </w:p>
              </w:tc>
            </w:tr>
          </w:tbl>
          <w:p w14:paraId="48637B4D">
            <w:pPr>
              <w:pStyle w:val="43"/>
              <w:ind w:left="0" w:leftChars="0" w:firstLine="0" w:firstLineChars="0"/>
              <w:jc w:val="center"/>
              <w:rPr>
                <w:rFonts w:hint="default" w:ascii="Times New Roman" w:hAnsi="Times New Roman" w:eastAsia="宋体"/>
                <w:b/>
                <w:bCs w:val="0"/>
                <w:color w:val="auto"/>
                <w:sz w:val="24"/>
                <w:highlight w:val="none"/>
                <w:lang w:val="en-US" w:eastAsia="zh-CN"/>
              </w:rPr>
            </w:pPr>
          </w:p>
          <w:p w14:paraId="1D4828C2">
            <w:pPr>
              <w:pStyle w:val="43"/>
              <w:ind w:left="0" w:leftChars="0" w:firstLine="0" w:firstLineChars="0"/>
              <w:jc w:val="center"/>
              <w:rPr>
                <w:rFonts w:hint="default" w:ascii="Times New Roman" w:hAnsi="Times New Roman" w:eastAsia="宋体"/>
                <w:b/>
                <w:bCs w:val="0"/>
                <w:color w:val="auto"/>
                <w:sz w:val="24"/>
                <w:highlight w:val="none"/>
                <w:lang w:val="en-US" w:eastAsia="zh-CN"/>
              </w:rPr>
            </w:pPr>
            <w:r>
              <w:rPr>
                <w:rFonts w:hint="default" w:ascii="Times New Roman" w:hAnsi="Times New Roman" w:eastAsia="宋体"/>
                <w:b/>
                <w:bCs w:val="0"/>
                <w:color w:val="auto"/>
                <w:sz w:val="24"/>
                <w:highlight w:val="none"/>
                <w:lang w:val="en-US" w:eastAsia="zh-CN"/>
              </w:rPr>
              <w:t>表2-</w:t>
            </w:r>
            <w:r>
              <w:rPr>
                <w:rFonts w:hint="eastAsia" w:ascii="Times New Roman" w:hAnsi="Times New Roman" w:eastAsia="宋体"/>
                <w:b/>
                <w:bCs w:val="0"/>
                <w:color w:val="auto"/>
                <w:sz w:val="24"/>
                <w:highlight w:val="none"/>
                <w:lang w:val="en-US" w:eastAsia="zh-CN"/>
              </w:rPr>
              <w:t>4（b）</w:t>
            </w:r>
            <w:r>
              <w:rPr>
                <w:rFonts w:hint="default" w:ascii="Times New Roman" w:hAnsi="Times New Roman" w:eastAsia="宋体"/>
                <w:b/>
                <w:bCs w:val="0"/>
                <w:color w:val="auto"/>
                <w:sz w:val="24"/>
                <w:highlight w:val="none"/>
                <w:lang w:val="en-US" w:eastAsia="zh-CN"/>
              </w:rPr>
              <w:t xml:space="preserve"> </w:t>
            </w:r>
            <w:r>
              <w:rPr>
                <w:rFonts w:hint="eastAsia" w:ascii="Times New Roman" w:hAnsi="Times New Roman" w:eastAsia="宋体"/>
                <w:b/>
                <w:bCs w:val="0"/>
                <w:color w:val="auto"/>
                <w:sz w:val="24"/>
                <w:highlight w:val="none"/>
                <w:lang w:val="en-US" w:eastAsia="zh-CN"/>
              </w:rPr>
              <w:t>生物质成型燃料的要求（摘录往复炉排锅炉标准）</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29"/>
              <w:gridCol w:w="1681"/>
              <w:gridCol w:w="3322"/>
            </w:tblGrid>
            <w:tr w14:paraId="768F7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1846" w:type="pct"/>
                  <w:vMerge w:val="restart"/>
                  <w:noWrap w:val="0"/>
                  <w:vAlign w:val="center"/>
                </w:tcPr>
                <w:p w14:paraId="5959319A">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项目</w:t>
                  </w:r>
                </w:p>
              </w:tc>
              <w:tc>
                <w:tcPr>
                  <w:tcW w:w="1059" w:type="pct"/>
                  <w:vMerge w:val="restart"/>
                  <w:noWrap w:val="0"/>
                  <w:vAlign w:val="center"/>
                </w:tcPr>
                <w:p w14:paraId="0F29A28D">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单位</w:t>
                  </w:r>
                </w:p>
              </w:tc>
              <w:tc>
                <w:tcPr>
                  <w:tcW w:w="2093" w:type="pct"/>
                  <w:noWrap w:val="0"/>
                  <w:vAlign w:val="center"/>
                </w:tcPr>
                <w:p w14:paraId="7CE7E4AF">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指标</w:t>
                  </w:r>
                </w:p>
              </w:tc>
            </w:tr>
            <w:tr w14:paraId="52D0B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6" w:type="pct"/>
                  <w:vMerge w:val="continue"/>
                  <w:noWrap w:val="0"/>
                  <w:vAlign w:val="center"/>
                </w:tcPr>
                <w:p w14:paraId="4A0D550E">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p>
              </w:tc>
              <w:tc>
                <w:tcPr>
                  <w:tcW w:w="1059" w:type="pct"/>
                  <w:vMerge w:val="continue"/>
                  <w:noWrap w:val="0"/>
                  <w:vAlign w:val="center"/>
                </w:tcPr>
                <w:p w14:paraId="6FFD49A1">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p>
              </w:tc>
              <w:tc>
                <w:tcPr>
                  <w:tcW w:w="2093" w:type="pct"/>
                  <w:noWrap w:val="0"/>
                  <w:vAlign w:val="center"/>
                </w:tcPr>
                <w:p w14:paraId="7B992BE8">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b/>
                      <w:bCs w:val="0"/>
                      <w:color w:val="auto"/>
                      <w:sz w:val="24"/>
                      <w:highlight w:val="none"/>
                      <w:lang w:val="en-US" w:eastAsia="zh-CN"/>
                    </w:rPr>
                    <w:t>往复炉排锅炉</w:t>
                  </w:r>
                </w:p>
              </w:tc>
            </w:tr>
            <w:tr w14:paraId="4A618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6" w:type="pct"/>
                  <w:noWrap w:val="0"/>
                  <w:vAlign w:val="center"/>
                </w:tcPr>
                <w:p w14:paraId="02DCF9D0">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收到基低位发热值（Q</w:t>
                  </w:r>
                  <w:r>
                    <w:rPr>
                      <w:rFonts w:hint="eastAsia" w:ascii="Times New Roman" w:hAnsi="Times New Roman" w:eastAsia="宋体" w:cs="Times New Roman"/>
                      <w:b/>
                      <w:bCs w:val="0"/>
                      <w:color w:val="auto"/>
                      <w:sz w:val="21"/>
                      <w:szCs w:val="21"/>
                      <w:highlight w:val="none"/>
                      <w:vertAlign w:val="subscript"/>
                      <w:lang w:val="en-US" w:eastAsia="zh-CN"/>
                    </w:rPr>
                    <w:t>net,v,ar</w:t>
                  </w:r>
                  <w:r>
                    <w:rPr>
                      <w:rFonts w:hint="eastAsia" w:ascii="Times New Roman" w:hAnsi="Times New Roman" w:eastAsia="宋体" w:cs="Times New Roman"/>
                      <w:b/>
                      <w:bCs w:val="0"/>
                      <w:color w:val="auto"/>
                      <w:sz w:val="21"/>
                      <w:szCs w:val="21"/>
                      <w:highlight w:val="none"/>
                      <w:vertAlign w:val="baseline"/>
                      <w:lang w:val="en-US" w:eastAsia="zh-CN"/>
                    </w:rPr>
                    <w:t>）</w:t>
                  </w:r>
                </w:p>
              </w:tc>
              <w:tc>
                <w:tcPr>
                  <w:tcW w:w="1059" w:type="pct"/>
                  <w:noWrap w:val="0"/>
                  <w:vAlign w:val="center"/>
                </w:tcPr>
                <w:p w14:paraId="6D7F4009">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eastAsia" w:ascii="Times New Roman" w:hAnsi="Times New Roman" w:eastAsia="宋体" w:cs="Times New Roman"/>
                      <w:b w:val="0"/>
                      <w:bCs/>
                      <w:color w:val="auto"/>
                      <w:sz w:val="21"/>
                      <w:szCs w:val="21"/>
                      <w:highlight w:val="none"/>
                      <w:vertAlign w:val="baseline"/>
                      <w:lang w:val="en-US" w:eastAsia="zh-CN"/>
                    </w:rPr>
                    <w:t>MJ/kg</w:t>
                  </w:r>
                </w:p>
              </w:tc>
              <w:tc>
                <w:tcPr>
                  <w:tcW w:w="2093" w:type="pct"/>
                  <w:noWrap w:val="0"/>
                  <w:vAlign w:val="center"/>
                </w:tcPr>
                <w:p w14:paraId="00871FE7">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10.45</w:t>
                  </w:r>
                  <w:r>
                    <w:rPr>
                      <w:rFonts w:hint="default" w:ascii="Times New Roman" w:hAnsi="Times New Roman" w:eastAsia="宋体" w:cs="Times New Roman"/>
                      <w:b w:val="0"/>
                      <w:bCs/>
                      <w:color w:val="auto"/>
                      <w:sz w:val="21"/>
                      <w:szCs w:val="21"/>
                      <w:highlight w:val="none"/>
                      <w:vertAlign w:val="baseline"/>
                      <w:lang w:val="en-US" w:eastAsia="zh-CN"/>
                    </w:rPr>
                    <w:t>≤</w:t>
                  </w:r>
                  <w:r>
                    <w:rPr>
                      <w:rFonts w:hint="eastAsia" w:ascii="Times New Roman" w:hAnsi="Times New Roman" w:eastAsia="宋体" w:cs="Times New Roman"/>
                      <w:b/>
                      <w:bCs w:val="0"/>
                      <w:color w:val="auto"/>
                      <w:sz w:val="21"/>
                      <w:szCs w:val="21"/>
                      <w:highlight w:val="none"/>
                      <w:vertAlign w:val="baseline"/>
                      <w:lang w:val="en-US" w:eastAsia="zh-CN"/>
                    </w:rPr>
                    <w:t>Q</w:t>
                  </w:r>
                  <w:r>
                    <w:rPr>
                      <w:rFonts w:hint="eastAsia" w:ascii="Times New Roman" w:hAnsi="Times New Roman" w:eastAsia="宋体" w:cs="Times New Roman"/>
                      <w:b/>
                      <w:bCs w:val="0"/>
                      <w:color w:val="auto"/>
                      <w:sz w:val="21"/>
                      <w:szCs w:val="21"/>
                      <w:highlight w:val="none"/>
                      <w:vertAlign w:val="subscript"/>
                      <w:lang w:val="en-US" w:eastAsia="zh-CN"/>
                    </w:rPr>
                    <w:t>net,v,ar</w:t>
                  </w:r>
                  <w:r>
                    <w:rPr>
                      <w:rFonts w:hint="eastAsia" w:ascii="Times New Roman" w:hAnsi="Times New Roman" w:eastAsia="宋体" w:cs="Times New Roman"/>
                      <w:b w:val="0"/>
                      <w:bCs/>
                      <w:color w:val="auto"/>
                      <w:sz w:val="21"/>
                      <w:szCs w:val="21"/>
                      <w:highlight w:val="none"/>
                      <w:vertAlign w:val="baseline"/>
                      <w:lang w:val="en-US" w:eastAsia="zh-CN"/>
                    </w:rPr>
                    <w:t>＜18</w:t>
                  </w:r>
                </w:p>
              </w:tc>
            </w:tr>
            <w:tr w14:paraId="5E2D7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6" w:type="pct"/>
                  <w:noWrap w:val="0"/>
                  <w:vAlign w:val="center"/>
                </w:tcPr>
                <w:p w14:paraId="79376175">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直径或横截面最大尺寸（D</w:t>
                  </w:r>
                  <w:r>
                    <w:rPr>
                      <w:rFonts w:hint="eastAsia" w:ascii="Times New Roman" w:hAnsi="Times New Roman" w:eastAsia="宋体" w:cs="Times New Roman"/>
                      <w:b/>
                      <w:bCs w:val="0"/>
                      <w:color w:val="auto"/>
                      <w:sz w:val="21"/>
                      <w:szCs w:val="21"/>
                      <w:highlight w:val="none"/>
                      <w:vertAlign w:val="subscript"/>
                      <w:lang w:val="en-US" w:eastAsia="zh-CN"/>
                    </w:rPr>
                    <w:t>1</w:t>
                  </w:r>
                  <w:r>
                    <w:rPr>
                      <w:rFonts w:hint="eastAsia" w:ascii="Times New Roman" w:hAnsi="Times New Roman" w:eastAsia="宋体" w:cs="Times New Roman"/>
                      <w:b/>
                      <w:bCs w:val="0"/>
                      <w:color w:val="auto"/>
                      <w:sz w:val="21"/>
                      <w:szCs w:val="21"/>
                      <w:highlight w:val="none"/>
                      <w:vertAlign w:val="baseline"/>
                      <w:lang w:val="en-US" w:eastAsia="zh-CN"/>
                    </w:rPr>
                    <w:t>）</w:t>
                  </w:r>
                </w:p>
              </w:tc>
              <w:tc>
                <w:tcPr>
                  <w:tcW w:w="1059" w:type="pct"/>
                  <w:noWrap w:val="0"/>
                  <w:vAlign w:val="center"/>
                </w:tcPr>
                <w:p w14:paraId="1D58FD53">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eastAsia" w:ascii="Times New Roman" w:hAnsi="Times New Roman" w:eastAsia="宋体" w:cs="Times New Roman"/>
                      <w:b w:val="0"/>
                      <w:bCs/>
                      <w:color w:val="auto"/>
                      <w:kern w:val="2"/>
                      <w:sz w:val="21"/>
                      <w:szCs w:val="21"/>
                      <w:highlight w:val="none"/>
                      <w:vertAlign w:val="baseline"/>
                      <w:lang w:val="en-US" w:eastAsia="zh-CN" w:bidi="ar-SA"/>
                    </w:rPr>
                    <w:t>mm</w:t>
                  </w:r>
                </w:p>
              </w:tc>
              <w:tc>
                <w:tcPr>
                  <w:tcW w:w="2093" w:type="pct"/>
                  <w:noWrap w:val="0"/>
                  <w:vAlign w:val="center"/>
                </w:tcPr>
                <w:p w14:paraId="6B4D2D1E">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w:t>
                  </w:r>
                  <w:r>
                    <w:rPr>
                      <w:rFonts w:hint="eastAsia" w:ascii="Times New Roman" w:hAnsi="Times New Roman" w:eastAsia="宋体" w:cs="Times New Roman"/>
                      <w:b w:val="0"/>
                      <w:bCs/>
                      <w:color w:val="auto"/>
                      <w:sz w:val="21"/>
                      <w:szCs w:val="21"/>
                      <w:highlight w:val="none"/>
                      <w:vertAlign w:val="baseline"/>
                      <w:lang w:val="en-US" w:eastAsia="zh-CN"/>
                    </w:rPr>
                    <w:t>50</w:t>
                  </w:r>
                </w:p>
              </w:tc>
            </w:tr>
            <w:tr w14:paraId="5038D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6" w:type="pct"/>
                  <w:noWrap w:val="0"/>
                  <w:vAlign w:val="center"/>
                </w:tcPr>
                <w:p w14:paraId="3A13B575">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长度（L）</w:t>
                  </w:r>
                </w:p>
              </w:tc>
              <w:tc>
                <w:tcPr>
                  <w:tcW w:w="1059" w:type="pct"/>
                  <w:noWrap w:val="0"/>
                  <w:vAlign w:val="center"/>
                </w:tcPr>
                <w:p w14:paraId="4AAE8373">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mm</w:t>
                  </w:r>
                </w:p>
              </w:tc>
              <w:tc>
                <w:tcPr>
                  <w:tcW w:w="2093" w:type="pct"/>
                  <w:noWrap w:val="0"/>
                  <w:vAlign w:val="center"/>
                </w:tcPr>
                <w:p w14:paraId="02F1119F">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w:t>
                  </w:r>
                  <w:r>
                    <w:rPr>
                      <w:rFonts w:hint="eastAsia" w:ascii="Times New Roman" w:hAnsi="Times New Roman" w:eastAsia="宋体" w:cs="Times New Roman"/>
                      <w:b w:val="0"/>
                      <w:bCs/>
                      <w:color w:val="auto"/>
                      <w:sz w:val="21"/>
                      <w:szCs w:val="21"/>
                      <w:highlight w:val="none"/>
                      <w:vertAlign w:val="baseline"/>
                      <w:lang w:val="en-US" w:eastAsia="zh-CN"/>
                    </w:rPr>
                    <w:t>100</w:t>
                  </w:r>
                </w:p>
              </w:tc>
            </w:tr>
            <w:tr w14:paraId="15345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6" w:type="pct"/>
                  <w:noWrap w:val="0"/>
                  <w:vAlign w:val="center"/>
                </w:tcPr>
                <w:p w14:paraId="1DE50730">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机械耐久性</w:t>
                  </w:r>
                </w:p>
              </w:tc>
              <w:tc>
                <w:tcPr>
                  <w:tcW w:w="1059" w:type="pct"/>
                  <w:noWrap w:val="0"/>
                  <w:vAlign w:val="center"/>
                </w:tcPr>
                <w:p w14:paraId="134D180A">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w:t>
                  </w:r>
                </w:p>
              </w:tc>
              <w:tc>
                <w:tcPr>
                  <w:tcW w:w="2093" w:type="pct"/>
                  <w:noWrap w:val="0"/>
                  <w:vAlign w:val="center"/>
                </w:tcPr>
                <w:p w14:paraId="390585DF">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w:t>
                  </w:r>
                  <w:r>
                    <w:rPr>
                      <w:rFonts w:hint="eastAsia" w:ascii="Times New Roman" w:hAnsi="Times New Roman" w:eastAsia="宋体" w:cs="Times New Roman"/>
                      <w:b w:val="0"/>
                      <w:bCs/>
                      <w:color w:val="auto"/>
                      <w:sz w:val="21"/>
                      <w:szCs w:val="21"/>
                      <w:highlight w:val="none"/>
                      <w:vertAlign w:val="baseline"/>
                      <w:lang w:val="en-US" w:eastAsia="zh-CN"/>
                    </w:rPr>
                    <w:t>95</w:t>
                  </w:r>
                </w:p>
              </w:tc>
            </w:tr>
            <w:tr w14:paraId="17CE7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6" w:type="pct"/>
                  <w:noWrap w:val="0"/>
                  <w:vAlign w:val="center"/>
                </w:tcPr>
                <w:p w14:paraId="02A75004">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细小颗粒量（F，粒径不大于3mm）</w:t>
                  </w:r>
                </w:p>
              </w:tc>
              <w:tc>
                <w:tcPr>
                  <w:tcW w:w="1059" w:type="pct"/>
                  <w:noWrap w:val="0"/>
                  <w:vAlign w:val="center"/>
                </w:tcPr>
                <w:p w14:paraId="710F004D">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w:t>
                  </w:r>
                </w:p>
              </w:tc>
              <w:tc>
                <w:tcPr>
                  <w:tcW w:w="2093" w:type="pct"/>
                  <w:noWrap w:val="0"/>
                  <w:vAlign w:val="center"/>
                </w:tcPr>
                <w:p w14:paraId="16B1E508">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w:t>
                  </w:r>
                  <w:r>
                    <w:rPr>
                      <w:rFonts w:hint="eastAsia" w:ascii="Times New Roman" w:hAnsi="Times New Roman" w:eastAsia="宋体" w:cs="Times New Roman"/>
                      <w:b w:val="0"/>
                      <w:bCs/>
                      <w:color w:val="auto"/>
                      <w:sz w:val="21"/>
                      <w:szCs w:val="21"/>
                      <w:highlight w:val="none"/>
                      <w:vertAlign w:val="baseline"/>
                      <w:lang w:val="en-US" w:eastAsia="zh-CN"/>
                    </w:rPr>
                    <w:t>10</w:t>
                  </w:r>
                </w:p>
              </w:tc>
            </w:tr>
            <w:tr w14:paraId="6E7EC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6" w:type="pct"/>
                  <w:noWrap w:val="0"/>
                  <w:vAlign w:val="center"/>
                </w:tcPr>
                <w:p w14:paraId="046D1C82">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全水分（M</w:t>
                  </w:r>
                  <w:r>
                    <w:rPr>
                      <w:rFonts w:hint="eastAsia" w:ascii="Times New Roman" w:hAnsi="Times New Roman" w:eastAsia="宋体" w:cs="Times New Roman"/>
                      <w:b/>
                      <w:bCs w:val="0"/>
                      <w:color w:val="auto"/>
                      <w:sz w:val="21"/>
                      <w:szCs w:val="21"/>
                      <w:highlight w:val="none"/>
                      <w:vertAlign w:val="subscript"/>
                      <w:lang w:val="en-US" w:eastAsia="zh-CN"/>
                    </w:rPr>
                    <w:t>t</w:t>
                  </w:r>
                  <w:r>
                    <w:rPr>
                      <w:rFonts w:hint="eastAsia" w:ascii="Times New Roman" w:hAnsi="Times New Roman" w:eastAsia="宋体" w:cs="Times New Roman"/>
                      <w:b/>
                      <w:bCs w:val="0"/>
                      <w:color w:val="auto"/>
                      <w:sz w:val="21"/>
                      <w:szCs w:val="21"/>
                      <w:highlight w:val="none"/>
                      <w:vertAlign w:val="baseline"/>
                      <w:lang w:val="en-US" w:eastAsia="zh-CN"/>
                    </w:rPr>
                    <w:t>，收到基ar）</w:t>
                  </w:r>
                </w:p>
              </w:tc>
              <w:tc>
                <w:tcPr>
                  <w:tcW w:w="1059" w:type="pct"/>
                  <w:noWrap w:val="0"/>
                  <w:vAlign w:val="center"/>
                </w:tcPr>
                <w:p w14:paraId="4BE4097E">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w:t>
                  </w:r>
                </w:p>
              </w:tc>
              <w:tc>
                <w:tcPr>
                  <w:tcW w:w="2093" w:type="pct"/>
                  <w:noWrap w:val="0"/>
                  <w:vAlign w:val="center"/>
                </w:tcPr>
                <w:p w14:paraId="566B2AAA">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w:t>
                  </w:r>
                  <w:r>
                    <w:rPr>
                      <w:rFonts w:hint="eastAsia" w:ascii="Times New Roman" w:hAnsi="Times New Roman" w:eastAsia="宋体" w:cs="Times New Roman"/>
                      <w:b w:val="0"/>
                      <w:bCs/>
                      <w:color w:val="auto"/>
                      <w:sz w:val="21"/>
                      <w:szCs w:val="21"/>
                      <w:highlight w:val="none"/>
                      <w:vertAlign w:val="baseline"/>
                      <w:lang w:val="en-US" w:eastAsia="zh-CN"/>
                    </w:rPr>
                    <w:t>15</w:t>
                  </w:r>
                </w:p>
              </w:tc>
            </w:tr>
            <w:tr w14:paraId="12741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6" w:type="pct"/>
                  <w:noWrap w:val="0"/>
                  <w:vAlign w:val="center"/>
                </w:tcPr>
                <w:p w14:paraId="32445FDA">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灰分（A，干燥基d）</w:t>
                  </w:r>
                </w:p>
              </w:tc>
              <w:tc>
                <w:tcPr>
                  <w:tcW w:w="1059" w:type="pct"/>
                  <w:noWrap w:val="0"/>
                  <w:vAlign w:val="center"/>
                </w:tcPr>
                <w:p w14:paraId="0F85BFD9">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w:t>
                  </w:r>
                </w:p>
              </w:tc>
              <w:tc>
                <w:tcPr>
                  <w:tcW w:w="2093" w:type="pct"/>
                  <w:noWrap w:val="0"/>
                  <w:vAlign w:val="center"/>
                </w:tcPr>
                <w:p w14:paraId="5DE73D1E">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w:t>
                  </w:r>
                  <w:r>
                    <w:rPr>
                      <w:rFonts w:hint="eastAsia" w:ascii="Times New Roman" w:hAnsi="Times New Roman" w:eastAsia="宋体" w:cs="Times New Roman"/>
                      <w:b w:val="0"/>
                      <w:bCs/>
                      <w:color w:val="auto"/>
                      <w:sz w:val="21"/>
                      <w:szCs w:val="21"/>
                      <w:highlight w:val="none"/>
                      <w:vertAlign w:val="baseline"/>
                      <w:lang w:val="en-US" w:eastAsia="zh-CN"/>
                    </w:rPr>
                    <w:t>15</w:t>
                  </w:r>
                </w:p>
              </w:tc>
            </w:tr>
            <w:tr w14:paraId="2C6D9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6" w:type="pct"/>
                  <w:noWrap w:val="0"/>
                  <w:vAlign w:val="center"/>
                </w:tcPr>
                <w:p w14:paraId="3A35442E">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硫</w:t>
                  </w:r>
                  <w:r>
                    <w:rPr>
                      <w:rFonts w:hint="default" w:ascii="Times New Roman" w:hAnsi="Times New Roman" w:eastAsia="宋体" w:cs="Times New Roman"/>
                      <w:b/>
                      <w:bCs w:val="0"/>
                      <w:color w:val="auto"/>
                      <w:sz w:val="21"/>
                      <w:szCs w:val="21"/>
                      <w:highlight w:val="none"/>
                      <w:vertAlign w:val="baseline"/>
                      <w:lang w:val="en-US" w:eastAsia="zh-CN"/>
                    </w:rPr>
                    <w:t>（</w:t>
                  </w:r>
                  <w:r>
                    <w:rPr>
                      <w:rFonts w:hint="eastAsia" w:ascii="Times New Roman" w:hAnsi="Times New Roman" w:eastAsia="宋体" w:cs="Times New Roman"/>
                      <w:b/>
                      <w:bCs w:val="0"/>
                      <w:color w:val="auto"/>
                      <w:sz w:val="21"/>
                      <w:szCs w:val="21"/>
                      <w:highlight w:val="none"/>
                      <w:vertAlign w:val="baseline"/>
                      <w:lang w:val="en-US" w:eastAsia="zh-CN"/>
                    </w:rPr>
                    <w:t>S</w:t>
                  </w:r>
                  <w:r>
                    <w:rPr>
                      <w:rFonts w:hint="default" w:ascii="Times New Roman" w:hAnsi="Times New Roman" w:eastAsia="宋体" w:cs="Times New Roman"/>
                      <w:b/>
                      <w:bCs w:val="0"/>
                      <w:color w:val="auto"/>
                      <w:sz w:val="21"/>
                      <w:szCs w:val="21"/>
                      <w:highlight w:val="none"/>
                      <w:vertAlign w:val="baseline"/>
                      <w:lang w:val="en-US" w:eastAsia="zh-CN"/>
                    </w:rPr>
                    <w:t>，干燥基）</w:t>
                  </w:r>
                </w:p>
              </w:tc>
              <w:tc>
                <w:tcPr>
                  <w:tcW w:w="1059" w:type="pct"/>
                  <w:noWrap w:val="0"/>
                  <w:vAlign w:val="center"/>
                </w:tcPr>
                <w:p w14:paraId="39C98A61">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w:t>
                  </w:r>
                </w:p>
              </w:tc>
              <w:tc>
                <w:tcPr>
                  <w:tcW w:w="2093" w:type="pct"/>
                  <w:noWrap w:val="0"/>
                  <w:vAlign w:val="center"/>
                </w:tcPr>
                <w:p w14:paraId="49A021C0">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w:t>
                  </w:r>
                  <w:r>
                    <w:rPr>
                      <w:rFonts w:hint="eastAsia" w:ascii="Times New Roman" w:hAnsi="Times New Roman" w:eastAsia="宋体" w:cs="Times New Roman"/>
                      <w:b w:val="0"/>
                      <w:bCs/>
                      <w:color w:val="auto"/>
                      <w:sz w:val="21"/>
                      <w:szCs w:val="21"/>
                      <w:highlight w:val="none"/>
                      <w:vertAlign w:val="baseline"/>
                      <w:lang w:val="en-US" w:eastAsia="zh-CN"/>
                    </w:rPr>
                    <w:t>0.1</w:t>
                  </w:r>
                </w:p>
              </w:tc>
            </w:tr>
            <w:tr w14:paraId="7F771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6" w:type="pct"/>
                  <w:noWrap w:val="0"/>
                  <w:vAlign w:val="center"/>
                </w:tcPr>
                <w:p w14:paraId="167DC479">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氮（N，干燥基d）</w:t>
                  </w:r>
                </w:p>
              </w:tc>
              <w:tc>
                <w:tcPr>
                  <w:tcW w:w="1059" w:type="pct"/>
                  <w:noWrap w:val="0"/>
                  <w:vAlign w:val="center"/>
                </w:tcPr>
                <w:p w14:paraId="276CB39E">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w:t>
                  </w:r>
                </w:p>
              </w:tc>
              <w:tc>
                <w:tcPr>
                  <w:tcW w:w="2093" w:type="pct"/>
                  <w:noWrap w:val="0"/>
                  <w:vAlign w:val="center"/>
                </w:tcPr>
                <w:p w14:paraId="17CF7665">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w:t>
                  </w:r>
                  <w:r>
                    <w:rPr>
                      <w:rFonts w:hint="eastAsia" w:ascii="Times New Roman" w:hAnsi="Times New Roman" w:eastAsia="宋体" w:cs="Times New Roman"/>
                      <w:b w:val="0"/>
                      <w:bCs/>
                      <w:color w:val="auto"/>
                      <w:sz w:val="21"/>
                      <w:szCs w:val="21"/>
                      <w:highlight w:val="none"/>
                      <w:vertAlign w:val="baseline"/>
                      <w:lang w:val="en-US" w:eastAsia="zh-CN"/>
                    </w:rPr>
                    <w:t>1.0</w:t>
                  </w:r>
                </w:p>
              </w:tc>
            </w:tr>
            <w:tr w14:paraId="31B7B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exact"/>
              </w:trPr>
              <w:tc>
                <w:tcPr>
                  <w:tcW w:w="1846" w:type="pct"/>
                  <w:noWrap w:val="0"/>
                  <w:vAlign w:val="center"/>
                </w:tcPr>
                <w:p w14:paraId="63D0BB4E">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氯</w:t>
                  </w:r>
                  <w:r>
                    <w:rPr>
                      <w:rFonts w:hint="default" w:ascii="Times New Roman" w:hAnsi="Times New Roman" w:eastAsia="宋体" w:cs="Times New Roman"/>
                      <w:b/>
                      <w:bCs w:val="0"/>
                      <w:color w:val="auto"/>
                      <w:sz w:val="21"/>
                      <w:szCs w:val="21"/>
                      <w:highlight w:val="none"/>
                      <w:vertAlign w:val="baseline"/>
                      <w:lang w:val="en-US" w:eastAsia="zh-CN"/>
                    </w:rPr>
                    <w:t>（</w:t>
                  </w:r>
                  <w:r>
                    <w:rPr>
                      <w:rFonts w:hint="eastAsia" w:ascii="Times New Roman" w:hAnsi="Times New Roman" w:eastAsia="宋体" w:cs="Times New Roman"/>
                      <w:b/>
                      <w:bCs w:val="0"/>
                      <w:color w:val="auto"/>
                      <w:sz w:val="21"/>
                      <w:szCs w:val="21"/>
                      <w:highlight w:val="none"/>
                      <w:vertAlign w:val="baseline"/>
                      <w:lang w:val="en-US" w:eastAsia="zh-CN"/>
                    </w:rPr>
                    <w:t>Cl</w:t>
                  </w:r>
                  <w:r>
                    <w:rPr>
                      <w:rFonts w:hint="default" w:ascii="Times New Roman" w:hAnsi="Times New Roman" w:eastAsia="宋体" w:cs="Times New Roman"/>
                      <w:b/>
                      <w:bCs w:val="0"/>
                      <w:color w:val="auto"/>
                      <w:sz w:val="21"/>
                      <w:szCs w:val="21"/>
                      <w:highlight w:val="none"/>
                      <w:vertAlign w:val="baseline"/>
                      <w:lang w:val="en-US" w:eastAsia="zh-CN"/>
                    </w:rPr>
                    <w:t>，干燥基）</w:t>
                  </w:r>
                </w:p>
              </w:tc>
              <w:tc>
                <w:tcPr>
                  <w:tcW w:w="1059" w:type="pct"/>
                  <w:noWrap w:val="0"/>
                  <w:vAlign w:val="center"/>
                </w:tcPr>
                <w:p w14:paraId="74D648A2">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w:t>
                  </w:r>
                </w:p>
              </w:tc>
              <w:tc>
                <w:tcPr>
                  <w:tcW w:w="2093" w:type="pct"/>
                  <w:noWrap w:val="0"/>
                  <w:vAlign w:val="center"/>
                </w:tcPr>
                <w:p w14:paraId="09B4A7BA">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w:t>
                  </w:r>
                  <w:r>
                    <w:rPr>
                      <w:rFonts w:hint="eastAsia" w:ascii="Times New Roman" w:hAnsi="Times New Roman" w:eastAsia="宋体" w:cs="Times New Roman"/>
                      <w:b w:val="0"/>
                      <w:bCs/>
                      <w:color w:val="auto"/>
                      <w:sz w:val="21"/>
                      <w:szCs w:val="21"/>
                      <w:highlight w:val="none"/>
                      <w:vertAlign w:val="baseline"/>
                      <w:lang w:val="en-US" w:eastAsia="zh-CN"/>
                    </w:rPr>
                    <w:t>0.2</w:t>
                  </w:r>
                </w:p>
              </w:tc>
            </w:tr>
            <w:tr w14:paraId="01A1B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6" w:type="pct"/>
                  <w:noWrap w:val="0"/>
                  <w:vAlign w:val="center"/>
                </w:tcPr>
                <w:p w14:paraId="0D645C51">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结渣性</w:t>
                  </w:r>
                </w:p>
              </w:tc>
              <w:tc>
                <w:tcPr>
                  <w:tcW w:w="1059" w:type="pct"/>
                  <w:noWrap w:val="0"/>
                  <w:vAlign w:val="center"/>
                </w:tcPr>
                <w:p w14:paraId="1B0B421F">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w:t>
                  </w:r>
                </w:p>
              </w:tc>
              <w:tc>
                <w:tcPr>
                  <w:tcW w:w="2093" w:type="pct"/>
                  <w:noWrap w:val="0"/>
                  <w:vAlign w:val="center"/>
                </w:tcPr>
                <w:p w14:paraId="4E1FE9D8">
                  <w:pPr>
                    <w:pStyle w:val="43"/>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中等</w:t>
                  </w:r>
                </w:p>
              </w:tc>
            </w:tr>
          </w:tbl>
          <w:p w14:paraId="6A18E1D5">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jc w:val="left"/>
              <w:textAlignment w:val="auto"/>
              <w:rPr>
                <w:rFonts w:hint="default" w:eastAsia="宋体"/>
                <w:b/>
                <w:bCs/>
                <w:color w:val="auto"/>
                <w:sz w:val="24"/>
                <w:szCs w:val="21"/>
                <w:highlight w:val="none"/>
                <w:lang w:val="en-US" w:eastAsia="zh-CN"/>
              </w:rPr>
            </w:pPr>
            <w:r>
              <w:rPr>
                <w:rFonts w:hint="eastAsia"/>
                <w:b/>
                <w:bCs/>
                <w:color w:val="auto"/>
                <w:sz w:val="24"/>
                <w:szCs w:val="21"/>
                <w:highlight w:val="none"/>
                <w:lang w:val="en-US" w:eastAsia="zh-CN"/>
              </w:rPr>
              <w:t>6、</w:t>
            </w:r>
            <w:r>
              <w:rPr>
                <w:rFonts w:hint="eastAsia"/>
                <w:b/>
                <w:bCs/>
                <w:color w:val="auto"/>
                <w:sz w:val="24"/>
                <w:szCs w:val="21"/>
                <w:highlight w:val="none"/>
              </w:rPr>
              <w:t>能耗</w:t>
            </w:r>
          </w:p>
          <w:p w14:paraId="25B7B8CA">
            <w:pPr>
              <w:spacing w:line="360" w:lineRule="auto"/>
              <w:ind w:firstLine="480" w:firstLineChars="200"/>
              <w:rPr>
                <w:rFonts w:hint="eastAsia" w:hAnsi="宋体" w:eastAsia="宋体"/>
                <w:color w:val="auto"/>
                <w:sz w:val="24"/>
                <w:highlight w:val="none"/>
                <w:lang w:val="en-US" w:eastAsia="zh-CN"/>
              </w:rPr>
            </w:pPr>
            <w:r>
              <w:rPr>
                <w:rFonts w:hint="eastAsia" w:hAnsi="宋体"/>
                <w:color w:val="auto"/>
                <w:sz w:val="24"/>
                <w:highlight w:val="none"/>
              </w:rPr>
              <w:t>本项目投产后年用电量</w:t>
            </w:r>
            <w:r>
              <w:rPr>
                <w:rFonts w:hint="eastAsia" w:hAnsi="宋体"/>
                <w:color w:val="auto"/>
                <w:sz w:val="24"/>
                <w:highlight w:val="none"/>
                <w:lang w:val="en-US" w:eastAsia="zh-CN"/>
              </w:rPr>
              <w:t>约</w:t>
            </w:r>
            <w:r>
              <w:rPr>
                <w:rFonts w:hint="eastAsia" w:hAnsi="宋体"/>
                <w:color w:val="auto"/>
                <w:sz w:val="24"/>
                <w:highlight w:val="none"/>
              </w:rPr>
              <w:t>为</w:t>
            </w:r>
            <w:r>
              <w:rPr>
                <w:rFonts w:hint="eastAsia" w:hAnsi="宋体"/>
                <w:color w:val="auto"/>
                <w:sz w:val="24"/>
                <w:highlight w:val="none"/>
                <w:lang w:val="en-US" w:eastAsia="zh-CN"/>
              </w:rPr>
              <w:t>222.22</w:t>
            </w:r>
            <w:r>
              <w:rPr>
                <w:rFonts w:hint="eastAsia" w:hAnsi="宋体"/>
                <w:color w:val="auto"/>
                <w:sz w:val="24"/>
                <w:highlight w:val="none"/>
              </w:rPr>
              <w:t>万kW·h</w:t>
            </w:r>
            <w:r>
              <w:rPr>
                <w:rFonts w:hint="eastAsia" w:hAnsi="宋体"/>
                <w:color w:val="auto"/>
                <w:sz w:val="24"/>
                <w:highlight w:val="none"/>
                <w:lang w:eastAsia="zh-CN"/>
              </w:rPr>
              <w:t>。</w:t>
            </w:r>
          </w:p>
          <w:p w14:paraId="6057BCCC">
            <w:pPr>
              <w:adjustRightInd w:val="0"/>
              <w:snapToGrid w:val="0"/>
              <w:spacing w:line="360" w:lineRule="auto"/>
              <w:ind w:firstLine="482" w:firstLineChars="200"/>
              <w:jc w:val="left"/>
              <w:rPr>
                <w:rFonts w:hint="default" w:eastAsia="宋体"/>
                <w:b/>
                <w:bCs/>
                <w:color w:val="auto"/>
                <w:sz w:val="24"/>
                <w:szCs w:val="21"/>
                <w:highlight w:val="none"/>
                <w:lang w:val="en-US" w:eastAsia="zh-CN"/>
              </w:rPr>
            </w:pPr>
            <w:r>
              <w:rPr>
                <w:rFonts w:hint="eastAsia"/>
                <w:b/>
                <w:bCs/>
                <w:color w:val="auto"/>
                <w:sz w:val="24"/>
                <w:szCs w:val="21"/>
                <w:highlight w:val="none"/>
                <w:lang w:val="en-US" w:eastAsia="zh-CN"/>
              </w:rPr>
              <w:t>7、</w:t>
            </w:r>
            <w:r>
              <w:rPr>
                <w:rFonts w:hint="eastAsia"/>
                <w:b/>
                <w:bCs/>
                <w:color w:val="auto"/>
                <w:sz w:val="24"/>
                <w:szCs w:val="21"/>
                <w:highlight w:val="none"/>
              </w:rPr>
              <w:t>水耗</w:t>
            </w:r>
          </w:p>
          <w:p w14:paraId="19D79862">
            <w:pPr>
              <w:tabs>
                <w:tab w:val="left" w:pos="484"/>
              </w:tabs>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snapToGrid w:val="0"/>
                <w:color w:val="auto"/>
                <w:kern w:val="0"/>
                <w:sz w:val="24"/>
                <w:highlight w:val="none"/>
              </w:rPr>
              <w:t>项目用水主要为生活用水、锅炉用水、</w:t>
            </w:r>
            <w:r>
              <w:rPr>
                <w:rFonts w:hint="eastAsia" w:ascii="Times New Roman" w:hAnsi="Times New Roman" w:cs="Times New Roman"/>
                <w:snapToGrid w:val="0"/>
                <w:color w:val="auto"/>
                <w:kern w:val="0"/>
                <w:sz w:val="24"/>
                <w:highlight w:val="none"/>
                <w:lang w:val="en-US" w:eastAsia="zh-CN"/>
              </w:rPr>
              <w:t>软水制备用水、烟气处理用水</w:t>
            </w:r>
            <w:r>
              <w:rPr>
                <w:rFonts w:hint="default" w:ascii="Times New Roman" w:hAnsi="Times New Roman" w:cs="Times New Roman"/>
                <w:snapToGrid w:val="0"/>
                <w:color w:val="auto"/>
                <w:kern w:val="0"/>
                <w:sz w:val="24"/>
                <w:highlight w:val="none"/>
              </w:rPr>
              <w:t>。项目新鲜用水量约为</w:t>
            </w:r>
            <w:r>
              <w:rPr>
                <w:rFonts w:hint="eastAsia" w:cs="Times New Roman"/>
                <w:snapToGrid w:val="0"/>
                <w:color w:val="auto"/>
                <w:kern w:val="0"/>
                <w:sz w:val="24"/>
                <w:highlight w:val="none"/>
                <w:lang w:val="en-US" w:eastAsia="zh-CN"/>
              </w:rPr>
              <w:t>9720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a</w:t>
            </w:r>
            <w:r>
              <w:rPr>
                <w:rFonts w:hint="eastAsia" w:cs="Times New Roman"/>
                <w:color w:val="auto"/>
                <w:sz w:val="24"/>
                <w:highlight w:val="none"/>
                <w:lang w:val="en-US" w:eastAsia="zh-CN"/>
              </w:rPr>
              <w:t>,，48.6</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cs="Times New Roman"/>
                <w:snapToGrid w:val="0"/>
                <w:color w:val="auto"/>
                <w:kern w:val="0"/>
                <w:sz w:val="24"/>
                <w:highlight w:val="none"/>
              </w:rPr>
              <w:t>。</w:t>
            </w:r>
          </w:p>
          <w:p w14:paraId="0A70A08D">
            <w:pPr>
              <w:tabs>
                <w:tab w:val="left" w:pos="484"/>
              </w:tabs>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①生活用水</w:t>
            </w:r>
          </w:p>
          <w:p w14:paraId="20B9F3A5">
            <w:pPr>
              <w:tabs>
                <w:tab w:val="left" w:pos="484"/>
              </w:tabs>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本项目劳动定员</w:t>
            </w:r>
            <w:r>
              <w:rPr>
                <w:rFonts w:hint="default" w:ascii="Times New Roman" w:hAnsi="Times New Roman" w:cs="Times New Roman"/>
                <w:color w:val="auto"/>
                <w:sz w:val="24"/>
                <w:highlight w:val="none"/>
                <w:lang w:val="en-US" w:eastAsia="zh-CN"/>
              </w:rPr>
              <w:t>14</w:t>
            </w:r>
            <w:r>
              <w:rPr>
                <w:rFonts w:hint="default" w:ascii="Times New Roman" w:hAnsi="Times New Roman" w:cs="Times New Roman"/>
                <w:color w:val="auto"/>
                <w:sz w:val="24"/>
                <w:highlight w:val="none"/>
              </w:rPr>
              <w:t>人，</w:t>
            </w:r>
            <w:r>
              <w:rPr>
                <w:rFonts w:hint="default" w:ascii="Times New Roman" w:hAnsi="Times New Roman" w:cs="Times New Roman"/>
                <w:color w:val="auto"/>
                <w:sz w:val="24"/>
                <w:highlight w:val="none"/>
                <w:lang w:val="zh-CN"/>
              </w:rPr>
              <w:t>均不在</w:t>
            </w:r>
            <w:r>
              <w:rPr>
                <w:rFonts w:hint="default" w:ascii="Times New Roman" w:hAnsi="Times New Roman" w:cs="Times New Roman"/>
                <w:color w:val="auto"/>
                <w:sz w:val="24"/>
                <w:highlight w:val="none"/>
              </w:rPr>
              <w:t>厂内食宿，根据《广东省地方标准用水定额第3部分</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生活》（DB44/T1461.3—2021）</w:t>
            </w:r>
            <w:r>
              <w:rPr>
                <w:rFonts w:hint="default" w:ascii="Times New Roman" w:hAnsi="Times New Roman" w:cs="Times New Roman"/>
                <w:color w:val="auto"/>
                <w:sz w:val="24"/>
                <w:highlight w:val="none"/>
                <w:lang w:val="zh-CN"/>
              </w:rPr>
              <w:t>，用水量按</w:t>
            </w:r>
            <w:r>
              <w:rPr>
                <w:rFonts w:hint="default" w:ascii="Times New Roman" w:hAnsi="Times New Roman" w:cs="Times New Roman"/>
                <w:color w:val="auto"/>
                <w:sz w:val="24"/>
                <w:highlight w:val="none"/>
              </w:rPr>
              <w:t>28</w:t>
            </w:r>
            <w:r>
              <w:rPr>
                <w:rFonts w:hint="default" w:ascii="Times New Roman" w:hAnsi="Times New Roman" w:cs="Times New Roman"/>
                <w:color w:val="auto"/>
                <w:sz w:val="24"/>
                <w:highlight w:val="none"/>
                <w:lang w:val="zh-CN"/>
              </w:rPr>
              <w:t>L/人·d，则生活用水量为</w:t>
            </w:r>
            <w:r>
              <w:rPr>
                <w:rFonts w:hint="default" w:ascii="Times New Roman" w:hAnsi="Times New Roman" w:cs="Times New Roman"/>
                <w:color w:val="auto"/>
                <w:sz w:val="24"/>
                <w:highlight w:val="none"/>
                <w:lang w:val="en-US" w:eastAsia="zh-CN"/>
              </w:rPr>
              <w:t>0.39</w:t>
            </w:r>
            <w:r>
              <w:rPr>
                <w:rFonts w:hint="default" w:ascii="Times New Roman" w:hAnsi="Times New Roman" w:cs="Times New Roman"/>
                <w:color w:val="auto"/>
                <w:sz w:val="24"/>
                <w:highlight w:val="none"/>
                <w:lang w:val="zh-CN"/>
              </w:rPr>
              <w:t>m</w:t>
            </w:r>
            <w:r>
              <w:rPr>
                <w:rFonts w:hint="default" w:ascii="Times New Roman" w:hAnsi="Times New Roman" w:cs="Times New Roman"/>
                <w:color w:val="auto"/>
                <w:sz w:val="24"/>
                <w:highlight w:val="none"/>
                <w:vertAlign w:val="superscript"/>
                <w:lang w:val="zh-CN"/>
              </w:rPr>
              <w:t>3</w:t>
            </w:r>
            <w:r>
              <w:rPr>
                <w:rFonts w:hint="default" w:ascii="Times New Roman" w:hAnsi="Times New Roman" w:cs="Times New Roman"/>
                <w:color w:val="auto"/>
                <w:sz w:val="24"/>
                <w:highlight w:val="none"/>
                <w:lang w:val="zh-CN"/>
              </w:rPr>
              <w:t>/d，</w:t>
            </w:r>
            <w:r>
              <w:rPr>
                <w:rFonts w:hint="default" w:ascii="Times New Roman" w:hAnsi="Times New Roman" w:cs="Times New Roman"/>
                <w:color w:val="auto"/>
                <w:sz w:val="24"/>
                <w:highlight w:val="none"/>
              </w:rPr>
              <w:t>合计</w:t>
            </w:r>
            <w:r>
              <w:rPr>
                <w:rFonts w:hint="default" w:ascii="Times New Roman" w:hAnsi="Times New Roman" w:cs="Times New Roman"/>
                <w:color w:val="auto"/>
                <w:sz w:val="24"/>
                <w:highlight w:val="none"/>
                <w:lang w:val="en-US" w:eastAsia="zh-CN"/>
              </w:rPr>
              <w:t>78.40</w:t>
            </w:r>
            <w:r>
              <w:rPr>
                <w:rFonts w:hint="default" w:ascii="Times New Roman" w:hAnsi="Times New Roman" w:cs="Times New Roman"/>
                <w:color w:val="auto"/>
                <w:sz w:val="24"/>
                <w:highlight w:val="none"/>
                <w:lang w:val="zh-CN"/>
              </w:rPr>
              <w:t>m</w:t>
            </w:r>
            <w:r>
              <w:rPr>
                <w:rFonts w:hint="default" w:ascii="Times New Roman" w:hAnsi="Times New Roman" w:cs="Times New Roman"/>
                <w:color w:val="auto"/>
                <w:sz w:val="24"/>
                <w:highlight w:val="none"/>
                <w:vertAlign w:val="superscript"/>
                <w:lang w:val="zh-CN"/>
              </w:rPr>
              <w:t>3</w:t>
            </w:r>
            <w:r>
              <w:rPr>
                <w:rFonts w:hint="default" w:ascii="Times New Roman" w:hAnsi="Times New Roman" w:cs="Times New Roman"/>
                <w:color w:val="auto"/>
                <w:sz w:val="24"/>
                <w:highlight w:val="none"/>
                <w:lang w:val="zh-CN"/>
              </w:rPr>
              <w:t>/a，员工</w:t>
            </w:r>
            <w:r>
              <w:rPr>
                <w:rFonts w:hint="default" w:ascii="Times New Roman" w:hAnsi="Times New Roman" w:cs="Times New Roman"/>
                <w:color w:val="auto"/>
                <w:sz w:val="24"/>
                <w:highlight w:val="none"/>
              </w:rPr>
              <w:t>生活污水产生量按用水量的90%计，</w:t>
            </w:r>
            <w:r>
              <w:rPr>
                <w:rFonts w:hint="default" w:ascii="Times New Roman" w:hAnsi="Times New Roman" w:cs="Times New Roman"/>
                <w:color w:val="auto"/>
                <w:sz w:val="24"/>
                <w:highlight w:val="none"/>
                <w:lang w:val="zh-CN"/>
              </w:rPr>
              <w:t>则生活污水产生量约为</w:t>
            </w:r>
            <w:r>
              <w:rPr>
                <w:rFonts w:hint="default" w:ascii="Times New Roman" w:hAnsi="Times New Roman" w:cs="Times New Roman"/>
                <w:color w:val="auto"/>
                <w:sz w:val="24"/>
                <w:highlight w:val="none"/>
                <w:lang w:val="en-US" w:eastAsia="zh-CN"/>
              </w:rPr>
              <w:t>0.35</w:t>
            </w:r>
            <w:r>
              <w:rPr>
                <w:rFonts w:hint="default" w:ascii="Times New Roman" w:hAnsi="Times New Roman" w:cs="Times New Roman"/>
                <w:color w:val="auto"/>
                <w:sz w:val="24"/>
                <w:highlight w:val="none"/>
                <w:lang w:val="zh-CN"/>
              </w:rPr>
              <w:t>m</w:t>
            </w:r>
            <w:r>
              <w:rPr>
                <w:rFonts w:hint="default" w:ascii="Times New Roman" w:hAnsi="Times New Roman" w:cs="Times New Roman"/>
                <w:color w:val="auto"/>
                <w:sz w:val="24"/>
                <w:highlight w:val="none"/>
                <w:vertAlign w:val="superscript"/>
                <w:lang w:val="zh-CN"/>
              </w:rPr>
              <w:t>3</w:t>
            </w:r>
            <w:r>
              <w:rPr>
                <w:rFonts w:hint="default" w:ascii="Times New Roman" w:hAnsi="Times New Roman" w:cs="Times New Roman"/>
                <w:color w:val="auto"/>
                <w:sz w:val="24"/>
                <w:highlight w:val="none"/>
              </w:rPr>
              <w:t>/d，合计</w:t>
            </w:r>
            <w:r>
              <w:rPr>
                <w:rFonts w:hint="default" w:ascii="Times New Roman" w:hAnsi="Times New Roman" w:cs="Times New Roman"/>
                <w:color w:val="auto"/>
                <w:sz w:val="24"/>
                <w:highlight w:val="none"/>
                <w:lang w:val="en-US" w:eastAsia="zh-CN"/>
              </w:rPr>
              <w:t>70.56</w:t>
            </w:r>
            <w:r>
              <w:rPr>
                <w:rFonts w:hint="default" w:ascii="Times New Roman" w:hAnsi="Times New Roman" w:cs="Times New Roman"/>
                <w:color w:val="auto"/>
                <w:sz w:val="24"/>
                <w:highlight w:val="none"/>
                <w:lang w:val="zh-CN"/>
              </w:rPr>
              <w:t>m</w:t>
            </w:r>
            <w:r>
              <w:rPr>
                <w:rFonts w:hint="default" w:ascii="Times New Roman" w:hAnsi="Times New Roman" w:cs="Times New Roman"/>
                <w:color w:val="auto"/>
                <w:sz w:val="24"/>
                <w:highlight w:val="none"/>
                <w:vertAlign w:val="superscript"/>
                <w:lang w:val="zh-CN"/>
              </w:rPr>
              <w:t>3</w:t>
            </w:r>
            <w:r>
              <w:rPr>
                <w:rFonts w:hint="default" w:ascii="Times New Roman" w:hAnsi="Times New Roman" w:cs="Times New Roman"/>
                <w:color w:val="auto"/>
                <w:sz w:val="24"/>
                <w:highlight w:val="none"/>
                <w:lang w:val="zh-CN"/>
              </w:rPr>
              <w:t>/a</w:t>
            </w:r>
            <w:r>
              <w:rPr>
                <w:rFonts w:hint="default" w:ascii="Times New Roman" w:hAnsi="Times New Roman" w:cs="Times New Roman"/>
                <w:color w:val="auto"/>
                <w:sz w:val="24"/>
                <w:highlight w:val="none"/>
                <w:lang w:eastAsia="zh-CN"/>
              </w:rPr>
              <w:t>。</w:t>
            </w:r>
          </w:p>
          <w:p w14:paraId="2779F2C0">
            <w:pPr>
              <w:tabs>
                <w:tab w:val="left" w:pos="484"/>
              </w:tabs>
              <w:snapToGrid w:val="0"/>
              <w:spacing w:line="360" w:lineRule="auto"/>
              <w:ind w:firstLine="480" w:firstLineChars="200"/>
              <w:rPr>
                <w:rFonts w:hint="default" w:ascii="Times New Roman" w:hAnsi="Times New Roman" w:cs="Times New Roman"/>
                <w:snapToGrid w:val="0"/>
                <w:color w:val="auto"/>
                <w:kern w:val="0"/>
                <w:sz w:val="24"/>
                <w:highlight w:val="none"/>
                <w:lang w:val="en-US" w:eastAsia="zh-CN"/>
              </w:rPr>
            </w:pPr>
            <w:r>
              <w:rPr>
                <w:rFonts w:hint="default" w:ascii="Times New Roman" w:hAnsi="Times New Roman" w:cs="Times New Roman"/>
                <w:color w:val="auto"/>
                <w:sz w:val="24"/>
                <w:highlight w:val="none"/>
              </w:rPr>
              <w:t>②</w:t>
            </w:r>
            <w:r>
              <w:rPr>
                <w:rFonts w:hint="default" w:ascii="Times New Roman" w:hAnsi="Times New Roman" w:cs="Times New Roman"/>
                <w:snapToGrid w:val="0"/>
                <w:color w:val="auto"/>
                <w:kern w:val="0"/>
                <w:sz w:val="24"/>
                <w:highlight w:val="none"/>
              </w:rPr>
              <w:t>锅炉</w:t>
            </w:r>
            <w:r>
              <w:rPr>
                <w:rFonts w:hint="default" w:ascii="Times New Roman" w:hAnsi="Times New Roman" w:cs="Times New Roman"/>
                <w:snapToGrid w:val="0"/>
                <w:color w:val="auto"/>
                <w:kern w:val="0"/>
                <w:sz w:val="24"/>
                <w:highlight w:val="none"/>
                <w:lang w:val="en-US" w:eastAsia="zh-CN"/>
              </w:rPr>
              <w:t>用水</w:t>
            </w:r>
          </w:p>
          <w:p w14:paraId="733E340F">
            <w:pPr>
              <w:keepNext w:val="0"/>
              <w:keepLines w:val="0"/>
              <w:pageBreakBefore w:val="0"/>
              <w:widowControl w:val="0"/>
              <w:tabs>
                <w:tab w:val="left" w:pos="484"/>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锅炉连续运行过程中因蒸汽损失、排污等会损失掉一部分水，本项目蒸汽损失量按总蒸汽量的</w:t>
            </w:r>
            <w:r>
              <w:rPr>
                <w:rFonts w:hint="default" w:ascii="Times New Roman" w:hAnsi="Times New Roman"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%计，</w:t>
            </w:r>
            <w:r>
              <w:rPr>
                <w:rFonts w:hint="default" w:ascii="Times New Roman" w:hAnsi="Times New Roman" w:cs="Times New Roman"/>
                <w:color w:val="auto"/>
                <w:sz w:val="24"/>
                <w:highlight w:val="none"/>
                <w:lang w:val="en-US" w:eastAsia="zh-CN"/>
              </w:rPr>
              <w:t>则</w:t>
            </w:r>
            <w:r>
              <w:rPr>
                <w:rFonts w:hint="default" w:ascii="Times New Roman" w:hAnsi="Times New Roman" w:cs="Times New Roman"/>
                <w:color w:val="auto"/>
                <w:sz w:val="24"/>
                <w:highlight w:val="none"/>
              </w:rPr>
              <w:t>锅炉</w:t>
            </w:r>
            <w:r>
              <w:rPr>
                <w:rFonts w:hint="default" w:ascii="Times New Roman" w:hAnsi="Times New Roman" w:cs="Times New Roman"/>
                <w:color w:val="auto"/>
                <w:sz w:val="24"/>
                <w:highlight w:val="none"/>
                <w:lang w:val="en-US" w:eastAsia="zh-CN"/>
              </w:rPr>
              <w:t>蒸汽</w:t>
            </w:r>
            <w:r>
              <w:rPr>
                <w:rFonts w:hint="default" w:ascii="Times New Roman" w:hAnsi="Times New Roman" w:cs="Times New Roman"/>
                <w:color w:val="auto"/>
                <w:sz w:val="24"/>
                <w:highlight w:val="none"/>
              </w:rPr>
              <w:t>损失</w:t>
            </w:r>
            <w:r>
              <w:rPr>
                <w:rFonts w:hint="default" w:ascii="Times New Roman" w:hAnsi="Times New Roman" w:cs="Times New Roman"/>
                <w:color w:val="auto"/>
                <w:sz w:val="24"/>
                <w:highlight w:val="none"/>
                <w:lang w:val="en-US" w:eastAsia="zh-CN"/>
              </w:rPr>
              <w:t>补充水量约为6000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lang w:eastAsia="zh-CN"/>
              </w:rPr>
              <w:t>，</w:t>
            </w:r>
            <w:r>
              <w:rPr>
                <w:rFonts w:hint="default" w:ascii="Times New Roman" w:hAnsi="Times New Roman" w:cs="Times New Roman"/>
                <w:color w:val="auto"/>
                <w:sz w:val="24"/>
                <w:highlight w:val="none"/>
                <w:lang w:val="en-US" w:eastAsia="zh-CN"/>
              </w:rPr>
              <w:t>30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eastAsia="zh-CN"/>
              </w:rPr>
              <w:t>。</w:t>
            </w:r>
          </w:p>
          <w:p w14:paraId="19CC76F9">
            <w:pPr>
              <w:keepNext w:val="0"/>
              <w:keepLines w:val="0"/>
              <w:pageBreakBefore w:val="0"/>
              <w:widowControl w:val="0"/>
              <w:tabs>
                <w:tab w:val="left" w:pos="484"/>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本项目锅炉需排出锅炉内部分被盐质和水渣污染的锅水，</w:t>
            </w:r>
            <w:r>
              <w:rPr>
                <w:rFonts w:hint="default" w:ascii="Times New Roman" w:hAnsi="Times New Roman" w:cs="Times New Roman"/>
                <w:color w:val="auto"/>
                <w:sz w:val="24"/>
                <w:highlight w:val="none"/>
                <w:lang w:val="en-US" w:eastAsia="zh-CN"/>
              </w:rPr>
              <w:t>根据建设单位提供资料，</w:t>
            </w:r>
            <w:r>
              <w:rPr>
                <w:rFonts w:hint="default" w:ascii="Times New Roman" w:hAnsi="Times New Roman" w:cs="Times New Roman"/>
                <w:color w:val="auto"/>
                <w:sz w:val="24"/>
                <w:highlight w:val="none"/>
              </w:rPr>
              <w:t>排污水约为锅炉蒸汽用水量的</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rPr>
              <w:t>%，约</w:t>
            </w:r>
            <w:r>
              <w:rPr>
                <w:rFonts w:hint="default" w:ascii="Times New Roman" w:hAnsi="Times New Roman" w:cs="Times New Roman"/>
                <w:color w:val="auto"/>
                <w:sz w:val="24"/>
                <w:highlight w:val="none"/>
                <w:lang w:val="en-US" w:eastAsia="zh-CN"/>
              </w:rPr>
              <w:t>12</w:t>
            </w:r>
            <w:r>
              <w:rPr>
                <w:rFonts w:hint="default" w:ascii="Times New Roman" w:hAnsi="Times New Roman" w:cs="Times New Roman"/>
                <w:color w:val="auto"/>
                <w:sz w:val="24"/>
                <w:highlight w:val="none"/>
              </w:rPr>
              <w:t>万*0.0</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1200</w:t>
            </w:r>
            <w:r>
              <w:rPr>
                <w:rFonts w:hint="default" w:ascii="Times New Roman" w:hAnsi="Times New Roman" w:cs="Times New Roman"/>
                <w:color w:val="auto"/>
                <w:sz w:val="24"/>
                <w:highlight w:val="none"/>
              </w:rPr>
              <w:t>t/a</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6</w:t>
            </w:r>
            <w:r>
              <w:rPr>
                <w:rFonts w:hint="default" w:ascii="Times New Roman" w:hAnsi="Times New Roman" w:cs="Times New Roman"/>
                <w:color w:val="auto"/>
                <w:sz w:val="24"/>
                <w:highlight w:val="none"/>
              </w:rPr>
              <w:t>t</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d</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w:t>
            </w:r>
          </w:p>
          <w:p w14:paraId="0DBE504C">
            <w:pPr>
              <w:tabs>
                <w:tab w:val="left" w:pos="484"/>
              </w:tabs>
              <w:snapToGrid w:val="0"/>
              <w:spacing w:line="360" w:lineRule="auto"/>
              <w:ind w:firstLine="480" w:firstLineChars="200"/>
              <w:rPr>
                <w:rFonts w:hint="default" w:ascii="Times New Roman" w:hAnsi="Times New Roman" w:cs="Times New Roman"/>
                <w:snapToGrid w:val="0"/>
                <w:color w:val="auto"/>
                <w:kern w:val="0"/>
                <w:sz w:val="24"/>
                <w:highlight w:val="none"/>
                <w:lang w:val="en-US" w:eastAsia="zh-CN"/>
              </w:rPr>
            </w:pPr>
            <w:r>
              <w:rPr>
                <w:rFonts w:hint="default" w:ascii="Times New Roman" w:hAnsi="Times New Roman" w:cs="Times New Roman"/>
                <w:color w:val="auto"/>
                <w:sz w:val="24"/>
                <w:highlight w:val="none"/>
              </w:rPr>
              <w:t>③</w:t>
            </w:r>
            <w:r>
              <w:rPr>
                <w:rFonts w:hint="default" w:ascii="Times New Roman" w:hAnsi="Times New Roman" w:cs="Times New Roman"/>
                <w:snapToGrid w:val="0"/>
                <w:color w:val="auto"/>
                <w:kern w:val="0"/>
                <w:sz w:val="24"/>
                <w:highlight w:val="none"/>
                <w:lang w:val="en-US" w:eastAsia="zh-CN"/>
              </w:rPr>
              <w:t>软水用量</w:t>
            </w:r>
          </w:p>
          <w:p w14:paraId="3721759B">
            <w:pPr>
              <w:tabs>
                <w:tab w:val="left" w:pos="484"/>
              </w:tabs>
              <w:snapToGrid w:val="0"/>
              <w:spacing w:line="360" w:lineRule="auto"/>
              <w:ind w:firstLine="480" w:firstLineChars="200"/>
              <w:rPr>
                <w:rFonts w:hint="default" w:ascii="Times New Roman" w:hAnsi="Times New Roman" w:cs="Times New Roman"/>
                <w:color w:val="auto"/>
                <w:sz w:val="24"/>
                <w:highlight w:val="none"/>
                <w:lang w:val="en-US"/>
              </w:rPr>
            </w:pPr>
            <w:r>
              <w:rPr>
                <w:rFonts w:hint="default" w:ascii="Times New Roman" w:hAnsi="Times New Roman" w:cs="Times New Roman"/>
                <w:snapToGrid w:val="0"/>
                <w:color w:val="auto"/>
                <w:kern w:val="0"/>
                <w:sz w:val="24"/>
                <w:highlight w:val="none"/>
                <w:lang w:val="en-US" w:eastAsia="zh-CN"/>
              </w:rPr>
              <w:t>本项目所需软水为</w:t>
            </w:r>
            <w:r>
              <w:rPr>
                <w:rFonts w:hint="default" w:ascii="Times New Roman" w:hAnsi="Times New Roman" w:cs="Times New Roman"/>
                <w:color w:val="auto"/>
                <w:sz w:val="24"/>
                <w:highlight w:val="none"/>
                <w:lang w:val="en-US" w:eastAsia="zh-CN"/>
              </w:rPr>
              <w:t>12000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lang w:eastAsia="zh-CN"/>
              </w:rPr>
              <w:t>，</w:t>
            </w:r>
            <w:r>
              <w:rPr>
                <w:rFonts w:hint="default" w:ascii="Times New Roman" w:hAnsi="Times New Roman" w:cs="Times New Roman"/>
                <w:color w:val="auto"/>
                <w:sz w:val="24"/>
                <w:highlight w:val="none"/>
                <w:lang w:val="en-US" w:eastAsia="zh-CN"/>
              </w:rPr>
              <w:t>36</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按照纯水制备率75%计算，则浓水产生量为12</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则锅炉排污水、软化处理废水合计</w:t>
            </w:r>
            <w:r>
              <w:rPr>
                <w:rFonts w:hint="default" w:ascii="Times New Roman" w:hAnsi="Times New Roman" w:cs="Times New Roman"/>
                <w:color w:val="auto"/>
                <w:sz w:val="24"/>
                <w:highlight w:val="none"/>
                <w:lang w:val="en-US" w:eastAsia="zh-CN"/>
              </w:rPr>
              <w:t>18</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eastAsia="zh-CN"/>
              </w:rPr>
              <w:t>。</w:t>
            </w:r>
          </w:p>
          <w:p w14:paraId="2A2606FE">
            <w:pPr>
              <w:tabs>
                <w:tab w:val="left" w:pos="484"/>
              </w:tabs>
              <w:snapToGrid w:val="0"/>
              <w:spacing w:line="360" w:lineRule="auto"/>
              <w:ind w:firstLine="480" w:firstLineChars="200"/>
              <w:rPr>
                <w:rFonts w:hint="default" w:ascii="Times New Roman" w:hAnsi="Times New Roman" w:cs="Times New Roman"/>
                <w:snapToGrid w:val="0"/>
                <w:color w:val="auto"/>
                <w:kern w:val="0"/>
                <w:sz w:val="24"/>
                <w:highlight w:val="none"/>
                <w:lang w:val="en-US"/>
              </w:rPr>
            </w:pPr>
            <w:r>
              <w:rPr>
                <w:rFonts w:hint="default" w:ascii="Times New Roman" w:hAnsi="Times New Roman" w:cs="Times New Roman"/>
                <w:snapToGrid w:val="0"/>
                <w:color w:val="auto"/>
                <w:kern w:val="0"/>
                <w:sz w:val="24"/>
                <w:highlight w:val="none"/>
              </w:rPr>
              <w:t>④</w:t>
            </w:r>
            <w:r>
              <w:rPr>
                <w:rFonts w:hint="default" w:ascii="Times New Roman" w:hAnsi="Times New Roman" w:cs="Times New Roman"/>
                <w:snapToGrid w:val="0"/>
                <w:color w:val="auto"/>
                <w:kern w:val="0"/>
                <w:sz w:val="24"/>
                <w:highlight w:val="none"/>
                <w:lang w:val="en-US" w:eastAsia="zh-CN"/>
              </w:rPr>
              <w:t>废气处理系统补水</w:t>
            </w:r>
          </w:p>
          <w:p w14:paraId="4FAB13C7">
            <w:pPr>
              <w:tabs>
                <w:tab w:val="left" w:pos="484"/>
              </w:tabs>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本项目烟气脱硝处理</w:t>
            </w:r>
            <w:r>
              <w:rPr>
                <w:rFonts w:hint="default" w:ascii="Times New Roman" w:hAnsi="Times New Roman" w:cs="Times New Roman"/>
                <w:color w:val="auto"/>
                <w:sz w:val="24"/>
                <w:highlight w:val="none"/>
                <w:lang w:val="en-US" w:eastAsia="zh-CN"/>
              </w:rPr>
              <w:t>需配置尿素溶液</w:t>
            </w:r>
            <w:r>
              <w:rPr>
                <w:rFonts w:hint="default" w:ascii="Times New Roman" w:hAnsi="Times New Roman" w:cs="Times New Roman"/>
                <w:color w:val="auto"/>
                <w:sz w:val="24"/>
                <w:highlight w:val="none"/>
              </w:rPr>
              <w:t>，尿素颗粒加水配成</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0%尿素溶液，尿素颗粒</w:t>
            </w:r>
            <w:r>
              <w:rPr>
                <w:rFonts w:hint="default" w:ascii="Times New Roman" w:hAnsi="Times New Roman" w:cs="Times New Roman"/>
                <w:color w:val="auto"/>
                <w:sz w:val="24"/>
                <w:highlight w:val="none"/>
                <w:lang w:val="en-US" w:eastAsia="zh-CN"/>
              </w:rPr>
              <w:t>用量为10.58t</w:t>
            </w:r>
            <w:r>
              <w:rPr>
                <w:rFonts w:hint="default" w:ascii="Times New Roman" w:hAnsi="Times New Roman" w:cs="Times New Roman"/>
                <w:color w:val="auto"/>
                <w:sz w:val="24"/>
                <w:highlight w:val="none"/>
              </w:rPr>
              <w:t>/a</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则</w:t>
            </w:r>
            <w:r>
              <w:rPr>
                <w:rFonts w:hint="default" w:ascii="Times New Roman" w:hAnsi="Times New Roman" w:cs="Times New Roman"/>
                <w:color w:val="auto"/>
                <w:sz w:val="24"/>
                <w:highlight w:val="none"/>
              </w:rPr>
              <w:t>烟气处理用水量约为</w:t>
            </w:r>
            <w:r>
              <w:rPr>
                <w:rFonts w:hint="default" w:ascii="Times New Roman" w:hAnsi="Times New Roman" w:cs="Times New Roman"/>
                <w:color w:val="auto"/>
                <w:sz w:val="24"/>
                <w:highlight w:val="none"/>
                <w:lang w:val="en-US" w:eastAsia="zh-CN"/>
              </w:rPr>
              <w:t>42.32</w:t>
            </w:r>
            <w:r>
              <w:rPr>
                <w:rFonts w:hint="default" w:ascii="Times New Roman" w:hAnsi="Times New Roman" w:cs="Times New Roman"/>
                <w:color w:val="auto"/>
                <w:sz w:val="24"/>
                <w:highlight w:val="none"/>
              </w:rPr>
              <w:t>m³/a</w:t>
            </w:r>
            <w:r>
              <w:rPr>
                <w:rFonts w:hint="default" w:ascii="Times New Roman" w:hAnsi="Times New Roman" w:eastAsia="宋体" w:cs="Times New Roman"/>
                <w:color w:val="auto"/>
                <w:sz w:val="24"/>
                <w:highlight w:val="none"/>
                <w:lang w:eastAsia="zh-CN"/>
              </w:rPr>
              <w:t>，</w:t>
            </w:r>
            <w:r>
              <w:rPr>
                <w:rFonts w:hint="default" w:ascii="Times New Roman" w:hAnsi="Times New Roman" w:cs="Times New Roman"/>
                <w:color w:val="auto"/>
                <w:sz w:val="24"/>
                <w:highlight w:val="none"/>
                <w:lang w:val="en-US" w:eastAsia="zh-CN"/>
              </w:rPr>
              <w:t>0.21</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在使用时蒸发损耗。</w:t>
            </w:r>
          </w:p>
          <w:p w14:paraId="43A20803">
            <w:pPr>
              <w:tabs>
                <w:tab w:val="left" w:pos="484"/>
              </w:tabs>
              <w:snapToGrid w:val="0"/>
              <w:spacing w:line="360" w:lineRule="auto"/>
              <w:ind w:firstLine="480" w:firstLineChars="200"/>
              <w:rPr>
                <w:rFonts w:hint="eastAsia" w:ascii="Calibri" w:hAnsi="Calibri" w:cs="Calibri"/>
                <w:snapToGrid w:val="0"/>
                <w:color w:val="auto"/>
                <w:kern w:val="0"/>
                <w:sz w:val="24"/>
                <w:highlight w:val="none"/>
                <w:lang w:val="en-US" w:eastAsia="zh-CN"/>
              </w:rPr>
            </w:pPr>
            <w:r>
              <w:rPr>
                <w:rFonts w:hint="eastAsia" w:ascii="Calibri" w:hAnsi="Calibri" w:cs="Calibri"/>
                <w:snapToGrid w:val="0"/>
                <w:color w:val="auto"/>
                <w:kern w:val="0"/>
                <w:sz w:val="24"/>
                <w:highlight w:val="none"/>
                <w:lang w:val="en-US" w:eastAsia="zh-CN"/>
              </w:rPr>
              <w:t>本项目水平衡图见图</w:t>
            </w:r>
            <w:r>
              <w:rPr>
                <w:rFonts w:hint="default" w:ascii="Times New Roman" w:hAnsi="Times New Roman" w:cs="Times New Roman"/>
                <w:snapToGrid w:val="0"/>
                <w:color w:val="auto"/>
                <w:kern w:val="0"/>
                <w:sz w:val="24"/>
                <w:highlight w:val="none"/>
                <w:lang w:val="en-US" w:eastAsia="zh-CN"/>
              </w:rPr>
              <w:t>2-1</w:t>
            </w:r>
            <w:r>
              <w:rPr>
                <w:rFonts w:hint="eastAsia" w:ascii="Calibri" w:hAnsi="Calibri" w:cs="Calibri"/>
                <w:snapToGrid w:val="0"/>
                <w:color w:val="auto"/>
                <w:kern w:val="0"/>
                <w:sz w:val="24"/>
                <w:highlight w:val="none"/>
                <w:lang w:val="en-US" w:eastAsia="zh-CN"/>
              </w:rPr>
              <w:t>。</w:t>
            </w:r>
          </w:p>
          <w:p w14:paraId="1219CEC2">
            <w:pPr>
              <w:pStyle w:val="44"/>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baseline"/>
              <w:rPr>
                <w:rFonts w:hint="eastAsia" w:eastAsia="宋体"/>
                <w:color w:val="auto"/>
                <w:highlight w:val="none"/>
                <w:lang w:eastAsia="zh-CN"/>
              </w:rPr>
            </w:pPr>
            <w:r>
              <w:rPr>
                <w:rFonts w:hint="eastAsia" w:eastAsia="宋体"/>
                <w:color w:val="auto"/>
                <w:highlight w:val="none"/>
                <w:lang w:eastAsia="zh-CN"/>
              </w:rPr>
              <w:object>
                <v:shape id="_x0000_i1025" o:spt="75" type="#_x0000_t75" style="height:261.05pt;width:364.45pt;" o:ole="t" filled="f" o:preferrelative="t" stroked="f" coordsize="21600,21600">
                  <v:path/>
                  <v:fill on="f" focussize="0,0"/>
                  <v:stroke on="f"/>
                  <v:imagedata r:id="rId11" o:title=""/>
                  <o:lock v:ext="edit" aspectratio="t"/>
                  <w10:wrap type="none"/>
                  <w10:anchorlock/>
                </v:shape>
                <o:OLEObject Type="Embed" ProgID="Visio.Drawing.11" ShapeID="_x0000_i1025" DrawAspect="Content" ObjectID="_1468075725" r:id="rId10">
                  <o:LockedField>false</o:LockedField>
                </o:OLEObject>
              </w:object>
            </w:r>
          </w:p>
          <w:p w14:paraId="15485308">
            <w:pPr>
              <w:pStyle w:val="44"/>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baseline"/>
              <w:rPr>
                <w:rFonts w:hint="default" w:ascii="Times New Roman" w:hAnsi="Times New Roman" w:cs="Times New Roman"/>
                <w:b/>
                <w:color w:val="auto"/>
                <w:sz w:val="24"/>
                <w:szCs w:val="20"/>
                <w:highlight w:val="none"/>
              </w:rPr>
            </w:pPr>
            <w:r>
              <w:rPr>
                <w:rFonts w:hint="default" w:ascii="Times New Roman" w:hAnsi="Times New Roman" w:cs="Times New Roman"/>
                <w:b/>
                <w:color w:val="auto"/>
                <w:sz w:val="24"/>
                <w:szCs w:val="20"/>
                <w:highlight w:val="none"/>
              </w:rPr>
              <w:t>图</w:t>
            </w:r>
            <w:r>
              <w:rPr>
                <w:rFonts w:hint="default" w:ascii="Times New Roman" w:hAnsi="Times New Roman" w:cs="Times New Roman"/>
                <w:b/>
                <w:color w:val="auto"/>
                <w:sz w:val="24"/>
                <w:szCs w:val="20"/>
                <w:highlight w:val="none"/>
                <w:lang w:val="en-US" w:eastAsia="zh-CN"/>
              </w:rPr>
              <w:t>2-</w:t>
            </w:r>
            <w:r>
              <w:rPr>
                <w:rFonts w:hint="eastAsia" w:ascii="Times New Roman" w:hAnsi="Times New Roman" w:cs="Times New Roman"/>
                <w:b/>
                <w:color w:val="auto"/>
                <w:sz w:val="24"/>
                <w:szCs w:val="20"/>
                <w:highlight w:val="none"/>
                <w:lang w:val="en-US" w:eastAsia="zh-CN"/>
              </w:rPr>
              <w:t>1</w:t>
            </w:r>
            <w:r>
              <w:rPr>
                <w:rFonts w:hint="default" w:ascii="Times New Roman" w:hAnsi="Times New Roman" w:cs="Times New Roman"/>
                <w:b/>
                <w:color w:val="auto"/>
                <w:sz w:val="24"/>
                <w:szCs w:val="20"/>
                <w:highlight w:val="none"/>
              </w:rPr>
              <w:t>本项目水平衡图（单位：m</w:t>
            </w:r>
            <w:r>
              <w:rPr>
                <w:rFonts w:hint="default" w:ascii="Times New Roman" w:hAnsi="Times New Roman" w:cs="Times New Roman"/>
                <w:b/>
                <w:color w:val="auto"/>
                <w:sz w:val="24"/>
                <w:szCs w:val="20"/>
                <w:highlight w:val="none"/>
                <w:vertAlign w:val="superscript"/>
              </w:rPr>
              <w:t>3</w:t>
            </w:r>
            <w:r>
              <w:rPr>
                <w:rFonts w:hint="default" w:ascii="Times New Roman" w:hAnsi="Times New Roman" w:cs="Times New Roman"/>
                <w:b/>
                <w:color w:val="auto"/>
                <w:sz w:val="24"/>
                <w:szCs w:val="20"/>
                <w:highlight w:val="none"/>
              </w:rPr>
              <w:t>/d）</w:t>
            </w:r>
          </w:p>
          <w:p w14:paraId="4B67A76D">
            <w:pPr>
              <w:keepNext w:val="0"/>
              <w:keepLines w:val="0"/>
              <w:pageBreakBefore w:val="0"/>
              <w:widowControl w:val="0"/>
              <w:kinsoku/>
              <w:wordWrap/>
              <w:overflowPunct/>
              <w:topLinePunct w:val="0"/>
              <w:autoSpaceDE/>
              <w:autoSpaceDN/>
              <w:bidi w:val="0"/>
              <w:adjustRightInd w:val="0"/>
              <w:snapToGrid w:val="0"/>
              <w:spacing w:line="336" w:lineRule="auto"/>
              <w:ind w:firstLine="482" w:firstLineChars="200"/>
              <w:jc w:val="left"/>
              <w:textAlignment w:val="auto"/>
              <w:rPr>
                <w:b/>
                <w:color w:val="auto"/>
                <w:sz w:val="24"/>
                <w:szCs w:val="21"/>
                <w:highlight w:val="none"/>
              </w:rPr>
            </w:pPr>
            <w:r>
              <w:rPr>
                <w:rFonts w:hint="eastAsia" w:hAnsi="宋体"/>
                <w:b/>
                <w:color w:val="auto"/>
                <w:sz w:val="24"/>
                <w:highlight w:val="none"/>
                <w:lang w:val="en-US" w:eastAsia="zh-CN"/>
              </w:rPr>
              <w:t>8</w:t>
            </w:r>
            <w:r>
              <w:rPr>
                <w:rFonts w:hint="eastAsia" w:hAnsi="宋体"/>
                <w:b/>
                <w:color w:val="auto"/>
                <w:sz w:val="24"/>
                <w:highlight w:val="none"/>
                <w:lang w:eastAsia="zh-CN"/>
              </w:rPr>
              <w:t>、</w:t>
            </w:r>
            <w:r>
              <w:rPr>
                <w:rFonts w:hint="eastAsia"/>
                <w:b/>
                <w:color w:val="auto"/>
                <w:sz w:val="24"/>
                <w:szCs w:val="21"/>
                <w:highlight w:val="none"/>
              </w:rPr>
              <w:t>劳动定员与工作制度</w:t>
            </w:r>
          </w:p>
          <w:p w14:paraId="1D408D8A">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jc w:val="left"/>
              <w:textAlignment w:val="auto"/>
              <w:rPr>
                <w:rFonts w:hint="eastAsia"/>
                <w:highlight w:val="none"/>
                <w:lang w:val="en-US" w:eastAsia="zh-CN"/>
              </w:rPr>
            </w:pPr>
            <w:r>
              <w:rPr>
                <w:rFonts w:hint="eastAsia" w:cs="Times New Roman"/>
                <w:color w:val="auto"/>
                <w:sz w:val="24"/>
                <w:highlight w:val="none"/>
                <w:lang w:val="en-US" w:eastAsia="zh-CN"/>
              </w:rPr>
              <w:t>项目</w:t>
            </w:r>
            <w:r>
              <w:rPr>
                <w:rFonts w:hint="eastAsia" w:cs="Times New Roman"/>
                <w:color w:val="auto"/>
                <w:sz w:val="24"/>
                <w:highlight w:val="none"/>
                <w:lang w:eastAsia="zh-CN"/>
              </w:rPr>
              <w:t>劳动定员为</w:t>
            </w:r>
            <w:r>
              <w:rPr>
                <w:rFonts w:hint="eastAsia" w:cs="Times New Roman"/>
                <w:color w:val="auto"/>
                <w:sz w:val="24"/>
                <w:highlight w:val="none"/>
                <w:lang w:val="en-US" w:eastAsia="zh-CN"/>
              </w:rPr>
              <w:t>14</w:t>
            </w:r>
            <w:r>
              <w:rPr>
                <w:rFonts w:hint="eastAsia" w:cs="Times New Roman"/>
                <w:color w:val="auto"/>
                <w:sz w:val="24"/>
                <w:highlight w:val="none"/>
                <w:lang w:eastAsia="zh-CN"/>
              </w:rPr>
              <w:t>人，实行三班制工作制度，每班8小时，年工作时间为</w:t>
            </w:r>
            <w:r>
              <w:rPr>
                <w:rFonts w:hint="eastAsia" w:cs="Times New Roman"/>
                <w:color w:val="auto"/>
                <w:sz w:val="24"/>
                <w:highlight w:val="none"/>
                <w:lang w:val="en-US" w:eastAsia="zh-CN"/>
              </w:rPr>
              <w:t>200</w:t>
            </w:r>
            <w:r>
              <w:rPr>
                <w:rFonts w:hint="eastAsia" w:cs="Times New Roman"/>
                <w:color w:val="auto"/>
                <w:sz w:val="24"/>
                <w:highlight w:val="none"/>
                <w:lang w:eastAsia="zh-CN"/>
              </w:rPr>
              <w:t>天，即年工作时间</w:t>
            </w:r>
            <w:r>
              <w:rPr>
                <w:rFonts w:hint="eastAsia" w:cs="Times New Roman"/>
                <w:color w:val="auto"/>
                <w:sz w:val="24"/>
                <w:highlight w:val="none"/>
                <w:lang w:val="en-US" w:eastAsia="zh-CN"/>
              </w:rPr>
              <w:t>4800</w:t>
            </w:r>
            <w:r>
              <w:rPr>
                <w:rFonts w:hint="eastAsia" w:cs="Times New Roman"/>
                <w:color w:val="auto"/>
                <w:sz w:val="24"/>
                <w:highlight w:val="none"/>
                <w:lang w:eastAsia="zh-CN"/>
              </w:rPr>
              <w:t>h，项目厂区不设食堂、宿舍。</w:t>
            </w:r>
          </w:p>
        </w:tc>
      </w:tr>
      <w:tr w14:paraId="5B1A7C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45" w:hRule="atLeast"/>
          <w:jc w:val="center"/>
        </w:trPr>
        <w:tc>
          <w:tcPr>
            <w:tcW w:w="823" w:type="dxa"/>
            <w:vAlign w:val="center"/>
          </w:tcPr>
          <w:p w14:paraId="07657BD5">
            <w:pPr>
              <w:pStyle w:val="26"/>
              <w:adjustRightInd w:val="0"/>
              <w:snapToGrid w:val="0"/>
              <w:spacing w:before="0" w:beforeAutospacing="0" w:after="0" w:afterAutospacing="0"/>
              <w:jc w:val="center"/>
              <w:rPr>
                <w:rFonts w:ascii="Times New Roman" w:hAnsi="Times New Roman"/>
                <w:color w:val="auto"/>
                <w:sz w:val="21"/>
                <w:szCs w:val="21"/>
                <w:highlight w:val="none"/>
              </w:rPr>
            </w:pPr>
            <w:r>
              <w:rPr>
                <w:rFonts w:ascii="Times New Roman" w:hAnsi="Times New Roman"/>
                <w:color w:val="auto"/>
                <w:sz w:val="21"/>
                <w:szCs w:val="21"/>
                <w:highlight w:val="none"/>
                <w:shd w:val="clear"/>
              </w:rPr>
              <w:t>工艺流程和产排污环节</w:t>
            </w:r>
          </w:p>
        </w:tc>
        <w:tc>
          <w:tcPr>
            <w:tcW w:w="8161" w:type="dxa"/>
          </w:tcPr>
          <w:p w14:paraId="21D3CAE2">
            <w:pPr>
              <w:keepNext w:val="0"/>
              <w:keepLines w:val="0"/>
              <w:pageBreakBefore w:val="0"/>
              <w:widowControl w:val="0"/>
              <w:numPr>
                <w:ilvl w:val="0"/>
                <w:numId w:val="4"/>
              </w:numPr>
              <w:kinsoku/>
              <w:wordWrap/>
              <w:overflowPunct/>
              <w:topLinePunct w:val="0"/>
              <w:autoSpaceDE/>
              <w:autoSpaceDN/>
              <w:bidi w:val="0"/>
              <w:adjustRightInd w:val="0"/>
              <w:snapToGrid w:val="0"/>
              <w:spacing w:line="360" w:lineRule="auto"/>
              <w:ind w:firstLine="480" w:firstLineChars="200"/>
              <w:textAlignment w:val="auto"/>
              <w:rPr>
                <w:color w:val="auto"/>
                <w:sz w:val="24"/>
                <w:highlight w:val="none"/>
              </w:rPr>
            </w:pPr>
            <w:r>
              <w:rPr>
                <w:color w:val="auto"/>
                <w:sz w:val="24"/>
                <w:highlight w:val="none"/>
              </w:rPr>
              <w:t>施工期</w:t>
            </w:r>
          </w:p>
          <w:p w14:paraId="3BEF417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本项目施工期产生的主要污染有：</w:t>
            </w:r>
          </w:p>
          <w:p w14:paraId="05B7E0D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（1）废水</w:t>
            </w:r>
          </w:p>
          <w:p w14:paraId="24853FC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本项目施工期产生废水分为暴雨地表径流、建筑施工废水和生活污水三大类。暴雨地表径流由雨水冲刷浮土、建筑材料、机械和垃圾等形成；建筑施工废水包括开挖地基、填土等过程中产生的泥浆水；生活污水包括施工人员的盥洗水、食堂用水和厕所冲洗水。根据以往施工期间的水质监测分析，施工期废水中主要污染物是SS、CODcr、BOD</w:t>
            </w:r>
            <w:r>
              <w:rPr>
                <w:rFonts w:hint="eastAsia"/>
                <w:color w:val="auto"/>
                <w:sz w:val="24"/>
                <w:highlight w:val="none"/>
                <w:vertAlign w:val="subscript"/>
                <w:lang w:val="en-US" w:eastAsia="zh-CN"/>
              </w:rPr>
              <w:t>5</w:t>
            </w:r>
            <w:r>
              <w:rPr>
                <w:rFonts w:hint="eastAsia"/>
                <w:color w:val="auto"/>
                <w:sz w:val="24"/>
                <w:highlight w:val="none"/>
                <w:lang w:val="en-US" w:eastAsia="zh-CN"/>
              </w:rPr>
              <w:t>、石油类等。</w:t>
            </w:r>
          </w:p>
          <w:p w14:paraId="196190BF">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（2）废气</w:t>
            </w:r>
          </w:p>
          <w:p w14:paraId="0A591F6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施工期间挖土、运土、汽车运输和施工机械都会产生扬尘，粉尘是施工期间的主要污染物，对场址周边空气质量会产生一定影响。各种燃油机械和运输车辆排放少量氮氧化物、碳氢化合物等大气污染物，同时临时生活设施也产生少量的油烟，少量的氮氧化物、碳氢化合物和油烟等大气污染物经大气稀释作用后，其对周围环境空气质量影响较小。</w:t>
            </w:r>
          </w:p>
          <w:p w14:paraId="3B5E310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（3）噪声</w:t>
            </w:r>
          </w:p>
          <w:p w14:paraId="34AC7A5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施工期间噪声主要来源于施工现场的各类机械设备和物料运输的交通噪声，对场址周边声环境质量会产生一定影响。</w:t>
            </w:r>
          </w:p>
          <w:p w14:paraId="3786760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（4）固体废物</w:t>
            </w:r>
          </w:p>
          <w:p w14:paraId="50F5720F">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本项目施工过程中会产生一些淤泥、弃土、砂土和失效的混凝土等建筑施工废物，另外施工工地有少量生活垃圾。</w:t>
            </w:r>
          </w:p>
          <w:p w14:paraId="20B467F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（5）生态环境</w:t>
            </w:r>
          </w:p>
          <w:p w14:paraId="70CAA27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本项目在施工期间的生态环境影响，一方面是水土流失，水土流失主要由土表层和取土场土壤的裸露造成。当雨天特别是雨季来临时，如果不采取有效措施，将导致严重的水土流失。另一方面，项目施工会对场址点周围植被和生态系统造成一定影响。</w:t>
            </w:r>
          </w:p>
          <w:p w14:paraId="43F7D2FF">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color w:val="auto"/>
                <w:sz w:val="24"/>
                <w:highlight w:val="none"/>
              </w:rPr>
            </w:pPr>
            <w:r>
              <w:rPr>
                <w:rFonts w:hint="eastAsia"/>
                <w:color w:val="auto"/>
                <w:sz w:val="24"/>
                <w:highlight w:val="none"/>
                <w:lang w:val="en-US" w:eastAsia="zh-CN"/>
              </w:rPr>
              <w:t>施工期</w:t>
            </w:r>
            <w:r>
              <w:rPr>
                <w:color w:val="auto"/>
                <w:sz w:val="24"/>
                <w:highlight w:val="none"/>
              </w:rPr>
              <w:t>工艺流程及产污节点图见图</w:t>
            </w:r>
            <w:r>
              <w:rPr>
                <w:rFonts w:hint="eastAsia"/>
                <w:color w:val="auto"/>
                <w:sz w:val="24"/>
                <w:highlight w:val="none"/>
                <w:lang w:val="en-US" w:eastAsia="zh-CN"/>
              </w:rPr>
              <w:t>2-2</w:t>
            </w:r>
            <w:r>
              <w:rPr>
                <w:color w:val="auto"/>
                <w:sz w:val="24"/>
                <w:highlight w:val="none"/>
              </w:rPr>
              <w:t>。</w:t>
            </w:r>
          </w:p>
          <w:p w14:paraId="50C5A184">
            <w:pPr>
              <w:pStyle w:val="30"/>
              <w:rPr>
                <w:color w:val="auto"/>
                <w:sz w:val="24"/>
                <w:highlight w:val="none"/>
              </w:rPr>
            </w:pPr>
          </w:p>
          <w:p w14:paraId="38518B9B">
            <w:pPr>
              <w:pStyle w:val="29"/>
              <w:rPr>
                <w:color w:val="auto"/>
                <w:sz w:val="24"/>
                <w:highlight w:val="none"/>
              </w:rPr>
            </w:pPr>
          </w:p>
          <w:p w14:paraId="552D207E">
            <w:pPr>
              <w:rPr>
                <w:highlight w:val="none"/>
              </w:rPr>
            </w:pPr>
          </w:p>
          <w:p w14:paraId="289AB922">
            <w:pPr>
              <w:keepNext w:val="0"/>
              <w:keepLines w:val="0"/>
              <w:pageBreakBefore w:val="0"/>
              <w:widowControl w:val="0"/>
              <w:kinsoku/>
              <w:wordWrap/>
              <w:overflowPunct/>
              <w:topLinePunct w:val="0"/>
              <w:bidi w:val="0"/>
              <w:adjustRightInd w:val="0"/>
              <w:snapToGrid w:val="0"/>
              <w:spacing w:line="360" w:lineRule="auto"/>
              <w:jc w:val="center"/>
              <w:rPr>
                <w:color w:val="auto"/>
                <w:sz w:val="24"/>
                <w:highlight w:val="none"/>
              </w:rPr>
            </w:pPr>
            <w:r>
              <w:rPr>
                <w:highlight w:val="none"/>
              </w:rPr>
              <w:drawing>
                <wp:inline distT="0" distB="0" distL="114300" distR="114300">
                  <wp:extent cx="5024120" cy="1437640"/>
                  <wp:effectExtent l="0" t="0" r="0" b="1016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12"/>
                          <a:stretch>
                            <a:fillRect/>
                          </a:stretch>
                        </pic:blipFill>
                        <pic:spPr>
                          <a:xfrm>
                            <a:off x="0" y="0"/>
                            <a:ext cx="5024120" cy="1437640"/>
                          </a:xfrm>
                          <a:prstGeom prst="rect">
                            <a:avLst/>
                          </a:prstGeom>
                          <a:noFill/>
                          <a:ln>
                            <a:noFill/>
                          </a:ln>
                        </pic:spPr>
                      </pic:pic>
                    </a:graphicData>
                  </a:graphic>
                </wp:inline>
              </w:drawing>
            </w:r>
          </w:p>
          <w:p w14:paraId="6B251C89">
            <w:pPr>
              <w:pStyle w:val="109"/>
              <w:keepNext w:val="0"/>
              <w:keepLines w:val="0"/>
              <w:pageBreakBefore w:val="0"/>
              <w:widowControl w:val="0"/>
              <w:kinsoku/>
              <w:wordWrap/>
              <w:overflowPunct/>
              <w:topLinePunct w:val="0"/>
              <w:bidi w:val="0"/>
              <w:spacing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图</w:t>
            </w:r>
            <w:r>
              <w:rPr>
                <w:rFonts w:hint="eastAsia" w:ascii="Times New Roman" w:hAnsi="Times New Roman" w:cs="Times New Roman"/>
                <w:color w:val="auto"/>
                <w:highlight w:val="none"/>
                <w:lang w:val="en-US" w:eastAsia="zh-CN"/>
              </w:rPr>
              <w:t>2-2</w:t>
            </w:r>
            <w:r>
              <w:rPr>
                <w:rFonts w:hint="default" w:ascii="Times New Roman" w:hAnsi="Times New Roman" w:cs="Times New Roman"/>
                <w:color w:val="auto"/>
                <w:highlight w:val="none"/>
              </w:rPr>
              <w:t>施工期工艺流程及产污节点图</w:t>
            </w:r>
          </w:p>
          <w:p w14:paraId="58FEC9C2">
            <w:pPr>
              <w:keepNext w:val="0"/>
              <w:keepLines w:val="0"/>
              <w:pageBreakBefore w:val="0"/>
              <w:widowControl w:val="0"/>
              <w:numPr>
                <w:ilvl w:val="0"/>
                <w:numId w:val="4"/>
              </w:numPr>
              <w:kinsoku/>
              <w:wordWrap/>
              <w:overflowPunct/>
              <w:topLinePunct w:val="0"/>
              <w:autoSpaceDE/>
              <w:autoSpaceDN/>
              <w:bidi w:val="0"/>
              <w:adjustRightInd w:val="0"/>
              <w:snapToGrid w:val="0"/>
              <w:spacing w:line="360" w:lineRule="auto"/>
              <w:ind w:left="0" w:leftChars="0"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运营期</w:t>
            </w:r>
          </w:p>
          <w:p w14:paraId="2551BF5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（1）工艺流程说明</w:t>
            </w:r>
          </w:p>
          <w:p w14:paraId="5DD56E3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满足锅炉燃烧要求的生物质颗粒燃料通过输送设备输送至锅炉炉前料仓，</w:t>
            </w:r>
            <w:r>
              <w:rPr>
                <w:rFonts w:hint="default"/>
                <w:color w:val="auto"/>
                <w:sz w:val="24"/>
                <w:highlight w:val="none"/>
                <w:lang w:val="en-US" w:eastAsia="zh-CN"/>
              </w:rPr>
              <w:t>锅炉使用生物质成型燃料燃烧加热软水，使其蒸发为水蒸气，产生的蒸汽通过管道输送至</w:t>
            </w:r>
            <w:r>
              <w:rPr>
                <w:rFonts w:hint="eastAsia"/>
                <w:color w:val="auto"/>
                <w:sz w:val="24"/>
                <w:highlight w:val="none"/>
                <w:lang w:val="en-US" w:eastAsia="zh-CN"/>
              </w:rPr>
              <w:t>企业需用热工段</w:t>
            </w:r>
            <w:r>
              <w:rPr>
                <w:rFonts w:hint="default"/>
                <w:color w:val="auto"/>
                <w:sz w:val="24"/>
                <w:highlight w:val="none"/>
                <w:lang w:val="en-US" w:eastAsia="zh-CN"/>
              </w:rPr>
              <w:t>。</w:t>
            </w:r>
          </w:p>
          <w:p w14:paraId="04E14F0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（2）</w:t>
            </w:r>
            <w:r>
              <w:rPr>
                <w:rFonts w:hint="default"/>
                <w:color w:val="auto"/>
                <w:sz w:val="24"/>
                <w:highlight w:val="none"/>
                <w:lang w:val="en-US" w:eastAsia="zh-CN"/>
              </w:rPr>
              <w:t>产污环节分析</w:t>
            </w:r>
          </w:p>
          <w:p w14:paraId="615F04B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color w:val="auto"/>
                <w:sz w:val="24"/>
                <w:highlight w:val="none"/>
                <w:lang w:val="en-US" w:eastAsia="zh-CN"/>
              </w:rPr>
            </w:pPr>
            <w:r>
              <w:rPr>
                <w:rFonts w:hint="default"/>
                <w:color w:val="auto"/>
                <w:sz w:val="24"/>
                <w:highlight w:val="none"/>
                <w:lang w:val="en-US" w:eastAsia="zh-CN"/>
              </w:rPr>
              <w:t>根据本项目的工程概况和工艺特点，其主要污染源及污染因子识别如下：</w:t>
            </w:r>
          </w:p>
          <w:p w14:paraId="46892EA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color w:val="auto"/>
                <w:sz w:val="24"/>
                <w:highlight w:val="none"/>
                <w:lang w:val="en-US" w:eastAsia="zh-CN"/>
              </w:rPr>
            </w:pPr>
            <w:r>
              <w:rPr>
                <w:rFonts w:hint="default"/>
                <w:color w:val="auto"/>
                <w:sz w:val="24"/>
                <w:highlight w:val="none"/>
                <w:lang w:val="en-US" w:eastAsia="zh-CN"/>
              </w:rPr>
              <w:t>废气：生物质锅炉燃烧烟气及</w:t>
            </w:r>
            <w:r>
              <w:rPr>
                <w:rFonts w:hint="eastAsia"/>
                <w:color w:val="auto"/>
                <w:sz w:val="24"/>
                <w:highlight w:val="none"/>
                <w:lang w:val="en-US" w:eastAsia="zh-CN"/>
              </w:rPr>
              <w:t>灰渣转运</w:t>
            </w:r>
            <w:r>
              <w:rPr>
                <w:rFonts w:hint="default"/>
                <w:color w:val="auto"/>
                <w:sz w:val="24"/>
                <w:highlight w:val="none"/>
                <w:lang w:val="en-US" w:eastAsia="zh-CN"/>
              </w:rPr>
              <w:t>产生的无组织粉尘。</w:t>
            </w:r>
          </w:p>
          <w:p w14:paraId="75B3158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color w:val="auto"/>
                <w:sz w:val="24"/>
                <w:highlight w:val="none"/>
                <w:lang w:val="en-US" w:eastAsia="zh-CN"/>
              </w:rPr>
            </w:pPr>
            <w:r>
              <w:rPr>
                <w:rFonts w:hint="default"/>
                <w:color w:val="auto"/>
                <w:sz w:val="24"/>
                <w:highlight w:val="none"/>
                <w:lang w:val="en-US" w:eastAsia="zh-CN"/>
              </w:rPr>
              <w:t>噪声：主要为锅炉及配套的风机、泵类、冷却塔等设备运行产生的噪声。</w:t>
            </w:r>
          </w:p>
          <w:p w14:paraId="1B0B2CD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color w:val="auto"/>
                <w:sz w:val="24"/>
                <w:highlight w:val="none"/>
                <w:lang w:val="en-US" w:eastAsia="zh-CN"/>
              </w:rPr>
            </w:pPr>
            <w:r>
              <w:rPr>
                <w:rFonts w:hint="default"/>
                <w:color w:val="auto"/>
                <w:sz w:val="24"/>
                <w:highlight w:val="none"/>
                <w:lang w:val="en-US" w:eastAsia="zh-CN"/>
              </w:rPr>
              <w:t>废水：员工生活污水</w:t>
            </w:r>
            <w:r>
              <w:rPr>
                <w:rFonts w:hint="eastAsia"/>
                <w:color w:val="auto"/>
                <w:sz w:val="24"/>
                <w:highlight w:val="none"/>
                <w:lang w:val="en-US" w:eastAsia="zh-CN"/>
              </w:rPr>
              <w:t>、</w:t>
            </w:r>
            <w:r>
              <w:rPr>
                <w:rFonts w:hint="default"/>
                <w:color w:val="auto"/>
                <w:sz w:val="24"/>
                <w:highlight w:val="none"/>
                <w:lang w:val="en-US" w:eastAsia="zh-CN"/>
              </w:rPr>
              <w:t>锅炉排污水等。</w:t>
            </w:r>
          </w:p>
          <w:p w14:paraId="369C3BB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color w:val="auto"/>
                <w:sz w:val="24"/>
                <w:highlight w:val="none"/>
                <w:lang w:val="en-US" w:eastAsia="zh-CN"/>
              </w:rPr>
            </w:pPr>
            <w:r>
              <w:rPr>
                <w:rFonts w:hint="default"/>
                <w:color w:val="auto"/>
                <w:sz w:val="24"/>
                <w:highlight w:val="none"/>
                <w:lang w:val="en-US" w:eastAsia="zh-CN"/>
              </w:rPr>
              <w:t>固体废物：锅炉灰渣（含炉渣和除尘装置收集的灰料）、</w:t>
            </w:r>
            <w:r>
              <w:rPr>
                <w:rFonts w:hint="eastAsia"/>
                <w:color w:val="auto"/>
                <w:sz w:val="24"/>
                <w:highlight w:val="none"/>
                <w:lang w:val="en-US" w:eastAsia="zh-CN"/>
              </w:rPr>
              <w:t>废布袋、</w:t>
            </w:r>
            <w:r>
              <w:rPr>
                <w:rFonts w:hint="default"/>
                <w:color w:val="auto"/>
                <w:sz w:val="24"/>
                <w:highlight w:val="none"/>
                <w:lang w:val="en-US" w:eastAsia="zh-CN"/>
              </w:rPr>
              <w:t>设备维护产生的废润滑油</w:t>
            </w:r>
            <w:r>
              <w:rPr>
                <w:rFonts w:hint="eastAsia"/>
                <w:color w:val="auto"/>
                <w:sz w:val="24"/>
                <w:highlight w:val="none"/>
                <w:lang w:val="en-US" w:eastAsia="zh-CN"/>
              </w:rPr>
              <w:t>、废水处理污泥、废渗透膜及员工</w:t>
            </w:r>
            <w:r>
              <w:rPr>
                <w:rFonts w:hint="default"/>
                <w:color w:val="auto"/>
                <w:sz w:val="24"/>
                <w:highlight w:val="none"/>
                <w:lang w:val="en-US" w:eastAsia="zh-CN"/>
              </w:rPr>
              <w:t>生活垃圾</w:t>
            </w:r>
            <w:r>
              <w:rPr>
                <w:rFonts w:hint="eastAsia"/>
                <w:color w:val="auto"/>
                <w:sz w:val="24"/>
                <w:highlight w:val="none"/>
                <w:lang w:val="en-US" w:eastAsia="zh-CN"/>
              </w:rPr>
              <w:t>等</w:t>
            </w:r>
            <w:r>
              <w:rPr>
                <w:rFonts w:hint="default"/>
                <w:color w:val="auto"/>
                <w:sz w:val="24"/>
                <w:highlight w:val="none"/>
                <w:lang w:val="en-US" w:eastAsia="zh-CN"/>
              </w:rPr>
              <w:t>。</w:t>
            </w:r>
          </w:p>
          <w:p w14:paraId="638C9E5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center"/>
              <w:textAlignment w:val="auto"/>
              <w:rPr>
                <w:rFonts w:hint="default"/>
                <w:color w:val="auto"/>
                <w:sz w:val="24"/>
                <w:highlight w:val="none"/>
                <w:lang w:val="en-US" w:eastAsia="zh-CN"/>
              </w:rPr>
            </w:pPr>
            <w:r>
              <w:rPr>
                <w:rFonts w:hint="default"/>
                <w:color w:val="auto"/>
                <w:sz w:val="24"/>
                <w:highlight w:val="none"/>
                <w:lang w:val="en-US" w:eastAsia="zh-CN"/>
              </w:rPr>
              <w:object>
                <v:shape id="_x0000_i1026" o:spt="75" type="#_x0000_t75" style="height:190pt;width:365.3pt;" o:ole="t" filled="f" o:preferrelative="t" stroked="f" coordsize="21600,21600">
                  <v:path/>
                  <v:fill on="f" focussize="0,0"/>
                  <v:stroke on="f"/>
                  <v:imagedata r:id="rId14" o:title=""/>
                  <o:lock v:ext="edit" aspectratio="t"/>
                  <w10:wrap type="none"/>
                  <w10:anchorlock/>
                </v:shape>
                <o:OLEObject Type="Embed" ProgID="Visio.Drawing.11" ShapeID="_x0000_i1026" DrawAspect="Content" ObjectID="_1468075726" r:id="rId13">
                  <o:LockedField>false</o:LockedField>
                </o:OLEObject>
              </w:object>
            </w:r>
          </w:p>
          <w:p w14:paraId="151E17B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center"/>
              <w:textAlignment w:val="auto"/>
              <w:rPr>
                <w:rFonts w:hint="eastAsia"/>
                <w:b/>
                <w:color w:val="auto"/>
                <w:sz w:val="24"/>
                <w:highlight w:val="none"/>
              </w:rPr>
            </w:pPr>
            <w:r>
              <w:rPr>
                <w:b/>
                <w:color w:val="auto"/>
                <w:sz w:val="24"/>
                <w:highlight w:val="none"/>
              </w:rPr>
              <w:t>图</w:t>
            </w:r>
            <w:r>
              <w:rPr>
                <w:rFonts w:hint="eastAsia"/>
                <w:b/>
                <w:color w:val="auto"/>
                <w:sz w:val="24"/>
                <w:highlight w:val="none"/>
                <w:lang w:val="en-US" w:eastAsia="zh-CN"/>
              </w:rPr>
              <w:t>2-3</w:t>
            </w:r>
            <w:r>
              <w:rPr>
                <w:rFonts w:hint="eastAsia" w:ascii="Times New Roman" w:hAnsi="宋体" w:cs="Times New Roman"/>
                <w:b/>
                <w:color w:val="auto"/>
                <w:sz w:val="24"/>
                <w:szCs w:val="24"/>
                <w:highlight w:val="none"/>
              </w:rPr>
              <w:t>生产工艺流程及产污环节</w:t>
            </w:r>
            <w:r>
              <w:rPr>
                <w:rFonts w:hint="eastAsia"/>
                <w:b/>
                <w:color w:val="auto"/>
                <w:sz w:val="24"/>
                <w:highlight w:val="none"/>
              </w:rPr>
              <w:t>图</w:t>
            </w:r>
          </w:p>
        </w:tc>
      </w:tr>
      <w:tr w14:paraId="4EDC85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Align w:val="center"/>
          </w:tcPr>
          <w:p w14:paraId="0E9526B5">
            <w:pPr>
              <w:pStyle w:val="26"/>
              <w:adjustRightInd w:val="0"/>
              <w:snapToGrid w:val="0"/>
              <w:spacing w:before="0" w:beforeAutospacing="0" w:after="0" w:afterAutospacing="0"/>
              <w:jc w:val="center"/>
              <w:rPr>
                <w:rFonts w:ascii="Times New Roman" w:hAnsi="Times New Roman"/>
                <w:bCs/>
                <w:color w:val="auto"/>
                <w:kern w:val="2"/>
                <w:sz w:val="24"/>
                <w:szCs w:val="24"/>
                <w:highlight w:val="none"/>
              </w:rPr>
            </w:pPr>
          </w:p>
          <w:p w14:paraId="6789E3BD">
            <w:pPr>
              <w:pStyle w:val="26"/>
              <w:adjustRightInd w:val="0"/>
              <w:snapToGrid w:val="0"/>
              <w:spacing w:before="0" w:beforeAutospacing="0" w:after="0" w:afterAutospacing="0"/>
              <w:jc w:val="center"/>
              <w:rPr>
                <w:rFonts w:ascii="Times New Roman" w:hAnsi="Times New Roman"/>
                <w:bCs/>
                <w:color w:val="auto"/>
                <w:kern w:val="2"/>
                <w:sz w:val="24"/>
                <w:szCs w:val="24"/>
                <w:highlight w:val="none"/>
              </w:rPr>
            </w:pPr>
          </w:p>
          <w:p w14:paraId="78E3FBCD">
            <w:pPr>
              <w:pStyle w:val="26"/>
              <w:adjustRightInd w:val="0"/>
              <w:snapToGrid w:val="0"/>
              <w:spacing w:before="0" w:beforeAutospacing="0" w:after="0" w:afterAutospacing="0"/>
              <w:jc w:val="center"/>
              <w:rPr>
                <w:rFonts w:ascii="Times New Roman" w:hAnsi="Times New Roman"/>
                <w:bCs/>
                <w:color w:val="auto"/>
                <w:kern w:val="2"/>
                <w:sz w:val="24"/>
                <w:szCs w:val="24"/>
                <w:highlight w:val="none"/>
              </w:rPr>
            </w:pPr>
          </w:p>
          <w:p w14:paraId="685EDC67">
            <w:pPr>
              <w:pStyle w:val="26"/>
              <w:adjustRightInd w:val="0"/>
              <w:snapToGrid w:val="0"/>
              <w:spacing w:before="0" w:beforeAutospacing="0" w:after="0" w:afterAutospacing="0"/>
              <w:jc w:val="center"/>
              <w:rPr>
                <w:rFonts w:ascii="Times New Roman" w:hAnsi="Times New Roman"/>
                <w:bCs/>
                <w:color w:val="auto"/>
                <w:kern w:val="2"/>
                <w:sz w:val="24"/>
                <w:szCs w:val="24"/>
                <w:highlight w:val="none"/>
              </w:rPr>
            </w:pPr>
          </w:p>
          <w:p w14:paraId="1316A26D">
            <w:pPr>
              <w:pStyle w:val="26"/>
              <w:adjustRightInd w:val="0"/>
              <w:snapToGrid w:val="0"/>
              <w:spacing w:before="0" w:beforeAutospacing="0" w:after="0" w:afterAutospacing="0"/>
              <w:jc w:val="center"/>
              <w:rPr>
                <w:rFonts w:ascii="Times New Roman" w:hAnsi="Times New Roman"/>
                <w:bCs/>
                <w:color w:val="auto"/>
                <w:kern w:val="2"/>
                <w:sz w:val="24"/>
                <w:szCs w:val="24"/>
                <w:highlight w:val="none"/>
              </w:rPr>
            </w:pPr>
          </w:p>
          <w:p w14:paraId="62A38C51">
            <w:pPr>
              <w:pStyle w:val="26"/>
              <w:adjustRightInd w:val="0"/>
              <w:snapToGrid w:val="0"/>
              <w:spacing w:before="0" w:beforeAutospacing="0" w:after="0" w:afterAutospacing="0"/>
              <w:jc w:val="center"/>
              <w:rPr>
                <w:rFonts w:ascii="Times New Roman" w:hAnsi="Times New Roman"/>
                <w:bCs/>
                <w:color w:val="auto"/>
                <w:kern w:val="2"/>
                <w:sz w:val="24"/>
                <w:szCs w:val="24"/>
                <w:highlight w:val="none"/>
              </w:rPr>
            </w:pPr>
          </w:p>
          <w:p w14:paraId="555A93CD">
            <w:pPr>
              <w:pStyle w:val="26"/>
              <w:adjustRightInd w:val="0"/>
              <w:snapToGrid w:val="0"/>
              <w:spacing w:before="0" w:beforeAutospacing="0" w:after="0" w:afterAutospacing="0"/>
              <w:jc w:val="center"/>
              <w:rPr>
                <w:rFonts w:ascii="Times New Roman" w:hAnsi="Times New Roman"/>
                <w:bCs/>
                <w:color w:val="auto"/>
                <w:kern w:val="2"/>
                <w:sz w:val="24"/>
                <w:szCs w:val="24"/>
                <w:highlight w:val="none"/>
              </w:rPr>
            </w:pPr>
          </w:p>
          <w:p w14:paraId="63802399">
            <w:pPr>
              <w:pStyle w:val="26"/>
              <w:adjustRightInd w:val="0"/>
              <w:snapToGrid w:val="0"/>
              <w:spacing w:before="0" w:beforeAutospacing="0" w:after="0" w:afterAutospacing="0"/>
              <w:jc w:val="center"/>
              <w:rPr>
                <w:rFonts w:ascii="Times New Roman" w:hAnsi="Times New Roman"/>
                <w:bCs/>
                <w:color w:val="auto"/>
                <w:kern w:val="2"/>
                <w:sz w:val="24"/>
                <w:szCs w:val="24"/>
                <w:highlight w:val="none"/>
              </w:rPr>
            </w:pPr>
          </w:p>
          <w:p w14:paraId="637B8F8F">
            <w:pPr>
              <w:pStyle w:val="26"/>
              <w:adjustRightInd w:val="0"/>
              <w:snapToGrid w:val="0"/>
              <w:spacing w:before="0" w:beforeAutospacing="0" w:after="0" w:afterAutospacing="0"/>
              <w:jc w:val="center"/>
              <w:rPr>
                <w:rFonts w:ascii="Times New Roman" w:hAnsi="Times New Roman"/>
                <w:bCs/>
                <w:color w:val="auto"/>
                <w:kern w:val="2"/>
                <w:sz w:val="24"/>
                <w:szCs w:val="24"/>
                <w:highlight w:val="none"/>
              </w:rPr>
            </w:pPr>
          </w:p>
          <w:p w14:paraId="1B3E631A">
            <w:pPr>
              <w:pStyle w:val="26"/>
              <w:adjustRightInd w:val="0"/>
              <w:snapToGrid w:val="0"/>
              <w:spacing w:before="0" w:beforeAutospacing="0" w:after="0" w:afterAutospacing="0"/>
              <w:jc w:val="center"/>
              <w:rPr>
                <w:rFonts w:ascii="Times New Roman" w:hAnsi="Times New Roman"/>
                <w:bCs/>
                <w:color w:val="auto"/>
                <w:kern w:val="2"/>
                <w:sz w:val="24"/>
                <w:szCs w:val="24"/>
                <w:highlight w:val="none"/>
              </w:rPr>
            </w:pPr>
          </w:p>
          <w:p w14:paraId="392407AB">
            <w:pPr>
              <w:pStyle w:val="26"/>
              <w:adjustRightInd w:val="0"/>
              <w:snapToGrid w:val="0"/>
              <w:spacing w:before="0" w:beforeAutospacing="0" w:after="0" w:afterAutospacing="0"/>
              <w:jc w:val="center"/>
              <w:rPr>
                <w:rFonts w:ascii="Times New Roman" w:hAnsi="Times New Roman"/>
                <w:bCs/>
                <w:color w:val="auto"/>
                <w:kern w:val="2"/>
                <w:sz w:val="24"/>
                <w:szCs w:val="24"/>
                <w:highlight w:val="none"/>
              </w:rPr>
            </w:pPr>
          </w:p>
          <w:p w14:paraId="5B575DB7">
            <w:pPr>
              <w:pStyle w:val="26"/>
              <w:adjustRightInd w:val="0"/>
              <w:snapToGrid w:val="0"/>
              <w:spacing w:before="0" w:beforeAutospacing="0" w:after="0" w:afterAutospacing="0"/>
              <w:jc w:val="center"/>
              <w:rPr>
                <w:rFonts w:ascii="Times New Roman" w:hAnsi="Times New Roman"/>
                <w:bCs/>
                <w:color w:val="auto"/>
                <w:kern w:val="2"/>
                <w:sz w:val="24"/>
                <w:szCs w:val="24"/>
                <w:highlight w:val="none"/>
              </w:rPr>
            </w:pPr>
          </w:p>
          <w:p w14:paraId="2D41BB2B">
            <w:pPr>
              <w:pStyle w:val="26"/>
              <w:adjustRightInd w:val="0"/>
              <w:snapToGrid w:val="0"/>
              <w:spacing w:before="0" w:beforeAutospacing="0" w:after="0" w:afterAutospacing="0"/>
              <w:jc w:val="center"/>
              <w:rPr>
                <w:rFonts w:ascii="Times New Roman" w:hAnsi="Times New Roman"/>
                <w:bCs/>
                <w:color w:val="auto"/>
                <w:kern w:val="2"/>
                <w:sz w:val="24"/>
                <w:szCs w:val="24"/>
                <w:highlight w:val="none"/>
              </w:rPr>
            </w:pPr>
          </w:p>
          <w:p w14:paraId="62FE3594">
            <w:pPr>
              <w:pStyle w:val="26"/>
              <w:adjustRightInd w:val="0"/>
              <w:snapToGrid w:val="0"/>
              <w:spacing w:before="0" w:beforeAutospacing="0" w:after="0" w:afterAutospacing="0"/>
              <w:jc w:val="center"/>
              <w:rPr>
                <w:rFonts w:ascii="Times New Roman" w:hAnsi="Times New Roman"/>
                <w:color w:val="auto"/>
                <w:sz w:val="21"/>
                <w:szCs w:val="21"/>
                <w:highlight w:val="none"/>
              </w:rPr>
            </w:pPr>
            <w:r>
              <w:rPr>
                <w:rFonts w:ascii="Times New Roman" w:hAnsi="Times New Roman"/>
                <w:bCs/>
                <w:color w:val="auto"/>
                <w:kern w:val="2"/>
                <w:sz w:val="24"/>
                <w:szCs w:val="24"/>
                <w:highlight w:val="none"/>
              </w:rPr>
              <w:t>与项目有关的原有环境污染问题</w:t>
            </w:r>
          </w:p>
        </w:tc>
        <w:tc>
          <w:tcPr>
            <w:tcW w:w="8161" w:type="dxa"/>
            <w:vAlign w:val="center"/>
          </w:tcPr>
          <w:p w14:paraId="20C4661E">
            <w:pPr>
              <w:widowControl w:val="0"/>
              <w:spacing w:line="360" w:lineRule="auto"/>
              <w:ind w:firstLine="480" w:firstLineChars="200"/>
              <w:jc w:val="both"/>
              <w:rPr>
                <w:rFonts w:hint="eastAsia" w:ascii="宋体" w:hAnsi="宋体" w:cs="宋体"/>
                <w:color w:val="auto"/>
                <w:sz w:val="24"/>
                <w:highlight w:val="none"/>
              </w:rPr>
            </w:pPr>
          </w:p>
          <w:p w14:paraId="015BA1BB">
            <w:pPr>
              <w:widowControl w:val="0"/>
              <w:spacing w:line="360" w:lineRule="auto"/>
              <w:ind w:firstLine="480" w:firstLineChars="200"/>
              <w:jc w:val="both"/>
              <w:rPr>
                <w:rFonts w:hint="eastAsia" w:ascii="宋体" w:hAnsi="宋体" w:cs="宋体"/>
                <w:color w:val="auto"/>
                <w:sz w:val="24"/>
                <w:highlight w:val="none"/>
              </w:rPr>
            </w:pPr>
          </w:p>
          <w:p w14:paraId="745FC5A1">
            <w:pPr>
              <w:widowControl w:val="0"/>
              <w:spacing w:line="360" w:lineRule="auto"/>
              <w:ind w:firstLine="480" w:firstLineChars="200"/>
              <w:jc w:val="both"/>
              <w:rPr>
                <w:rFonts w:hint="eastAsia" w:ascii="宋体" w:hAnsi="宋体" w:cs="宋体"/>
                <w:color w:val="auto"/>
                <w:sz w:val="24"/>
                <w:highlight w:val="none"/>
              </w:rPr>
            </w:pPr>
          </w:p>
          <w:p w14:paraId="4F4C47A1">
            <w:pPr>
              <w:widowControl w:val="0"/>
              <w:spacing w:line="360" w:lineRule="auto"/>
              <w:ind w:firstLine="480" w:firstLineChars="200"/>
              <w:jc w:val="both"/>
              <w:rPr>
                <w:rFonts w:hint="eastAsia" w:ascii="宋体" w:hAnsi="宋体" w:cs="宋体"/>
                <w:color w:val="auto"/>
                <w:sz w:val="24"/>
                <w:highlight w:val="none"/>
              </w:rPr>
            </w:pPr>
          </w:p>
          <w:p w14:paraId="51FC0CD7">
            <w:pPr>
              <w:widowControl w:val="0"/>
              <w:spacing w:line="360" w:lineRule="auto"/>
              <w:ind w:firstLine="480" w:firstLineChars="200"/>
              <w:jc w:val="both"/>
              <w:rPr>
                <w:rFonts w:hint="eastAsia" w:ascii="宋体" w:hAnsi="宋体" w:cs="宋体"/>
                <w:color w:val="auto"/>
                <w:sz w:val="24"/>
                <w:highlight w:val="none"/>
              </w:rPr>
            </w:pPr>
          </w:p>
          <w:p w14:paraId="7B538D4D">
            <w:pPr>
              <w:widowControl w:val="0"/>
              <w:spacing w:line="360" w:lineRule="auto"/>
              <w:ind w:firstLine="480" w:firstLineChars="200"/>
              <w:jc w:val="both"/>
              <w:rPr>
                <w:rFonts w:hint="eastAsia" w:ascii="宋体" w:hAnsi="宋体" w:cs="宋体"/>
                <w:color w:val="auto"/>
                <w:sz w:val="24"/>
                <w:highlight w:val="none"/>
              </w:rPr>
            </w:pPr>
          </w:p>
          <w:p w14:paraId="4C1E25E7">
            <w:pPr>
              <w:widowControl w:val="0"/>
              <w:spacing w:line="360" w:lineRule="auto"/>
              <w:ind w:firstLine="480" w:firstLineChars="200"/>
              <w:jc w:val="both"/>
              <w:rPr>
                <w:rFonts w:hint="eastAsia" w:ascii="宋体" w:hAnsi="宋体" w:cs="宋体"/>
                <w:color w:val="auto"/>
                <w:sz w:val="24"/>
                <w:highlight w:val="none"/>
              </w:rPr>
            </w:pPr>
          </w:p>
          <w:p w14:paraId="68443050">
            <w:pPr>
              <w:widowControl w:val="0"/>
              <w:spacing w:line="360" w:lineRule="auto"/>
              <w:ind w:firstLine="480" w:firstLineChars="200"/>
              <w:jc w:val="both"/>
              <w:rPr>
                <w:rFonts w:hint="eastAsia" w:ascii="宋体" w:hAnsi="宋体" w:cs="宋体"/>
                <w:color w:val="auto"/>
                <w:sz w:val="24"/>
                <w:highlight w:val="none"/>
              </w:rPr>
            </w:pPr>
          </w:p>
          <w:p w14:paraId="585B7B48">
            <w:pPr>
              <w:widowControl w:val="0"/>
              <w:spacing w:line="360" w:lineRule="auto"/>
              <w:ind w:firstLine="480" w:firstLineChars="200"/>
              <w:jc w:val="both"/>
              <w:rPr>
                <w:rFonts w:hint="eastAsia" w:ascii="宋体" w:hAnsi="宋体" w:cs="宋体"/>
                <w:color w:val="auto"/>
                <w:sz w:val="24"/>
                <w:highlight w:val="none"/>
              </w:rPr>
            </w:pPr>
          </w:p>
          <w:p w14:paraId="549F26CD">
            <w:pPr>
              <w:widowControl w:val="0"/>
              <w:spacing w:line="360" w:lineRule="auto"/>
              <w:ind w:firstLine="480" w:firstLineChars="200"/>
              <w:jc w:val="both"/>
              <w:rPr>
                <w:rFonts w:hint="eastAsia" w:ascii="宋体" w:hAnsi="宋体" w:cs="宋体"/>
                <w:color w:val="auto"/>
                <w:sz w:val="24"/>
                <w:highlight w:val="none"/>
              </w:rPr>
            </w:pPr>
          </w:p>
          <w:p w14:paraId="49AE5412">
            <w:pPr>
              <w:widowControl w:val="0"/>
              <w:spacing w:line="360" w:lineRule="auto"/>
              <w:ind w:firstLine="480" w:firstLineChars="200"/>
              <w:jc w:val="both"/>
              <w:rPr>
                <w:rFonts w:hint="default" w:ascii="Times New Roman" w:hAnsi="Times New Roman" w:eastAsia="宋体" w:cs="Times New Roman"/>
                <w:b w:val="0"/>
                <w:bCs w:val="0"/>
                <w:color w:val="000000"/>
                <w:kern w:val="2"/>
                <w:sz w:val="24"/>
                <w:szCs w:val="24"/>
                <w:highlight w:val="none"/>
                <w:lang w:val="en-US" w:eastAsia="zh-CN" w:bidi="ar-SA"/>
              </w:rPr>
            </w:pPr>
            <w:r>
              <w:rPr>
                <w:rFonts w:hint="eastAsia" w:ascii="宋体" w:hAnsi="宋体" w:cs="宋体"/>
                <w:color w:val="auto"/>
                <w:sz w:val="24"/>
                <w:highlight w:val="none"/>
              </w:rPr>
              <w:t>本项目属新建项目，</w:t>
            </w:r>
            <w:r>
              <w:rPr>
                <w:rFonts w:hint="eastAsia" w:ascii="宋体" w:hAnsi="宋体" w:cs="宋体"/>
                <w:color w:val="auto"/>
                <w:sz w:val="24"/>
                <w:highlight w:val="none"/>
                <w:lang w:val="en-US" w:eastAsia="zh-CN"/>
              </w:rPr>
              <w:t>地块现状为空地，</w:t>
            </w:r>
            <w:r>
              <w:rPr>
                <w:rFonts w:hint="eastAsia" w:ascii="宋体" w:hAnsi="宋体" w:cs="宋体"/>
                <w:color w:val="auto"/>
                <w:sz w:val="24"/>
                <w:highlight w:val="none"/>
              </w:rPr>
              <w:t>不存在原有污染情况及环境遗留问题</w:t>
            </w:r>
            <w:r>
              <w:rPr>
                <w:rFonts w:hint="default" w:ascii="Times New Roman" w:hAnsi="Times New Roman" w:eastAsia="宋体" w:cs="Times New Roman"/>
                <w:b w:val="0"/>
                <w:bCs w:val="0"/>
                <w:color w:val="000000"/>
                <w:kern w:val="2"/>
                <w:sz w:val="24"/>
                <w:szCs w:val="24"/>
                <w:highlight w:val="none"/>
                <w:lang w:val="en-US" w:eastAsia="zh-CN" w:bidi="ar-SA"/>
              </w:rPr>
              <w:t>。</w:t>
            </w:r>
            <w:r>
              <w:rPr>
                <w:rFonts w:hint="eastAsia"/>
                <w:sz w:val="24"/>
                <w:highlight w:val="none"/>
              </w:rPr>
              <w:t>环境质量现状监测数据表明，项目所在区域各类环境要素均能达到相应的环境规划要求，无突出环境问题</w:t>
            </w:r>
            <w:r>
              <w:rPr>
                <w:rFonts w:hint="eastAsia" w:ascii="宋体" w:hAnsi="宋体"/>
                <w:sz w:val="24"/>
                <w:highlight w:val="none"/>
              </w:rPr>
              <w:t>。</w:t>
            </w:r>
          </w:p>
          <w:p w14:paraId="00C5B4A6">
            <w:pPr>
              <w:pStyle w:val="41"/>
              <w:rPr>
                <w:highlight w:val="none"/>
              </w:rPr>
            </w:pPr>
          </w:p>
          <w:p w14:paraId="7B072DEF">
            <w:pPr>
              <w:rPr>
                <w:highlight w:val="none"/>
              </w:rPr>
            </w:pPr>
          </w:p>
          <w:p w14:paraId="2B2FB9C8">
            <w:pPr>
              <w:pStyle w:val="20"/>
              <w:rPr>
                <w:highlight w:val="none"/>
              </w:rPr>
            </w:pPr>
          </w:p>
          <w:p w14:paraId="6E8112FE">
            <w:pPr>
              <w:pStyle w:val="20"/>
              <w:rPr>
                <w:highlight w:val="none"/>
              </w:rPr>
            </w:pPr>
          </w:p>
          <w:p w14:paraId="313F56D1">
            <w:pPr>
              <w:pStyle w:val="20"/>
              <w:rPr>
                <w:highlight w:val="none"/>
              </w:rPr>
            </w:pPr>
          </w:p>
          <w:p w14:paraId="7C4E0C12">
            <w:pPr>
              <w:pStyle w:val="20"/>
              <w:rPr>
                <w:highlight w:val="none"/>
              </w:rPr>
            </w:pPr>
          </w:p>
          <w:p w14:paraId="19232A28">
            <w:pPr>
              <w:pStyle w:val="20"/>
              <w:rPr>
                <w:highlight w:val="none"/>
              </w:rPr>
            </w:pPr>
          </w:p>
          <w:p w14:paraId="51EBE7E0">
            <w:pPr>
              <w:pStyle w:val="20"/>
              <w:rPr>
                <w:highlight w:val="none"/>
              </w:rPr>
            </w:pPr>
          </w:p>
          <w:p w14:paraId="7E6867C9">
            <w:pPr>
              <w:pStyle w:val="20"/>
              <w:rPr>
                <w:highlight w:val="none"/>
              </w:rPr>
            </w:pPr>
          </w:p>
          <w:p w14:paraId="074F19DD">
            <w:pPr>
              <w:pStyle w:val="20"/>
              <w:rPr>
                <w:highlight w:val="none"/>
              </w:rPr>
            </w:pPr>
          </w:p>
          <w:p w14:paraId="4F23E72D">
            <w:pPr>
              <w:pStyle w:val="20"/>
              <w:rPr>
                <w:highlight w:val="none"/>
              </w:rPr>
            </w:pPr>
          </w:p>
          <w:p w14:paraId="6AA742A0">
            <w:pPr>
              <w:pStyle w:val="20"/>
              <w:rPr>
                <w:highlight w:val="none"/>
              </w:rPr>
            </w:pPr>
          </w:p>
          <w:p w14:paraId="2E5E4A99">
            <w:pPr>
              <w:pStyle w:val="20"/>
              <w:rPr>
                <w:highlight w:val="none"/>
              </w:rPr>
            </w:pPr>
          </w:p>
          <w:p w14:paraId="65FC33BF">
            <w:pPr>
              <w:pStyle w:val="20"/>
              <w:rPr>
                <w:highlight w:val="none"/>
              </w:rPr>
            </w:pPr>
          </w:p>
          <w:p w14:paraId="4042E896">
            <w:pPr>
              <w:pStyle w:val="20"/>
              <w:rPr>
                <w:highlight w:val="none"/>
              </w:rPr>
            </w:pPr>
          </w:p>
          <w:p w14:paraId="618AE00F">
            <w:pPr>
              <w:pStyle w:val="20"/>
              <w:rPr>
                <w:highlight w:val="none"/>
              </w:rPr>
            </w:pPr>
          </w:p>
          <w:p w14:paraId="74D70FFA">
            <w:pPr>
              <w:pStyle w:val="20"/>
              <w:rPr>
                <w:highlight w:val="none"/>
              </w:rPr>
            </w:pPr>
          </w:p>
          <w:p w14:paraId="31B7D33C">
            <w:pPr>
              <w:pStyle w:val="20"/>
              <w:rPr>
                <w:highlight w:val="none"/>
              </w:rPr>
            </w:pPr>
          </w:p>
          <w:p w14:paraId="492CB2A8">
            <w:pPr>
              <w:pStyle w:val="20"/>
              <w:rPr>
                <w:highlight w:val="none"/>
              </w:rPr>
            </w:pPr>
          </w:p>
          <w:p w14:paraId="16C79735">
            <w:pPr>
              <w:pStyle w:val="20"/>
              <w:rPr>
                <w:highlight w:val="none"/>
              </w:rPr>
            </w:pPr>
          </w:p>
          <w:p w14:paraId="1BD66994">
            <w:pPr>
              <w:pStyle w:val="20"/>
              <w:rPr>
                <w:highlight w:val="none"/>
              </w:rPr>
            </w:pPr>
          </w:p>
          <w:p w14:paraId="626B5E9F">
            <w:pPr>
              <w:pStyle w:val="20"/>
              <w:rPr>
                <w:highlight w:val="none"/>
              </w:rPr>
            </w:pPr>
          </w:p>
          <w:p w14:paraId="213CD1F7">
            <w:pPr>
              <w:pStyle w:val="20"/>
              <w:rPr>
                <w:highlight w:val="none"/>
              </w:rPr>
            </w:pPr>
          </w:p>
          <w:p w14:paraId="07EDD3AB">
            <w:pPr>
              <w:pStyle w:val="20"/>
              <w:rPr>
                <w:highlight w:val="none"/>
              </w:rPr>
            </w:pPr>
          </w:p>
          <w:p w14:paraId="47BE23D1">
            <w:pPr>
              <w:pStyle w:val="20"/>
              <w:rPr>
                <w:highlight w:val="none"/>
              </w:rPr>
            </w:pPr>
          </w:p>
          <w:p w14:paraId="7E4BF1EA">
            <w:pPr>
              <w:pStyle w:val="20"/>
              <w:rPr>
                <w:highlight w:val="none"/>
              </w:rPr>
            </w:pPr>
          </w:p>
          <w:p w14:paraId="328D9143">
            <w:pPr>
              <w:adjustRightInd w:val="0"/>
              <w:snapToGrid w:val="0"/>
              <w:rPr>
                <w:bCs/>
                <w:color w:val="auto"/>
                <w:szCs w:val="21"/>
                <w:highlight w:val="none"/>
              </w:rPr>
            </w:pPr>
          </w:p>
        </w:tc>
      </w:tr>
    </w:tbl>
    <w:p w14:paraId="279E3894">
      <w:pPr>
        <w:pStyle w:val="26"/>
        <w:jc w:val="center"/>
        <w:rPr>
          <w:rFonts w:ascii="Times New Roman" w:hAnsi="Times New Roman" w:eastAsia="黑体"/>
          <w:snapToGrid w:val="0"/>
          <w:color w:val="auto"/>
          <w:sz w:val="36"/>
          <w:szCs w:val="36"/>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02D75815">
      <w:pPr>
        <w:pStyle w:val="2"/>
        <w:jc w:val="center"/>
        <w:rPr>
          <w:rFonts w:hint="eastAsia" w:ascii="宋体" w:hAnsi="宋体" w:eastAsia="宋体" w:cs="宋体"/>
          <w:sz w:val="36"/>
          <w:szCs w:val="36"/>
          <w:highlight w:val="none"/>
        </w:rPr>
      </w:pPr>
      <w:bookmarkStart w:id="35" w:name="_Toc21767"/>
      <w:bookmarkStart w:id="36" w:name="_Toc19607"/>
      <w:r>
        <w:rPr>
          <w:rFonts w:hint="eastAsia" w:ascii="宋体" w:hAnsi="宋体" w:eastAsia="宋体" w:cs="宋体"/>
          <w:sz w:val="36"/>
          <w:szCs w:val="36"/>
          <w:highlight w:val="none"/>
        </w:rPr>
        <w:t>三、区域环境质量现状、环境保护目标及评价标准</w:t>
      </w:r>
      <w:bookmarkEnd w:id="35"/>
      <w:bookmarkEnd w:id="36"/>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56"/>
        <w:gridCol w:w="8205"/>
      </w:tblGrid>
      <w:tr w14:paraId="765793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83" w:hRule="atLeast"/>
          <w:jc w:val="center"/>
        </w:trPr>
        <w:tc>
          <w:tcPr>
            <w:tcW w:w="856" w:type="dxa"/>
            <w:vAlign w:val="center"/>
          </w:tcPr>
          <w:p w14:paraId="0AEE16FC">
            <w:pPr>
              <w:adjustRightInd w:val="0"/>
              <w:snapToGrid w:val="0"/>
              <w:jc w:val="center"/>
              <w:rPr>
                <w:rFonts w:ascii="Times New Roman" w:hAnsi="Times New Roman" w:eastAsia="宋体" w:cs="Times New Roman"/>
                <w:kern w:val="0"/>
                <w:sz w:val="24"/>
                <w:highlight w:val="none"/>
              </w:rPr>
            </w:pPr>
            <w:r>
              <w:rPr>
                <w:rFonts w:ascii="Times New Roman" w:hAnsi="Times New Roman" w:eastAsia="宋体" w:cs="Times New Roman"/>
                <w:kern w:val="0"/>
                <w:sz w:val="24"/>
                <w:highlight w:val="none"/>
              </w:rPr>
              <w:t>区域</w:t>
            </w:r>
          </w:p>
          <w:p w14:paraId="08998081">
            <w:pPr>
              <w:adjustRightInd w:val="0"/>
              <w:snapToGrid w:val="0"/>
              <w:jc w:val="center"/>
              <w:rPr>
                <w:rFonts w:ascii="Times New Roman" w:hAnsi="Times New Roman" w:eastAsia="宋体" w:cs="Times New Roman"/>
                <w:kern w:val="0"/>
                <w:sz w:val="24"/>
                <w:highlight w:val="none"/>
              </w:rPr>
            </w:pPr>
            <w:r>
              <w:rPr>
                <w:rFonts w:ascii="Times New Roman" w:hAnsi="Times New Roman" w:eastAsia="宋体" w:cs="Times New Roman"/>
                <w:kern w:val="0"/>
                <w:sz w:val="24"/>
                <w:highlight w:val="none"/>
              </w:rPr>
              <w:t>环境</w:t>
            </w:r>
          </w:p>
          <w:p w14:paraId="64466CDB">
            <w:pPr>
              <w:adjustRightInd w:val="0"/>
              <w:snapToGrid w:val="0"/>
              <w:jc w:val="center"/>
              <w:rPr>
                <w:rFonts w:ascii="Times New Roman" w:hAnsi="Times New Roman" w:eastAsia="宋体" w:cs="Times New Roman"/>
                <w:kern w:val="0"/>
                <w:sz w:val="24"/>
                <w:highlight w:val="none"/>
              </w:rPr>
            </w:pPr>
            <w:r>
              <w:rPr>
                <w:rFonts w:ascii="Times New Roman" w:hAnsi="Times New Roman" w:eastAsia="宋体" w:cs="Times New Roman"/>
                <w:kern w:val="0"/>
                <w:sz w:val="24"/>
                <w:highlight w:val="none"/>
              </w:rPr>
              <w:t>质量</w:t>
            </w:r>
          </w:p>
          <w:p w14:paraId="3508C604">
            <w:pPr>
              <w:adjustRightInd w:val="0"/>
              <w:snapToGrid w:val="0"/>
              <w:jc w:val="center"/>
              <w:rPr>
                <w:color w:val="auto"/>
                <w:kern w:val="0"/>
                <w:szCs w:val="21"/>
                <w:highlight w:val="none"/>
              </w:rPr>
            </w:pPr>
            <w:r>
              <w:rPr>
                <w:rFonts w:ascii="Times New Roman" w:hAnsi="Times New Roman" w:eastAsia="宋体" w:cs="Times New Roman"/>
                <w:kern w:val="0"/>
                <w:sz w:val="24"/>
                <w:highlight w:val="none"/>
              </w:rPr>
              <w:t>现状</w:t>
            </w:r>
          </w:p>
        </w:tc>
        <w:tc>
          <w:tcPr>
            <w:tcW w:w="8205" w:type="dxa"/>
            <w:vAlign w:val="center"/>
          </w:tcPr>
          <w:p w14:paraId="721A07F1">
            <w:pPr>
              <w:adjustRightInd w:val="0"/>
              <w:snapToGrid w:val="0"/>
              <w:spacing w:before="120" w:beforeLines="50" w:line="360" w:lineRule="auto"/>
              <w:ind w:firstLine="482" w:firstLineChars="200"/>
              <w:jc w:val="left"/>
              <w:rPr>
                <w:b/>
                <w:kern w:val="0"/>
                <w:sz w:val="24"/>
                <w:highlight w:val="none"/>
              </w:rPr>
            </w:pPr>
            <w:r>
              <w:rPr>
                <w:b/>
                <w:kern w:val="0"/>
                <w:sz w:val="24"/>
                <w:highlight w:val="none"/>
              </w:rPr>
              <w:t>一、环境空气质量现状</w:t>
            </w:r>
          </w:p>
          <w:p w14:paraId="7004F727">
            <w:pPr>
              <w:pStyle w:val="76"/>
              <w:bidi w:val="0"/>
              <w:rPr>
                <w:color w:val="auto"/>
                <w:highlight w:val="none"/>
              </w:rPr>
            </w:pPr>
            <w:r>
              <w:rPr>
                <w:color w:val="auto"/>
                <w:highlight w:val="none"/>
              </w:rPr>
              <w:t>根据</w:t>
            </w:r>
            <w:r>
              <w:rPr>
                <w:rFonts w:hint="eastAsia"/>
                <w:color w:val="auto"/>
                <w:highlight w:val="none"/>
                <w:lang w:eastAsia="zh-CN"/>
              </w:rPr>
              <w:t>《韶关市生态环境保护战略规划（</w:t>
            </w:r>
            <w:r>
              <w:rPr>
                <w:rFonts w:hint="default" w:ascii="Times New Roman" w:hAnsi="Times New Roman" w:cs="Times New Roman"/>
                <w:color w:val="auto"/>
                <w:highlight w:val="none"/>
                <w:lang w:eastAsia="zh-CN"/>
              </w:rPr>
              <w:t>2020-2035</w:t>
            </w:r>
            <w:r>
              <w:rPr>
                <w:rFonts w:hint="eastAsia"/>
                <w:color w:val="auto"/>
                <w:highlight w:val="none"/>
                <w:lang w:eastAsia="zh-CN"/>
              </w:rPr>
              <w:t>）》</w:t>
            </w:r>
            <w:r>
              <w:rPr>
                <w:color w:val="auto"/>
                <w:highlight w:val="none"/>
              </w:rPr>
              <w:t>的规定，本项目所在地区域空气环境质量功能区划为二类功能区，因此，项目所在区域环境空气质量执行国家</w:t>
            </w:r>
            <w:r>
              <w:rPr>
                <w:rFonts w:hint="eastAsia"/>
                <w:color w:val="auto"/>
                <w:highlight w:val="none"/>
                <w:lang w:eastAsia="zh-CN"/>
              </w:rPr>
              <w:t>《环境空气质量标</w:t>
            </w:r>
            <w:r>
              <w:rPr>
                <w:rFonts w:hint="eastAsia" w:eastAsia="宋体"/>
                <w:color w:val="auto"/>
                <w:highlight w:val="none"/>
                <w:lang w:eastAsia="zh-CN"/>
              </w:rPr>
              <w:t>准》（</w:t>
            </w:r>
            <w:r>
              <w:rPr>
                <w:rFonts w:hint="default" w:ascii="Times New Roman" w:hAnsi="Times New Roman" w:eastAsia="宋体" w:cs="Times New Roman"/>
                <w:color w:val="auto"/>
                <w:highlight w:val="none"/>
                <w:lang w:eastAsia="zh-CN"/>
              </w:rPr>
              <w:t>GB3095-2012</w:t>
            </w:r>
            <w:r>
              <w:rPr>
                <w:rFonts w:hint="eastAsia" w:eastAsia="宋体"/>
                <w:color w:val="auto"/>
                <w:highlight w:val="none"/>
                <w:lang w:eastAsia="zh-CN"/>
              </w:rPr>
              <w:t>）及修</w:t>
            </w:r>
            <w:r>
              <w:rPr>
                <w:rFonts w:hint="eastAsia"/>
                <w:color w:val="auto"/>
                <w:highlight w:val="none"/>
                <w:lang w:eastAsia="zh-CN"/>
              </w:rPr>
              <w:t>改单二级标准</w:t>
            </w:r>
            <w:r>
              <w:rPr>
                <w:color w:val="auto"/>
                <w:highlight w:val="none"/>
              </w:rPr>
              <w:t>。</w:t>
            </w:r>
          </w:p>
          <w:p w14:paraId="7642309E">
            <w:pPr>
              <w:pStyle w:val="76"/>
              <w:bidi w:val="0"/>
              <w:rPr>
                <w:rFonts w:hint="eastAsia" w:ascii="Times New Roman" w:hAnsi="Times New Roman"/>
                <w:color w:val="auto"/>
                <w:highlight w:val="none"/>
                <w:lang w:val="en-US" w:eastAsia="zh-CN"/>
              </w:rPr>
            </w:pPr>
            <w:r>
              <w:rPr>
                <w:rFonts w:ascii="Times New Roman" w:hAnsi="Times New Roman"/>
                <w:color w:val="auto"/>
                <w:highlight w:val="none"/>
                <w:lang w:val="en-US" w:eastAsia="zh-CN"/>
              </w:rPr>
              <w:t>本评价引用《韶关市生态环境状态公报》</w:t>
            </w:r>
            <w:r>
              <w:rPr>
                <w:rFonts w:hint="eastAsia" w:ascii="Times New Roman" w:hAnsi="Times New Roman"/>
                <w:color w:val="auto"/>
                <w:highlight w:val="none"/>
                <w:lang w:val="en-US" w:eastAsia="zh-CN"/>
              </w:rPr>
              <w:t>（2024年度）</w:t>
            </w:r>
            <w:r>
              <w:rPr>
                <w:rFonts w:ascii="Times New Roman" w:hAnsi="Times New Roman"/>
                <w:color w:val="auto"/>
                <w:highlight w:val="none"/>
                <w:lang w:val="en-US" w:eastAsia="zh-CN"/>
              </w:rPr>
              <w:t>（韶关</w:t>
            </w:r>
            <w:r>
              <w:rPr>
                <w:rFonts w:hint="eastAsia" w:ascii="Times New Roman" w:hAnsi="Times New Roman"/>
                <w:color w:val="auto"/>
                <w:highlight w:val="none"/>
                <w:lang w:val="en-US" w:eastAsia="zh-CN"/>
              </w:rPr>
              <w:t>市生态环境局，二〇二五年五月）中乐昌市环境空气质量主要指标数据作为评价依据，2024年乐昌市环境空气具体监测数据见下表。</w:t>
            </w:r>
          </w:p>
          <w:p w14:paraId="67D097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Tahoma"/>
                <w:b/>
                <w:color w:val="auto"/>
                <w:spacing w:val="-2"/>
                <w:kern w:val="0"/>
                <w:sz w:val="24"/>
                <w:highlight w:val="none"/>
              </w:rPr>
            </w:pPr>
            <w:r>
              <w:rPr>
                <w:rFonts w:cs="Tahoma"/>
                <w:b/>
                <w:color w:val="auto"/>
                <w:spacing w:val="-2"/>
                <w:kern w:val="0"/>
                <w:sz w:val="24"/>
                <w:highlight w:val="none"/>
              </w:rPr>
              <w:t>表</w:t>
            </w:r>
            <w:r>
              <w:rPr>
                <w:rFonts w:hint="eastAsia" w:cs="Tahoma"/>
                <w:b/>
                <w:color w:val="auto"/>
                <w:spacing w:val="-2"/>
                <w:kern w:val="0"/>
                <w:sz w:val="24"/>
                <w:highlight w:val="none"/>
              </w:rPr>
              <w:t>3-1</w:t>
            </w:r>
            <w:r>
              <w:rPr>
                <w:rFonts w:hint="eastAsia" w:cs="Tahoma"/>
                <w:b/>
                <w:color w:val="auto"/>
                <w:spacing w:val="-2"/>
                <w:kern w:val="0"/>
                <w:sz w:val="24"/>
                <w:highlight w:val="none"/>
                <w:lang w:val="en-US" w:eastAsia="zh-CN"/>
              </w:rPr>
              <w:t xml:space="preserve"> </w:t>
            </w:r>
            <w:r>
              <w:rPr>
                <w:rFonts w:cs="Tahoma"/>
                <w:b/>
                <w:color w:val="auto"/>
                <w:spacing w:val="-2"/>
                <w:kern w:val="0"/>
                <w:sz w:val="24"/>
                <w:highlight w:val="none"/>
              </w:rPr>
              <w:t>20</w:t>
            </w:r>
            <w:r>
              <w:rPr>
                <w:rFonts w:hint="eastAsia" w:cs="Tahoma"/>
                <w:b/>
                <w:color w:val="auto"/>
                <w:spacing w:val="-2"/>
                <w:kern w:val="0"/>
                <w:sz w:val="24"/>
                <w:highlight w:val="none"/>
              </w:rPr>
              <w:t>2</w:t>
            </w:r>
            <w:r>
              <w:rPr>
                <w:rFonts w:hint="eastAsia" w:cs="Tahoma"/>
                <w:b/>
                <w:color w:val="auto"/>
                <w:spacing w:val="-2"/>
                <w:kern w:val="0"/>
                <w:sz w:val="24"/>
                <w:highlight w:val="none"/>
                <w:lang w:val="en-US" w:eastAsia="zh-CN"/>
              </w:rPr>
              <w:t>4</w:t>
            </w:r>
            <w:r>
              <w:rPr>
                <w:rFonts w:cs="Tahoma"/>
                <w:b/>
                <w:color w:val="auto"/>
                <w:spacing w:val="-2"/>
                <w:kern w:val="0"/>
                <w:sz w:val="24"/>
                <w:highlight w:val="none"/>
              </w:rPr>
              <w:t>年</w:t>
            </w:r>
            <w:r>
              <w:rPr>
                <w:rFonts w:hint="eastAsia" w:cs="Tahoma"/>
                <w:b/>
                <w:color w:val="auto"/>
                <w:spacing w:val="-2"/>
                <w:kern w:val="0"/>
                <w:sz w:val="24"/>
                <w:highlight w:val="none"/>
                <w:lang w:val="en-US" w:eastAsia="zh-CN"/>
              </w:rPr>
              <w:t>乐昌市</w:t>
            </w:r>
            <w:r>
              <w:rPr>
                <w:rFonts w:cs="Tahoma"/>
                <w:b/>
                <w:color w:val="auto"/>
                <w:spacing w:val="-2"/>
                <w:kern w:val="0"/>
                <w:sz w:val="24"/>
                <w:highlight w:val="none"/>
              </w:rPr>
              <w:t>环境空气质量监测结果统计单位：μg/m³</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554"/>
              <w:gridCol w:w="1305"/>
              <w:gridCol w:w="3080"/>
              <w:gridCol w:w="1016"/>
              <w:gridCol w:w="1021"/>
            </w:tblGrid>
            <w:tr w14:paraId="7B98C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974" w:type="pct"/>
                  <w:noWrap/>
                  <w:tcMar>
                    <w:top w:w="12" w:type="dxa"/>
                    <w:left w:w="12" w:type="dxa"/>
                    <w:right w:w="12" w:type="dxa"/>
                  </w:tcMar>
                  <w:vAlign w:val="center"/>
                </w:tcPr>
                <w:p w14:paraId="39AA42B2">
                  <w:pPr>
                    <w:widowControl/>
                    <w:jc w:val="center"/>
                    <w:textAlignment w:val="center"/>
                    <w:rPr>
                      <w:b/>
                      <w:bCs/>
                      <w:color w:val="auto"/>
                      <w:spacing w:val="-2"/>
                      <w:kern w:val="0"/>
                      <w:szCs w:val="21"/>
                      <w:highlight w:val="none"/>
                    </w:rPr>
                  </w:pPr>
                  <w:r>
                    <w:rPr>
                      <w:rFonts w:hint="eastAsia"/>
                      <w:b/>
                      <w:bCs/>
                      <w:color w:val="auto"/>
                      <w:spacing w:val="-2"/>
                      <w:kern w:val="0"/>
                      <w:szCs w:val="21"/>
                      <w:highlight w:val="none"/>
                      <w:lang w:bidi="ar"/>
                    </w:rPr>
                    <w:t>类别</w:t>
                  </w:r>
                </w:p>
              </w:tc>
              <w:tc>
                <w:tcPr>
                  <w:tcW w:w="817" w:type="pct"/>
                  <w:noWrap/>
                  <w:tcMar>
                    <w:top w:w="12" w:type="dxa"/>
                    <w:left w:w="12" w:type="dxa"/>
                    <w:right w:w="12" w:type="dxa"/>
                  </w:tcMar>
                  <w:vAlign w:val="center"/>
                </w:tcPr>
                <w:p w14:paraId="1C4BA06F">
                  <w:pPr>
                    <w:widowControl/>
                    <w:jc w:val="center"/>
                    <w:textAlignment w:val="center"/>
                    <w:rPr>
                      <w:b/>
                      <w:bCs/>
                      <w:color w:val="auto"/>
                      <w:spacing w:val="-2"/>
                      <w:kern w:val="0"/>
                      <w:szCs w:val="21"/>
                      <w:highlight w:val="none"/>
                    </w:rPr>
                  </w:pPr>
                  <w:r>
                    <w:rPr>
                      <w:rFonts w:hint="eastAsia"/>
                      <w:b/>
                      <w:bCs/>
                      <w:color w:val="auto"/>
                      <w:spacing w:val="-2"/>
                      <w:kern w:val="0"/>
                      <w:szCs w:val="21"/>
                      <w:highlight w:val="none"/>
                      <w:lang w:bidi="ar"/>
                    </w:rPr>
                    <w:t>监测项目</w:t>
                  </w:r>
                </w:p>
              </w:tc>
              <w:tc>
                <w:tcPr>
                  <w:tcW w:w="1930" w:type="pct"/>
                  <w:noWrap/>
                  <w:tcMar>
                    <w:top w:w="12" w:type="dxa"/>
                    <w:left w:w="12" w:type="dxa"/>
                    <w:right w:w="12" w:type="dxa"/>
                  </w:tcMar>
                  <w:vAlign w:val="center"/>
                </w:tcPr>
                <w:p w14:paraId="6C618A03">
                  <w:pPr>
                    <w:widowControl/>
                    <w:jc w:val="center"/>
                    <w:textAlignment w:val="bottom"/>
                    <w:rPr>
                      <w:b/>
                      <w:bCs/>
                      <w:color w:val="auto"/>
                      <w:spacing w:val="-2"/>
                      <w:kern w:val="0"/>
                      <w:szCs w:val="21"/>
                      <w:highlight w:val="none"/>
                    </w:rPr>
                  </w:pPr>
                  <w:r>
                    <w:rPr>
                      <w:rFonts w:hint="eastAsia"/>
                      <w:b/>
                      <w:bCs/>
                      <w:color w:val="auto"/>
                      <w:spacing w:val="-2"/>
                      <w:kern w:val="0"/>
                      <w:szCs w:val="21"/>
                      <w:highlight w:val="none"/>
                      <w:lang w:bidi="ar"/>
                    </w:rPr>
                    <w:t>监测值（年均值）</w:t>
                  </w:r>
                </w:p>
              </w:tc>
              <w:tc>
                <w:tcPr>
                  <w:tcW w:w="637" w:type="pct"/>
                  <w:noWrap/>
                  <w:tcMar>
                    <w:top w:w="12" w:type="dxa"/>
                    <w:left w:w="12" w:type="dxa"/>
                    <w:right w:w="12" w:type="dxa"/>
                  </w:tcMar>
                  <w:vAlign w:val="center"/>
                </w:tcPr>
                <w:p w14:paraId="2A342BEF">
                  <w:pPr>
                    <w:widowControl/>
                    <w:jc w:val="center"/>
                    <w:textAlignment w:val="bottom"/>
                    <w:rPr>
                      <w:b/>
                      <w:bCs/>
                      <w:color w:val="auto"/>
                      <w:spacing w:val="-2"/>
                      <w:kern w:val="0"/>
                      <w:szCs w:val="21"/>
                      <w:highlight w:val="none"/>
                    </w:rPr>
                  </w:pPr>
                  <w:r>
                    <w:rPr>
                      <w:rFonts w:hint="eastAsia"/>
                      <w:b/>
                      <w:bCs/>
                      <w:color w:val="auto"/>
                      <w:spacing w:val="-2"/>
                      <w:kern w:val="0"/>
                      <w:szCs w:val="21"/>
                      <w:highlight w:val="none"/>
                      <w:lang w:bidi="ar"/>
                    </w:rPr>
                    <w:t>标准值</w:t>
                  </w:r>
                </w:p>
              </w:tc>
              <w:tc>
                <w:tcPr>
                  <w:tcW w:w="639" w:type="pct"/>
                  <w:noWrap/>
                  <w:tcMar>
                    <w:top w:w="12" w:type="dxa"/>
                    <w:left w:w="12" w:type="dxa"/>
                    <w:right w:w="12" w:type="dxa"/>
                  </w:tcMar>
                  <w:vAlign w:val="center"/>
                </w:tcPr>
                <w:p w14:paraId="1051D9A2">
                  <w:pPr>
                    <w:widowControl/>
                    <w:jc w:val="center"/>
                    <w:textAlignment w:val="bottom"/>
                    <w:rPr>
                      <w:b/>
                      <w:bCs/>
                      <w:color w:val="auto"/>
                      <w:spacing w:val="-2"/>
                      <w:kern w:val="0"/>
                      <w:szCs w:val="21"/>
                      <w:highlight w:val="none"/>
                    </w:rPr>
                  </w:pPr>
                  <w:r>
                    <w:rPr>
                      <w:rFonts w:hint="eastAsia"/>
                      <w:b/>
                      <w:bCs/>
                      <w:color w:val="auto"/>
                      <w:spacing w:val="-2"/>
                      <w:kern w:val="0"/>
                      <w:szCs w:val="21"/>
                      <w:highlight w:val="none"/>
                      <w:lang w:bidi="ar"/>
                    </w:rPr>
                    <w:t>是否达标</w:t>
                  </w:r>
                </w:p>
              </w:tc>
            </w:tr>
            <w:tr w14:paraId="54132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974" w:type="pct"/>
                  <w:vMerge w:val="restart"/>
                  <w:noWrap/>
                  <w:tcMar>
                    <w:top w:w="12" w:type="dxa"/>
                    <w:left w:w="12" w:type="dxa"/>
                    <w:right w:w="12" w:type="dxa"/>
                  </w:tcMar>
                  <w:vAlign w:val="center"/>
                </w:tcPr>
                <w:p w14:paraId="21C89925">
                  <w:pPr>
                    <w:widowControl/>
                    <w:jc w:val="center"/>
                    <w:textAlignment w:val="center"/>
                    <w:rPr>
                      <w:color w:val="auto"/>
                      <w:spacing w:val="-2"/>
                      <w:kern w:val="0"/>
                      <w:szCs w:val="21"/>
                      <w:highlight w:val="none"/>
                    </w:rPr>
                  </w:pPr>
                  <w:r>
                    <w:rPr>
                      <w:color w:val="auto"/>
                      <w:spacing w:val="-2"/>
                      <w:kern w:val="0"/>
                      <w:szCs w:val="21"/>
                      <w:highlight w:val="none"/>
                      <w:lang w:bidi="ar"/>
                    </w:rPr>
                    <w:t>年均浓度</w:t>
                  </w:r>
                </w:p>
              </w:tc>
              <w:tc>
                <w:tcPr>
                  <w:tcW w:w="817" w:type="pct"/>
                  <w:noWrap/>
                  <w:tcMar>
                    <w:top w:w="12" w:type="dxa"/>
                    <w:left w:w="12" w:type="dxa"/>
                    <w:right w:w="12" w:type="dxa"/>
                  </w:tcMar>
                  <w:vAlign w:val="center"/>
                </w:tcPr>
                <w:p w14:paraId="4C1A80A4">
                  <w:pPr>
                    <w:widowControl/>
                    <w:jc w:val="center"/>
                    <w:textAlignment w:val="center"/>
                    <w:rPr>
                      <w:color w:val="auto"/>
                      <w:spacing w:val="-2"/>
                      <w:kern w:val="0"/>
                      <w:szCs w:val="21"/>
                      <w:highlight w:val="none"/>
                    </w:rPr>
                  </w:pPr>
                  <w:r>
                    <w:rPr>
                      <w:rFonts w:hint="eastAsia"/>
                      <w:color w:val="auto"/>
                      <w:spacing w:val="-2"/>
                      <w:kern w:val="0"/>
                      <w:szCs w:val="21"/>
                      <w:highlight w:val="none"/>
                    </w:rPr>
                    <w:t>SO</w:t>
                  </w:r>
                  <w:r>
                    <w:rPr>
                      <w:rFonts w:hint="eastAsia"/>
                      <w:color w:val="auto"/>
                      <w:spacing w:val="-2"/>
                      <w:kern w:val="0"/>
                      <w:szCs w:val="21"/>
                      <w:highlight w:val="none"/>
                      <w:vertAlign w:val="subscript"/>
                    </w:rPr>
                    <w:t>2</w:t>
                  </w:r>
                </w:p>
              </w:tc>
              <w:tc>
                <w:tcPr>
                  <w:tcW w:w="1930" w:type="pct"/>
                  <w:noWrap/>
                  <w:tcMar>
                    <w:top w:w="12" w:type="dxa"/>
                    <w:left w:w="12" w:type="dxa"/>
                    <w:right w:w="12" w:type="dxa"/>
                  </w:tcMar>
                  <w:vAlign w:val="center"/>
                </w:tcPr>
                <w:p w14:paraId="40CF0B7D">
                  <w:pPr>
                    <w:widowControl/>
                    <w:jc w:val="center"/>
                    <w:textAlignment w:val="center"/>
                    <w:rPr>
                      <w:rFonts w:hint="eastAsia" w:eastAsia="宋体"/>
                      <w:color w:val="auto"/>
                      <w:spacing w:val="-2"/>
                      <w:kern w:val="0"/>
                      <w:szCs w:val="21"/>
                      <w:highlight w:val="none"/>
                      <w:lang w:eastAsia="zh-CN"/>
                    </w:rPr>
                  </w:pPr>
                  <w:r>
                    <w:rPr>
                      <w:rFonts w:hint="eastAsia"/>
                      <w:color w:val="auto"/>
                      <w:spacing w:val="-2"/>
                      <w:kern w:val="0"/>
                      <w:szCs w:val="21"/>
                      <w:highlight w:val="none"/>
                      <w:lang w:val="en-US" w:eastAsia="zh-CN"/>
                    </w:rPr>
                    <w:t>6</w:t>
                  </w:r>
                </w:p>
              </w:tc>
              <w:tc>
                <w:tcPr>
                  <w:tcW w:w="637" w:type="pct"/>
                  <w:noWrap/>
                  <w:tcMar>
                    <w:top w:w="12" w:type="dxa"/>
                    <w:left w:w="12" w:type="dxa"/>
                    <w:right w:w="12" w:type="dxa"/>
                  </w:tcMar>
                  <w:vAlign w:val="center"/>
                </w:tcPr>
                <w:p w14:paraId="0213C38C">
                  <w:pPr>
                    <w:widowControl/>
                    <w:jc w:val="center"/>
                    <w:textAlignment w:val="center"/>
                    <w:rPr>
                      <w:color w:val="auto"/>
                      <w:spacing w:val="-2"/>
                      <w:kern w:val="0"/>
                      <w:szCs w:val="21"/>
                      <w:highlight w:val="none"/>
                    </w:rPr>
                  </w:pPr>
                  <w:r>
                    <w:rPr>
                      <w:rFonts w:hint="eastAsia"/>
                      <w:color w:val="auto"/>
                      <w:spacing w:val="-2"/>
                      <w:kern w:val="0"/>
                      <w:szCs w:val="21"/>
                      <w:highlight w:val="none"/>
                    </w:rPr>
                    <w:t>60</w:t>
                  </w:r>
                </w:p>
              </w:tc>
              <w:tc>
                <w:tcPr>
                  <w:tcW w:w="639" w:type="pct"/>
                  <w:noWrap/>
                  <w:tcMar>
                    <w:top w:w="12" w:type="dxa"/>
                    <w:left w:w="12" w:type="dxa"/>
                    <w:right w:w="12" w:type="dxa"/>
                  </w:tcMar>
                  <w:vAlign w:val="center"/>
                </w:tcPr>
                <w:p w14:paraId="4D73B56F">
                  <w:pPr>
                    <w:widowControl/>
                    <w:jc w:val="center"/>
                    <w:textAlignment w:val="center"/>
                    <w:rPr>
                      <w:color w:val="auto"/>
                      <w:spacing w:val="-2"/>
                      <w:kern w:val="0"/>
                      <w:szCs w:val="21"/>
                      <w:highlight w:val="none"/>
                    </w:rPr>
                  </w:pPr>
                  <w:r>
                    <w:rPr>
                      <w:rFonts w:hint="eastAsia"/>
                      <w:color w:val="auto"/>
                      <w:spacing w:val="-2"/>
                      <w:kern w:val="0"/>
                      <w:szCs w:val="21"/>
                      <w:highlight w:val="none"/>
                    </w:rPr>
                    <w:t>达标</w:t>
                  </w:r>
                </w:p>
              </w:tc>
            </w:tr>
            <w:tr w14:paraId="31E34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974" w:type="pct"/>
                  <w:vMerge w:val="continue"/>
                  <w:noWrap/>
                  <w:tcMar>
                    <w:top w:w="12" w:type="dxa"/>
                    <w:left w:w="12" w:type="dxa"/>
                    <w:right w:w="12" w:type="dxa"/>
                  </w:tcMar>
                  <w:vAlign w:val="center"/>
                </w:tcPr>
                <w:p w14:paraId="731BC3F6">
                  <w:pPr>
                    <w:jc w:val="center"/>
                    <w:rPr>
                      <w:color w:val="auto"/>
                      <w:spacing w:val="-2"/>
                      <w:kern w:val="0"/>
                      <w:szCs w:val="21"/>
                      <w:highlight w:val="none"/>
                    </w:rPr>
                  </w:pPr>
                </w:p>
              </w:tc>
              <w:tc>
                <w:tcPr>
                  <w:tcW w:w="817" w:type="pct"/>
                  <w:noWrap/>
                  <w:tcMar>
                    <w:top w:w="12" w:type="dxa"/>
                    <w:left w:w="12" w:type="dxa"/>
                    <w:right w:w="12" w:type="dxa"/>
                  </w:tcMar>
                  <w:vAlign w:val="center"/>
                </w:tcPr>
                <w:p w14:paraId="07578F81">
                  <w:pPr>
                    <w:widowControl/>
                    <w:jc w:val="center"/>
                    <w:textAlignment w:val="center"/>
                    <w:rPr>
                      <w:color w:val="auto"/>
                      <w:spacing w:val="-2"/>
                      <w:kern w:val="0"/>
                      <w:szCs w:val="21"/>
                      <w:highlight w:val="none"/>
                    </w:rPr>
                  </w:pPr>
                  <w:r>
                    <w:rPr>
                      <w:rFonts w:hint="eastAsia"/>
                      <w:color w:val="auto"/>
                      <w:spacing w:val="-2"/>
                      <w:kern w:val="0"/>
                      <w:szCs w:val="21"/>
                      <w:highlight w:val="none"/>
                    </w:rPr>
                    <w:t>NO</w:t>
                  </w:r>
                  <w:r>
                    <w:rPr>
                      <w:rFonts w:hint="eastAsia"/>
                      <w:color w:val="auto"/>
                      <w:spacing w:val="-2"/>
                      <w:kern w:val="0"/>
                      <w:szCs w:val="21"/>
                      <w:highlight w:val="none"/>
                      <w:vertAlign w:val="subscript"/>
                    </w:rPr>
                    <w:t>2</w:t>
                  </w:r>
                </w:p>
              </w:tc>
              <w:tc>
                <w:tcPr>
                  <w:tcW w:w="1930" w:type="pct"/>
                  <w:noWrap/>
                  <w:tcMar>
                    <w:top w:w="12" w:type="dxa"/>
                    <w:left w:w="12" w:type="dxa"/>
                    <w:right w:w="12" w:type="dxa"/>
                  </w:tcMar>
                  <w:vAlign w:val="center"/>
                </w:tcPr>
                <w:p w14:paraId="3E64F833">
                  <w:pPr>
                    <w:widowControl/>
                    <w:jc w:val="center"/>
                    <w:textAlignment w:val="center"/>
                    <w:rPr>
                      <w:rFonts w:hint="default" w:eastAsia="宋体"/>
                      <w:color w:val="auto"/>
                      <w:spacing w:val="-2"/>
                      <w:kern w:val="0"/>
                      <w:szCs w:val="21"/>
                      <w:highlight w:val="none"/>
                      <w:lang w:val="en-US" w:eastAsia="zh-CN"/>
                    </w:rPr>
                  </w:pPr>
                  <w:r>
                    <w:rPr>
                      <w:rFonts w:hint="eastAsia"/>
                      <w:color w:val="auto"/>
                      <w:spacing w:val="-2"/>
                      <w:kern w:val="0"/>
                      <w:szCs w:val="21"/>
                      <w:highlight w:val="none"/>
                      <w:lang w:val="en-US" w:eastAsia="zh-CN"/>
                    </w:rPr>
                    <w:t>12</w:t>
                  </w:r>
                </w:p>
              </w:tc>
              <w:tc>
                <w:tcPr>
                  <w:tcW w:w="637" w:type="pct"/>
                  <w:noWrap/>
                  <w:tcMar>
                    <w:top w:w="12" w:type="dxa"/>
                    <w:left w:w="12" w:type="dxa"/>
                    <w:right w:w="12" w:type="dxa"/>
                  </w:tcMar>
                  <w:vAlign w:val="center"/>
                </w:tcPr>
                <w:p w14:paraId="10A279F3">
                  <w:pPr>
                    <w:widowControl/>
                    <w:jc w:val="center"/>
                    <w:textAlignment w:val="center"/>
                    <w:rPr>
                      <w:color w:val="auto"/>
                      <w:spacing w:val="-2"/>
                      <w:kern w:val="0"/>
                      <w:szCs w:val="21"/>
                      <w:highlight w:val="none"/>
                    </w:rPr>
                  </w:pPr>
                  <w:r>
                    <w:rPr>
                      <w:rFonts w:hint="eastAsia"/>
                      <w:color w:val="auto"/>
                      <w:spacing w:val="-2"/>
                      <w:kern w:val="0"/>
                      <w:szCs w:val="21"/>
                      <w:highlight w:val="none"/>
                    </w:rPr>
                    <w:t>40</w:t>
                  </w:r>
                </w:p>
              </w:tc>
              <w:tc>
                <w:tcPr>
                  <w:tcW w:w="639" w:type="pct"/>
                  <w:noWrap/>
                  <w:tcMar>
                    <w:top w:w="12" w:type="dxa"/>
                    <w:left w:w="12" w:type="dxa"/>
                    <w:right w:w="12" w:type="dxa"/>
                  </w:tcMar>
                  <w:vAlign w:val="center"/>
                </w:tcPr>
                <w:p w14:paraId="4B20567A">
                  <w:pPr>
                    <w:widowControl/>
                    <w:jc w:val="center"/>
                    <w:textAlignment w:val="center"/>
                    <w:rPr>
                      <w:color w:val="auto"/>
                      <w:spacing w:val="-2"/>
                      <w:kern w:val="0"/>
                      <w:szCs w:val="21"/>
                      <w:highlight w:val="none"/>
                    </w:rPr>
                  </w:pPr>
                  <w:r>
                    <w:rPr>
                      <w:rFonts w:hint="eastAsia"/>
                      <w:color w:val="auto"/>
                      <w:spacing w:val="-2"/>
                      <w:kern w:val="0"/>
                      <w:szCs w:val="21"/>
                      <w:highlight w:val="none"/>
                    </w:rPr>
                    <w:t>达标</w:t>
                  </w:r>
                </w:p>
              </w:tc>
            </w:tr>
            <w:tr w14:paraId="20EB8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974" w:type="pct"/>
                  <w:vMerge w:val="continue"/>
                  <w:noWrap/>
                  <w:tcMar>
                    <w:top w:w="12" w:type="dxa"/>
                    <w:left w:w="12" w:type="dxa"/>
                    <w:right w:w="12" w:type="dxa"/>
                  </w:tcMar>
                  <w:vAlign w:val="center"/>
                </w:tcPr>
                <w:p w14:paraId="65EC2531">
                  <w:pPr>
                    <w:jc w:val="center"/>
                    <w:rPr>
                      <w:color w:val="auto"/>
                      <w:spacing w:val="-2"/>
                      <w:kern w:val="0"/>
                      <w:szCs w:val="21"/>
                      <w:highlight w:val="none"/>
                    </w:rPr>
                  </w:pPr>
                </w:p>
              </w:tc>
              <w:tc>
                <w:tcPr>
                  <w:tcW w:w="817" w:type="pct"/>
                  <w:noWrap/>
                  <w:tcMar>
                    <w:top w:w="12" w:type="dxa"/>
                    <w:left w:w="12" w:type="dxa"/>
                    <w:right w:w="12" w:type="dxa"/>
                  </w:tcMar>
                  <w:vAlign w:val="center"/>
                </w:tcPr>
                <w:p w14:paraId="362FCA64">
                  <w:pPr>
                    <w:widowControl/>
                    <w:jc w:val="center"/>
                    <w:textAlignment w:val="center"/>
                    <w:rPr>
                      <w:color w:val="auto"/>
                      <w:spacing w:val="-2"/>
                      <w:kern w:val="0"/>
                      <w:szCs w:val="21"/>
                      <w:highlight w:val="none"/>
                    </w:rPr>
                  </w:pPr>
                  <w:r>
                    <w:rPr>
                      <w:rFonts w:hint="eastAsia"/>
                      <w:color w:val="auto"/>
                      <w:spacing w:val="-2"/>
                      <w:kern w:val="0"/>
                      <w:szCs w:val="21"/>
                      <w:highlight w:val="none"/>
                    </w:rPr>
                    <w:t>PM</w:t>
                  </w:r>
                  <w:r>
                    <w:rPr>
                      <w:rFonts w:hint="eastAsia"/>
                      <w:color w:val="auto"/>
                      <w:spacing w:val="-2"/>
                      <w:kern w:val="0"/>
                      <w:szCs w:val="21"/>
                      <w:highlight w:val="none"/>
                      <w:vertAlign w:val="subscript"/>
                    </w:rPr>
                    <w:t>10</w:t>
                  </w:r>
                </w:p>
              </w:tc>
              <w:tc>
                <w:tcPr>
                  <w:tcW w:w="1930" w:type="pct"/>
                  <w:noWrap/>
                  <w:tcMar>
                    <w:top w:w="12" w:type="dxa"/>
                    <w:left w:w="12" w:type="dxa"/>
                    <w:right w:w="12" w:type="dxa"/>
                  </w:tcMar>
                  <w:vAlign w:val="center"/>
                </w:tcPr>
                <w:p w14:paraId="1B909A57">
                  <w:pPr>
                    <w:widowControl/>
                    <w:jc w:val="center"/>
                    <w:textAlignment w:val="center"/>
                    <w:rPr>
                      <w:rFonts w:hint="default" w:eastAsia="宋体"/>
                      <w:color w:val="auto"/>
                      <w:spacing w:val="-2"/>
                      <w:kern w:val="0"/>
                      <w:szCs w:val="21"/>
                      <w:highlight w:val="none"/>
                      <w:lang w:val="en-US" w:eastAsia="zh-CN"/>
                    </w:rPr>
                  </w:pPr>
                  <w:r>
                    <w:rPr>
                      <w:rFonts w:hint="eastAsia"/>
                      <w:color w:val="auto"/>
                      <w:spacing w:val="-2"/>
                      <w:kern w:val="0"/>
                      <w:szCs w:val="21"/>
                      <w:highlight w:val="none"/>
                      <w:lang w:val="en-US" w:eastAsia="zh-CN"/>
                    </w:rPr>
                    <w:t>31</w:t>
                  </w:r>
                </w:p>
              </w:tc>
              <w:tc>
                <w:tcPr>
                  <w:tcW w:w="637" w:type="pct"/>
                  <w:noWrap/>
                  <w:tcMar>
                    <w:top w:w="12" w:type="dxa"/>
                    <w:left w:w="12" w:type="dxa"/>
                    <w:right w:w="12" w:type="dxa"/>
                  </w:tcMar>
                  <w:vAlign w:val="center"/>
                </w:tcPr>
                <w:p w14:paraId="40270E87">
                  <w:pPr>
                    <w:widowControl/>
                    <w:jc w:val="center"/>
                    <w:textAlignment w:val="center"/>
                    <w:rPr>
                      <w:color w:val="auto"/>
                      <w:spacing w:val="-2"/>
                      <w:kern w:val="0"/>
                      <w:szCs w:val="21"/>
                      <w:highlight w:val="none"/>
                    </w:rPr>
                  </w:pPr>
                  <w:r>
                    <w:rPr>
                      <w:rFonts w:hint="eastAsia"/>
                      <w:color w:val="auto"/>
                      <w:spacing w:val="-2"/>
                      <w:kern w:val="0"/>
                      <w:szCs w:val="21"/>
                      <w:highlight w:val="none"/>
                    </w:rPr>
                    <w:t>70</w:t>
                  </w:r>
                </w:p>
              </w:tc>
              <w:tc>
                <w:tcPr>
                  <w:tcW w:w="639" w:type="pct"/>
                  <w:noWrap/>
                  <w:tcMar>
                    <w:top w:w="12" w:type="dxa"/>
                    <w:left w:w="12" w:type="dxa"/>
                    <w:right w:w="12" w:type="dxa"/>
                  </w:tcMar>
                  <w:vAlign w:val="center"/>
                </w:tcPr>
                <w:p w14:paraId="767CA414">
                  <w:pPr>
                    <w:widowControl/>
                    <w:jc w:val="center"/>
                    <w:textAlignment w:val="center"/>
                    <w:rPr>
                      <w:color w:val="auto"/>
                      <w:spacing w:val="-2"/>
                      <w:kern w:val="0"/>
                      <w:szCs w:val="21"/>
                      <w:highlight w:val="none"/>
                    </w:rPr>
                  </w:pPr>
                  <w:r>
                    <w:rPr>
                      <w:rFonts w:hint="eastAsia"/>
                      <w:color w:val="auto"/>
                      <w:spacing w:val="-2"/>
                      <w:kern w:val="0"/>
                      <w:szCs w:val="21"/>
                      <w:highlight w:val="none"/>
                    </w:rPr>
                    <w:t>达标</w:t>
                  </w:r>
                </w:p>
              </w:tc>
            </w:tr>
            <w:tr w14:paraId="283A5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974" w:type="pct"/>
                  <w:vMerge w:val="continue"/>
                  <w:noWrap/>
                  <w:tcMar>
                    <w:top w:w="12" w:type="dxa"/>
                    <w:left w:w="12" w:type="dxa"/>
                    <w:right w:w="12" w:type="dxa"/>
                  </w:tcMar>
                  <w:vAlign w:val="center"/>
                </w:tcPr>
                <w:p w14:paraId="103B48C8">
                  <w:pPr>
                    <w:jc w:val="center"/>
                    <w:rPr>
                      <w:color w:val="auto"/>
                      <w:spacing w:val="-2"/>
                      <w:kern w:val="0"/>
                      <w:szCs w:val="21"/>
                      <w:highlight w:val="none"/>
                    </w:rPr>
                  </w:pPr>
                </w:p>
              </w:tc>
              <w:tc>
                <w:tcPr>
                  <w:tcW w:w="817" w:type="pct"/>
                  <w:noWrap/>
                  <w:tcMar>
                    <w:top w:w="12" w:type="dxa"/>
                    <w:left w:w="12" w:type="dxa"/>
                    <w:right w:w="12" w:type="dxa"/>
                  </w:tcMar>
                  <w:vAlign w:val="center"/>
                </w:tcPr>
                <w:p w14:paraId="15122383">
                  <w:pPr>
                    <w:widowControl/>
                    <w:jc w:val="center"/>
                    <w:textAlignment w:val="center"/>
                    <w:rPr>
                      <w:color w:val="auto"/>
                      <w:spacing w:val="-2"/>
                      <w:kern w:val="0"/>
                      <w:szCs w:val="21"/>
                      <w:highlight w:val="none"/>
                    </w:rPr>
                  </w:pPr>
                  <w:r>
                    <w:rPr>
                      <w:rFonts w:hint="eastAsia"/>
                      <w:color w:val="auto"/>
                      <w:spacing w:val="-2"/>
                      <w:kern w:val="0"/>
                      <w:szCs w:val="21"/>
                      <w:highlight w:val="none"/>
                    </w:rPr>
                    <w:t>PM</w:t>
                  </w:r>
                  <w:r>
                    <w:rPr>
                      <w:rFonts w:hint="eastAsia"/>
                      <w:color w:val="auto"/>
                      <w:spacing w:val="-2"/>
                      <w:kern w:val="0"/>
                      <w:szCs w:val="21"/>
                      <w:highlight w:val="none"/>
                      <w:vertAlign w:val="subscript"/>
                    </w:rPr>
                    <w:t>2.5</w:t>
                  </w:r>
                </w:p>
              </w:tc>
              <w:tc>
                <w:tcPr>
                  <w:tcW w:w="1930" w:type="pct"/>
                  <w:noWrap/>
                  <w:tcMar>
                    <w:top w:w="12" w:type="dxa"/>
                    <w:left w:w="12" w:type="dxa"/>
                    <w:right w:w="12" w:type="dxa"/>
                  </w:tcMar>
                  <w:vAlign w:val="center"/>
                </w:tcPr>
                <w:p w14:paraId="7628A6F0">
                  <w:pPr>
                    <w:widowControl/>
                    <w:jc w:val="center"/>
                    <w:textAlignment w:val="center"/>
                    <w:rPr>
                      <w:rFonts w:hint="default" w:eastAsia="宋体"/>
                      <w:color w:val="auto"/>
                      <w:spacing w:val="-2"/>
                      <w:kern w:val="0"/>
                      <w:szCs w:val="21"/>
                      <w:highlight w:val="none"/>
                      <w:lang w:val="en-US" w:eastAsia="zh-CN"/>
                    </w:rPr>
                  </w:pPr>
                  <w:r>
                    <w:rPr>
                      <w:rFonts w:hint="eastAsia"/>
                      <w:color w:val="auto"/>
                      <w:spacing w:val="-2"/>
                      <w:kern w:val="0"/>
                      <w:szCs w:val="21"/>
                      <w:highlight w:val="none"/>
                      <w:lang w:val="en-US" w:eastAsia="zh-CN"/>
                    </w:rPr>
                    <w:t>21</w:t>
                  </w:r>
                </w:p>
              </w:tc>
              <w:tc>
                <w:tcPr>
                  <w:tcW w:w="637" w:type="pct"/>
                  <w:noWrap/>
                  <w:tcMar>
                    <w:top w:w="12" w:type="dxa"/>
                    <w:left w:w="12" w:type="dxa"/>
                    <w:right w:w="12" w:type="dxa"/>
                  </w:tcMar>
                  <w:vAlign w:val="center"/>
                </w:tcPr>
                <w:p w14:paraId="4D806D8C">
                  <w:pPr>
                    <w:widowControl/>
                    <w:jc w:val="center"/>
                    <w:textAlignment w:val="center"/>
                    <w:rPr>
                      <w:color w:val="auto"/>
                      <w:spacing w:val="-2"/>
                      <w:kern w:val="0"/>
                      <w:szCs w:val="21"/>
                      <w:highlight w:val="none"/>
                    </w:rPr>
                  </w:pPr>
                  <w:r>
                    <w:rPr>
                      <w:rFonts w:hint="eastAsia"/>
                      <w:color w:val="auto"/>
                      <w:spacing w:val="-2"/>
                      <w:kern w:val="0"/>
                      <w:szCs w:val="21"/>
                      <w:highlight w:val="none"/>
                    </w:rPr>
                    <w:t>35</w:t>
                  </w:r>
                </w:p>
              </w:tc>
              <w:tc>
                <w:tcPr>
                  <w:tcW w:w="639" w:type="pct"/>
                  <w:noWrap/>
                  <w:tcMar>
                    <w:top w:w="12" w:type="dxa"/>
                    <w:left w:w="12" w:type="dxa"/>
                    <w:right w:w="12" w:type="dxa"/>
                  </w:tcMar>
                  <w:vAlign w:val="center"/>
                </w:tcPr>
                <w:p w14:paraId="083BA10C">
                  <w:pPr>
                    <w:widowControl/>
                    <w:jc w:val="center"/>
                    <w:textAlignment w:val="center"/>
                    <w:rPr>
                      <w:color w:val="auto"/>
                      <w:spacing w:val="-2"/>
                      <w:kern w:val="0"/>
                      <w:szCs w:val="21"/>
                      <w:highlight w:val="none"/>
                    </w:rPr>
                  </w:pPr>
                  <w:r>
                    <w:rPr>
                      <w:rFonts w:hint="eastAsia"/>
                      <w:color w:val="auto"/>
                      <w:spacing w:val="-2"/>
                      <w:kern w:val="0"/>
                      <w:szCs w:val="21"/>
                      <w:highlight w:val="none"/>
                    </w:rPr>
                    <w:t>达标</w:t>
                  </w:r>
                </w:p>
              </w:tc>
            </w:tr>
            <w:tr w14:paraId="30291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974" w:type="pct"/>
                  <w:vMerge w:val="restart"/>
                  <w:noWrap/>
                  <w:tcMar>
                    <w:top w:w="12" w:type="dxa"/>
                    <w:left w:w="12" w:type="dxa"/>
                    <w:right w:w="12" w:type="dxa"/>
                  </w:tcMar>
                  <w:vAlign w:val="center"/>
                </w:tcPr>
                <w:p w14:paraId="1DEC15E6">
                  <w:pPr>
                    <w:widowControl/>
                    <w:jc w:val="center"/>
                    <w:textAlignment w:val="center"/>
                    <w:rPr>
                      <w:color w:val="auto"/>
                      <w:spacing w:val="-2"/>
                      <w:kern w:val="0"/>
                      <w:szCs w:val="21"/>
                      <w:highlight w:val="none"/>
                      <w:lang w:bidi="ar"/>
                    </w:rPr>
                  </w:pPr>
                  <w:r>
                    <w:rPr>
                      <w:color w:val="auto"/>
                      <w:spacing w:val="-2"/>
                      <w:kern w:val="0"/>
                      <w:szCs w:val="21"/>
                      <w:highlight w:val="none"/>
                      <w:lang w:bidi="ar"/>
                    </w:rPr>
                    <w:t>日均</w:t>
                  </w:r>
                </w:p>
                <w:p w14:paraId="1A461431">
                  <w:pPr>
                    <w:widowControl/>
                    <w:jc w:val="center"/>
                    <w:textAlignment w:val="center"/>
                    <w:rPr>
                      <w:color w:val="auto"/>
                      <w:spacing w:val="-2"/>
                      <w:kern w:val="0"/>
                      <w:szCs w:val="21"/>
                      <w:highlight w:val="none"/>
                    </w:rPr>
                  </w:pPr>
                  <w:r>
                    <w:rPr>
                      <w:color w:val="auto"/>
                      <w:spacing w:val="-2"/>
                      <w:kern w:val="0"/>
                      <w:szCs w:val="21"/>
                      <w:highlight w:val="none"/>
                      <w:lang w:bidi="ar"/>
                    </w:rPr>
                    <w:t>浓度</w:t>
                  </w:r>
                </w:p>
              </w:tc>
              <w:tc>
                <w:tcPr>
                  <w:tcW w:w="817" w:type="pct"/>
                  <w:noWrap/>
                  <w:tcMar>
                    <w:top w:w="12" w:type="dxa"/>
                    <w:left w:w="12" w:type="dxa"/>
                    <w:right w:w="12" w:type="dxa"/>
                  </w:tcMar>
                  <w:vAlign w:val="center"/>
                </w:tcPr>
                <w:p w14:paraId="0B18D0DE">
                  <w:pPr>
                    <w:widowControl/>
                    <w:jc w:val="center"/>
                    <w:textAlignment w:val="center"/>
                    <w:rPr>
                      <w:color w:val="auto"/>
                      <w:spacing w:val="-2"/>
                      <w:kern w:val="0"/>
                      <w:szCs w:val="21"/>
                      <w:highlight w:val="none"/>
                    </w:rPr>
                  </w:pPr>
                  <w:r>
                    <w:rPr>
                      <w:rFonts w:hint="eastAsia"/>
                      <w:color w:val="auto"/>
                      <w:spacing w:val="-2"/>
                      <w:kern w:val="0"/>
                      <w:szCs w:val="21"/>
                      <w:highlight w:val="none"/>
                    </w:rPr>
                    <w:t>CO</w:t>
                  </w:r>
                </w:p>
              </w:tc>
              <w:tc>
                <w:tcPr>
                  <w:tcW w:w="1930" w:type="pct"/>
                  <w:noWrap/>
                  <w:tcMar>
                    <w:top w:w="12" w:type="dxa"/>
                    <w:left w:w="12" w:type="dxa"/>
                    <w:right w:w="12" w:type="dxa"/>
                  </w:tcMar>
                  <w:vAlign w:val="center"/>
                </w:tcPr>
                <w:p w14:paraId="0E260582">
                  <w:pPr>
                    <w:widowControl/>
                    <w:jc w:val="center"/>
                    <w:textAlignment w:val="center"/>
                    <w:rPr>
                      <w:color w:val="auto"/>
                      <w:spacing w:val="-2"/>
                      <w:kern w:val="0"/>
                      <w:szCs w:val="21"/>
                      <w:highlight w:val="none"/>
                      <w:vertAlign w:val="superscript"/>
                    </w:rPr>
                  </w:pPr>
                  <w:r>
                    <w:rPr>
                      <w:rFonts w:hint="eastAsia"/>
                      <w:color w:val="auto"/>
                      <w:spacing w:val="-2"/>
                      <w:kern w:val="0"/>
                      <w:szCs w:val="21"/>
                      <w:highlight w:val="none"/>
                      <w:lang w:val="en-US" w:eastAsia="zh-CN"/>
                    </w:rPr>
                    <w:t>1.0</w:t>
                  </w:r>
                  <w:r>
                    <w:rPr>
                      <w:rFonts w:hint="eastAsia"/>
                      <w:color w:val="auto"/>
                      <w:spacing w:val="-2"/>
                      <w:kern w:val="0"/>
                      <w:szCs w:val="21"/>
                      <w:highlight w:val="none"/>
                    </w:rPr>
                    <w:t>mg/m</w:t>
                  </w:r>
                  <w:r>
                    <w:rPr>
                      <w:rFonts w:hint="eastAsia"/>
                      <w:color w:val="auto"/>
                      <w:spacing w:val="-2"/>
                      <w:kern w:val="0"/>
                      <w:szCs w:val="21"/>
                      <w:highlight w:val="none"/>
                      <w:vertAlign w:val="superscript"/>
                    </w:rPr>
                    <w:t>3</w:t>
                  </w:r>
                </w:p>
                <w:p w14:paraId="3ACF111B">
                  <w:pPr>
                    <w:widowControl/>
                    <w:jc w:val="center"/>
                    <w:textAlignment w:val="center"/>
                    <w:rPr>
                      <w:color w:val="auto"/>
                      <w:spacing w:val="-2"/>
                      <w:kern w:val="0"/>
                      <w:szCs w:val="21"/>
                      <w:highlight w:val="none"/>
                    </w:rPr>
                  </w:pPr>
                  <w:r>
                    <w:rPr>
                      <w:rFonts w:hint="eastAsia"/>
                      <w:color w:val="auto"/>
                      <w:spacing w:val="-2"/>
                      <w:kern w:val="0"/>
                      <w:szCs w:val="21"/>
                      <w:highlight w:val="none"/>
                    </w:rPr>
                    <w:t>（日均值第95百分位数）</w:t>
                  </w:r>
                </w:p>
              </w:tc>
              <w:tc>
                <w:tcPr>
                  <w:tcW w:w="637" w:type="pct"/>
                  <w:noWrap/>
                  <w:tcMar>
                    <w:top w:w="12" w:type="dxa"/>
                    <w:left w:w="12" w:type="dxa"/>
                    <w:right w:w="12" w:type="dxa"/>
                  </w:tcMar>
                  <w:vAlign w:val="center"/>
                </w:tcPr>
                <w:p w14:paraId="15329175">
                  <w:pPr>
                    <w:widowControl/>
                    <w:jc w:val="center"/>
                    <w:textAlignment w:val="center"/>
                    <w:rPr>
                      <w:color w:val="auto"/>
                      <w:spacing w:val="-2"/>
                      <w:kern w:val="0"/>
                      <w:szCs w:val="21"/>
                      <w:highlight w:val="none"/>
                    </w:rPr>
                  </w:pPr>
                  <w:r>
                    <w:rPr>
                      <w:rFonts w:hint="eastAsia"/>
                      <w:color w:val="auto"/>
                      <w:spacing w:val="-2"/>
                      <w:kern w:val="0"/>
                      <w:szCs w:val="21"/>
                      <w:highlight w:val="none"/>
                    </w:rPr>
                    <w:t>4mg/m</w:t>
                  </w:r>
                  <w:r>
                    <w:rPr>
                      <w:rFonts w:hint="eastAsia"/>
                      <w:color w:val="auto"/>
                      <w:spacing w:val="-2"/>
                      <w:kern w:val="0"/>
                      <w:szCs w:val="21"/>
                      <w:highlight w:val="none"/>
                      <w:vertAlign w:val="superscript"/>
                    </w:rPr>
                    <w:t>3</w:t>
                  </w:r>
                </w:p>
              </w:tc>
              <w:tc>
                <w:tcPr>
                  <w:tcW w:w="639" w:type="pct"/>
                  <w:noWrap/>
                  <w:tcMar>
                    <w:top w:w="12" w:type="dxa"/>
                    <w:left w:w="12" w:type="dxa"/>
                    <w:right w:w="12" w:type="dxa"/>
                  </w:tcMar>
                  <w:vAlign w:val="center"/>
                </w:tcPr>
                <w:p w14:paraId="18871383">
                  <w:pPr>
                    <w:widowControl/>
                    <w:jc w:val="center"/>
                    <w:textAlignment w:val="center"/>
                    <w:rPr>
                      <w:color w:val="auto"/>
                      <w:spacing w:val="-2"/>
                      <w:kern w:val="0"/>
                      <w:szCs w:val="21"/>
                      <w:highlight w:val="none"/>
                    </w:rPr>
                  </w:pPr>
                  <w:r>
                    <w:rPr>
                      <w:rFonts w:hint="eastAsia"/>
                      <w:color w:val="auto"/>
                      <w:spacing w:val="-2"/>
                      <w:kern w:val="0"/>
                      <w:szCs w:val="21"/>
                      <w:highlight w:val="none"/>
                    </w:rPr>
                    <w:t>达标</w:t>
                  </w:r>
                </w:p>
              </w:tc>
            </w:tr>
            <w:tr w14:paraId="28D3E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974" w:type="pct"/>
                  <w:vMerge w:val="continue"/>
                  <w:noWrap/>
                  <w:tcMar>
                    <w:top w:w="12" w:type="dxa"/>
                    <w:left w:w="12" w:type="dxa"/>
                    <w:right w:w="12" w:type="dxa"/>
                  </w:tcMar>
                  <w:vAlign w:val="center"/>
                </w:tcPr>
                <w:p w14:paraId="692BE78C">
                  <w:pPr>
                    <w:jc w:val="center"/>
                    <w:rPr>
                      <w:color w:val="auto"/>
                      <w:spacing w:val="-2"/>
                      <w:kern w:val="0"/>
                      <w:szCs w:val="21"/>
                      <w:highlight w:val="none"/>
                    </w:rPr>
                  </w:pPr>
                </w:p>
              </w:tc>
              <w:tc>
                <w:tcPr>
                  <w:tcW w:w="817" w:type="pct"/>
                  <w:noWrap/>
                  <w:tcMar>
                    <w:top w:w="12" w:type="dxa"/>
                    <w:left w:w="12" w:type="dxa"/>
                    <w:right w:w="12" w:type="dxa"/>
                  </w:tcMar>
                  <w:vAlign w:val="center"/>
                </w:tcPr>
                <w:p w14:paraId="41ECC2E6">
                  <w:pPr>
                    <w:widowControl/>
                    <w:jc w:val="center"/>
                    <w:textAlignment w:val="center"/>
                    <w:rPr>
                      <w:color w:val="auto"/>
                      <w:spacing w:val="-2"/>
                      <w:kern w:val="0"/>
                      <w:szCs w:val="21"/>
                      <w:highlight w:val="none"/>
                    </w:rPr>
                  </w:pPr>
                  <w:r>
                    <w:rPr>
                      <w:rFonts w:hint="eastAsia"/>
                      <w:color w:val="auto"/>
                      <w:spacing w:val="-2"/>
                      <w:kern w:val="0"/>
                      <w:szCs w:val="21"/>
                      <w:highlight w:val="none"/>
                    </w:rPr>
                    <w:t>O</w:t>
                  </w:r>
                  <w:r>
                    <w:rPr>
                      <w:rFonts w:hint="eastAsia"/>
                      <w:color w:val="auto"/>
                      <w:spacing w:val="-2"/>
                      <w:kern w:val="0"/>
                      <w:szCs w:val="21"/>
                      <w:highlight w:val="none"/>
                      <w:vertAlign w:val="subscript"/>
                    </w:rPr>
                    <w:t>3</w:t>
                  </w:r>
                  <w:r>
                    <w:rPr>
                      <w:rFonts w:hint="eastAsia"/>
                      <w:color w:val="auto"/>
                      <w:spacing w:val="-2"/>
                      <w:kern w:val="0"/>
                      <w:szCs w:val="21"/>
                      <w:highlight w:val="none"/>
                    </w:rPr>
                    <w:t>-8h</w:t>
                  </w:r>
                </w:p>
              </w:tc>
              <w:tc>
                <w:tcPr>
                  <w:tcW w:w="1930" w:type="pct"/>
                  <w:noWrap/>
                  <w:tcMar>
                    <w:top w:w="12" w:type="dxa"/>
                    <w:left w:w="12" w:type="dxa"/>
                    <w:right w:w="12" w:type="dxa"/>
                  </w:tcMar>
                  <w:vAlign w:val="center"/>
                </w:tcPr>
                <w:p w14:paraId="760CE165">
                  <w:pPr>
                    <w:widowControl/>
                    <w:jc w:val="center"/>
                    <w:textAlignment w:val="center"/>
                    <w:rPr>
                      <w:color w:val="auto"/>
                      <w:spacing w:val="-2"/>
                      <w:kern w:val="0"/>
                      <w:szCs w:val="21"/>
                      <w:highlight w:val="none"/>
                    </w:rPr>
                  </w:pPr>
                  <w:r>
                    <w:rPr>
                      <w:rFonts w:hint="eastAsia"/>
                      <w:color w:val="auto"/>
                      <w:spacing w:val="-2"/>
                      <w:kern w:val="0"/>
                      <w:szCs w:val="21"/>
                      <w:highlight w:val="none"/>
                      <w:lang w:val="en-US" w:eastAsia="zh-CN"/>
                    </w:rPr>
                    <w:t>108</w:t>
                  </w:r>
                  <w:r>
                    <w:rPr>
                      <w:rFonts w:hint="eastAsia"/>
                      <w:color w:val="auto"/>
                      <w:spacing w:val="-2"/>
                      <w:kern w:val="0"/>
                      <w:szCs w:val="21"/>
                      <w:highlight w:val="none"/>
                    </w:rPr>
                    <w:t>（日均值第90百分位数）</w:t>
                  </w:r>
                </w:p>
              </w:tc>
              <w:tc>
                <w:tcPr>
                  <w:tcW w:w="637" w:type="pct"/>
                  <w:noWrap/>
                  <w:tcMar>
                    <w:top w:w="12" w:type="dxa"/>
                    <w:left w:w="12" w:type="dxa"/>
                    <w:right w:w="12" w:type="dxa"/>
                  </w:tcMar>
                  <w:vAlign w:val="center"/>
                </w:tcPr>
                <w:p w14:paraId="6A6F4D8D">
                  <w:pPr>
                    <w:widowControl/>
                    <w:jc w:val="center"/>
                    <w:textAlignment w:val="center"/>
                    <w:rPr>
                      <w:color w:val="auto"/>
                      <w:spacing w:val="-2"/>
                      <w:kern w:val="0"/>
                      <w:szCs w:val="21"/>
                      <w:highlight w:val="none"/>
                    </w:rPr>
                  </w:pPr>
                  <w:r>
                    <w:rPr>
                      <w:rFonts w:hint="eastAsia"/>
                      <w:color w:val="auto"/>
                      <w:spacing w:val="-2"/>
                      <w:kern w:val="0"/>
                      <w:szCs w:val="21"/>
                      <w:highlight w:val="none"/>
                    </w:rPr>
                    <w:t>160</w:t>
                  </w:r>
                </w:p>
              </w:tc>
              <w:tc>
                <w:tcPr>
                  <w:tcW w:w="639" w:type="pct"/>
                  <w:noWrap/>
                  <w:tcMar>
                    <w:top w:w="12" w:type="dxa"/>
                    <w:left w:w="12" w:type="dxa"/>
                    <w:right w:w="12" w:type="dxa"/>
                  </w:tcMar>
                  <w:vAlign w:val="center"/>
                </w:tcPr>
                <w:p w14:paraId="3606D58E">
                  <w:pPr>
                    <w:widowControl/>
                    <w:jc w:val="center"/>
                    <w:textAlignment w:val="center"/>
                    <w:rPr>
                      <w:color w:val="auto"/>
                      <w:spacing w:val="-2"/>
                      <w:kern w:val="0"/>
                      <w:szCs w:val="21"/>
                      <w:highlight w:val="none"/>
                    </w:rPr>
                  </w:pPr>
                  <w:r>
                    <w:rPr>
                      <w:rFonts w:hint="eastAsia"/>
                      <w:color w:val="auto"/>
                      <w:spacing w:val="-2"/>
                      <w:kern w:val="0"/>
                      <w:szCs w:val="21"/>
                      <w:highlight w:val="none"/>
                    </w:rPr>
                    <w:t>达标</w:t>
                  </w:r>
                </w:p>
              </w:tc>
            </w:tr>
            <w:tr w14:paraId="13D4E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1792" w:type="pct"/>
                  <w:gridSpan w:val="2"/>
                  <w:noWrap/>
                  <w:tcMar>
                    <w:top w:w="12" w:type="dxa"/>
                    <w:left w:w="12" w:type="dxa"/>
                    <w:right w:w="12" w:type="dxa"/>
                  </w:tcMar>
                  <w:vAlign w:val="center"/>
                </w:tcPr>
                <w:p w14:paraId="72AF0525">
                  <w:pPr>
                    <w:widowControl/>
                    <w:jc w:val="center"/>
                    <w:textAlignment w:val="center"/>
                    <w:rPr>
                      <w:color w:val="auto"/>
                      <w:spacing w:val="-2"/>
                      <w:kern w:val="0"/>
                      <w:szCs w:val="21"/>
                      <w:highlight w:val="none"/>
                    </w:rPr>
                  </w:pPr>
                  <w:r>
                    <w:rPr>
                      <w:rFonts w:hint="eastAsia"/>
                      <w:color w:val="auto"/>
                      <w:spacing w:val="-2"/>
                      <w:kern w:val="0"/>
                      <w:szCs w:val="21"/>
                      <w:highlight w:val="none"/>
                    </w:rPr>
                    <w:t>区域类别</w:t>
                  </w:r>
                </w:p>
              </w:tc>
              <w:tc>
                <w:tcPr>
                  <w:tcW w:w="3207" w:type="pct"/>
                  <w:gridSpan w:val="3"/>
                  <w:noWrap/>
                  <w:tcMar>
                    <w:top w:w="12" w:type="dxa"/>
                    <w:left w:w="12" w:type="dxa"/>
                    <w:right w:w="12" w:type="dxa"/>
                  </w:tcMar>
                  <w:vAlign w:val="center"/>
                </w:tcPr>
                <w:p w14:paraId="66BAB43A">
                  <w:pPr>
                    <w:widowControl/>
                    <w:jc w:val="center"/>
                    <w:textAlignment w:val="center"/>
                    <w:rPr>
                      <w:color w:val="auto"/>
                      <w:spacing w:val="-2"/>
                      <w:kern w:val="0"/>
                      <w:szCs w:val="21"/>
                      <w:highlight w:val="none"/>
                    </w:rPr>
                  </w:pPr>
                  <w:r>
                    <w:rPr>
                      <w:rFonts w:hint="eastAsia"/>
                      <w:color w:val="auto"/>
                      <w:spacing w:val="-2"/>
                      <w:kern w:val="0"/>
                      <w:szCs w:val="21"/>
                      <w:highlight w:val="none"/>
                    </w:rPr>
                    <w:t>达标区</w:t>
                  </w:r>
                </w:p>
              </w:tc>
            </w:tr>
          </w:tbl>
          <w:p w14:paraId="3C4FEB43">
            <w:pPr>
              <w:pStyle w:val="76"/>
              <w:keepNext w:val="0"/>
              <w:keepLines w:val="0"/>
              <w:pageBreakBefore w:val="0"/>
              <w:widowControl w:val="0"/>
              <w:kinsoku/>
              <w:wordWrap/>
              <w:overflowPunct/>
              <w:topLinePunct w:val="0"/>
              <w:autoSpaceDE/>
              <w:autoSpaceDN/>
              <w:bidi w:val="0"/>
              <w:adjustRightInd/>
              <w:snapToGrid w:val="0"/>
              <w:spacing w:before="157" w:beforeLines="50"/>
              <w:textAlignment w:val="auto"/>
              <w:rPr>
                <w:rFonts w:hint="eastAsia"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根据上表可知，</w:t>
            </w:r>
            <w:r>
              <w:rPr>
                <w:rFonts w:hint="default" w:ascii="Times New Roman" w:hAnsi="Times New Roman" w:eastAsia="宋体"/>
                <w:color w:val="auto"/>
                <w:highlight w:val="none"/>
                <w:lang w:val="en-US" w:eastAsia="zh-CN"/>
              </w:rPr>
              <w:t>202</w:t>
            </w:r>
            <w:r>
              <w:rPr>
                <w:rFonts w:hint="eastAsia" w:ascii="Times New Roman" w:hAnsi="Times New Roman"/>
                <w:color w:val="auto"/>
                <w:highlight w:val="none"/>
                <w:lang w:val="en-US" w:eastAsia="zh-CN"/>
              </w:rPr>
              <w:t>4</w:t>
            </w:r>
            <w:r>
              <w:rPr>
                <w:rFonts w:hint="eastAsia" w:ascii="Times New Roman" w:hAnsi="Times New Roman" w:eastAsia="宋体"/>
                <w:color w:val="auto"/>
                <w:highlight w:val="none"/>
                <w:lang w:val="en-US" w:eastAsia="zh-CN"/>
              </w:rPr>
              <w:t>年</w:t>
            </w:r>
            <w:r>
              <w:rPr>
                <w:rFonts w:hint="eastAsia" w:ascii="Times New Roman" w:hAnsi="Times New Roman"/>
                <w:color w:val="auto"/>
                <w:highlight w:val="none"/>
                <w:lang w:val="en-US" w:eastAsia="zh-CN"/>
              </w:rPr>
              <w:t>乐昌市</w:t>
            </w:r>
            <w:r>
              <w:rPr>
                <w:rFonts w:hint="eastAsia" w:ascii="Times New Roman" w:hAnsi="Times New Roman" w:eastAsia="宋体"/>
                <w:color w:val="auto"/>
                <w:highlight w:val="none"/>
                <w:lang w:val="en-US" w:eastAsia="zh-CN"/>
              </w:rPr>
              <w:t>各常规监测因子均可满足《环境空气质量标准》（GB3095-2012）及其修改单“生态环境部公告2018年第29号”二级标准要求，</w:t>
            </w:r>
            <w:r>
              <w:rPr>
                <w:rFonts w:hint="eastAsia" w:ascii="Times New Roman" w:hAnsi="Times New Roman"/>
                <w:color w:val="auto"/>
                <w:highlight w:val="none"/>
                <w:lang w:val="en-US" w:eastAsia="zh-CN"/>
              </w:rPr>
              <w:t>本项目所在区域</w:t>
            </w:r>
            <w:r>
              <w:rPr>
                <w:rFonts w:hint="eastAsia" w:ascii="Times New Roman" w:hAnsi="Times New Roman" w:eastAsia="宋体"/>
                <w:color w:val="auto"/>
                <w:highlight w:val="none"/>
                <w:lang w:val="en-US" w:eastAsia="zh-CN"/>
              </w:rPr>
              <w:t>属于达标区域。</w:t>
            </w:r>
          </w:p>
          <w:p w14:paraId="158F917B">
            <w:pPr>
              <w:tabs>
                <w:tab w:val="left" w:pos="1152"/>
              </w:tabs>
              <w:overflowPunct w:val="0"/>
              <w:autoSpaceDE w:val="0"/>
              <w:autoSpaceDN w:val="0"/>
              <w:adjustRightInd w:val="0"/>
              <w:spacing w:line="360" w:lineRule="auto"/>
              <w:ind w:firstLine="482" w:firstLineChars="200"/>
              <w:textAlignment w:val="baseline"/>
              <w:rPr>
                <w:b/>
                <w:bCs/>
                <w:kern w:val="0"/>
                <w:sz w:val="24"/>
                <w:highlight w:val="none"/>
                <w:u w:val="single"/>
              </w:rPr>
            </w:pPr>
            <w:r>
              <w:rPr>
                <w:b/>
                <w:bCs/>
                <w:kern w:val="0"/>
                <w:sz w:val="24"/>
                <w:highlight w:val="none"/>
              </w:rPr>
              <w:t>二、地表水环境质量现状</w:t>
            </w:r>
          </w:p>
          <w:p w14:paraId="1AACB964">
            <w:pPr>
              <w:pStyle w:val="7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项目废水受纳水体为武江（湖南省界~坪石）河段，为Ⅲ类水质功能区</w:t>
            </w:r>
            <w:r>
              <w:rPr>
                <w:rFonts w:hint="eastAsia" w:ascii="Times New Roman"/>
                <w:kern w:val="0"/>
                <w:sz w:val="24"/>
                <w:highlight w:val="none"/>
                <w:lang w:eastAsia="zh-CN"/>
              </w:rPr>
              <w:t>。</w:t>
            </w:r>
            <w:r>
              <w:rPr>
                <w:rFonts w:hint="eastAsia" w:ascii="Times New Roman" w:hAnsi="Times New Roman"/>
                <w:color w:val="auto"/>
                <w:highlight w:val="none"/>
                <w:lang w:val="en-US" w:eastAsia="zh-CN"/>
              </w:rPr>
              <w:t>根据《广东省地表水环境功能区划》（粤环[2011]14 号），水质目标</w:t>
            </w:r>
            <w:r>
              <w:rPr>
                <w:rFonts w:hint="default" w:ascii="Times New Roman" w:hAnsi="Times New Roman" w:cs="Times New Roman"/>
                <w:color w:val="auto"/>
                <w:highlight w:val="none"/>
                <w:lang w:val="en-US" w:eastAsia="zh-CN"/>
              </w:rPr>
              <w:t>为Ⅲ类，</w:t>
            </w:r>
            <w:r>
              <w:rPr>
                <w:rFonts w:hint="default" w:ascii="Times New Roman" w:hAnsi="Times New Roman" w:eastAsia="宋体"/>
                <w:color w:val="auto"/>
                <w:highlight w:val="none"/>
                <w:lang w:val="en-US" w:eastAsia="zh-CN"/>
              </w:rPr>
              <w:t>因此水环境质量执行《地表水环境质量标准》（GB3838-2002）中的Ⅲ类标准。根据《韶关市生态环境状况公报（202</w:t>
            </w:r>
            <w:r>
              <w:rPr>
                <w:rFonts w:hint="eastAsia" w:ascii="Times New Roman" w:hAnsi="Times New Roman"/>
                <w:color w:val="auto"/>
                <w:highlight w:val="none"/>
                <w:lang w:val="en-US" w:eastAsia="zh-CN"/>
              </w:rPr>
              <w:t>4</w:t>
            </w:r>
            <w:r>
              <w:rPr>
                <w:rFonts w:hint="default" w:ascii="Times New Roman" w:hAnsi="Times New Roman" w:eastAsia="宋体"/>
                <w:color w:val="auto"/>
                <w:highlight w:val="none"/>
                <w:lang w:val="en-US" w:eastAsia="zh-CN"/>
              </w:rPr>
              <w:t>年）》（韶关市生态环境局，202</w:t>
            </w:r>
            <w:r>
              <w:rPr>
                <w:rFonts w:hint="eastAsia" w:ascii="Times New Roman" w:hAnsi="Times New Roman"/>
                <w:color w:val="auto"/>
                <w:highlight w:val="none"/>
                <w:lang w:val="en-US" w:eastAsia="zh-CN"/>
              </w:rPr>
              <w:t>5</w:t>
            </w:r>
            <w:r>
              <w:rPr>
                <w:rFonts w:hint="default" w:ascii="Times New Roman" w:hAnsi="Times New Roman" w:eastAsia="宋体"/>
                <w:color w:val="auto"/>
                <w:highlight w:val="none"/>
                <w:lang w:val="en-US" w:eastAsia="zh-CN"/>
              </w:rPr>
              <w:t>年</w:t>
            </w:r>
            <w:r>
              <w:rPr>
                <w:rFonts w:hint="eastAsia" w:ascii="Times New Roman" w:hAnsi="Times New Roman" w:eastAsia="宋体"/>
                <w:color w:val="auto"/>
                <w:highlight w:val="none"/>
                <w:lang w:val="en-US" w:eastAsia="zh-CN"/>
              </w:rPr>
              <w:t>5</w:t>
            </w:r>
            <w:r>
              <w:rPr>
                <w:rFonts w:hint="default" w:ascii="Times New Roman" w:hAnsi="Times New Roman" w:eastAsia="宋体"/>
                <w:color w:val="auto"/>
                <w:highlight w:val="none"/>
                <w:lang w:val="en-US" w:eastAsia="zh-CN"/>
              </w:rPr>
              <w:t>月），202</w:t>
            </w:r>
            <w:r>
              <w:rPr>
                <w:rFonts w:hint="eastAsia" w:ascii="Times New Roman" w:hAnsi="Times New Roman"/>
                <w:color w:val="auto"/>
                <w:highlight w:val="none"/>
                <w:lang w:val="en-US" w:eastAsia="zh-CN"/>
              </w:rPr>
              <w:t>4</w:t>
            </w:r>
            <w:r>
              <w:rPr>
                <w:rFonts w:hint="default" w:ascii="Times New Roman" w:hAnsi="Times New Roman" w:eastAsia="宋体"/>
                <w:color w:val="auto"/>
                <w:highlight w:val="none"/>
                <w:lang w:val="en-US" w:eastAsia="zh-CN"/>
              </w:rPr>
              <w:t>年，韶关市11条主要江河（北江、武江、浈江、南水河、墨江、锦江、马坝河、滃江、新丰江、</w:t>
            </w:r>
            <w:r>
              <w:rPr>
                <w:rFonts w:hint="eastAsia" w:ascii="Times New Roman" w:hAnsi="Times New Roman"/>
                <w:color w:val="auto"/>
                <w:highlight w:val="none"/>
                <w:lang w:val="en-US" w:eastAsia="zh-CN"/>
              </w:rPr>
              <w:t>滃江</w:t>
            </w:r>
            <w:r>
              <w:rPr>
                <w:rFonts w:hint="default" w:ascii="Times New Roman" w:hAnsi="Times New Roman" w:eastAsia="宋体"/>
                <w:color w:val="auto"/>
                <w:highlight w:val="none"/>
                <w:lang w:val="en-US" w:eastAsia="zh-CN"/>
              </w:rPr>
              <w:t>和大潭河）34个市考以上手工监测断面水质优良率为100%，由上可知，项目所在区域地表水环境质量良好。</w:t>
            </w:r>
          </w:p>
          <w:p w14:paraId="5493370E">
            <w:pPr>
              <w:tabs>
                <w:tab w:val="left" w:pos="1152"/>
              </w:tabs>
              <w:overflowPunct w:val="0"/>
              <w:autoSpaceDE w:val="0"/>
              <w:autoSpaceDN w:val="0"/>
              <w:adjustRightInd w:val="0"/>
              <w:snapToGrid w:val="0"/>
              <w:spacing w:line="360" w:lineRule="auto"/>
              <w:ind w:firstLine="482" w:firstLineChars="200"/>
              <w:textAlignment w:val="baseline"/>
              <w:rPr>
                <w:b/>
                <w:bCs/>
                <w:kern w:val="0"/>
                <w:sz w:val="24"/>
                <w:highlight w:val="none"/>
                <w:u w:val="single"/>
              </w:rPr>
            </w:pPr>
            <w:r>
              <w:rPr>
                <w:b/>
                <w:bCs/>
                <w:kern w:val="0"/>
                <w:sz w:val="24"/>
                <w:highlight w:val="none"/>
              </w:rPr>
              <w:t>三、声环境现状</w:t>
            </w:r>
          </w:p>
          <w:p w14:paraId="5C846831">
            <w:pPr>
              <w:adjustRightInd w:val="0"/>
              <w:snapToGrid w:val="0"/>
              <w:spacing w:line="360" w:lineRule="auto"/>
              <w:ind w:firstLine="480" w:firstLineChars="200"/>
              <w:rPr>
                <w:rFonts w:hint="eastAsia"/>
                <w:sz w:val="24"/>
                <w:highlight w:val="none"/>
              </w:rPr>
            </w:pPr>
            <w:r>
              <w:rPr>
                <w:rFonts w:hint="eastAsia" w:ascii="Times New Roman"/>
                <w:sz w:val="24"/>
                <w:highlight w:val="none"/>
              </w:rPr>
              <w:t>根据《声环境质量标准》（GB3096-2008）和《声环境功能区划分技术规范》（ GB/T15190-2014）等文件要求</w:t>
            </w:r>
            <w:r>
              <w:rPr>
                <w:rFonts w:hint="eastAsia"/>
                <w:sz w:val="24"/>
                <w:highlight w:val="none"/>
                <w:lang w:eastAsia="zh-CN"/>
              </w:rPr>
              <w:t>。</w:t>
            </w:r>
            <w:r>
              <w:rPr>
                <w:rFonts w:hint="default" w:ascii="Times New Roman" w:hAnsi="Times New Roman" w:eastAsia="宋体" w:cs="Times New Roman"/>
                <w:sz w:val="24"/>
                <w:highlight w:val="none"/>
                <w:lang w:val="en-US" w:eastAsia="zh-CN"/>
              </w:rPr>
              <w:t>项目所在区域环境噪声为2类标准适用区域，</w:t>
            </w:r>
            <w:r>
              <w:rPr>
                <w:rFonts w:hint="eastAsia" w:ascii="宋体" w:hAnsi="宋体" w:eastAsia="宋体" w:cs="宋体"/>
                <w:color w:val="000000"/>
                <w:kern w:val="0"/>
                <w:sz w:val="24"/>
                <w:szCs w:val="24"/>
                <w:highlight w:val="none"/>
                <w:lang w:val="en-US" w:eastAsia="zh-CN" w:bidi="ar"/>
              </w:rPr>
              <w:t>故项目西侧、北侧、南侧边界</w:t>
            </w:r>
            <w:r>
              <w:rPr>
                <w:rFonts w:hint="default" w:ascii="Times New Roman" w:hAnsi="Times New Roman" w:eastAsia="宋体" w:cs="Times New Roman"/>
                <w:sz w:val="24"/>
                <w:highlight w:val="none"/>
                <w:lang w:val="en-US" w:eastAsia="zh-CN"/>
              </w:rPr>
              <w:t>执行《声环境质量标准》（GB3096-2008）中的2类标准（昼间60dB（A）、夜间50dB（A））</w:t>
            </w:r>
            <w:r>
              <w:rPr>
                <w:rFonts w:hint="eastAsia" w:cs="Times New Roman"/>
                <w:sz w:val="24"/>
                <w:highlight w:val="none"/>
                <w:lang w:val="en-US" w:eastAsia="zh-CN"/>
              </w:rPr>
              <w:t>；</w:t>
            </w:r>
            <w:r>
              <w:rPr>
                <w:rFonts w:hint="eastAsia" w:ascii="宋体" w:hAnsi="宋体" w:eastAsia="宋体" w:cs="宋体"/>
                <w:color w:val="000000"/>
                <w:kern w:val="0"/>
                <w:sz w:val="24"/>
                <w:szCs w:val="24"/>
                <w:highlight w:val="none"/>
                <w:lang w:val="en-US" w:eastAsia="zh-CN" w:bidi="ar"/>
              </w:rPr>
              <w:t>交通干线边界线外一定距离内的区域划分为</w:t>
            </w:r>
            <w:r>
              <w:rPr>
                <w:rFonts w:hint="default" w:ascii="Times New Roman" w:hAnsi="Times New Roman" w:eastAsia="宋体" w:cs="Times New Roman"/>
                <w:color w:val="000000"/>
                <w:kern w:val="0"/>
                <w:sz w:val="24"/>
                <w:szCs w:val="24"/>
                <w:highlight w:val="none"/>
                <w:lang w:val="en-US" w:eastAsia="zh-CN" w:bidi="ar"/>
              </w:rPr>
              <w:t>4a</w:t>
            </w:r>
            <w:r>
              <w:rPr>
                <w:rFonts w:hint="eastAsia" w:ascii="宋体" w:hAnsi="宋体" w:eastAsia="宋体" w:cs="宋体"/>
                <w:color w:val="000000"/>
                <w:kern w:val="0"/>
                <w:sz w:val="24"/>
                <w:szCs w:val="24"/>
                <w:highlight w:val="none"/>
                <w:lang w:val="en-US" w:eastAsia="zh-CN" w:bidi="ar"/>
              </w:rPr>
              <w:t>类声环境功能区，相邻区域为</w:t>
            </w:r>
            <w:r>
              <w:rPr>
                <w:rFonts w:hint="default" w:ascii="Times New Roman" w:hAnsi="Times New Roman" w:eastAsia="宋体" w:cs="Times New Roman"/>
                <w:color w:val="000000"/>
                <w:kern w:val="0"/>
                <w:sz w:val="24"/>
                <w:szCs w:val="24"/>
                <w:highlight w:val="none"/>
                <w:lang w:val="en-US" w:eastAsia="zh-CN" w:bidi="ar"/>
              </w:rPr>
              <w:t>2</w:t>
            </w:r>
            <w:r>
              <w:rPr>
                <w:rFonts w:hint="eastAsia" w:ascii="宋体" w:hAnsi="宋体" w:eastAsia="宋体" w:cs="宋体"/>
                <w:color w:val="000000"/>
                <w:kern w:val="0"/>
                <w:sz w:val="24"/>
                <w:szCs w:val="24"/>
                <w:highlight w:val="none"/>
                <w:lang w:val="en-US" w:eastAsia="zh-CN" w:bidi="ar"/>
              </w:rPr>
              <w:t>类声环境功能区，距离为</w:t>
            </w:r>
            <w:r>
              <w:rPr>
                <w:rFonts w:hint="eastAsia" w:ascii="Times New Roman" w:hAnsi="Times New Roman" w:cs="Times New Roman"/>
                <w:color w:val="000000"/>
                <w:kern w:val="0"/>
                <w:sz w:val="24"/>
                <w:szCs w:val="24"/>
                <w:highlight w:val="none"/>
                <w:lang w:val="en-US" w:eastAsia="zh-CN" w:bidi="ar"/>
              </w:rPr>
              <w:t>20</w:t>
            </w:r>
            <w:r>
              <w:rPr>
                <w:rFonts w:hint="default" w:ascii="Times New Roman" w:hAnsi="Times New Roman" w:eastAsia="宋体" w:cs="Times New Roman"/>
                <w:color w:val="000000"/>
                <w:kern w:val="0"/>
                <w:sz w:val="24"/>
                <w:szCs w:val="24"/>
                <w:highlight w:val="none"/>
                <w:lang w:val="en-US" w:eastAsia="zh-CN" w:bidi="ar"/>
              </w:rPr>
              <w:t>m</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5m</w:t>
            </w:r>
            <w:r>
              <w:rPr>
                <w:rFonts w:hint="eastAsia" w:ascii="宋体" w:hAnsi="宋体" w:eastAsia="宋体" w:cs="宋体"/>
                <w:color w:val="000000"/>
                <w:kern w:val="0"/>
                <w:sz w:val="24"/>
                <w:szCs w:val="24"/>
                <w:highlight w:val="none"/>
                <w:lang w:val="en-US" w:eastAsia="zh-CN" w:bidi="ar"/>
              </w:rPr>
              <w:t>，项目</w:t>
            </w:r>
            <w:r>
              <w:rPr>
                <w:rFonts w:hint="eastAsia" w:ascii="宋体" w:hAnsi="宋体" w:cs="宋体"/>
                <w:color w:val="000000"/>
                <w:kern w:val="0"/>
                <w:sz w:val="24"/>
                <w:szCs w:val="24"/>
                <w:highlight w:val="none"/>
                <w:lang w:val="en-US" w:eastAsia="zh-CN" w:bidi="ar"/>
              </w:rPr>
              <w:t>东</w:t>
            </w:r>
            <w:r>
              <w:rPr>
                <w:rFonts w:hint="eastAsia" w:ascii="宋体" w:hAnsi="宋体" w:eastAsia="宋体" w:cs="宋体"/>
                <w:color w:val="000000"/>
                <w:kern w:val="0"/>
                <w:sz w:val="24"/>
                <w:szCs w:val="24"/>
                <w:highlight w:val="none"/>
                <w:lang w:val="en-US" w:eastAsia="zh-CN" w:bidi="ar"/>
              </w:rPr>
              <w:t>侧为</w:t>
            </w:r>
            <w:r>
              <w:rPr>
                <w:rFonts w:hint="eastAsia" w:cs="Times New Roman"/>
                <w:color w:val="000000"/>
                <w:kern w:val="0"/>
                <w:sz w:val="24"/>
                <w:szCs w:val="24"/>
                <w:highlight w:val="none"/>
                <w:lang w:val="en-US" w:eastAsia="zh-CN" w:bidi="ar"/>
              </w:rPr>
              <w:t>107国道</w:t>
            </w:r>
            <w:r>
              <w:rPr>
                <w:rFonts w:hint="eastAsia" w:ascii="宋体" w:hAnsi="宋体" w:eastAsia="宋体" w:cs="宋体"/>
                <w:color w:val="000000"/>
                <w:kern w:val="0"/>
                <w:sz w:val="24"/>
                <w:szCs w:val="24"/>
                <w:highlight w:val="none"/>
                <w:lang w:val="en-US" w:eastAsia="zh-CN" w:bidi="ar"/>
              </w:rPr>
              <w:t>，相距</w:t>
            </w:r>
            <w:r>
              <w:rPr>
                <w:rFonts w:hint="eastAsia" w:ascii="宋体" w:hAnsi="宋体" w:cs="宋体"/>
                <w:color w:val="000000"/>
                <w:kern w:val="0"/>
                <w:sz w:val="24"/>
                <w:szCs w:val="24"/>
                <w:highlight w:val="none"/>
                <w:lang w:val="en-US" w:eastAsia="zh-CN" w:bidi="ar"/>
              </w:rPr>
              <w:t>约</w:t>
            </w:r>
            <w:r>
              <w:rPr>
                <w:rFonts w:hint="eastAsia" w:ascii="Times New Roman" w:hAnsi="Times New Roman" w:eastAsia="宋体" w:cs="Times New Roman"/>
                <w:color w:val="000000"/>
                <w:kern w:val="0"/>
                <w:sz w:val="24"/>
                <w:szCs w:val="24"/>
                <w:highlight w:val="none"/>
                <w:lang w:val="en-US" w:eastAsia="zh-CN" w:bidi="ar"/>
              </w:rPr>
              <w:t>11</w:t>
            </w:r>
            <w:r>
              <w:rPr>
                <w:rFonts w:hint="default" w:ascii="Times New Roman" w:hAnsi="Times New Roman" w:eastAsia="宋体" w:cs="Times New Roman"/>
                <w:color w:val="000000"/>
                <w:kern w:val="0"/>
                <w:sz w:val="24"/>
                <w:szCs w:val="24"/>
                <w:highlight w:val="none"/>
                <w:lang w:val="en-US" w:eastAsia="zh-CN" w:bidi="ar"/>
              </w:rPr>
              <w:t>m</w:t>
            </w:r>
            <w:r>
              <w:rPr>
                <w:rFonts w:hint="eastAsia" w:ascii="宋体" w:hAnsi="宋体" w:eastAsia="宋体" w:cs="宋体"/>
                <w:color w:val="000000"/>
                <w:kern w:val="0"/>
                <w:sz w:val="24"/>
                <w:szCs w:val="24"/>
                <w:highlight w:val="none"/>
                <w:lang w:val="en-US" w:eastAsia="zh-CN" w:bidi="ar"/>
              </w:rPr>
              <w:t>，故</w:t>
            </w:r>
            <w:r>
              <w:rPr>
                <w:rFonts w:hint="eastAsia" w:ascii="宋体" w:hAnsi="宋体" w:cs="宋体"/>
                <w:color w:val="000000"/>
                <w:kern w:val="0"/>
                <w:sz w:val="24"/>
                <w:szCs w:val="24"/>
                <w:highlight w:val="none"/>
                <w:lang w:val="en-US" w:eastAsia="zh-CN" w:bidi="ar"/>
              </w:rPr>
              <w:t>东</w:t>
            </w:r>
            <w:r>
              <w:rPr>
                <w:rFonts w:hint="eastAsia" w:ascii="宋体" w:hAnsi="宋体" w:eastAsia="宋体" w:cs="宋体"/>
                <w:color w:val="000000"/>
                <w:kern w:val="0"/>
                <w:sz w:val="24"/>
                <w:szCs w:val="24"/>
                <w:highlight w:val="none"/>
                <w:lang w:val="en-US" w:eastAsia="zh-CN" w:bidi="ar"/>
              </w:rPr>
              <w:t>侧边界应执行《声环境质量标准》（</w:t>
            </w:r>
            <w:r>
              <w:rPr>
                <w:rFonts w:hint="default" w:ascii="Times New Roman" w:hAnsi="Times New Roman" w:eastAsia="宋体" w:cs="Times New Roman"/>
                <w:color w:val="000000"/>
                <w:kern w:val="0"/>
                <w:sz w:val="24"/>
                <w:szCs w:val="24"/>
                <w:highlight w:val="none"/>
                <w:lang w:val="en-US" w:eastAsia="zh-CN" w:bidi="ar"/>
              </w:rPr>
              <w:t>GB3096-2008</w:t>
            </w:r>
            <w:r>
              <w:rPr>
                <w:rFonts w:hint="eastAsia" w:ascii="宋体" w:hAnsi="宋体" w:eastAsia="宋体" w:cs="宋体"/>
                <w:color w:val="000000"/>
                <w:kern w:val="0"/>
                <w:sz w:val="24"/>
                <w:szCs w:val="24"/>
                <w:highlight w:val="none"/>
                <w:lang w:val="en-US" w:eastAsia="zh-CN" w:bidi="ar"/>
              </w:rPr>
              <w:t>）的</w:t>
            </w:r>
            <w:r>
              <w:rPr>
                <w:rFonts w:hint="default" w:ascii="Times New Roman" w:hAnsi="Times New Roman" w:eastAsia="宋体" w:cs="Times New Roman"/>
                <w:color w:val="000000"/>
                <w:kern w:val="0"/>
                <w:sz w:val="24"/>
                <w:szCs w:val="24"/>
                <w:highlight w:val="none"/>
                <w:lang w:val="en-US" w:eastAsia="zh-CN" w:bidi="ar"/>
              </w:rPr>
              <w:t>4a</w:t>
            </w:r>
            <w:r>
              <w:rPr>
                <w:rFonts w:hint="eastAsia" w:ascii="宋体" w:hAnsi="宋体" w:eastAsia="宋体" w:cs="宋体"/>
                <w:color w:val="000000"/>
                <w:kern w:val="0"/>
                <w:sz w:val="24"/>
                <w:szCs w:val="24"/>
                <w:highlight w:val="none"/>
                <w:lang w:val="en-US" w:eastAsia="zh-CN" w:bidi="ar"/>
              </w:rPr>
              <w:t>类声环境功能区标准</w:t>
            </w:r>
            <w:r>
              <w:rPr>
                <w:rFonts w:hint="default" w:ascii="Times New Roman" w:hAnsi="Times New Roman" w:eastAsia="宋体" w:cs="Times New Roman"/>
                <w:sz w:val="24"/>
                <w:highlight w:val="none"/>
                <w:lang w:val="en-US" w:eastAsia="zh-CN"/>
              </w:rPr>
              <w:t>（昼间</w:t>
            </w:r>
            <w:r>
              <w:rPr>
                <w:rFonts w:hint="eastAsia" w:ascii="Times New Roman" w:hAnsi="Times New Roman" w:cs="Times New Roman"/>
                <w:sz w:val="24"/>
                <w:highlight w:val="none"/>
                <w:lang w:val="en-US" w:eastAsia="zh-CN"/>
              </w:rPr>
              <w:t>70</w:t>
            </w:r>
            <w:r>
              <w:rPr>
                <w:rFonts w:hint="default" w:ascii="Times New Roman" w:hAnsi="Times New Roman" w:eastAsia="宋体" w:cs="Times New Roman"/>
                <w:sz w:val="24"/>
                <w:highlight w:val="none"/>
                <w:lang w:val="en-US" w:eastAsia="zh-CN"/>
              </w:rPr>
              <w:t>dB（A）、夜间5</w:t>
            </w:r>
            <w:r>
              <w:rPr>
                <w:rFonts w:hint="eastAsia" w:ascii="Times New Roman" w:hAnsi="Times New Roman" w:cs="Times New Roman"/>
                <w:sz w:val="24"/>
                <w:highlight w:val="none"/>
                <w:lang w:val="en-US" w:eastAsia="zh-CN"/>
              </w:rPr>
              <w:t>5</w:t>
            </w:r>
            <w:r>
              <w:rPr>
                <w:rFonts w:hint="default" w:ascii="Times New Roman" w:hAnsi="Times New Roman" w:eastAsia="宋体" w:cs="Times New Roman"/>
                <w:sz w:val="24"/>
                <w:highlight w:val="none"/>
                <w:lang w:val="en-US" w:eastAsia="zh-CN"/>
              </w:rPr>
              <w:t>dB（A））</w:t>
            </w:r>
            <w:r>
              <w:rPr>
                <w:rFonts w:ascii="Times New Roman"/>
                <w:sz w:val="24"/>
                <w:highlight w:val="none"/>
              </w:rPr>
              <w:t>。</w:t>
            </w:r>
          </w:p>
          <w:p w14:paraId="3F30C894">
            <w:pPr>
              <w:adjustRightInd w:val="0"/>
              <w:snapToGrid w:val="0"/>
              <w:spacing w:line="360" w:lineRule="auto"/>
              <w:ind w:firstLine="480" w:firstLineChars="200"/>
              <w:rPr>
                <w:sz w:val="24"/>
                <w:highlight w:val="none"/>
              </w:rPr>
            </w:pPr>
            <w:r>
              <w:rPr>
                <w:sz w:val="24"/>
                <w:highlight w:val="none"/>
              </w:rPr>
              <w:t>本项目</w:t>
            </w:r>
            <w:r>
              <w:rPr>
                <w:rFonts w:hint="eastAsia"/>
                <w:sz w:val="24"/>
                <w:highlight w:val="none"/>
                <w:lang w:val="en-US" w:eastAsia="zh-CN"/>
              </w:rPr>
              <w:t>选址边界</w:t>
            </w:r>
            <w:r>
              <w:rPr>
                <w:sz w:val="24"/>
                <w:highlight w:val="none"/>
              </w:rPr>
              <w:t>周边50米范围内不存在声环境保护目标，</w:t>
            </w:r>
            <w:r>
              <w:rPr>
                <w:rFonts w:hint="eastAsia"/>
                <w:sz w:val="24"/>
                <w:highlight w:val="none"/>
              </w:rPr>
              <w:t>因此不开展声环境质量现状监测。</w:t>
            </w:r>
          </w:p>
          <w:p w14:paraId="087AFA50">
            <w:pPr>
              <w:numPr>
                <w:ilvl w:val="0"/>
                <w:numId w:val="5"/>
              </w:numPr>
              <w:adjustRightInd w:val="0"/>
              <w:snapToGrid w:val="0"/>
              <w:spacing w:line="360" w:lineRule="auto"/>
              <w:ind w:firstLine="482" w:firstLineChars="200"/>
              <w:jc w:val="left"/>
              <w:rPr>
                <w:b/>
                <w:color w:val="auto"/>
                <w:kern w:val="0"/>
                <w:sz w:val="24"/>
                <w:highlight w:val="none"/>
              </w:rPr>
            </w:pPr>
            <w:r>
              <w:rPr>
                <w:b/>
                <w:color w:val="auto"/>
                <w:kern w:val="0"/>
                <w:sz w:val="24"/>
                <w:highlight w:val="none"/>
              </w:rPr>
              <w:t>地下水环境质量现状</w:t>
            </w:r>
          </w:p>
          <w:p w14:paraId="44229569">
            <w:pPr>
              <w:adjustRightInd w:val="0"/>
              <w:snapToGrid w:val="0"/>
              <w:spacing w:line="360" w:lineRule="auto"/>
              <w:ind w:firstLine="480" w:firstLineChars="200"/>
              <w:rPr>
                <w:rFonts w:ascii="Times New Roman" w:hAnsi="Times New Roman" w:eastAsia="宋体" w:cs="Times New Roman"/>
                <w:sz w:val="24"/>
                <w:highlight w:val="none"/>
              </w:rPr>
            </w:pPr>
            <w:r>
              <w:rPr>
                <w:rFonts w:hint="eastAsia" w:ascii="Times New Roman" w:hAnsi="Times New Roman" w:eastAsia="宋体" w:cs="Times New Roman"/>
                <w:sz w:val="24"/>
                <w:highlight w:val="none"/>
                <w:lang w:val="en-US" w:eastAsia="zh-CN"/>
              </w:rPr>
              <w:t>根据建设项目环境影响报告表编制技术指南（污染影响类）（试行）要求，本报告不开展地下水环境现状调查。</w:t>
            </w:r>
          </w:p>
          <w:p w14:paraId="4796B4BF">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b/>
                <w:color w:val="auto"/>
                <w:kern w:val="0"/>
                <w:sz w:val="24"/>
                <w:highlight w:val="none"/>
              </w:rPr>
            </w:pPr>
            <w:r>
              <w:rPr>
                <w:b/>
                <w:color w:val="auto"/>
                <w:kern w:val="0"/>
                <w:sz w:val="24"/>
                <w:highlight w:val="none"/>
              </w:rPr>
              <w:t>五、土壤环境质量现状</w:t>
            </w:r>
          </w:p>
          <w:p w14:paraId="5F8068C7">
            <w:pPr>
              <w:adjustRightInd w:val="0"/>
              <w:snapToGrid w:val="0"/>
              <w:spacing w:line="360" w:lineRule="auto"/>
              <w:ind w:firstLine="480" w:firstLineChars="200"/>
              <w:rPr>
                <w:rFonts w:hint="eastAsia"/>
                <w:color w:val="auto"/>
                <w:sz w:val="24"/>
                <w:szCs w:val="24"/>
                <w:highlight w:val="none"/>
                <w:lang w:val="en-GB"/>
              </w:rPr>
            </w:pPr>
            <w:r>
              <w:rPr>
                <w:rFonts w:hint="eastAsia" w:ascii="Times New Roman" w:hAnsi="Times New Roman" w:eastAsia="宋体" w:cs="Times New Roman"/>
                <w:color w:val="000000"/>
                <w:sz w:val="24"/>
                <w:highlight w:val="none"/>
                <w:lang w:val="en-US" w:eastAsia="zh-CN"/>
              </w:rPr>
              <w:t>根据建设项目环境影响报告表编制技术指南（污染影响类）（试行）要求，本报告不开展土壤环境现状调查</w:t>
            </w:r>
            <w:r>
              <w:rPr>
                <w:rFonts w:hint="eastAsia"/>
                <w:color w:val="auto"/>
                <w:sz w:val="24"/>
                <w:szCs w:val="24"/>
                <w:highlight w:val="none"/>
                <w:lang w:val="en-GB"/>
              </w:rPr>
              <w:t>。</w:t>
            </w:r>
          </w:p>
          <w:p w14:paraId="3E28077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b/>
                <w:kern w:val="0"/>
                <w:sz w:val="24"/>
                <w:highlight w:val="none"/>
              </w:rPr>
            </w:pPr>
            <w:r>
              <w:rPr>
                <w:b/>
                <w:kern w:val="0"/>
                <w:sz w:val="24"/>
                <w:highlight w:val="none"/>
              </w:rPr>
              <w:t>六、生态环境质量现状</w:t>
            </w:r>
          </w:p>
          <w:p w14:paraId="4257AB24">
            <w:pPr>
              <w:pStyle w:val="76"/>
              <w:bidi w:val="0"/>
              <w:rPr>
                <w:rFonts w:hint="eastAsia"/>
                <w:highlight w:val="none"/>
              </w:rPr>
            </w:pPr>
            <w:r>
              <w:rPr>
                <w:rFonts w:hint="eastAsia"/>
                <w:color w:val="auto"/>
                <w:highlight w:val="none"/>
              </w:rPr>
              <w:t>本项目不新增用地且用地范围内不含生态环境保护目标，因此本报告不开展生态现状调查。</w:t>
            </w:r>
          </w:p>
          <w:p w14:paraId="66BEEBD4">
            <w:pPr>
              <w:adjustRightInd w:val="0"/>
              <w:snapToGrid w:val="0"/>
              <w:spacing w:line="360" w:lineRule="auto"/>
              <w:ind w:firstLine="482" w:firstLineChars="200"/>
              <w:rPr>
                <w:rFonts w:hint="eastAsia"/>
                <w:b/>
                <w:color w:val="000000"/>
                <w:kern w:val="0"/>
                <w:sz w:val="24"/>
                <w:szCs w:val="21"/>
                <w:highlight w:val="none"/>
              </w:rPr>
            </w:pPr>
            <w:r>
              <w:rPr>
                <w:rFonts w:hint="eastAsia"/>
                <w:b/>
                <w:bCs/>
                <w:kern w:val="0"/>
                <w:sz w:val="24"/>
                <w:highlight w:val="none"/>
              </w:rPr>
              <w:t>七、</w:t>
            </w:r>
            <w:r>
              <w:rPr>
                <w:rFonts w:hint="eastAsia"/>
                <w:b/>
                <w:sz w:val="24"/>
                <w:highlight w:val="none"/>
              </w:rPr>
              <w:t>专项评价设置情况</w:t>
            </w:r>
          </w:p>
          <w:p w14:paraId="2BC79D93">
            <w:pPr>
              <w:adjustRightInd w:val="0"/>
              <w:snapToGrid w:val="0"/>
              <w:spacing w:line="360" w:lineRule="auto"/>
              <w:ind w:firstLine="480" w:firstLineChars="200"/>
              <w:rPr>
                <w:rFonts w:hint="eastAsia"/>
                <w:sz w:val="24"/>
                <w:highlight w:val="none"/>
              </w:rPr>
            </w:pPr>
            <w:r>
              <w:rPr>
                <w:rFonts w:hint="eastAsia"/>
                <w:sz w:val="24"/>
                <w:highlight w:val="none"/>
              </w:rPr>
              <w:t>本项目环境影响评价等级及专项评价设置如下表3-</w:t>
            </w:r>
            <w:r>
              <w:rPr>
                <w:rFonts w:hint="eastAsia"/>
                <w:sz w:val="24"/>
                <w:highlight w:val="none"/>
                <w:lang w:val="en-US" w:eastAsia="zh-CN"/>
              </w:rPr>
              <w:t>2</w:t>
            </w:r>
            <w:r>
              <w:rPr>
                <w:rFonts w:hint="eastAsia"/>
                <w:sz w:val="24"/>
                <w:highlight w:val="none"/>
              </w:rPr>
              <w:t>所示。</w:t>
            </w:r>
          </w:p>
          <w:p w14:paraId="59B0B644">
            <w:pPr>
              <w:pStyle w:val="1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hAnsi="宋体"/>
                <w:b/>
                <w:color w:val="000000"/>
                <w:sz w:val="24"/>
                <w:szCs w:val="24"/>
                <w:highlight w:val="none"/>
              </w:rPr>
            </w:pPr>
            <w:r>
              <w:rPr>
                <w:rFonts w:hint="eastAsia" w:ascii="Times New Roman" w:hAnsi="宋体"/>
                <w:b/>
                <w:sz w:val="24"/>
                <w:szCs w:val="24"/>
                <w:highlight w:val="none"/>
              </w:rPr>
              <w:t>表3-</w:t>
            </w:r>
            <w:r>
              <w:rPr>
                <w:rFonts w:hint="eastAsia" w:ascii="Times New Roman" w:hAnsi="宋体"/>
                <w:b/>
                <w:sz w:val="24"/>
                <w:szCs w:val="24"/>
                <w:highlight w:val="none"/>
                <w:lang w:val="en-US" w:eastAsia="zh-CN"/>
              </w:rPr>
              <w:t>2</w:t>
            </w:r>
            <w:r>
              <w:rPr>
                <w:rFonts w:hint="eastAsia" w:ascii="Times New Roman" w:hAnsi="Times New Roman"/>
                <w:b/>
                <w:sz w:val="24"/>
                <w:highlight w:val="none"/>
              </w:rPr>
              <w:t>项目各环境影响专项评价设置一览表</w:t>
            </w:r>
          </w:p>
          <w:tbl>
            <w:tblPr>
              <w:tblStyle w:val="31"/>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870"/>
              <w:gridCol w:w="1329"/>
              <w:gridCol w:w="1677"/>
              <w:gridCol w:w="4105"/>
            </w:tblGrid>
            <w:tr w14:paraId="2F86192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545" w:type="pct"/>
                  <w:noWrap w:val="0"/>
                  <w:vAlign w:val="center"/>
                </w:tcPr>
                <w:p w14:paraId="33B97455">
                  <w:pPr>
                    <w:adjustRightInd w:val="0"/>
                    <w:snapToGrid w:val="0"/>
                    <w:jc w:val="center"/>
                    <w:rPr>
                      <w:b/>
                      <w:szCs w:val="21"/>
                      <w:highlight w:val="none"/>
                    </w:rPr>
                  </w:pPr>
                  <w:r>
                    <w:rPr>
                      <w:b/>
                      <w:szCs w:val="21"/>
                      <w:highlight w:val="none"/>
                    </w:rPr>
                    <w:t>序号</w:t>
                  </w:r>
                </w:p>
              </w:tc>
              <w:tc>
                <w:tcPr>
                  <w:tcW w:w="832" w:type="pct"/>
                  <w:noWrap w:val="0"/>
                  <w:vAlign w:val="center"/>
                </w:tcPr>
                <w:p w14:paraId="502A0036">
                  <w:pPr>
                    <w:adjustRightInd w:val="0"/>
                    <w:snapToGrid w:val="0"/>
                    <w:jc w:val="center"/>
                    <w:rPr>
                      <w:b/>
                      <w:szCs w:val="21"/>
                      <w:highlight w:val="none"/>
                    </w:rPr>
                  </w:pPr>
                  <w:r>
                    <w:rPr>
                      <w:rFonts w:hint="eastAsia"/>
                      <w:b/>
                      <w:szCs w:val="21"/>
                      <w:highlight w:val="none"/>
                    </w:rPr>
                    <w:t>评价项目</w:t>
                  </w:r>
                </w:p>
              </w:tc>
              <w:tc>
                <w:tcPr>
                  <w:tcW w:w="1050" w:type="pct"/>
                  <w:noWrap w:val="0"/>
                  <w:vAlign w:val="center"/>
                </w:tcPr>
                <w:p w14:paraId="08031E81">
                  <w:pPr>
                    <w:adjustRightInd w:val="0"/>
                    <w:snapToGrid w:val="0"/>
                    <w:jc w:val="center"/>
                    <w:rPr>
                      <w:b/>
                      <w:szCs w:val="21"/>
                      <w:highlight w:val="none"/>
                    </w:rPr>
                  </w:pPr>
                  <w:r>
                    <w:rPr>
                      <w:rFonts w:hint="eastAsia"/>
                      <w:b/>
                      <w:szCs w:val="21"/>
                      <w:highlight w:val="none"/>
                    </w:rPr>
                    <w:t>专项评价设置</w:t>
                  </w:r>
                </w:p>
              </w:tc>
              <w:tc>
                <w:tcPr>
                  <w:tcW w:w="2571" w:type="pct"/>
                  <w:tcBorders>
                    <w:right w:val="single" w:color="auto" w:sz="4" w:space="0"/>
                  </w:tcBorders>
                  <w:noWrap w:val="0"/>
                  <w:vAlign w:val="center"/>
                </w:tcPr>
                <w:p w14:paraId="01B8802D">
                  <w:pPr>
                    <w:adjustRightInd w:val="0"/>
                    <w:snapToGrid w:val="0"/>
                    <w:jc w:val="center"/>
                    <w:rPr>
                      <w:rFonts w:hint="eastAsia"/>
                      <w:b/>
                      <w:szCs w:val="21"/>
                      <w:highlight w:val="none"/>
                    </w:rPr>
                  </w:pPr>
                  <w:r>
                    <w:rPr>
                      <w:rFonts w:hint="eastAsia"/>
                      <w:b/>
                      <w:szCs w:val="21"/>
                      <w:highlight w:val="none"/>
                    </w:rPr>
                    <w:t>设置理由</w:t>
                  </w:r>
                </w:p>
              </w:tc>
            </w:tr>
            <w:tr w14:paraId="21CF5D3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74" w:hRule="atLeast"/>
                <w:jc w:val="center"/>
              </w:trPr>
              <w:tc>
                <w:tcPr>
                  <w:tcW w:w="545" w:type="pct"/>
                  <w:noWrap w:val="0"/>
                  <w:vAlign w:val="center"/>
                </w:tcPr>
                <w:p w14:paraId="00E2970A">
                  <w:pPr>
                    <w:adjustRightInd w:val="0"/>
                    <w:snapToGrid w:val="0"/>
                    <w:jc w:val="center"/>
                    <w:rPr>
                      <w:szCs w:val="21"/>
                      <w:highlight w:val="none"/>
                    </w:rPr>
                  </w:pPr>
                  <w:r>
                    <w:rPr>
                      <w:szCs w:val="21"/>
                      <w:highlight w:val="none"/>
                    </w:rPr>
                    <w:t>1</w:t>
                  </w:r>
                </w:p>
              </w:tc>
              <w:tc>
                <w:tcPr>
                  <w:tcW w:w="832" w:type="pct"/>
                  <w:noWrap w:val="0"/>
                  <w:vAlign w:val="center"/>
                </w:tcPr>
                <w:p w14:paraId="3D3805E6">
                  <w:pPr>
                    <w:adjustRightInd w:val="0"/>
                    <w:snapToGrid w:val="0"/>
                    <w:jc w:val="center"/>
                    <w:rPr>
                      <w:szCs w:val="21"/>
                      <w:highlight w:val="none"/>
                    </w:rPr>
                  </w:pPr>
                  <w:r>
                    <w:rPr>
                      <w:rFonts w:hint="eastAsia"/>
                      <w:szCs w:val="21"/>
                      <w:highlight w:val="none"/>
                    </w:rPr>
                    <w:t>大气</w:t>
                  </w:r>
                </w:p>
              </w:tc>
              <w:tc>
                <w:tcPr>
                  <w:tcW w:w="1050" w:type="pct"/>
                  <w:noWrap w:val="0"/>
                  <w:vAlign w:val="center"/>
                </w:tcPr>
                <w:p w14:paraId="373716BC">
                  <w:pPr>
                    <w:adjustRightInd w:val="0"/>
                    <w:snapToGrid w:val="0"/>
                    <w:jc w:val="center"/>
                    <w:rPr>
                      <w:szCs w:val="21"/>
                      <w:highlight w:val="none"/>
                    </w:rPr>
                  </w:pPr>
                  <w:r>
                    <w:rPr>
                      <w:rFonts w:hint="eastAsia"/>
                      <w:szCs w:val="21"/>
                      <w:highlight w:val="none"/>
                    </w:rPr>
                    <w:t>不设置</w:t>
                  </w:r>
                </w:p>
              </w:tc>
              <w:tc>
                <w:tcPr>
                  <w:tcW w:w="2571" w:type="pct"/>
                  <w:tcBorders>
                    <w:right w:val="single" w:color="auto" w:sz="4" w:space="0"/>
                  </w:tcBorders>
                  <w:noWrap w:val="0"/>
                  <w:vAlign w:val="center"/>
                </w:tcPr>
                <w:p w14:paraId="5F3A041C">
                  <w:pPr>
                    <w:adjustRightInd w:val="0"/>
                    <w:snapToGrid w:val="0"/>
                    <w:jc w:val="center"/>
                    <w:rPr>
                      <w:szCs w:val="21"/>
                      <w:highlight w:val="none"/>
                    </w:rPr>
                  </w:pPr>
                  <w:r>
                    <w:rPr>
                      <w:rFonts w:hint="eastAsia"/>
                      <w:szCs w:val="21"/>
                      <w:highlight w:val="none"/>
                    </w:rPr>
                    <w:t>项目无有毒有害物、二噁英、苯并芘、氰化物、氯气等外排。</w:t>
                  </w:r>
                </w:p>
              </w:tc>
            </w:tr>
            <w:tr w14:paraId="75122D3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74" w:hRule="atLeast"/>
                <w:jc w:val="center"/>
              </w:trPr>
              <w:tc>
                <w:tcPr>
                  <w:tcW w:w="545" w:type="pct"/>
                  <w:noWrap w:val="0"/>
                  <w:vAlign w:val="center"/>
                </w:tcPr>
                <w:p w14:paraId="55304D68">
                  <w:pPr>
                    <w:adjustRightInd w:val="0"/>
                    <w:snapToGrid w:val="0"/>
                    <w:jc w:val="center"/>
                    <w:rPr>
                      <w:szCs w:val="21"/>
                      <w:highlight w:val="none"/>
                    </w:rPr>
                  </w:pPr>
                  <w:r>
                    <w:rPr>
                      <w:szCs w:val="21"/>
                      <w:highlight w:val="none"/>
                    </w:rPr>
                    <w:t>2</w:t>
                  </w:r>
                </w:p>
              </w:tc>
              <w:tc>
                <w:tcPr>
                  <w:tcW w:w="832" w:type="pct"/>
                  <w:noWrap w:val="0"/>
                  <w:vAlign w:val="center"/>
                </w:tcPr>
                <w:p w14:paraId="7E94B60B">
                  <w:pPr>
                    <w:adjustRightInd w:val="0"/>
                    <w:snapToGrid w:val="0"/>
                    <w:jc w:val="center"/>
                    <w:rPr>
                      <w:szCs w:val="21"/>
                      <w:highlight w:val="none"/>
                    </w:rPr>
                  </w:pPr>
                  <w:r>
                    <w:rPr>
                      <w:rFonts w:hint="eastAsia"/>
                      <w:szCs w:val="21"/>
                      <w:highlight w:val="none"/>
                    </w:rPr>
                    <w:t>地表水</w:t>
                  </w:r>
                </w:p>
              </w:tc>
              <w:tc>
                <w:tcPr>
                  <w:tcW w:w="1050" w:type="pct"/>
                  <w:noWrap w:val="0"/>
                  <w:vAlign w:val="center"/>
                </w:tcPr>
                <w:p w14:paraId="58AF0A17">
                  <w:pPr>
                    <w:adjustRightInd w:val="0"/>
                    <w:snapToGrid w:val="0"/>
                    <w:jc w:val="center"/>
                    <w:rPr>
                      <w:rFonts w:hint="eastAsia"/>
                      <w:szCs w:val="21"/>
                      <w:highlight w:val="none"/>
                    </w:rPr>
                  </w:pPr>
                  <w:r>
                    <w:rPr>
                      <w:rFonts w:hint="eastAsia"/>
                      <w:szCs w:val="21"/>
                      <w:highlight w:val="none"/>
                    </w:rPr>
                    <w:t>设置</w:t>
                  </w:r>
                </w:p>
              </w:tc>
              <w:tc>
                <w:tcPr>
                  <w:tcW w:w="2571" w:type="pct"/>
                  <w:tcBorders>
                    <w:right w:val="single" w:color="auto" w:sz="4" w:space="0"/>
                  </w:tcBorders>
                  <w:noWrap w:val="0"/>
                  <w:vAlign w:val="center"/>
                </w:tcPr>
                <w:p w14:paraId="19730E53">
                  <w:pPr>
                    <w:adjustRightInd w:val="0"/>
                    <w:snapToGrid w:val="0"/>
                    <w:jc w:val="center"/>
                    <w:rPr>
                      <w:rFonts w:hint="default" w:eastAsia="宋体"/>
                      <w:szCs w:val="21"/>
                      <w:highlight w:val="none"/>
                      <w:lang w:val="en-US" w:eastAsia="zh-CN"/>
                    </w:rPr>
                  </w:pPr>
                  <w:r>
                    <w:rPr>
                      <w:rFonts w:hint="eastAsia"/>
                      <w:szCs w:val="21"/>
                      <w:highlight w:val="none"/>
                    </w:rPr>
                    <w:t>项目</w:t>
                  </w:r>
                  <w:r>
                    <w:rPr>
                      <w:rFonts w:hint="eastAsia"/>
                      <w:szCs w:val="21"/>
                      <w:highlight w:val="none"/>
                      <w:lang w:val="en-US" w:eastAsia="zh-CN"/>
                    </w:rPr>
                    <w:t>新增直排废水</w:t>
                  </w:r>
                  <w:r>
                    <w:rPr>
                      <w:rFonts w:hint="eastAsia"/>
                      <w:highlight w:val="none"/>
                      <w:lang w:eastAsia="zh-CN"/>
                    </w:rPr>
                    <w:t>，</w:t>
                  </w:r>
                  <w:r>
                    <w:rPr>
                      <w:rFonts w:hint="eastAsia"/>
                      <w:highlight w:val="none"/>
                      <w:lang w:val="en-US" w:eastAsia="zh-CN"/>
                    </w:rPr>
                    <w:t>需设置地表水专项评价</w:t>
                  </w:r>
                </w:p>
              </w:tc>
            </w:tr>
            <w:tr w14:paraId="7A6ED76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545" w:type="pct"/>
                  <w:noWrap w:val="0"/>
                  <w:vAlign w:val="center"/>
                </w:tcPr>
                <w:p w14:paraId="2659A135">
                  <w:pPr>
                    <w:adjustRightInd w:val="0"/>
                    <w:snapToGrid w:val="0"/>
                    <w:jc w:val="center"/>
                    <w:rPr>
                      <w:szCs w:val="21"/>
                      <w:highlight w:val="none"/>
                    </w:rPr>
                  </w:pPr>
                  <w:r>
                    <w:rPr>
                      <w:szCs w:val="21"/>
                      <w:highlight w:val="none"/>
                    </w:rPr>
                    <w:t>3</w:t>
                  </w:r>
                </w:p>
              </w:tc>
              <w:tc>
                <w:tcPr>
                  <w:tcW w:w="832" w:type="pct"/>
                  <w:noWrap w:val="0"/>
                  <w:vAlign w:val="center"/>
                </w:tcPr>
                <w:p w14:paraId="45C34D0E">
                  <w:pPr>
                    <w:adjustRightInd w:val="0"/>
                    <w:snapToGrid w:val="0"/>
                    <w:jc w:val="center"/>
                    <w:rPr>
                      <w:szCs w:val="21"/>
                      <w:highlight w:val="none"/>
                    </w:rPr>
                  </w:pPr>
                  <w:r>
                    <w:rPr>
                      <w:rFonts w:hint="eastAsia"/>
                      <w:szCs w:val="21"/>
                      <w:highlight w:val="none"/>
                    </w:rPr>
                    <w:t>噪声</w:t>
                  </w:r>
                </w:p>
              </w:tc>
              <w:tc>
                <w:tcPr>
                  <w:tcW w:w="1050" w:type="pct"/>
                  <w:noWrap w:val="0"/>
                  <w:vAlign w:val="center"/>
                </w:tcPr>
                <w:p w14:paraId="388B4BFC">
                  <w:pPr>
                    <w:adjustRightInd w:val="0"/>
                    <w:snapToGrid w:val="0"/>
                    <w:jc w:val="center"/>
                    <w:rPr>
                      <w:szCs w:val="21"/>
                      <w:highlight w:val="none"/>
                    </w:rPr>
                  </w:pPr>
                  <w:r>
                    <w:rPr>
                      <w:rFonts w:hint="eastAsia"/>
                      <w:szCs w:val="21"/>
                      <w:highlight w:val="none"/>
                    </w:rPr>
                    <w:t>不设置</w:t>
                  </w:r>
                </w:p>
              </w:tc>
              <w:tc>
                <w:tcPr>
                  <w:tcW w:w="2571" w:type="pct"/>
                  <w:tcBorders>
                    <w:right w:val="single" w:color="auto" w:sz="4" w:space="0"/>
                  </w:tcBorders>
                  <w:noWrap w:val="0"/>
                  <w:vAlign w:val="center"/>
                </w:tcPr>
                <w:p w14:paraId="540165EE">
                  <w:pPr>
                    <w:adjustRightInd w:val="0"/>
                    <w:snapToGrid w:val="0"/>
                    <w:jc w:val="center"/>
                    <w:rPr>
                      <w:rFonts w:hint="eastAsia"/>
                      <w:szCs w:val="21"/>
                      <w:highlight w:val="none"/>
                    </w:rPr>
                  </w:pPr>
                  <w:r>
                    <w:rPr>
                      <w:rFonts w:hint="eastAsia"/>
                      <w:szCs w:val="21"/>
                      <w:highlight w:val="none"/>
                    </w:rPr>
                    <w:t>不开展专项评价</w:t>
                  </w:r>
                </w:p>
              </w:tc>
            </w:tr>
            <w:tr w14:paraId="42A0E02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545" w:type="pct"/>
                  <w:noWrap w:val="0"/>
                  <w:vAlign w:val="center"/>
                </w:tcPr>
                <w:p w14:paraId="7334EBA0">
                  <w:pPr>
                    <w:adjustRightInd w:val="0"/>
                    <w:snapToGrid w:val="0"/>
                    <w:jc w:val="center"/>
                    <w:rPr>
                      <w:szCs w:val="21"/>
                      <w:highlight w:val="none"/>
                    </w:rPr>
                  </w:pPr>
                  <w:r>
                    <w:rPr>
                      <w:szCs w:val="21"/>
                      <w:highlight w:val="none"/>
                    </w:rPr>
                    <w:t>4</w:t>
                  </w:r>
                </w:p>
              </w:tc>
              <w:tc>
                <w:tcPr>
                  <w:tcW w:w="832" w:type="pct"/>
                  <w:noWrap w:val="0"/>
                  <w:vAlign w:val="center"/>
                </w:tcPr>
                <w:p w14:paraId="287625C2">
                  <w:pPr>
                    <w:adjustRightInd w:val="0"/>
                    <w:snapToGrid w:val="0"/>
                    <w:jc w:val="center"/>
                    <w:rPr>
                      <w:szCs w:val="21"/>
                      <w:highlight w:val="none"/>
                    </w:rPr>
                  </w:pPr>
                  <w:r>
                    <w:rPr>
                      <w:rFonts w:hint="eastAsia"/>
                      <w:szCs w:val="21"/>
                      <w:highlight w:val="none"/>
                    </w:rPr>
                    <w:t>地下水</w:t>
                  </w:r>
                </w:p>
              </w:tc>
              <w:tc>
                <w:tcPr>
                  <w:tcW w:w="1050" w:type="pct"/>
                  <w:noWrap w:val="0"/>
                  <w:vAlign w:val="center"/>
                </w:tcPr>
                <w:p w14:paraId="202E97B0">
                  <w:pPr>
                    <w:adjustRightInd w:val="0"/>
                    <w:snapToGrid w:val="0"/>
                    <w:jc w:val="center"/>
                    <w:rPr>
                      <w:szCs w:val="21"/>
                      <w:highlight w:val="none"/>
                    </w:rPr>
                  </w:pPr>
                  <w:r>
                    <w:rPr>
                      <w:rFonts w:hint="eastAsia"/>
                      <w:szCs w:val="21"/>
                      <w:highlight w:val="none"/>
                    </w:rPr>
                    <w:t>不设置</w:t>
                  </w:r>
                </w:p>
              </w:tc>
              <w:tc>
                <w:tcPr>
                  <w:tcW w:w="2571" w:type="pct"/>
                  <w:tcBorders>
                    <w:right w:val="single" w:color="auto" w:sz="4" w:space="0"/>
                  </w:tcBorders>
                  <w:noWrap w:val="0"/>
                  <w:vAlign w:val="center"/>
                </w:tcPr>
                <w:p w14:paraId="2E7BD16B">
                  <w:pPr>
                    <w:adjustRightInd w:val="0"/>
                    <w:snapToGrid w:val="0"/>
                    <w:jc w:val="center"/>
                    <w:rPr>
                      <w:rFonts w:hint="eastAsia"/>
                      <w:szCs w:val="21"/>
                      <w:highlight w:val="none"/>
                    </w:rPr>
                  </w:pPr>
                  <w:r>
                    <w:rPr>
                      <w:rFonts w:hint="eastAsia"/>
                      <w:szCs w:val="21"/>
                      <w:highlight w:val="none"/>
                    </w:rPr>
                    <w:t>不开展专项评价</w:t>
                  </w:r>
                </w:p>
              </w:tc>
            </w:tr>
            <w:tr w14:paraId="4844AAB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545" w:type="pct"/>
                  <w:noWrap w:val="0"/>
                  <w:vAlign w:val="center"/>
                </w:tcPr>
                <w:p w14:paraId="449F00D3">
                  <w:pPr>
                    <w:adjustRightInd w:val="0"/>
                    <w:snapToGrid w:val="0"/>
                    <w:jc w:val="center"/>
                    <w:rPr>
                      <w:szCs w:val="21"/>
                      <w:highlight w:val="none"/>
                    </w:rPr>
                  </w:pPr>
                  <w:r>
                    <w:rPr>
                      <w:szCs w:val="21"/>
                      <w:highlight w:val="none"/>
                    </w:rPr>
                    <w:t>5</w:t>
                  </w:r>
                </w:p>
              </w:tc>
              <w:tc>
                <w:tcPr>
                  <w:tcW w:w="832" w:type="pct"/>
                  <w:noWrap w:val="0"/>
                  <w:vAlign w:val="center"/>
                </w:tcPr>
                <w:p w14:paraId="48CE4DF0">
                  <w:pPr>
                    <w:adjustRightInd w:val="0"/>
                    <w:snapToGrid w:val="0"/>
                    <w:jc w:val="center"/>
                    <w:rPr>
                      <w:szCs w:val="21"/>
                      <w:highlight w:val="none"/>
                    </w:rPr>
                  </w:pPr>
                  <w:r>
                    <w:rPr>
                      <w:rFonts w:hint="eastAsia"/>
                      <w:szCs w:val="21"/>
                      <w:highlight w:val="none"/>
                    </w:rPr>
                    <w:t>土壤</w:t>
                  </w:r>
                </w:p>
              </w:tc>
              <w:tc>
                <w:tcPr>
                  <w:tcW w:w="1050" w:type="pct"/>
                  <w:noWrap w:val="0"/>
                  <w:vAlign w:val="center"/>
                </w:tcPr>
                <w:p w14:paraId="7B3B53DA">
                  <w:pPr>
                    <w:adjustRightInd w:val="0"/>
                    <w:snapToGrid w:val="0"/>
                    <w:jc w:val="center"/>
                    <w:rPr>
                      <w:szCs w:val="21"/>
                      <w:highlight w:val="none"/>
                    </w:rPr>
                  </w:pPr>
                  <w:r>
                    <w:rPr>
                      <w:rFonts w:hint="eastAsia"/>
                      <w:szCs w:val="21"/>
                      <w:highlight w:val="none"/>
                    </w:rPr>
                    <w:t>不设置</w:t>
                  </w:r>
                </w:p>
              </w:tc>
              <w:tc>
                <w:tcPr>
                  <w:tcW w:w="2571" w:type="pct"/>
                  <w:tcBorders>
                    <w:right w:val="single" w:color="auto" w:sz="4" w:space="0"/>
                  </w:tcBorders>
                  <w:noWrap w:val="0"/>
                  <w:vAlign w:val="center"/>
                </w:tcPr>
                <w:p w14:paraId="748BF0EA">
                  <w:pPr>
                    <w:adjustRightInd w:val="0"/>
                    <w:snapToGrid w:val="0"/>
                    <w:jc w:val="center"/>
                    <w:rPr>
                      <w:szCs w:val="21"/>
                      <w:highlight w:val="none"/>
                    </w:rPr>
                  </w:pPr>
                  <w:r>
                    <w:rPr>
                      <w:rFonts w:hint="eastAsia"/>
                      <w:szCs w:val="21"/>
                      <w:highlight w:val="none"/>
                    </w:rPr>
                    <w:t>不开展专项评价</w:t>
                  </w:r>
                </w:p>
              </w:tc>
            </w:tr>
            <w:tr w14:paraId="4454A43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545" w:type="pct"/>
                  <w:noWrap w:val="0"/>
                  <w:vAlign w:val="center"/>
                </w:tcPr>
                <w:p w14:paraId="38C2AB5F">
                  <w:pPr>
                    <w:adjustRightInd w:val="0"/>
                    <w:snapToGrid w:val="0"/>
                    <w:jc w:val="center"/>
                    <w:rPr>
                      <w:szCs w:val="21"/>
                      <w:highlight w:val="none"/>
                    </w:rPr>
                  </w:pPr>
                  <w:r>
                    <w:rPr>
                      <w:szCs w:val="21"/>
                      <w:highlight w:val="none"/>
                    </w:rPr>
                    <w:t>6</w:t>
                  </w:r>
                </w:p>
              </w:tc>
              <w:tc>
                <w:tcPr>
                  <w:tcW w:w="832" w:type="pct"/>
                  <w:noWrap w:val="0"/>
                  <w:vAlign w:val="center"/>
                </w:tcPr>
                <w:p w14:paraId="2D3367C7">
                  <w:pPr>
                    <w:adjustRightInd w:val="0"/>
                    <w:snapToGrid w:val="0"/>
                    <w:jc w:val="center"/>
                    <w:rPr>
                      <w:szCs w:val="21"/>
                      <w:highlight w:val="none"/>
                    </w:rPr>
                  </w:pPr>
                  <w:r>
                    <w:rPr>
                      <w:rFonts w:hint="eastAsia"/>
                      <w:szCs w:val="21"/>
                      <w:highlight w:val="none"/>
                    </w:rPr>
                    <w:t>环境风险</w:t>
                  </w:r>
                </w:p>
              </w:tc>
              <w:tc>
                <w:tcPr>
                  <w:tcW w:w="1050" w:type="pct"/>
                  <w:noWrap w:val="0"/>
                  <w:vAlign w:val="center"/>
                </w:tcPr>
                <w:p w14:paraId="0A7E2863">
                  <w:pPr>
                    <w:adjustRightInd w:val="0"/>
                    <w:snapToGrid w:val="0"/>
                    <w:jc w:val="center"/>
                    <w:rPr>
                      <w:szCs w:val="21"/>
                      <w:highlight w:val="none"/>
                    </w:rPr>
                  </w:pPr>
                  <w:r>
                    <w:rPr>
                      <w:rFonts w:hint="eastAsia"/>
                      <w:szCs w:val="21"/>
                      <w:highlight w:val="none"/>
                    </w:rPr>
                    <w:t>不设置</w:t>
                  </w:r>
                </w:p>
              </w:tc>
              <w:tc>
                <w:tcPr>
                  <w:tcW w:w="2571" w:type="pct"/>
                  <w:tcBorders>
                    <w:right w:val="single" w:color="auto" w:sz="4" w:space="0"/>
                  </w:tcBorders>
                  <w:noWrap w:val="0"/>
                  <w:vAlign w:val="center"/>
                </w:tcPr>
                <w:p w14:paraId="18270714">
                  <w:pPr>
                    <w:adjustRightInd w:val="0"/>
                    <w:snapToGrid w:val="0"/>
                    <w:jc w:val="center"/>
                    <w:rPr>
                      <w:szCs w:val="21"/>
                      <w:highlight w:val="none"/>
                    </w:rPr>
                  </w:pPr>
                  <w:r>
                    <w:rPr>
                      <w:rFonts w:hint="eastAsia"/>
                      <w:szCs w:val="21"/>
                      <w:highlight w:val="none"/>
                    </w:rPr>
                    <w:t>项目涉及的危险物质未超过临界量</w:t>
                  </w:r>
                </w:p>
              </w:tc>
            </w:tr>
            <w:tr w14:paraId="3DB295A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545" w:type="pct"/>
                  <w:noWrap w:val="0"/>
                  <w:vAlign w:val="center"/>
                </w:tcPr>
                <w:p w14:paraId="17A51B8D">
                  <w:pPr>
                    <w:adjustRightInd w:val="0"/>
                    <w:snapToGrid w:val="0"/>
                    <w:jc w:val="center"/>
                    <w:rPr>
                      <w:szCs w:val="21"/>
                      <w:highlight w:val="none"/>
                    </w:rPr>
                  </w:pPr>
                  <w:r>
                    <w:rPr>
                      <w:rFonts w:hint="eastAsia"/>
                      <w:szCs w:val="21"/>
                      <w:highlight w:val="none"/>
                    </w:rPr>
                    <w:t>7</w:t>
                  </w:r>
                </w:p>
              </w:tc>
              <w:tc>
                <w:tcPr>
                  <w:tcW w:w="832" w:type="pct"/>
                  <w:noWrap w:val="0"/>
                  <w:vAlign w:val="center"/>
                </w:tcPr>
                <w:p w14:paraId="55EF47B4">
                  <w:pPr>
                    <w:adjustRightInd w:val="0"/>
                    <w:snapToGrid w:val="0"/>
                    <w:jc w:val="center"/>
                    <w:rPr>
                      <w:rFonts w:hint="eastAsia"/>
                      <w:szCs w:val="21"/>
                      <w:highlight w:val="none"/>
                    </w:rPr>
                  </w:pPr>
                  <w:r>
                    <w:rPr>
                      <w:rFonts w:hint="eastAsia"/>
                      <w:szCs w:val="21"/>
                      <w:highlight w:val="none"/>
                    </w:rPr>
                    <w:t>生态</w:t>
                  </w:r>
                </w:p>
              </w:tc>
              <w:tc>
                <w:tcPr>
                  <w:tcW w:w="1050" w:type="pct"/>
                  <w:noWrap w:val="0"/>
                  <w:vAlign w:val="center"/>
                </w:tcPr>
                <w:p w14:paraId="28F8381A">
                  <w:pPr>
                    <w:adjustRightInd w:val="0"/>
                    <w:snapToGrid w:val="0"/>
                    <w:jc w:val="center"/>
                    <w:rPr>
                      <w:rFonts w:hint="eastAsia"/>
                      <w:szCs w:val="21"/>
                      <w:highlight w:val="none"/>
                    </w:rPr>
                  </w:pPr>
                  <w:r>
                    <w:rPr>
                      <w:rFonts w:hint="eastAsia"/>
                      <w:szCs w:val="21"/>
                      <w:highlight w:val="none"/>
                    </w:rPr>
                    <w:t>不设置</w:t>
                  </w:r>
                </w:p>
              </w:tc>
              <w:tc>
                <w:tcPr>
                  <w:tcW w:w="2571" w:type="pct"/>
                  <w:tcBorders>
                    <w:right w:val="single" w:color="auto" w:sz="4" w:space="0"/>
                  </w:tcBorders>
                  <w:noWrap w:val="0"/>
                  <w:vAlign w:val="center"/>
                </w:tcPr>
                <w:p w14:paraId="2B780F53">
                  <w:pPr>
                    <w:adjustRightInd w:val="0"/>
                    <w:snapToGrid w:val="0"/>
                    <w:jc w:val="center"/>
                    <w:rPr>
                      <w:rFonts w:hint="eastAsia"/>
                      <w:szCs w:val="21"/>
                      <w:highlight w:val="none"/>
                    </w:rPr>
                  </w:pPr>
                  <w:r>
                    <w:rPr>
                      <w:rFonts w:hint="eastAsia"/>
                      <w:szCs w:val="21"/>
                      <w:highlight w:val="none"/>
                    </w:rPr>
                    <w:t>不开展专项评价</w:t>
                  </w:r>
                </w:p>
              </w:tc>
            </w:tr>
            <w:tr w14:paraId="5B64CFC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545" w:type="pct"/>
                  <w:noWrap w:val="0"/>
                  <w:vAlign w:val="center"/>
                </w:tcPr>
                <w:p w14:paraId="13351A4D">
                  <w:pPr>
                    <w:adjustRightInd w:val="0"/>
                    <w:snapToGrid w:val="0"/>
                    <w:jc w:val="center"/>
                    <w:rPr>
                      <w:rFonts w:hint="eastAsia"/>
                      <w:szCs w:val="21"/>
                      <w:highlight w:val="none"/>
                    </w:rPr>
                  </w:pPr>
                  <w:r>
                    <w:rPr>
                      <w:rFonts w:hint="eastAsia"/>
                      <w:szCs w:val="21"/>
                      <w:highlight w:val="none"/>
                    </w:rPr>
                    <w:t>8</w:t>
                  </w:r>
                </w:p>
              </w:tc>
              <w:tc>
                <w:tcPr>
                  <w:tcW w:w="832" w:type="pct"/>
                  <w:noWrap w:val="0"/>
                  <w:vAlign w:val="center"/>
                </w:tcPr>
                <w:p w14:paraId="17CE9DC2">
                  <w:pPr>
                    <w:adjustRightInd w:val="0"/>
                    <w:snapToGrid w:val="0"/>
                    <w:jc w:val="center"/>
                    <w:rPr>
                      <w:rFonts w:hint="eastAsia"/>
                      <w:szCs w:val="21"/>
                      <w:highlight w:val="none"/>
                    </w:rPr>
                  </w:pPr>
                  <w:r>
                    <w:rPr>
                      <w:rFonts w:hint="eastAsia"/>
                      <w:szCs w:val="21"/>
                      <w:highlight w:val="none"/>
                    </w:rPr>
                    <w:t>海洋</w:t>
                  </w:r>
                </w:p>
              </w:tc>
              <w:tc>
                <w:tcPr>
                  <w:tcW w:w="1050" w:type="pct"/>
                  <w:noWrap w:val="0"/>
                  <w:vAlign w:val="center"/>
                </w:tcPr>
                <w:p w14:paraId="3147710B">
                  <w:pPr>
                    <w:adjustRightInd w:val="0"/>
                    <w:snapToGrid w:val="0"/>
                    <w:jc w:val="center"/>
                    <w:rPr>
                      <w:rFonts w:hint="eastAsia"/>
                      <w:szCs w:val="21"/>
                      <w:highlight w:val="none"/>
                    </w:rPr>
                  </w:pPr>
                  <w:r>
                    <w:rPr>
                      <w:rFonts w:hint="eastAsia"/>
                      <w:szCs w:val="21"/>
                      <w:highlight w:val="none"/>
                    </w:rPr>
                    <w:t>不设置</w:t>
                  </w:r>
                </w:p>
              </w:tc>
              <w:tc>
                <w:tcPr>
                  <w:tcW w:w="2571" w:type="pct"/>
                  <w:tcBorders>
                    <w:right w:val="single" w:color="auto" w:sz="4" w:space="0"/>
                  </w:tcBorders>
                  <w:noWrap w:val="0"/>
                  <w:vAlign w:val="center"/>
                </w:tcPr>
                <w:p w14:paraId="101ADCB7">
                  <w:pPr>
                    <w:adjustRightInd w:val="0"/>
                    <w:snapToGrid w:val="0"/>
                    <w:jc w:val="center"/>
                    <w:rPr>
                      <w:rFonts w:hint="eastAsia"/>
                      <w:szCs w:val="21"/>
                      <w:highlight w:val="none"/>
                    </w:rPr>
                  </w:pPr>
                  <w:r>
                    <w:rPr>
                      <w:rFonts w:hint="eastAsia"/>
                      <w:szCs w:val="21"/>
                      <w:highlight w:val="none"/>
                    </w:rPr>
                    <w:t>项目不涉及海洋</w:t>
                  </w:r>
                </w:p>
              </w:tc>
            </w:tr>
          </w:tbl>
          <w:p w14:paraId="77C3F55D">
            <w:pPr>
              <w:adjustRightInd w:val="0"/>
              <w:snapToGrid w:val="0"/>
              <w:jc w:val="left"/>
              <w:rPr>
                <w:color w:val="auto"/>
                <w:kern w:val="0"/>
                <w:szCs w:val="21"/>
                <w:highlight w:val="none"/>
              </w:rPr>
            </w:pPr>
          </w:p>
        </w:tc>
      </w:tr>
      <w:tr w14:paraId="02A3DC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6" w:type="dxa"/>
            <w:vAlign w:val="center"/>
          </w:tcPr>
          <w:p w14:paraId="30E49579">
            <w:pPr>
              <w:adjustRightInd w:val="0"/>
              <w:snapToGrid w:val="0"/>
              <w:jc w:val="center"/>
              <w:rPr>
                <w:color w:val="auto"/>
                <w:kern w:val="0"/>
                <w:szCs w:val="21"/>
                <w:highlight w:val="none"/>
              </w:rPr>
            </w:pPr>
            <w:r>
              <w:rPr>
                <w:rFonts w:ascii="Times New Roman" w:hAnsi="Times New Roman" w:eastAsia="宋体" w:cs="Times New Roman"/>
                <w:kern w:val="0"/>
                <w:sz w:val="24"/>
                <w:highlight w:val="none"/>
              </w:rPr>
              <w:t>环境保护目标</w:t>
            </w:r>
          </w:p>
        </w:tc>
        <w:tc>
          <w:tcPr>
            <w:tcW w:w="8205" w:type="dxa"/>
          </w:tcPr>
          <w:p w14:paraId="43A875A5">
            <w:pPr>
              <w:adjustRightInd w:val="0"/>
              <w:snapToGrid w:val="0"/>
              <w:spacing w:before="120" w:beforeLines="50" w:line="360" w:lineRule="auto"/>
              <w:ind w:firstLine="480" w:firstLineChars="200"/>
              <w:rPr>
                <w:kern w:val="0"/>
                <w:sz w:val="24"/>
                <w:highlight w:val="none"/>
              </w:rPr>
            </w:pPr>
            <w:r>
              <w:rPr>
                <w:kern w:val="0"/>
                <w:sz w:val="24"/>
                <w:highlight w:val="none"/>
              </w:rPr>
              <w:t>本项目的主要环境保护目标是保护好项目所在地周边评价区域环境质量，采取有效的环保措施，使该项目在建设开展和生产运行中能够保持区域原有的大气质量、声环境质量、地下水环境质量、生态环境质量。</w:t>
            </w:r>
          </w:p>
          <w:p w14:paraId="01E65C72">
            <w:pPr>
              <w:adjustRightInd w:val="0"/>
              <w:snapToGrid w:val="0"/>
              <w:spacing w:line="360" w:lineRule="auto"/>
              <w:ind w:firstLine="480" w:firstLineChars="200"/>
              <w:jc w:val="left"/>
              <w:rPr>
                <w:kern w:val="0"/>
                <w:sz w:val="24"/>
                <w:highlight w:val="none"/>
              </w:rPr>
            </w:pPr>
            <w:r>
              <w:rPr>
                <w:kern w:val="0"/>
                <w:sz w:val="24"/>
                <w:highlight w:val="none"/>
              </w:rPr>
              <w:t>1、大气环境保护目标</w:t>
            </w:r>
          </w:p>
          <w:p w14:paraId="2A51D097">
            <w:pPr>
              <w:adjustRightInd w:val="0"/>
              <w:snapToGrid w:val="0"/>
              <w:spacing w:line="360" w:lineRule="auto"/>
              <w:ind w:firstLine="480" w:firstLineChars="200"/>
              <w:jc w:val="both"/>
              <w:rPr>
                <w:rFonts w:hint="default"/>
                <w:kern w:val="0"/>
                <w:sz w:val="24"/>
                <w:highlight w:val="none"/>
                <w:lang w:val="en-US"/>
              </w:rPr>
            </w:pPr>
            <w:r>
              <w:rPr>
                <w:rFonts w:hint="default" w:ascii="Times New Roman" w:hAnsi="Times New Roman" w:eastAsia="宋体" w:cs="Times New Roman"/>
                <w:sz w:val="24"/>
                <w:szCs w:val="28"/>
                <w:highlight w:val="none"/>
                <w:lang w:val="en-US" w:eastAsia="zh-CN"/>
              </w:rPr>
              <w:t>本项目500m范围</w:t>
            </w:r>
            <w:r>
              <w:rPr>
                <w:rFonts w:hint="eastAsia" w:cs="Times New Roman"/>
                <w:sz w:val="24"/>
                <w:szCs w:val="28"/>
                <w:highlight w:val="none"/>
                <w:lang w:val="en-US" w:eastAsia="zh-CN"/>
              </w:rPr>
              <w:t>无</w:t>
            </w:r>
            <w:r>
              <w:rPr>
                <w:rFonts w:hint="default" w:ascii="Times New Roman" w:hAnsi="Times New Roman" w:eastAsia="宋体" w:cs="Times New Roman"/>
                <w:sz w:val="24"/>
                <w:szCs w:val="28"/>
                <w:highlight w:val="none"/>
                <w:lang w:val="en-US" w:eastAsia="zh-CN"/>
              </w:rPr>
              <w:t>大气环境保护目标</w:t>
            </w:r>
            <w:r>
              <w:rPr>
                <w:rFonts w:hint="eastAsia" w:ascii="Times New Roman" w:hAnsi="Times New Roman" w:eastAsia="宋体" w:cs="Times New Roman"/>
                <w:sz w:val="24"/>
                <w:szCs w:val="28"/>
                <w:highlight w:val="none"/>
                <w:lang w:val="en-US" w:eastAsia="zh-CN"/>
              </w:rPr>
              <w:t>。</w:t>
            </w:r>
          </w:p>
          <w:p w14:paraId="01596BFF">
            <w:pPr>
              <w:adjustRightInd w:val="0"/>
              <w:snapToGrid w:val="0"/>
              <w:spacing w:line="360" w:lineRule="auto"/>
              <w:ind w:firstLine="480" w:firstLineChars="200"/>
              <w:rPr>
                <w:kern w:val="0"/>
                <w:sz w:val="24"/>
                <w:highlight w:val="none"/>
              </w:rPr>
            </w:pPr>
            <w:r>
              <w:rPr>
                <w:kern w:val="0"/>
                <w:sz w:val="24"/>
                <w:highlight w:val="none"/>
              </w:rPr>
              <w:t>2、水环境保护目标</w:t>
            </w:r>
          </w:p>
          <w:p w14:paraId="1A9F99A6">
            <w:pPr>
              <w:adjustRightInd w:val="0"/>
              <w:snapToGrid w:val="0"/>
              <w:spacing w:line="360" w:lineRule="auto"/>
              <w:ind w:firstLine="480" w:firstLineChars="200"/>
              <w:rPr>
                <w:kern w:val="0"/>
                <w:sz w:val="24"/>
                <w:highlight w:val="none"/>
              </w:rPr>
            </w:pPr>
            <w:r>
              <w:rPr>
                <w:rFonts w:hint="eastAsia"/>
                <w:sz w:val="24"/>
                <w:szCs w:val="24"/>
                <w:highlight w:val="none"/>
              </w:rPr>
              <w:t>本</w:t>
            </w:r>
            <w:r>
              <w:rPr>
                <w:rFonts w:hint="eastAsia" w:ascii="Times New Roman" w:hAnsi="Times New Roman" w:eastAsia="宋体" w:cs="方正宋三简体"/>
                <w:b w:val="0"/>
                <w:color w:val="auto"/>
                <w:kern w:val="2"/>
                <w:sz w:val="24"/>
                <w:szCs w:val="24"/>
                <w:highlight w:val="none"/>
                <w:lang w:val="en-US" w:eastAsia="zh-CN" w:bidi="ar-SA"/>
              </w:rPr>
              <w:t>项目</w:t>
            </w:r>
            <w:r>
              <w:rPr>
                <w:rFonts w:hint="eastAsia" w:cs="方正宋三简体"/>
                <w:b w:val="0"/>
                <w:color w:val="auto"/>
                <w:kern w:val="2"/>
                <w:sz w:val="24"/>
                <w:szCs w:val="24"/>
                <w:highlight w:val="none"/>
                <w:lang w:val="en-US" w:eastAsia="zh-CN" w:bidi="ar-SA"/>
              </w:rPr>
              <w:t>生产废水经絮凝处理达标后外排至武江；</w:t>
            </w:r>
            <w:r>
              <w:rPr>
                <w:rFonts w:hint="eastAsia" w:cs="方正宋三简体"/>
                <w:b w:val="0"/>
                <w:color w:val="auto"/>
                <w:kern w:val="2"/>
                <w:sz w:val="24"/>
                <w:szCs w:val="24"/>
                <w:highlight w:val="none"/>
                <w:shd w:val="clear"/>
                <w:lang w:val="en-US" w:eastAsia="zh-CN" w:bidi="ar-SA"/>
              </w:rPr>
              <w:t>生活污水经三级化粪池处理后回用于厂区周边绿化</w:t>
            </w:r>
            <w:r>
              <w:rPr>
                <w:rFonts w:hint="eastAsia"/>
                <w:sz w:val="24"/>
                <w:szCs w:val="24"/>
                <w:highlight w:val="none"/>
                <w:shd w:val="clear"/>
              </w:rPr>
              <w:t>。</w:t>
            </w:r>
            <w:r>
              <w:rPr>
                <w:rFonts w:hint="eastAsia" w:ascii="Times New Roman" w:hAnsi="Times New Roman" w:eastAsia="宋体" w:cs="方正宋三简体"/>
                <w:b w:val="0"/>
                <w:color w:val="auto"/>
                <w:kern w:val="2"/>
                <w:sz w:val="24"/>
                <w:szCs w:val="24"/>
                <w:highlight w:val="none"/>
                <w:shd w:val="clear"/>
                <w:lang w:val="en-US" w:eastAsia="zh-CN" w:bidi="ar-SA"/>
              </w:rPr>
              <w:t>本项目地表水环境保护目标主要为武江（湖南省界~坪石）河段。</w:t>
            </w:r>
          </w:p>
          <w:p w14:paraId="1078F4F0">
            <w:pPr>
              <w:shd w:val="clear"/>
              <w:adjustRightInd w:val="0"/>
              <w:snapToGrid w:val="0"/>
              <w:spacing w:line="360" w:lineRule="auto"/>
              <w:ind w:firstLine="480" w:firstLineChars="200"/>
              <w:rPr>
                <w:kern w:val="0"/>
                <w:sz w:val="24"/>
                <w:highlight w:val="none"/>
              </w:rPr>
            </w:pPr>
            <w:r>
              <w:rPr>
                <w:kern w:val="0"/>
                <w:sz w:val="24"/>
                <w:highlight w:val="none"/>
              </w:rPr>
              <w:t>3、声环境保护目标</w:t>
            </w:r>
          </w:p>
          <w:p w14:paraId="5C2C89C9">
            <w:pPr>
              <w:shd w:val="clear"/>
              <w:adjustRightInd w:val="0"/>
              <w:snapToGrid w:val="0"/>
              <w:spacing w:line="360" w:lineRule="auto"/>
              <w:ind w:firstLine="480" w:firstLineChars="200"/>
              <w:rPr>
                <w:rFonts w:hint="eastAsia"/>
                <w:kern w:val="0"/>
                <w:sz w:val="24"/>
                <w:highlight w:val="none"/>
              </w:rPr>
            </w:pPr>
            <w:r>
              <w:rPr>
                <w:kern w:val="0"/>
                <w:sz w:val="24"/>
                <w:highlight w:val="none"/>
              </w:rPr>
              <w:t>本项目</w:t>
            </w:r>
            <w:r>
              <w:rPr>
                <w:rFonts w:hint="eastAsia"/>
                <w:kern w:val="0"/>
                <w:sz w:val="24"/>
                <w:highlight w:val="none"/>
                <w:lang w:val="en-US" w:eastAsia="zh-CN"/>
              </w:rPr>
              <w:t>校区边界</w:t>
            </w:r>
            <w:r>
              <w:rPr>
                <w:kern w:val="0"/>
                <w:sz w:val="24"/>
                <w:highlight w:val="none"/>
              </w:rPr>
              <w:t>50m范围内</w:t>
            </w:r>
            <w:r>
              <w:rPr>
                <w:rFonts w:hint="eastAsia"/>
                <w:kern w:val="0"/>
                <w:sz w:val="24"/>
                <w:highlight w:val="none"/>
              </w:rPr>
              <w:t>无</w:t>
            </w:r>
            <w:r>
              <w:rPr>
                <w:kern w:val="0"/>
                <w:sz w:val="24"/>
                <w:highlight w:val="none"/>
              </w:rPr>
              <w:t>声环境保护目标</w:t>
            </w:r>
            <w:r>
              <w:rPr>
                <w:rFonts w:hint="eastAsia"/>
                <w:kern w:val="0"/>
                <w:sz w:val="24"/>
                <w:highlight w:val="none"/>
              </w:rPr>
              <w:t>。</w:t>
            </w:r>
          </w:p>
          <w:p w14:paraId="420E8488">
            <w:pPr>
              <w:shd w:val="clear"/>
              <w:adjustRightInd w:val="0"/>
              <w:snapToGrid w:val="0"/>
              <w:spacing w:line="360" w:lineRule="auto"/>
              <w:ind w:firstLine="480" w:firstLineChars="200"/>
              <w:rPr>
                <w:kern w:val="0"/>
                <w:sz w:val="24"/>
                <w:highlight w:val="none"/>
              </w:rPr>
            </w:pPr>
            <w:r>
              <w:rPr>
                <w:kern w:val="0"/>
                <w:sz w:val="24"/>
                <w:highlight w:val="none"/>
              </w:rPr>
              <w:t>4、地下水环境保护目标</w:t>
            </w:r>
          </w:p>
          <w:p w14:paraId="3C028699">
            <w:pPr>
              <w:shd w:val="clear"/>
              <w:adjustRightInd w:val="0"/>
              <w:snapToGrid w:val="0"/>
              <w:spacing w:line="360" w:lineRule="auto"/>
              <w:ind w:firstLine="480" w:firstLineChars="200"/>
              <w:rPr>
                <w:kern w:val="0"/>
                <w:sz w:val="24"/>
                <w:highlight w:val="none"/>
              </w:rPr>
            </w:pPr>
            <w:r>
              <w:rPr>
                <w:kern w:val="0"/>
                <w:sz w:val="24"/>
                <w:highlight w:val="none"/>
              </w:rPr>
              <w:t>本项目</w:t>
            </w:r>
            <w:r>
              <w:rPr>
                <w:rFonts w:hint="eastAsia"/>
                <w:kern w:val="0"/>
                <w:sz w:val="24"/>
                <w:highlight w:val="none"/>
                <w:lang w:val="en-US" w:eastAsia="zh-CN"/>
              </w:rPr>
              <w:t>校区边界</w:t>
            </w:r>
            <w:r>
              <w:rPr>
                <w:kern w:val="0"/>
                <w:sz w:val="24"/>
                <w:highlight w:val="none"/>
              </w:rPr>
              <w:t>外500m范围内无地下水集中式使用水源和热水、矿泉水、温泉等特殊地下水资源。</w:t>
            </w:r>
          </w:p>
          <w:p w14:paraId="0FE415A6">
            <w:pPr>
              <w:shd w:val="clear"/>
              <w:adjustRightInd w:val="0"/>
              <w:snapToGrid w:val="0"/>
              <w:spacing w:line="360" w:lineRule="auto"/>
              <w:ind w:firstLine="480" w:firstLineChars="200"/>
              <w:rPr>
                <w:kern w:val="0"/>
                <w:sz w:val="24"/>
                <w:highlight w:val="none"/>
              </w:rPr>
            </w:pPr>
            <w:r>
              <w:rPr>
                <w:kern w:val="0"/>
                <w:sz w:val="24"/>
                <w:highlight w:val="none"/>
              </w:rPr>
              <w:t>5、生态环境保护目标</w:t>
            </w:r>
          </w:p>
          <w:p w14:paraId="1DAAF219">
            <w:pPr>
              <w:shd w:val="clear"/>
              <w:adjustRightInd w:val="0"/>
              <w:snapToGrid w:val="0"/>
              <w:spacing w:line="360" w:lineRule="auto"/>
              <w:ind w:firstLine="480" w:firstLineChars="200"/>
              <w:rPr>
                <w:rFonts w:hint="eastAsia"/>
                <w:kern w:val="0"/>
                <w:sz w:val="24"/>
                <w:szCs w:val="24"/>
                <w:highlight w:val="none"/>
              </w:rPr>
            </w:pPr>
            <w:r>
              <w:rPr>
                <w:kern w:val="0"/>
                <w:sz w:val="24"/>
                <w:szCs w:val="24"/>
                <w:highlight w:val="none"/>
              </w:rPr>
              <w:t>本项目用地范围内不含生态环境保护目标。</w:t>
            </w:r>
          </w:p>
          <w:p w14:paraId="0833403B">
            <w:pPr>
              <w:shd w:val="clear"/>
              <w:adjustRightInd w:val="0"/>
              <w:snapToGrid w:val="0"/>
              <w:spacing w:line="360" w:lineRule="auto"/>
              <w:ind w:firstLine="480" w:firstLineChars="200"/>
              <w:rPr>
                <w:rFonts w:hint="default" w:ascii="Times New Roman" w:hAnsi="Times New Roman" w:eastAsia="宋体" w:cs="Times New Roman"/>
                <w:sz w:val="24"/>
                <w:szCs w:val="28"/>
                <w:highlight w:val="none"/>
                <w:lang w:val="en-GB"/>
              </w:rPr>
            </w:pPr>
            <w:r>
              <w:rPr>
                <w:rFonts w:hint="default" w:ascii="Times New Roman" w:hAnsi="Times New Roman" w:eastAsia="宋体" w:cs="Times New Roman"/>
                <w:sz w:val="24"/>
                <w:szCs w:val="28"/>
                <w:highlight w:val="none"/>
              </w:rPr>
              <w:t>综上所述，本项目环境保护目标如表</w:t>
            </w:r>
            <w:r>
              <w:rPr>
                <w:rFonts w:hint="eastAsia" w:ascii="Times New Roman" w:hAnsi="Times New Roman" w:eastAsia="宋体" w:cs="Times New Roman"/>
                <w:sz w:val="24"/>
                <w:szCs w:val="28"/>
                <w:highlight w:val="none"/>
                <w:lang w:val="en-US" w:eastAsia="zh-CN"/>
              </w:rPr>
              <w:t>3-3</w:t>
            </w:r>
            <w:r>
              <w:rPr>
                <w:rFonts w:hint="default" w:ascii="Times New Roman" w:hAnsi="Times New Roman" w:eastAsia="宋体" w:cs="Times New Roman"/>
                <w:sz w:val="24"/>
                <w:szCs w:val="28"/>
                <w:highlight w:val="none"/>
              </w:rPr>
              <w:t>所示，分布情况见附图</w:t>
            </w:r>
            <w:r>
              <w:rPr>
                <w:rFonts w:hint="eastAsia" w:cs="Times New Roman"/>
                <w:sz w:val="24"/>
                <w:szCs w:val="28"/>
                <w:highlight w:val="none"/>
                <w:lang w:val="en-US" w:eastAsia="zh-CN"/>
              </w:rPr>
              <w:t>5</w:t>
            </w:r>
            <w:r>
              <w:rPr>
                <w:rFonts w:hint="default" w:ascii="Times New Roman" w:hAnsi="Times New Roman" w:eastAsia="宋体" w:cs="Times New Roman"/>
                <w:sz w:val="24"/>
                <w:szCs w:val="28"/>
                <w:highlight w:val="none"/>
              </w:rPr>
              <w:t>。</w:t>
            </w:r>
          </w:p>
          <w:p w14:paraId="5AE86D8E">
            <w:pPr>
              <w:jc w:val="center"/>
              <w:rPr>
                <w:rFonts w:hint="default" w:ascii="Times New Roman" w:hAnsi="Times New Roman" w:eastAsia="宋体" w:cs="Times New Roman"/>
                <w:sz w:val="24"/>
                <w:szCs w:val="28"/>
                <w:highlight w:val="none"/>
              </w:rPr>
            </w:pPr>
            <w:r>
              <w:rPr>
                <w:rFonts w:hint="default" w:ascii="Times New Roman" w:hAnsi="Times New Roman" w:eastAsia="宋体" w:cs="Times New Roman"/>
                <w:b/>
                <w:bCs/>
                <w:sz w:val="24"/>
                <w:szCs w:val="28"/>
                <w:highlight w:val="none"/>
                <w:lang w:val="en-GB"/>
              </w:rPr>
              <w:t>表</w:t>
            </w:r>
            <w:r>
              <w:rPr>
                <w:rFonts w:hint="eastAsia" w:ascii="Times New Roman" w:hAnsi="Times New Roman" w:eastAsia="宋体" w:cs="Times New Roman"/>
                <w:b/>
                <w:bCs/>
                <w:sz w:val="24"/>
                <w:szCs w:val="28"/>
                <w:highlight w:val="none"/>
                <w:lang w:val="en-US" w:eastAsia="zh-CN"/>
              </w:rPr>
              <w:t>3-3</w:t>
            </w:r>
            <w:r>
              <w:rPr>
                <w:rFonts w:hint="default" w:ascii="Times New Roman" w:hAnsi="Times New Roman" w:eastAsia="宋体" w:cs="Times New Roman"/>
                <w:b/>
                <w:bCs/>
                <w:sz w:val="24"/>
                <w:szCs w:val="28"/>
                <w:highlight w:val="none"/>
                <w:lang w:val="en-GB"/>
              </w:rPr>
              <w:t>项目环境保护目标</w:t>
            </w:r>
          </w:p>
          <w:tbl>
            <w:tblPr>
              <w:tblStyle w:val="3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8"/>
              <w:gridCol w:w="1106"/>
              <w:gridCol w:w="1396"/>
              <w:gridCol w:w="1342"/>
              <w:gridCol w:w="988"/>
              <w:gridCol w:w="986"/>
              <w:gridCol w:w="1037"/>
            </w:tblGrid>
            <w:tr w14:paraId="3740E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1" w:type="pct"/>
                  <w:tcBorders>
                    <w:tl2br w:val="nil"/>
                    <w:tr2bl w:val="nil"/>
                  </w:tcBorders>
                  <w:noWrap w:val="0"/>
                  <w:vAlign w:val="center"/>
                </w:tcPr>
                <w:p w14:paraId="1FDBB27B">
                  <w:pPr>
                    <w:adjustRightInd w:val="0"/>
                    <w:snapToGrid w:val="0"/>
                    <w:jc w:val="center"/>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名称</w:t>
                  </w:r>
                </w:p>
              </w:tc>
              <w:tc>
                <w:tcPr>
                  <w:tcW w:w="693" w:type="pct"/>
                  <w:tcBorders>
                    <w:tl2br w:val="nil"/>
                    <w:tr2bl w:val="nil"/>
                  </w:tcBorders>
                  <w:noWrap w:val="0"/>
                  <w:vAlign w:val="center"/>
                </w:tcPr>
                <w:p w14:paraId="32978850">
                  <w:pPr>
                    <w:adjustRightInd w:val="0"/>
                    <w:snapToGrid w:val="0"/>
                    <w:jc w:val="center"/>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保护对象</w:t>
                  </w:r>
                </w:p>
              </w:tc>
              <w:tc>
                <w:tcPr>
                  <w:tcW w:w="875" w:type="pct"/>
                  <w:tcBorders>
                    <w:tl2br w:val="nil"/>
                    <w:tr2bl w:val="nil"/>
                  </w:tcBorders>
                  <w:noWrap w:val="0"/>
                  <w:vAlign w:val="center"/>
                </w:tcPr>
                <w:p w14:paraId="0044B8E4">
                  <w:pPr>
                    <w:adjustRightInd w:val="0"/>
                    <w:snapToGrid w:val="0"/>
                    <w:jc w:val="center"/>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保护内容</w:t>
                  </w:r>
                </w:p>
              </w:tc>
              <w:tc>
                <w:tcPr>
                  <w:tcW w:w="841" w:type="pct"/>
                  <w:tcBorders>
                    <w:tl2br w:val="nil"/>
                    <w:tr2bl w:val="nil"/>
                  </w:tcBorders>
                  <w:noWrap w:val="0"/>
                  <w:vAlign w:val="center"/>
                </w:tcPr>
                <w:p w14:paraId="12AB5FDB">
                  <w:pPr>
                    <w:adjustRightInd w:val="0"/>
                    <w:snapToGrid w:val="0"/>
                    <w:jc w:val="center"/>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受影响规模</w:t>
                  </w:r>
                </w:p>
              </w:tc>
              <w:tc>
                <w:tcPr>
                  <w:tcW w:w="619" w:type="pct"/>
                  <w:tcBorders>
                    <w:tl2br w:val="nil"/>
                    <w:tr2bl w:val="nil"/>
                  </w:tcBorders>
                  <w:noWrap w:val="0"/>
                  <w:vAlign w:val="center"/>
                </w:tcPr>
                <w:p w14:paraId="720ADE4E">
                  <w:pPr>
                    <w:adjustRightInd w:val="0"/>
                    <w:snapToGrid w:val="0"/>
                    <w:jc w:val="center"/>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环境功能区</w:t>
                  </w:r>
                </w:p>
              </w:tc>
              <w:tc>
                <w:tcPr>
                  <w:tcW w:w="618" w:type="pct"/>
                  <w:tcBorders>
                    <w:tl2br w:val="nil"/>
                    <w:tr2bl w:val="nil"/>
                  </w:tcBorders>
                  <w:noWrap w:val="0"/>
                  <w:vAlign w:val="center"/>
                </w:tcPr>
                <w:p w14:paraId="2DE738E0">
                  <w:pPr>
                    <w:adjustRightInd w:val="0"/>
                    <w:snapToGrid w:val="0"/>
                    <w:jc w:val="center"/>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相对</w:t>
                  </w:r>
                  <w:r>
                    <w:rPr>
                      <w:rFonts w:hint="eastAsia" w:cs="Times New Roman"/>
                      <w:b/>
                      <w:bCs/>
                      <w:highlight w:val="none"/>
                      <w:lang w:val="en-US" w:eastAsia="zh-CN"/>
                    </w:rPr>
                    <w:t>选</w:t>
                  </w:r>
                  <w:r>
                    <w:rPr>
                      <w:rFonts w:hint="default" w:ascii="Times New Roman" w:hAnsi="Times New Roman" w:eastAsia="宋体" w:cs="Times New Roman"/>
                      <w:b/>
                      <w:bCs/>
                      <w:highlight w:val="none"/>
                    </w:rPr>
                    <w:t>址方向</w:t>
                  </w:r>
                </w:p>
              </w:tc>
              <w:tc>
                <w:tcPr>
                  <w:tcW w:w="650" w:type="pct"/>
                  <w:tcBorders>
                    <w:tl2br w:val="nil"/>
                    <w:tr2bl w:val="nil"/>
                  </w:tcBorders>
                  <w:noWrap w:val="0"/>
                  <w:vAlign w:val="center"/>
                </w:tcPr>
                <w:p w14:paraId="6E147255">
                  <w:pPr>
                    <w:adjustRightInd w:val="0"/>
                    <w:snapToGrid w:val="0"/>
                    <w:jc w:val="center"/>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相对</w:t>
                  </w:r>
                  <w:r>
                    <w:rPr>
                      <w:rFonts w:hint="eastAsia" w:cs="Times New Roman"/>
                      <w:b/>
                      <w:bCs/>
                      <w:highlight w:val="none"/>
                      <w:lang w:val="en-US" w:eastAsia="zh-CN"/>
                    </w:rPr>
                    <w:t>选址边界</w:t>
                  </w:r>
                  <w:r>
                    <w:rPr>
                      <w:rFonts w:hint="default" w:ascii="Times New Roman" w:hAnsi="Times New Roman" w:eastAsia="宋体" w:cs="Times New Roman"/>
                      <w:b/>
                      <w:bCs/>
                      <w:highlight w:val="none"/>
                    </w:rPr>
                    <w:t>距离</w:t>
                  </w:r>
                </w:p>
              </w:tc>
            </w:tr>
            <w:tr w14:paraId="62F89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1" w:type="pct"/>
                  <w:tcBorders>
                    <w:tl2br w:val="nil"/>
                    <w:tr2bl w:val="nil"/>
                  </w:tcBorders>
                  <w:noWrap w:val="0"/>
                  <w:vAlign w:val="center"/>
                </w:tcPr>
                <w:p w14:paraId="31836A46">
                  <w:pPr>
                    <w:adjustRightInd w:val="0"/>
                    <w:snapToGrid w:val="0"/>
                    <w:jc w:val="center"/>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武江（湖南省界~坪石）河段</w:t>
                  </w:r>
                </w:p>
              </w:tc>
              <w:tc>
                <w:tcPr>
                  <w:tcW w:w="693" w:type="pct"/>
                  <w:tcBorders>
                    <w:tl2br w:val="nil"/>
                    <w:tr2bl w:val="nil"/>
                  </w:tcBorders>
                  <w:noWrap w:val="0"/>
                  <w:vAlign w:val="center"/>
                </w:tcPr>
                <w:p w14:paraId="75EC7E40">
                  <w:pPr>
                    <w:adjustRightInd w:val="0"/>
                    <w:snapToGrid w:val="0"/>
                    <w:jc w:val="center"/>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地表水</w:t>
                  </w:r>
                </w:p>
              </w:tc>
              <w:tc>
                <w:tcPr>
                  <w:tcW w:w="875" w:type="pct"/>
                  <w:tcBorders>
                    <w:tl2br w:val="nil"/>
                    <w:tr2bl w:val="nil"/>
                  </w:tcBorders>
                  <w:noWrap w:val="0"/>
                  <w:vAlign w:val="center"/>
                </w:tcPr>
                <w:p w14:paraId="113B740F">
                  <w:pPr>
                    <w:adjustRightInd w:val="0"/>
                    <w:snapToGrid w:val="0"/>
                    <w:jc w:val="center"/>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地表水环境</w:t>
                  </w:r>
                </w:p>
              </w:tc>
              <w:tc>
                <w:tcPr>
                  <w:tcW w:w="841" w:type="pct"/>
                  <w:tcBorders>
                    <w:tl2br w:val="nil"/>
                    <w:tr2bl w:val="nil"/>
                  </w:tcBorders>
                  <w:noWrap w:val="0"/>
                  <w:vAlign w:val="center"/>
                </w:tcPr>
                <w:p w14:paraId="7406B8C3">
                  <w:pPr>
                    <w:adjustRightInd w:val="0"/>
                    <w:snapToGrid w:val="0"/>
                    <w:jc w:val="center"/>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eastAsia="zh-CN"/>
                    </w:rPr>
                    <w:t>—</w:t>
                  </w:r>
                </w:p>
              </w:tc>
              <w:tc>
                <w:tcPr>
                  <w:tcW w:w="619" w:type="pct"/>
                  <w:tcBorders>
                    <w:tl2br w:val="nil"/>
                    <w:tr2bl w:val="nil"/>
                  </w:tcBorders>
                  <w:noWrap w:val="0"/>
                  <w:vAlign w:val="center"/>
                </w:tcPr>
                <w:p w14:paraId="77AF077F">
                  <w:pPr>
                    <w:adjustRightInd w:val="0"/>
                    <w:snapToGrid w:val="0"/>
                    <w:jc w:val="center"/>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Ⅲ类</w:t>
                  </w:r>
                </w:p>
              </w:tc>
              <w:tc>
                <w:tcPr>
                  <w:tcW w:w="618" w:type="pct"/>
                  <w:tcBorders>
                    <w:tl2br w:val="nil"/>
                    <w:tr2bl w:val="nil"/>
                  </w:tcBorders>
                  <w:noWrap w:val="0"/>
                  <w:vAlign w:val="center"/>
                </w:tcPr>
                <w:p w14:paraId="40160CBD">
                  <w:pPr>
                    <w:adjustRightInd w:val="0"/>
                    <w:snapToGrid w:val="0"/>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N</w:t>
                  </w:r>
                </w:p>
              </w:tc>
              <w:tc>
                <w:tcPr>
                  <w:tcW w:w="650" w:type="pct"/>
                  <w:tcBorders>
                    <w:tl2br w:val="nil"/>
                    <w:tr2bl w:val="nil"/>
                  </w:tcBorders>
                  <w:noWrap w:val="0"/>
                  <w:vAlign w:val="center"/>
                </w:tcPr>
                <w:p w14:paraId="653F6DC9">
                  <w:pPr>
                    <w:adjustRightInd w:val="0"/>
                    <w:snapToGrid w:val="0"/>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822</w:t>
                  </w:r>
                </w:p>
              </w:tc>
            </w:tr>
          </w:tbl>
          <w:p w14:paraId="7B8434AC">
            <w:pPr>
              <w:adjustRightInd w:val="0"/>
              <w:snapToGrid w:val="0"/>
              <w:spacing w:line="360" w:lineRule="auto"/>
              <w:rPr>
                <w:color w:val="auto"/>
                <w:kern w:val="0"/>
                <w:sz w:val="24"/>
                <w:szCs w:val="21"/>
                <w:highlight w:val="none"/>
              </w:rPr>
            </w:pPr>
          </w:p>
        </w:tc>
      </w:tr>
      <w:tr w14:paraId="277CDE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856" w:type="dxa"/>
            <w:tcMar>
              <w:left w:w="28" w:type="dxa"/>
              <w:right w:w="28" w:type="dxa"/>
            </w:tcMar>
            <w:vAlign w:val="center"/>
          </w:tcPr>
          <w:p w14:paraId="597E5BBD">
            <w:pPr>
              <w:adjustRightInd w:val="0"/>
              <w:snapToGrid w:val="0"/>
              <w:jc w:val="center"/>
              <w:rPr>
                <w:color w:val="auto"/>
                <w:kern w:val="0"/>
                <w:szCs w:val="21"/>
                <w:highlight w:val="none"/>
              </w:rPr>
            </w:pPr>
            <w:r>
              <w:rPr>
                <w:color w:val="auto"/>
                <w:kern w:val="0"/>
                <w:sz w:val="24"/>
                <w:szCs w:val="24"/>
                <w:highlight w:val="none"/>
              </w:rPr>
              <w:t>污染物排放控制标准</w:t>
            </w:r>
          </w:p>
        </w:tc>
        <w:tc>
          <w:tcPr>
            <w:tcW w:w="8205" w:type="dxa"/>
            <w:vAlign w:val="center"/>
          </w:tcPr>
          <w:p w14:paraId="2CFE1215">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w:t>
            </w:r>
            <w:r>
              <w:rPr>
                <w:rFonts w:hint="eastAsia" w:ascii="宋体" w:hAnsi="宋体" w:eastAsia="宋体" w:cs="宋体"/>
                <w:b/>
                <w:color w:val="auto"/>
                <w:sz w:val="24"/>
                <w:highlight w:val="none"/>
                <w:lang w:eastAsia="zh-CN"/>
              </w:rPr>
              <w:t>、</w:t>
            </w:r>
            <w:r>
              <w:rPr>
                <w:rFonts w:hint="eastAsia" w:ascii="宋体" w:hAnsi="宋体" w:eastAsia="宋体" w:cs="宋体"/>
                <w:b/>
                <w:color w:val="auto"/>
                <w:sz w:val="24"/>
                <w:highlight w:val="none"/>
              </w:rPr>
              <w:t>废气排放标准</w:t>
            </w:r>
          </w:p>
          <w:p w14:paraId="3ABEF65C">
            <w:pPr>
              <w:adjustRightInd w:val="0"/>
              <w:snapToGrid w:val="0"/>
              <w:spacing w:line="360" w:lineRule="auto"/>
              <w:ind w:firstLine="480" w:firstLineChars="200"/>
              <w:rPr>
                <w:rFonts w:hint="default" w:hAnsi="宋体"/>
                <w:color w:val="auto"/>
                <w:sz w:val="24"/>
                <w:szCs w:val="24"/>
                <w:highlight w:val="none"/>
                <w:lang w:val="en-US" w:eastAsia="zh-CN"/>
              </w:rPr>
            </w:pPr>
            <w:bookmarkStart w:id="37" w:name="_Ref298187239"/>
            <w:r>
              <w:rPr>
                <w:rFonts w:hint="eastAsia" w:hAnsi="宋体"/>
                <w:color w:val="auto"/>
                <w:sz w:val="24"/>
                <w:szCs w:val="24"/>
                <w:highlight w:val="none"/>
                <w:lang w:val="en-US" w:eastAsia="zh-CN"/>
              </w:rPr>
              <w:t>项目生物质锅炉DA001排气筒排放执行广东省地方标准《锅炉大气污染物排放标准》DB44/765-2019)中表2燃生物质成型燃料锅炉限值</w:t>
            </w:r>
            <w:r>
              <w:rPr>
                <w:rFonts w:hint="eastAsia" w:cs="Times New Roman"/>
                <w:color w:val="auto"/>
                <w:sz w:val="24"/>
                <w:highlight w:val="none"/>
                <w:lang w:eastAsia="zh-CN"/>
              </w:rPr>
              <w:t>，</w:t>
            </w:r>
            <w:r>
              <w:rPr>
                <w:rFonts w:hint="eastAsia" w:cs="Times New Roman"/>
                <w:color w:val="auto"/>
                <w:sz w:val="24"/>
                <w:highlight w:val="none"/>
                <w:lang w:val="en-US" w:eastAsia="zh-CN"/>
              </w:rPr>
              <w:t>排气筒高度满足</w:t>
            </w:r>
            <w:r>
              <w:rPr>
                <w:rFonts w:hint="eastAsia" w:hAnsi="宋体"/>
                <w:color w:val="auto"/>
                <w:sz w:val="24"/>
                <w:szCs w:val="24"/>
                <w:highlight w:val="none"/>
                <w:lang w:val="en-US" w:eastAsia="zh-CN"/>
              </w:rPr>
              <w:t xml:space="preserve">广东省地方标准《锅炉大气污染物排放标准》DB44/765-2019)中表4 </w:t>
            </w:r>
            <w:r>
              <w:rPr>
                <w:rFonts w:ascii="宋体" w:hAnsi="宋体" w:eastAsia="宋体" w:cs="宋体"/>
                <w:sz w:val="24"/>
                <w:szCs w:val="24"/>
                <w:highlight w:val="none"/>
              </w:rPr>
              <w:t>燃煤、燃生物质成型燃料锅炉房烟囱最低允许高度</w:t>
            </w:r>
            <w:r>
              <w:rPr>
                <w:rFonts w:hint="eastAsia" w:hAnsi="宋体"/>
                <w:color w:val="auto"/>
                <w:sz w:val="24"/>
                <w:szCs w:val="24"/>
                <w:highlight w:val="none"/>
                <w:lang w:val="en-US" w:eastAsia="zh-CN"/>
              </w:rPr>
              <w:t>。</w:t>
            </w:r>
          </w:p>
          <w:p w14:paraId="0768767C">
            <w:pPr>
              <w:adjustRightInd w:val="0"/>
              <w:snapToGrid w:val="0"/>
              <w:spacing w:line="360" w:lineRule="auto"/>
              <w:ind w:firstLine="480" w:firstLineChars="200"/>
              <w:rPr>
                <w:rFonts w:hint="eastAsia" w:hAnsi="宋体"/>
                <w:color w:val="auto"/>
                <w:sz w:val="24"/>
                <w:szCs w:val="24"/>
                <w:highlight w:val="none"/>
              </w:rPr>
            </w:pPr>
            <w:r>
              <w:rPr>
                <w:rFonts w:hint="eastAsia" w:hAnsi="宋体"/>
                <w:color w:val="auto"/>
                <w:sz w:val="24"/>
                <w:szCs w:val="24"/>
                <w:highlight w:val="none"/>
                <w:lang w:val="en-US" w:eastAsia="zh-CN"/>
              </w:rPr>
              <w:t>企业边界无组织排放的颗粒物执行广东省地方标准《大气污染物排放限值》(DB44/27-2001)中第二时段无组织控制要求</w:t>
            </w:r>
            <w:r>
              <w:rPr>
                <w:rFonts w:hint="eastAsia" w:hAnsi="宋体"/>
                <w:color w:val="auto"/>
                <w:sz w:val="24"/>
                <w:szCs w:val="24"/>
                <w:highlight w:val="none"/>
              </w:rPr>
              <w:t>。</w:t>
            </w:r>
          </w:p>
          <w:p w14:paraId="75936763">
            <w:pPr>
              <w:pStyle w:val="16"/>
              <w:spacing w:line="360" w:lineRule="auto"/>
              <w:jc w:val="center"/>
              <w:rPr>
                <w:rFonts w:hint="eastAsia" w:ascii="Times New Roman" w:hAnsi="宋体" w:cs="Times New Roman"/>
                <w:b/>
                <w:color w:val="auto"/>
                <w:sz w:val="24"/>
                <w:szCs w:val="24"/>
                <w:highlight w:val="none"/>
              </w:rPr>
            </w:pPr>
            <w:r>
              <w:rPr>
                <w:rFonts w:hint="eastAsia" w:ascii="Times New Roman" w:hAnsi="宋体" w:cs="Times New Roman"/>
                <w:b/>
                <w:color w:val="auto"/>
                <w:sz w:val="24"/>
                <w:szCs w:val="24"/>
                <w:highlight w:val="none"/>
              </w:rPr>
              <w:t xml:space="preserve">表 </w:t>
            </w:r>
            <w:r>
              <w:rPr>
                <w:rFonts w:hint="eastAsia" w:ascii="Times New Roman" w:hAnsi="宋体" w:cs="Times New Roman"/>
                <w:b/>
                <w:color w:val="auto"/>
                <w:sz w:val="24"/>
                <w:szCs w:val="24"/>
                <w:highlight w:val="none"/>
                <w:lang w:val="en-US" w:eastAsia="zh-CN"/>
              </w:rPr>
              <w:t>3-5</w:t>
            </w:r>
            <w:r>
              <w:rPr>
                <w:rFonts w:hint="eastAsia" w:ascii="Times New Roman" w:hAnsi="宋体" w:cs="Times New Roman"/>
                <w:b/>
                <w:color w:val="auto"/>
                <w:sz w:val="24"/>
                <w:szCs w:val="24"/>
                <w:highlight w:val="none"/>
              </w:rPr>
              <w:t xml:space="preserve">  </w:t>
            </w:r>
            <w:r>
              <w:rPr>
                <w:rFonts w:hint="eastAsia" w:ascii="Times New Roman" w:hAnsi="宋体" w:cs="Times New Roman"/>
                <w:b/>
                <w:color w:val="auto"/>
                <w:sz w:val="24"/>
                <w:szCs w:val="24"/>
                <w:highlight w:val="none"/>
                <w:lang w:val="en-US" w:eastAsia="zh-CN"/>
              </w:rPr>
              <w:t>本项目废气</w:t>
            </w:r>
            <w:r>
              <w:rPr>
                <w:rFonts w:hint="eastAsia" w:ascii="Times New Roman" w:hAnsi="宋体" w:cs="Times New Roman"/>
                <w:b/>
                <w:color w:val="auto"/>
                <w:sz w:val="24"/>
                <w:szCs w:val="24"/>
                <w:highlight w:val="none"/>
              </w:rPr>
              <w:t>排放标准</w:t>
            </w:r>
          </w:p>
          <w:tbl>
            <w:tblPr>
              <w:tblStyle w:val="32"/>
              <w:tblW w:w="79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1"/>
              <w:gridCol w:w="1733"/>
              <w:gridCol w:w="1408"/>
              <w:gridCol w:w="1598"/>
              <w:gridCol w:w="1376"/>
              <w:gridCol w:w="828"/>
            </w:tblGrid>
            <w:tr w14:paraId="2C456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1" w:type="dxa"/>
                  <w:noWrap w:val="0"/>
                  <w:vAlign w:val="center"/>
                </w:tcPr>
                <w:p w14:paraId="10B199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hAnsi="宋体" w:eastAsia="宋体"/>
                      <w:b/>
                      <w:bCs/>
                      <w:color w:val="auto"/>
                      <w:sz w:val="21"/>
                      <w:szCs w:val="21"/>
                      <w:highlight w:val="none"/>
                      <w:vertAlign w:val="baseline"/>
                      <w:lang w:val="en-US" w:eastAsia="zh-CN"/>
                    </w:rPr>
                  </w:pPr>
                  <w:r>
                    <w:rPr>
                      <w:rFonts w:hint="eastAsia" w:hAnsi="宋体"/>
                      <w:b/>
                      <w:bCs/>
                      <w:color w:val="auto"/>
                      <w:sz w:val="21"/>
                      <w:szCs w:val="21"/>
                      <w:highlight w:val="none"/>
                      <w:vertAlign w:val="baseline"/>
                      <w:lang w:val="en-US" w:eastAsia="zh-CN"/>
                    </w:rPr>
                    <w:t>排放位置</w:t>
                  </w:r>
                </w:p>
              </w:tc>
              <w:tc>
                <w:tcPr>
                  <w:tcW w:w="1733" w:type="dxa"/>
                  <w:noWrap w:val="0"/>
                  <w:vAlign w:val="center"/>
                </w:tcPr>
                <w:p w14:paraId="5FA472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hAnsi="宋体" w:eastAsia="宋体"/>
                      <w:b/>
                      <w:bCs/>
                      <w:color w:val="auto"/>
                      <w:sz w:val="21"/>
                      <w:szCs w:val="21"/>
                      <w:highlight w:val="none"/>
                      <w:vertAlign w:val="baseline"/>
                      <w:lang w:val="en-US" w:eastAsia="zh-CN"/>
                    </w:rPr>
                  </w:pPr>
                  <w:r>
                    <w:rPr>
                      <w:rFonts w:hint="eastAsia" w:hAnsi="宋体"/>
                      <w:b/>
                      <w:bCs/>
                      <w:color w:val="auto"/>
                      <w:sz w:val="21"/>
                      <w:szCs w:val="21"/>
                      <w:highlight w:val="none"/>
                      <w:vertAlign w:val="baseline"/>
                      <w:lang w:val="en-US" w:eastAsia="zh-CN"/>
                    </w:rPr>
                    <w:t>标准名称</w:t>
                  </w:r>
                </w:p>
              </w:tc>
              <w:tc>
                <w:tcPr>
                  <w:tcW w:w="1408" w:type="dxa"/>
                  <w:noWrap w:val="0"/>
                  <w:vAlign w:val="center"/>
                </w:tcPr>
                <w:p w14:paraId="667DB2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hAnsi="宋体" w:eastAsia="宋体"/>
                      <w:b/>
                      <w:bCs/>
                      <w:color w:val="auto"/>
                      <w:sz w:val="21"/>
                      <w:szCs w:val="21"/>
                      <w:highlight w:val="none"/>
                      <w:vertAlign w:val="baseline"/>
                      <w:lang w:val="en-US" w:eastAsia="zh-CN"/>
                    </w:rPr>
                  </w:pPr>
                  <w:r>
                    <w:rPr>
                      <w:rFonts w:hint="eastAsia" w:hAnsi="宋体"/>
                      <w:b/>
                      <w:bCs/>
                      <w:color w:val="auto"/>
                      <w:sz w:val="21"/>
                      <w:szCs w:val="21"/>
                      <w:highlight w:val="none"/>
                      <w:vertAlign w:val="baseline"/>
                      <w:lang w:val="en-US" w:eastAsia="zh-CN"/>
                    </w:rPr>
                    <w:t>污染物</w:t>
                  </w:r>
                </w:p>
              </w:tc>
              <w:tc>
                <w:tcPr>
                  <w:tcW w:w="1598" w:type="dxa"/>
                  <w:noWrap w:val="0"/>
                  <w:vAlign w:val="center"/>
                </w:tcPr>
                <w:p w14:paraId="1BC7CB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hAnsi="宋体" w:eastAsia="宋体"/>
                      <w:b/>
                      <w:bCs/>
                      <w:color w:val="auto"/>
                      <w:sz w:val="21"/>
                      <w:szCs w:val="21"/>
                      <w:highlight w:val="none"/>
                      <w:vertAlign w:val="baseline"/>
                      <w:lang w:val="en-US" w:eastAsia="zh-CN"/>
                    </w:rPr>
                  </w:pPr>
                  <w:r>
                    <w:rPr>
                      <w:rFonts w:hint="eastAsia" w:hAnsi="宋体"/>
                      <w:b/>
                      <w:bCs/>
                      <w:color w:val="auto"/>
                      <w:sz w:val="21"/>
                      <w:szCs w:val="21"/>
                      <w:highlight w:val="none"/>
                      <w:vertAlign w:val="baseline"/>
                      <w:lang w:val="en-US" w:eastAsia="zh-CN"/>
                    </w:rPr>
                    <w:t>最高允许排放浓度（mg/m</w:t>
                  </w:r>
                  <w:r>
                    <w:rPr>
                      <w:rFonts w:hint="eastAsia" w:hAnsi="宋体"/>
                      <w:b/>
                      <w:bCs/>
                      <w:color w:val="auto"/>
                      <w:sz w:val="21"/>
                      <w:szCs w:val="21"/>
                      <w:highlight w:val="none"/>
                      <w:vertAlign w:val="superscript"/>
                      <w:lang w:val="en-US" w:eastAsia="zh-CN"/>
                    </w:rPr>
                    <w:t>3</w:t>
                  </w:r>
                  <w:r>
                    <w:rPr>
                      <w:rFonts w:hint="eastAsia" w:hAnsi="宋体"/>
                      <w:b/>
                      <w:bCs/>
                      <w:color w:val="auto"/>
                      <w:sz w:val="21"/>
                      <w:szCs w:val="21"/>
                      <w:highlight w:val="none"/>
                      <w:vertAlign w:val="baseline"/>
                      <w:lang w:val="en-US" w:eastAsia="zh-CN"/>
                    </w:rPr>
                    <w:t>）</w:t>
                  </w:r>
                </w:p>
              </w:tc>
              <w:tc>
                <w:tcPr>
                  <w:tcW w:w="1376" w:type="dxa"/>
                  <w:noWrap w:val="0"/>
                  <w:vAlign w:val="center"/>
                </w:tcPr>
                <w:p w14:paraId="4E00DB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hAnsi="宋体" w:eastAsia="宋体"/>
                      <w:b/>
                      <w:bCs/>
                      <w:color w:val="auto"/>
                      <w:sz w:val="21"/>
                      <w:szCs w:val="21"/>
                      <w:highlight w:val="none"/>
                      <w:vertAlign w:val="baseline"/>
                      <w:lang w:val="en-US" w:eastAsia="zh-CN"/>
                    </w:rPr>
                  </w:pPr>
                  <w:r>
                    <w:rPr>
                      <w:rFonts w:hint="eastAsia" w:hAnsi="宋体"/>
                      <w:b/>
                      <w:bCs/>
                      <w:color w:val="auto"/>
                      <w:sz w:val="21"/>
                      <w:szCs w:val="21"/>
                      <w:highlight w:val="none"/>
                      <w:vertAlign w:val="baseline"/>
                      <w:lang w:val="en-US" w:eastAsia="zh-CN"/>
                    </w:rPr>
                    <w:t>最高允许排放速率（kg/h）</w:t>
                  </w:r>
                </w:p>
              </w:tc>
              <w:tc>
                <w:tcPr>
                  <w:tcW w:w="828" w:type="dxa"/>
                  <w:noWrap w:val="0"/>
                  <w:vAlign w:val="center"/>
                </w:tcPr>
                <w:p w14:paraId="0BEBF8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hAnsi="宋体" w:eastAsia="宋体"/>
                      <w:b/>
                      <w:bCs/>
                      <w:color w:val="auto"/>
                      <w:sz w:val="21"/>
                      <w:szCs w:val="21"/>
                      <w:highlight w:val="none"/>
                      <w:vertAlign w:val="baseline"/>
                      <w:lang w:val="en-US" w:eastAsia="zh-CN"/>
                    </w:rPr>
                  </w:pPr>
                  <w:r>
                    <w:rPr>
                      <w:rFonts w:hint="eastAsia" w:hAnsi="宋体"/>
                      <w:b/>
                      <w:bCs/>
                      <w:color w:val="auto"/>
                      <w:sz w:val="21"/>
                      <w:szCs w:val="21"/>
                      <w:highlight w:val="none"/>
                      <w:vertAlign w:val="baseline"/>
                      <w:lang w:val="en-US" w:eastAsia="zh-CN"/>
                    </w:rPr>
                    <w:t>排气筒高度（m）</w:t>
                  </w:r>
                </w:p>
              </w:tc>
            </w:tr>
            <w:tr w14:paraId="27188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1" w:type="dxa"/>
                  <w:vMerge w:val="restart"/>
                  <w:noWrap w:val="0"/>
                  <w:vAlign w:val="center"/>
                </w:tcPr>
                <w:p w14:paraId="77FA14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DA001排气筒</w:t>
                  </w:r>
                </w:p>
              </w:tc>
              <w:tc>
                <w:tcPr>
                  <w:tcW w:w="1733" w:type="dxa"/>
                  <w:vMerge w:val="restart"/>
                  <w:noWrap w:val="0"/>
                  <w:vAlign w:val="center"/>
                </w:tcPr>
                <w:p w14:paraId="51682F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《锅炉大气污染物排放标准》DB44/765-2019)中表2燃生物质成型燃料锅炉限值</w:t>
                  </w:r>
                </w:p>
              </w:tc>
              <w:tc>
                <w:tcPr>
                  <w:tcW w:w="1408" w:type="dxa"/>
                  <w:noWrap w:val="0"/>
                  <w:vAlign w:val="center"/>
                </w:tcPr>
                <w:p w14:paraId="4C9068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颗粒物</w:t>
                  </w:r>
                </w:p>
              </w:tc>
              <w:tc>
                <w:tcPr>
                  <w:tcW w:w="1598" w:type="dxa"/>
                  <w:noWrap w:val="0"/>
                  <w:vAlign w:val="center"/>
                </w:tcPr>
                <w:p w14:paraId="2001B8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20</w:t>
                  </w:r>
                </w:p>
              </w:tc>
              <w:tc>
                <w:tcPr>
                  <w:tcW w:w="1376" w:type="dxa"/>
                  <w:noWrap w:val="0"/>
                  <w:vAlign w:val="center"/>
                </w:tcPr>
                <w:p w14:paraId="0D4499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w:t>
                  </w:r>
                </w:p>
              </w:tc>
              <w:tc>
                <w:tcPr>
                  <w:tcW w:w="828" w:type="dxa"/>
                  <w:vMerge w:val="restart"/>
                  <w:noWrap w:val="0"/>
                  <w:vAlign w:val="center"/>
                </w:tcPr>
                <w:p w14:paraId="6A92FF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hAnsi="宋体"/>
                      <w:b w:val="0"/>
                      <w:bCs w:val="0"/>
                      <w:color w:val="auto"/>
                      <w:sz w:val="21"/>
                      <w:szCs w:val="21"/>
                      <w:highlight w:val="none"/>
                      <w:vertAlign w:val="baseline"/>
                      <w:lang w:val="en-US" w:eastAsia="zh-CN"/>
                    </w:rPr>
                  </w:pPr>
                  <w:r>
                    <w:rPr>
                      <w:rFonts w:hint="eastAsia" w:hAnsi="宋体"/>
                      <w:b w:val="0"/>
                      <w:bCs w:val="0"/>
                      <w:color w:val="auto"/>
                      <w:sz w:val="21"/>
                      <w:szCs w:val="21"/>
                      <w:highlight w:val="none"/>
                      <w:vertAlign w:val="baseline"/>
                      <w:lang w:val="en-US" w:eastAsia="zh-CN"/>
                    </w:rPr>
                    <w:t>45</w:t>
                  </w:r>
                </w:p>
              </w:tc>
            </w:tr>
            <w:tr w14:paraId="6886B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1" w:type="dxa"/>
                  <w:vMerge w:val="continue"/>
                  <w:noWrap w:val="0"/>
                  <w:vAlign w:val="center"/>
                </w:tcPr>
                <w:p w14:paraId="754A64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宋体" w:eastAsia="宋体" w:cs="Times New Roman"/>
                      <w:b w:val="0"/>
                      <w:bCs w:val="0"/>
                      <w:color w:val="auto"/>
                      <w:sz w:val="21"/>
                      <w:szCs w:val="21"/>
                      <w:highlight w:val="none"/>
                      <w:vertAlign w:val="baseline"/>
                      <w:lang w:val="en-US" w:eastAsia="zh-CN"/>
                    </w:rPr>
                  </w:pPr>
                </w:p>
              </w:tc>
              <w:tc>
                <w:tcPr>
                  <w:tcW w:w="1733" w:type="dxa"/>
                  <w:vMerge w:val="continue"/>
                  <w:noWrap w:val="0"/>
                  <w:vAlign w:val="center"/>
                </w:tcPr>
                <w:p w14:paraId="3DE3B1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宋体" w:eastAsia="宋体" w:cs="Times New Roman"/>
                      <w:b w:val="0"/>
                      <w:bCs w:val="0"/>
                      <w:color w:val="auto"/>
                      <w:sz w:val="21"/>
                      <w:szCs w:val="21"/>
                      <w:highlight w:val="none"/>
                      <w:vertAlign w:val="baseline"/>
                      <w:lang w:val="en-US" w:eastAsia="zh-CN"/>
                    </w:rPr>
                  </w:pPr>
                </w:p>
              </w:tc>
              <w:tc>
                <w:tcPr>
                  <w:tcW w:w="1408" w:type="dxa"/>
                  <w:noWrap w:val="0"/>
                  <w:vAlign w:val="center"/>
                </w:tcPr>
                <w:p w14:paraId="0A3C21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二氧化硫</w:t>
                  </w:r>
                </w:p>
              </w:tc>
              <w:tc>
                <w:tcPr>
                  <w:tcW w:w="1598" w:type="dxa"/>
                  <w:noWrap w:val="0"/>
                  <w:vAlign w:val="center"/>
                </w:tcPr>
                <w:p w14:paraId="2D6D9B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35</w:t>
                  </w:r>
                </w:p>
              </w:tc>
              <w:tc>
                <w:tcPr>
                  <w:tcW w:w="1376" w:type="dxa"/>
                  <w:noWrap w:val="0"/>
                  <w:vAlign w:val="center"/>
                </w:tcPr>
                <w:p w14:paraId="0A9A39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w:t>
                  </w:r>
                </w:p>
              </w:tc>
              <w:tc>
                <w:tcPr>
                  <w:tcW w:w="828" w:type="dxa"/>
                  <w:vMerge w:val="continue"/>
                  <w:noWrap w:val="0"/>
                  <w:vAlign w:val="center"/>
                </w:tcPr>
                <w:p w14:paraId="6D21573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hAnsi="宋体"/>
                      <w:b w:val="0"/>
                      <w:bCs w:val="0"/>
                      <w:color w:val="auto"/>
                      <w:sz w:val="21"/>
                      <w:szCs w:val="21"/>
                      <w:highlight w:val="none"/>
                      <w:vertAlign w:val="baseline"/>
                      <w:lang w:val="en-US" w:eastAsia="zh-CN"/>
                    </w:rPr>
                  </w:pPr>
                </w:p>
              </w:tc>
            </w:tr>
            <w:tr w14:paraId="097EE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31" w:type="dxa"/>
                  <w:vMerge w:val="continue"/>
                  <w:noWrap w:val="0"/>
                  <w:vAlign w:val="center"/>
                </w:tcPr>
                <w:p w14:paraId="75F787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宋体" w:eastAsia="宋体" w:cs="Times New Roman"/>
                      <w:b w:val="0"/>
                      <w:bCs w:val="0"/>
                      <w:color w:val="auto"/>
                      <w:sz w:val="21"/>
                      <w:szCs w:val="21"/>
                      <w:highlight w:val="none"/>
                      <w:vertAlign w:val="baseline"/>
                      <w:lang w:val="en-US" w:eastAsia="zh-CN"/>
                    </w:rPr>
                  </w:pPr>
                </w:p>
              </w:tc>
              <w:tc>
                <w:tcPr>
                  <w:tcW w:w="1733" w:type="dxa"/>
                  <w:vMerge w:val="continue"/>
                  <w:noWrap w:val="0"/>
                  <w:vAlign w:val="center"/>
                </w:tcPr>
                <w:p w14:paraId="230534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宋体" w:eastAsia="宋体" w:cs="Times New Roman"/>
                      <w:b w:val="0"/>
                      <w:bCs w:val="0"/>
                      <w:color w:val="auto"/>
                      <w:sz w:val="21"/>
                      <w:szCs w:val="21"/>
                      <w:highlight w:val="none"/>
                      <w:vertAlign w:val="baseline"/>
                      <w:lang w:val="en-US" w:eastAsia="zh-CN"/>
                    </w:rPr>
                  </w:pPr>
                </w:p>
              </w:tc>
              <w:tc>
                <w:tcPr>
                  <w:tcW w:w="1408" w:type="dxa"/>
                  <w:noWrap w:val="0"/>
                  <w:vAlign w:val="center"/>
                </w:tcPr>
                <w:p w14:paraId="6FE8FD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氮氧化物</w:t>
                  </w:r>
                </w:p>
              </w:tc>
              <w:tc>
                <w:tcPr>
                  <w:tcW w:w="1598" w:type="dxa"/>
                  <w:noWrap w:val="0"/>
                  <w:vAlign w:val="center"/>
                </w:tcPr>
                <w:p w14:paraId="03845E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150</w:t>
                  </w:r>
                </w:p>
              </w:tc>
              <w:tc>
                <w:tcPr>
                  <w:tcW w:w="1376" w:type="dxa"/>
                  <w:noWrap w:val="0"/>
                  <w:vAlign w:val="center"/>
                </w:tcPr>
                <w:p w14:paraId="022E8E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w:t>
                  </w:r>
                </w:p>
              </w:tc>
              <w:tc>
                <w:tcPr>
                  <w:tcW w:w="828" w:type="dxa"/>
                  <w:vMerge w:val="continue"/>
                  <w:noWrap w:val="0"/>
                  <w:vAlign w:val="center"/>
                </w:tcPr>
                <w:p w14:paraId="22E271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hAnsi="宋体"/>
                      <w:b w:val="0"/>
                      <w:bCs w:val="0"/>
                      <w:color w:val="auto"/>
                      <w:sz w:val="21"/>
                      <w:szCs w:val="21"/>
                      <w:highlight w:val="none"/>
                      <w:vertAlign w:val="baseline"/>
                      <w:lang w:val="en-US" w:eastAsia="zh-CN"/>
                    </w:rPr>
                  </w:pPr>
                </w:p>
              </w:tc>
            </w:tr>
            <w:tr w14:paraId="7257E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1" w:type="dxa"/>
                  <w:vMerge w:val="continue"/>
                  <w:noWrap w:val="0"/>
                  <w:vAlign w:val="center"/>
                </w:tcPr>
                <w:p w14:paraId="2D94F9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宋体" w:eastAsia="宋体" w:cs="Times New Roman"/>
                      <w:b w:val="0"/>
                      <w:bCs w:val="0"/>
                      <w:color w:val="auto"/>
                      <w:sz w:val="21"/>
                      <w:szCs w:val="21"/>
                      <w:highlight w:val="none"/>
                      <w:vertAlign w:val="baseline"/>
                      <w:lang w:val="en-US" w:eastAsia="zh-CN"/>
                    </w:rPr>
                  </w:pPr>
                </w:p>
              </w:tc>
              <w:tc>
                <w:tcPr>
                  <w:tcW w:w="1733" w:type="dxa"/>
                  <w:vMerge w:val="continue"/>
                  <w:noWrap w:val="0"/>
                  <w:vAlign w:val="center"/>
                </w:tcPr>
                <w:p w14:paraId="0CA29A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宋体" w:eastAsia="宋体" w:cs="Times New Roman"/>
                      <w:b w:val="0"/>
                      <w:bCs w:val="0"/>
                      <w:color w:val="auto"/>
                      <w:sz w:val="21"/>
                      <w:szCs w:val="21"/>
                      <w:highlight w:val="none"/>
                      <w:vertAlign w:val="baseline"/>
                      <w:lang w:val="en-US" w:eastAsia="zh-CN"/>
                    </w:rPr>
                  </w:pPr>
                </w:p>
              </w:tc>
              <w:tc>
                <w:tcPr>
                  <w:tcW w:w="1408" w:type="dxa"/>
                  <w:noWrap w:val="0"/>
                  <w:vAlign w:val="center"/>
                </w:tcPr>
                <w:p w14:paraId="1E574B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一氧化碳</w:t>
                  </w:r>
                </w:p>
              </w:tc>
              <w:tc>
                <w:tcPr>
                  <w:tcW w:w="1598" w:type="dxa"/>
                  <w:noWrap w:val="0"/>
                  <w:vAlign w:val="center"/>
                </w:tcPr>
                <w:p w14:paraId="7ADCF9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200</w:t>
                  </w:r>
                </w:p>
              </w:tc>
              <w:tc>
                <w:tcPr>
                  <w:tcW w:w="1376" w:type="dxa"/>
                  <w:noWrap w:val="0"/>
                  <w:vAlign w:val="center"/>
                </w:tcPr>
                <w:p w14:paraId="008D2F8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w:t>
                  </w:r>
                </w:p>
              </w:tc>
              <w:tc>
                <w:tcPr>
                  <w:tcW w:w="828" w:type="dxa"/>
                  <w:vMerge w:val="continue"/>
                  <w:noWrap w:val="0"/>
                  <w:vAlign w:val="center"/>
                </w:tcPr>
                <w:p w14:paraId="388E44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hAnsi="宋体"/>
                      <w:b w:val="0"/>
                      <w:bCs w:val="0"/>
                      <w:color w:val="auto"/>
                      <w:sz w:val="21"/>
                      <w:szCs w:val="21"/>
                      <w:highlight w:val="none"/>
                      <w:vertAlign w:val="baseline"/>
                      <w:lang w:val="en-US" w:eastAsia="zh-CN"/>
                    </w:rPr>
                  </w:pPr>
                </w:p>
              </w:tc>
            </w:tr>
            <w:tr w14:paraId="4A02E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1031" w:type="dxa"/>
                  <w:vMerge w:val="continue"/>
                  <w:noWrap w:val="0"/>
                  <w:vAlign w:val="center"/>
                </w:tcPr>
                <w:p w14:paraId="5A48FD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宋体" w:eastAsia="宋体" w:cs="Times New Roman"/>
                      <w:b w:val="0"/>
                      <w:bCs w:val="0"/>
                      <w:color w:val="auto"/>
                      <w:sz w:val="21"/>
                      <w:szCs w:val="21"/>
                      <w:highlight w:val="none"/>
                      <w:vertAlign w:val="baseline"/>
                      <w:lang w:val="en-US" w:eastAsia="zh-CN"/>
                    </w:rPr>
                  </w:pPr>
                </w:p>
              </w:tc>
              <w:tc>
                <w:tcPr>
                  <w:tcW w:w="1733" w:type="dxa"/>
                  <w:vMerge w:val="continue"/>
                  <w:noWrap w:val="0"/>
                  <w:vAlign w:val="center"/>
                </w:tcPr>
                <w:p w14:paraId="2D10030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宋体" w:eastAsia="宋体" w:cs="Times New Roman"/>
                      <w:b w:val="0"/>
                      <w:bCs w:val="0"/>
                      <w:color w:val="auto"/>
                      <w:sz w:val="21"/>
                      <w:szCs w:val="21"/>
                      <w:highlight w:val="none"/>
                      <w:vertAlign w:val="baseline"/>
                      <w:lang w:val="en-US" w:eastAsia="zh-CN"/>
                    </w:rPr>
                  </w:pPr>
                </w:p>
              </w:tc>
              <w:tc>
                <w:tcPr>
                  <w:tcW w:w="1408" w:type="dxa"/>
                  <w:noWrap w:val="0"/>
                  <w:vAlign w:val="center"/>
                </w:tcPr>
                <w:p w14:paraId="5DC05A2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烟气黑度</w:t>
                  </w:r>
                </w:p>
              </w:tc>
              <w:tc>
                <w:tcPr>
                  <w:tcW w:w="1598" w:type="dxa"/>
                  <w:noWrap w:val="0"/>
                  <w:vAlign w:val="center"/>
                </w:tcPr>
                <w:p w14:paraId="356AF1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1（林格曼黑度，级）</w:t>
                  </w:r>
                </w:p>
              </w:tc>
              <w:tc>
                <w:tcPr>
                  <w:tcW w:w="1376" w:type="dxa"/>
                  <w:noWrap w:val="0"/>
                  <w:vAlign w:val="center"/>
                </w:tcPr>
                <w:p w14:paraId="7AE0391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w:t>
                  </w:r>
                </w:p>
              </w:tc>
              <w:tc>
                <w:tcPr>
                  <w:tcW w:w="828" w:type="dxa"/>
                  <w:vMerge w:val="continue"/>
                  <w:noWrap w:val="0"/>
                  <w:vAlign w:val="center"/>
                </w:tcPr>
                <w:p w14:paraId="418C4F1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hAnsi="宋体"/>
                      <w:b w:val="0"/>
                      <w:bCs w:val="0"/>
                      <w:color w:val="auto"/>
                      <w:sz w:val="21"/>
                      <w:szCs w:val="21"/>
                      <w:highlight w:val="none"/>
                      <w:vertAlign w:val="baseline"/>
                      <w:lang w:val="en-US" w:eastAsia="zh-CN"/>
                    </w:rPr>
                  </w:pPr>
                </w:p>
              </w:tc>
            </w:tr>
            <w:tr w14:paraId="1E941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1" w:type="dxa"/>
                  <w:noWrap w:val="0"/>
                  <w:vAlign w:val="center"/>
                </w:tcPr>
                <w:p w14:paraId="50D4FFE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企业边界（厂界）</w:t>
                  </w:r>
                </w:p>
              </w:tc>
              <w:tc>
                <w:tcPr>
                  <w:tcW w:w="1733" w:type="dxa"/>
                  <w:noWrap w:val="0"/>
                  <w:vAlign w:val="center"/>
                </w:tcPr>
                <w:p w14:paraId="11ECE6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《大气污染物排放限值》(DB44/27-2001)中第二时段无组织控制要求</w:t>
                  </w:r>
                </w:p>
              </w:tc>
              <w:tc>
                <w:tcPr>
                  <w:tcW w:w="1408" w:type="dxa"/>
                  <w:noWrap w:val="0"/>
                  <w:vAlign w:val="center"/>
                </w:tcPr>
                <w:p w14:paraId="064F03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颗粒物</w:t>
                  </w:r>
                </w:p>
              </w:tc>
              <w:tc>
                <w:tcPr>
                  <w:tcW w:w="1598" w:type="dxa"/>
                  <w:noWrap w:val="0"/>
                  <w:vAlign w:val="center"/>
                </w:tcPr>
                <w:p w14:paraId="0236A0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宋体" w:eastAsia="宋体" w:cs="Times New Roman"/>
                      <w:b w:val="0"/>
                      <w:bCs w:val="0"/>
                      <w:color w:val="auto"/>
                      <w:sz w:val="21"/>
                      <w:szCs w:val="21"/>
                      <w:highlight w:val="none"/>
                      <w:vertAlign w:val="baseline"/>
                      <w:lang w:val="en-US" w:eastAsia="zh-CN"/>
                    </w:rPr>
                  </w:pPr>
                  <w:r>
                    <w:rPr>
                      <w:rFonts w:hint="eastAsia" w:ascii="Times New Roman" w:hAnsi="宋体" w:eastAsia="宋体" w:cs="Times New Roman"/>
                      <w:b w:val="0"/>
                      <w:bCs w:val="0"/>
                      <w:color w:val="auto"/>
                      <w:sz w:val="21"/>
                      <w:szCs w:val="21"/>
                      <w:highlight w:val="none"/>
                      <w:vertAlign w:val="baseline"/>
                      <w:lang w:val="en-US" w:eastAsia="zh-CN"/>
                    </w:rPr>
                    <w:t>1.0</w:t>
                  </w:r>
                </w:p>
              </w:tc>
              <w:tc>
                <w:tcPr>
                  <w:tcW w:w="1376" w:type="dxa"/>
                  <w:noWrap w:val="0"/>
                  <w:vAlign w:val="center"/>
                </w:tcPr>
                <w:p w14:paraId="75A8575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宋体" w:eastAsia="宋体" w:cs="Times New Roman"/>
                      <w:b w:val="0"/>
                      <w:bCs w:val="0"/>
                      <w:color w:val="auto"/>
                      <w:sz w:val="21"/>
                      <w:szCs w:val="21"/>
                      <w:highlight w:val="none"/>
                      <w:vertAlign w:val="baseline"/>
                      <w:lang w:val="en-US" w:eastAsia="zh-CN"/>
                    </w:rPr>
                  </w:pPr>
                </w:p>
              </w:tc>
              <w:tc>
                <w:tcPr>
                  <w:tcW w:w="828" w:type="dxa"/>
                  <w:noWrap w:val="0"/>
                  <w:vAlign w:val="center"/>
                </w:tcPr>
                <w:p w14:paraId="2D8B97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hAnsi="宋体"/>
                      <w:b w:val="0"/>
                      <w:bCs w:val="0"/>
                      <w:color w:val="auto"/>
                      <w:sz w:val="21"/>
                      <w:szCs w:val="21"/>
                      <w:highlight w:val="none"/>
                      <w:vertAlign w:val="baseline"/>
                      <w:lang w:val="en-US" w:eastAsia="zh-CN"/>
                    </w:rPr>
                  </w:pPr>
                  <w:r>
                    <w:rPr>
                      <w:rFonts w:hint="eastAsia" w:hAnsi="宋体"/>
                      <w:b w:val="0"/>
                      <w:bCs w:val="0"/>
                      <w:color w:val="auto"/>
                      <w:sz w:val="21"/>
                      <w:szCs w:val="21"/>
                      <w:highlight w:val="none"/>
                      <w:vertAlign w:val="baseline"/>
                      <w:lang w:val="en-US" w:eastAsia="zh-CN"/>
                    </w:rPr>
                    <w:t>无组织</w:t>
                  </w:r>
                </w:p>
              </w:tc>
            </w:tr>
            <w:bookmarkEnd w:id="37"/>
          </w:tbl>
          <w:p w14:paraId="79EA825A">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textAlignment w:val="auto"/>
              <w:rPr>
                <w:b/>
                <w:color w:val="auto"/>
                <w:sz w:val="24"/>
                <w:highlight w:val="none"/>
              </w:rPr>
            </w:pPr>
            <w:r>
              <w:rPr>
                <w:rFonts w:hint="eastAsia"/>
                <w:b/>
                <w:color w:val="auto"/>
                <w:sz w:val="24"/>
                <w:highlight w:val="none"/>
              </w:rPr>
              <w:t>2</w:t>
            </w:r>
            <w:r>
              <w:rPr>
                <w:rFonts w:hint="eastAsia"/>
                <w:b/>
                <w:color w:val="auto"/>
                <w:sz w:val="24"/>
                <w:highlight w:val="none"/>
                <w:lang w:eastAsia="zh-CN"/>
              </w:rPr>
              <w:t>、</w:t>
            </w:r>
            <w:r>
              <w:rPr>
                <w:rFonts w:hint="eastAsia"/>
                <w:b/>
                <w:color w:val="auto"/>
                <w:sz w:val="24"/>
                <w:highlight w:val="none"/>
              </w:rPr>
              <w:t>废水排放标准</w:t>
            </w:r>
          </w:p>
          <w:p w14:paraId="5A1B4608">
            <w:pPr>
              <w:snapToGrid w:val="0"/>
              <w:spacing w:line="360" w:lineRule="auto"/>
              <w:ind w:firstLine="480" w:firstLineChars="200"/>
              <w:rPr>
                <w:rFonts w:hAnsi="宋体"/>
                <w:color w:val="auto"/>
                <w:sz w:val="24"/>
                <w:highlight w:val="none"/>
              </w:rPr>
            </w:pPr>
            <w:r>
              <w:rPr>
                <w:rFonts w:hint="eastAsia" w:hAnsi="宋体"/>
                <w:color w:val="000000"/>
                <w:sz w:val="24"/>
                <w:szCs w:val="24"/>
                <w:highlight w:val="none"/>
                <w:lang w:val="en-US" w:eastAsia="zh-CN"/>
              </w:rPr>
              <w:t>本项目生产废水经絮凝沉淀</w:t>
            </w:r>
            <w:r>
              <w:rPr>
                <w:rFonts w:hint="eastAsia" w:ascii="Times New Roman" w:hAnsi="宋体" w:eastAsia="宋体"/>
                <w:color w:val="auto"/>
                <w:sz w:val="24"/>
                <w:highlight w:val="none"/>
                <w:lang w:eastAsia="zh-CN"/>
              </w:rPr>
              <w:t>处理达到</w:t>
            </w:r>
            <w:r>
              <w:rPr>
                <w:rFonts w:hint="default" w:ascii="Times New Roman" w:hAnsi="Times New Roman" w:eastAsia="宋体" w:cs="Times New Roman"/>
                <w:color w:val="auto"/>
                <w:sz w:val="24"/>
                <w:szCs w:val="24"/>
                <w:highlight w:val="none"/>
              </w:rPr>
              <w:t>执行广东省《水污染物排放限值》（DB44/26-2001）第二时段一级标准</w:t>
            </w:r>
            <w:r>
              <w:rPr>
                <w:rFonts w:hint="eastAsia" w:ascii="Times New Roman" w:hAnsi="宋体" w:eastAsia="宋体"/>
                <w:color w:val="auto"/>
                <w:sz w:val="24"/>
                <w:highlight w:val="none"/>
                <w:lang w:eastAsia="zh-CN"/>
              </w:rPr>
              <w:t>后经自建尾水排放管排入</w:t>
            </w:r>
            <w:r>
              <w:rPr>
                <w:rFonts w:hint="eastAsia" w:ascii="Times New Roman" w:hAnsi="宋体" w:eastAsia="宋体"/>
                <w:color w:val="auto"/>
                <w:sz w:val="24"/>
                <w:highlight w:val="none"/>
                <w:lang w:val="en-US" w:eastAsia="zh-CN"/>
              </w:rPr>
              <w:t>武江</w:t>
            </w:r>
            <w:r>
              <w:rPr>
                <w:rFonts w:hint="eastAsia"/>
                <w:color w:val="auto"/>
                <w:sz w:val="24"/>
                <w:highlight w:val="none"/>
              </w:rPr>
              <w:t>；生活污水经三级化粪池处理达到《农田灌溉水质标准》（GB5084-2021）中旱作作物标准后用于厂区周边绿化，不外排。具体数值见表</w:t>
            </w:r>
            <w:r>
              <w:rPr>
                <w:rFonts w:hint="eastAsia"/>
                <w:color w:val="auto"/>
                <w:sz w:val="24"/>
                <w:highlight w:val="none"/>
                <w:lang w:val="en-US" w:eastAsia="zh-CN"/>
              </w:rPr>
              <w:t>3-6</w:t>
            </w:r>
            <w:r>
              <w:rPr>
                <w:rFonts w:hAnsi="宋体"/>
                <w:color w:val="auto"/>
                <w:sz w:val="24"/>
                <w:highlight w:val="none"/>
              </w:rPr>
              <w:t>。</w:t>
            </w:r>
          </w:p>
          <w:p w14:paraId="3047941D">
            <w:pPr>
              <w:adjustRightInd w:val="0"/>
              <w:snapToGrid w:val="0"/>
              <w:spacing w:line="360" w:lineRule="auto"/>
              <w:jc w:val="center"/>
              <w:rPr>
                <w:rFonts w:hint="default" w:ascii="Times New Roman" w:hAnsi="Times New Roman" w:eastAsia="宋体" w:cs="Times New Roman"/>
                <w:color w:val="auto"/>
                <w:sz w:val="24"/>
                <w:highlight w:val="none"/>
              </w:rPr>
            </w:pPr>
            <w:r>
              <w:rPr>
                <w:rFonts w:hint="eastAsia" w:ascii="Times New Roman" w:hAnsi="宋体" w:cs="Times New Roman"/>
                <w:b/>
                <w:color w:val="auto"/>
                <w:sz w:val="24"/>
                <w:szCs w:val="24"/>
                <w:highlight w:val="none"/>
              </w:rPr>
              <w:t>表</w:t>
            </w:r>
            <w:r>
              <w:rPr>
                <w:rFonts w:hint="eastAsia" w:ascii="Times New Roman" w:hAnsi="宋体" w:cs="Times New Roman"/>
                <w:b/>
                <w:color w:val="auto"/>
                <w:sz w:val="24"/>
                <w:szCs w:val="24"/>
                <w:highlight w:val="none"/>
                <w:lang w:val="en-US" w:eastAsia="zh-CN"/>
              </w:rPr>
              <w:t>3-</w:t>
            </w:r>
            <w:r>
              <w:rPr>
                <w:rFonts w:hint="eastAsia" w:hAnsi="宋体" w:cs="Times New Roman"/>
                <w:b/>
                <w:color w:val="auto"/>
                <w:sz w:val="24"/>
                <w:szCs w:val="24"/>
                <w:highlight w:val="none"/>
                <w:lang w:val="en-US" w:eastAsia="zh-CN"/>
              </w:rPr>
              <w:t>6（a）</w:t>
            </w:r>
            <w:r>
              <w:rPr>
                <w:rFonts w:hint="eastAsia" w:ascii="Times New Roman" w:hAnsi="宋体" w:cs="Times New Roman"/>
                <w:b/>
                <w:color w:val="auto"/>
                <w:sz w:val="24"/>
                <w:szCs w:val="24"/>
                <w:highlight w:val="none"/>
              </w:rPr>
              <w:t xml:space="preserve">  广东省《水污染物排放限值》（DB44/26-2001）</w:t>
            </w:r>
            <w:r>
              <w:rPr>
                <w:rFonts w:hint="eastAsia"/>
                <w:b/>
                <w:bCs/>
                <w:color w:val="auto"/>
                <w:highlight w:val="none"/>
              </w:rPr>
              <w:t>单位：mg/L</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7"/>
              <w:gridCol w:w="1649"/>
              <w:gridCol w:w="1140"/>
              <w:gridCol w:w="1323"/>
              <w:gridCol w:w="1221"/>
              <w:gridCol w:w="956"/>
            </w:tblGrid>
            <w:tr w14:paraId="4D3F8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1057" w:type="pct"/>
                  <w:tcBorders>
                    <w:tl2br w:val="nil"/>
                    <w:tr2bl w:val="nil"/>
                  </w:tcBorders>
                  <w:vAlign w:val="center"/>
                </w:tcPr>
                <w:p w14:paraId="3E68746E">
                  <w:pPr>
                    <w:shd w:val="clear"/>
                    <w:jc w:val="center"/>
                    <w:rPr>
                      <w:b/>
                      <w:bCs/>
                      <w:color w:val="auto"/>
                      <w:highlight w:val="none"/>
                    </w:rPr>
                  </w:pPr>
                  <w:r>
                    <w:rPr>
                      <w:rFonts w:hint="eastAsia"/>
                      <w:b/>
                      <w:bCs/>
                      <w:color w:val="auto"/>
                      <w:highlight w:val="none"/>
                    </w:rPr>
                    <w:t>指标名称</w:t>
                  </w:r>
                </w:p>
              </w:tc>
              <w:tc>
                <w:tcPr>
                  <w:tcW w:w="1033" w:type="pct"/>
                  <w:tcBorders>
                    <w:tl2br w:val="nil"/>
                    <w:tr2bl w:val="nil"/>
                  </w:tcBorders>
                  <w:vAlign w:val="center"/>
                </w:tcPr>
                <w:p w14:paraId="5CEA6D3A">
                  <w:pPr>
                    <w:shd w:val="clear"/>
                    <w:jc w:val="center"/>
                    <w:rPr>
                      <w:b/>
                      <w:bCs/>
                      <w:color w:val="auto"/>
                      <w:highlight w:val="none"/>
                    </w:rPr>
                  </w:pPr>
                  <w:r>
                    <w:rPr>
                      <w:rFonts w:hint="eastAsia"/>
                      <w:b/>
                      <w:bCs/>
                      <w:color w:val="auto"/>
                      <w:highlight w:val="none"/>
                    </w:rPr>
                    <w:t>pH（无量纲）</w:t>
                  </w:r>
                </w:p>
              </w:tc>
              <w:tc>
                <w:tcPr>
                  <w:tcW w:w="714" w:type="pct"/>
                  <w:tcBorders>
                    <w:tl2br w:val="nil"/>
                    <w:tr2bl w:val="nil"/>
                  </w:tcBorders>
                  <w:vAlign w:val="center"/>
                </w:tcPr>
                <w:p w14:paraId="576E38F5">
                  <w:pPr>
                    <w:shd w:val="clear"/>
                    <w:jc w:val="center"/>
                    <w:rPr>
                      <w:b/>
                      <w:bCs/>
                      <w:color w:val="auto"/>
                      <w:highlight w:val="none"/>
                    </w:rPr>
                  </w:pPr>
                  <w:r>
                    <w:rPr>
                      <w:rFonts w:hint="eastAsia"/>
                      <w:b/>
                      <w:bCs/>
                      <w:color w:val="auto"/>
                      <w:highlight w:val="none"/>
                    </w:rPr>
                    <w:t>COD</w:t>
                  </w:r>
                </w:p>
              </w:tc>
              <w:tc>
                <w:tcPr>
                  <w:tcW w:w="829" w:type="pct"/>
                  <w:tcBorders>
                    <w:tl2br w:val="nil"/>
                    <w:tr2bl w:val="nil"/>
                  </w:tcBorders>
                  <w:vAlign w:val="center"/>
                </w:tcPr>
                <w:p w14:paraId="56C7FA25">
                  <w:pPr>
                    <w:shd w:val="clear"/>
                    <w:jc w:val="center"/>
                    <w:rPr>
                      <w:b/>
                      <w:bCs/>
                      <w:color w:val="auto"/>
                      <w:highlight w:val="none"/>
                    </w:rPr>
                  </w:pPr>
                  <w:r>
                    <w:rPr>
                      <w:rFonts w:hint="eastAsia"/>
                      <w:b/>
                      <w:bCs/>
                      <w:color w:val="auto"/>
                      <w:highlight w:val="none"/>
                    </w:rPr>
                    <w:t>BOD</w:t>
                  </w:r>
                  <w:r>
                    <w:rPr>
                      <w:rFonts w:hint="eastAsia"/>
                      <w:b/>
                      <w:bCs/>
                      <w:color w:val="auto"/>
                      <w:highlight w:val="none"/>
                      <w:vertAlign w:val="subscript"/>
                    </w:rPr>
                    <w:t>5</w:t>
                  </w:r>
                </w:p>
              </w:tc>
              <w:tc>
                <w:tcPr>
                  <w:tcW w:w="765" w:type="pct"/>
                  <w:tcBorders>
                    <w:tl2br w:val="nil"/>
                    <w:tr2bl w:val="nil"/>
                  </w:tcBorders>
                  <w:vAlign w:val="center"/>
                </w:tcPr>
                <w:p w14:paraId="1E364480">
                  <w:pPr>
                    <w:shd w:val="clear"/>
                    <w:jc w:val="center"/>
                    <w:rPr>
                      <w:b/>
                      <w:bCs/>
                      <w:color w:val="auto"/>
                      <w:highlight w:val="none"/>
                    </w:rPr>
                  </w:pPr>
                  <w:r>
                    <w:rPr>
                      <w:rFonts w:hint="eastAsia"/>
                      <w:b/>
                      <w:bCs/>
                      <w:color w:val="auto"/>
                      <w:highlight w:val="none"/>
                    </w:rPr>
                    <w:t>NH</w:t>
                  </w:r>
                  <w:r>
                    <w:rPr>
                      <w:rFonts w:hint="eastAsia"/>
                      <w:b/>
                      <w:bCs/>
                      <w:color w:val="auto"/>
                      <w:highlight w:val="none"/>
                      <w:vertAlign w:val="subscript"/>
                    </w:rPr>
                    <w:t>3</w:t>
                  </w:r>
                  <w:r>
                    <w:rPr>
                      <w:rFonts w:hint="eastAsia"/>
                      <w:b/>
                      <w:bCs/>
                      <w:color w:val="auto"/>
                      <w:highlight w:val="none"/>
                    </w:rPr>
                    <w:t>-N</w:t>
                  </w:r>
                </w:p>
              </w:tc>
              <w:tc>
                <w:tcPr>
                  <w:tcW w:w="599" w:type="pct"/>
                  <w:tcBorders>
                    <w:tl2br w:val="nil"/>
                    <w:tr2bl w:val="nil"/>
                  </w:tcBorders>
                  <w:vAlign w:val="center"/>
                </w:tcPr>
                <w:p w14:paraId="171BE850">
                  <w:pPr>
                    <w:shd w:val="clear"/>
                    <w:jc w:val="center"/>
                    <w:rPr>
                      <w:b/>
                      <w:bCs/>
                      <w:color w:val="auto"/>
                      <w:highlight w:val="none"/>
                    </w:rPr>
                  </w:pPr>
                  <w:r>
                    <w:rPr>
                      <w:rFonts w:hint="eastAsia"/>
                      <w:b/>
                      <w:bCs/>
                      <w:color w:val="auto"/>
                      <w:highlight w:val="none"/>
                    </w:rPr>
                    <w:t>SS</w:t>
                  </w:r>
                </w:p>
              </w:tc>
            </w:tr>
            <w:tr w14:paraId="19228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1057" w:type="pct"/>
                  <w:tcBorders>
                    <w:tl2br w:val="nil"/>
                    <w:tr2bl w:val="nil"/>
                  </w:tcBorders>
                  <w:vAlign w:val="center"/>
                </w:tcPr>
                <w:p w14:paraId="242E8649">
                  <w:pPr>
                    <w:shd w:val="clear"/>
                    <w:jc w:val="center"/>
                    <w:rPr>
                      <w:color w:val="auto"/>
                      <w:highlight w:val="none"/>
                    </w:rPr>
                  </w:pPr>
                  <w:r>
                    <w:rPr>
                      <w:rFonts w:hint="eastAsia"/>
                      <w:color w:val="auto"/>
                      <w:highlight w:val="none"/>
                    </w:rPr>
                    <w:t>标准限值</w:t>
                  </w:r>
                </w:p>
              </w:tc>
              <w:tc>
                <w:tcPr>
                  <w:tcW w:w="1033" w:type="pct"/>
                  <w:tcBorders>
                    <w:tl2br w:val="nil"/>
                    <w:tr2bl w:val="nil"/>
                  </w:tcBorders>
                  <w:vAlign w:val="center"/>
                </w:tcPr>
                <w:p w14:paraId="7A3EBF06">
                  <w:pPr>
                    <w:shd w:val="clear"/>
                    <w:jc w:val="center"/>
                    <w:rPr>
                      <w:rFonts w:hint="default" w:eastAsia="宋体"/>
                      <w:color w:val="auto"/>
                      <w:highlight w:val="none"/>
                      <w:lang w:val="en-US" w:eastAsia="zh-CN"/>
                    </w:rPr>
                  </w:pPr>
                  <w:r>
                    <w:rPr>
                      <w:rFonts w:hint="eastAsia"/>
                      <w:color w:val="auto"/>
                      <w:highlight w:val="none"/>
                      <w:lang w:val="en-US" w:eastAsia="zh-CN"/>
                    </w:rPr>
                    <w:t>6~9</w:t>
                  </w:r>
                </w:p>
              </w:tc>
              <w:tc>
                <w:tcPr>
                  <w:tcW w:w="714" w:type="pct"/>
                  <w:tcBorders>
                    <w:tl2br w:val="nil"/>
                    <w:tr2bl w:val="nil"/>
                  </w:tcBorders>
                  <w:vAlign w:val="center"/>
                </w:tcPr>
                <w:p w14:paraId="5CF89CCD">
                  <w:pPr>
                    <w:shd w:val="clear"/>
                    <w:jc w:val="center"/>
                    <w:rPr>
                      <w:rFonts w:hint="default" w:eastAsia="宋体"/>
                      <w:color w:val="auto"/>
                      <w:highlight w:val="none"/>
                      <w:lang w:val="en-US" w:eastAsia="zh-CN"/>
                    </w:rPr>
                  </w:pPr>
                  <w:r>
                    <w:rPr>
                      <w:color w:val="auto"/>
                      <w:highlight w:val="none"/>
                    </w:rPr>
                    <w:t>≤</w:t>
                  </w:r>
                  <w:r>
                    <w:rPr>
                      <w:rFonts w:hint="eastAsia"/>
                      <w:color w:val="auto"/>
                      <w:highlight w:val="none"/>
                      <w:lang w:val="en-US" w:eastAsia="zh-CN"/>
                    </w:rPr>
                    <w:t>90</w:t>
                  </w:r>
                </w:p>
              </w:tc>
              <w:tc>
                <w:tcPr>
                  <w:tcW w:w="829" w:type="pct"/>
                  <w:tcBorders>
                    <w:tl2br w:val="nil"/>
                    <w:tr2bl w:val="nil"/>
                  </w:tcBorders>
                  <w:vAlign w:val="center"/>
                </w:tcPr>
                <w:p w14:paraId="010517AF">
                  <w:pPr>
                    <w:shd w:val="clear"/>
                    <w:jc w:val="center"/>
                    <w:rPr>
                      <w:rFonts w:hint="default" w:eastAsia="宋体"/>
                      <w:color w:val="auto"/>
                      <w:highlight w:val="none"/>
                      <w:lang w:val="en-US" w:eastAsia="zh-CN"/>
                    </w:rPr>
                  </w:pPr>
                  <w:r>
                    <w:rPr>
                      <w:color w:val="auto"/>
                      <w:highlight w:val="none"/>
                    </w:rPr>
                    <w:t>≤</w:t>
                  </w:r>
                  <w:r>
                    <w:rPr>
                      <w:rFonts w:hint="eastAsia"/>
                      <w:color w:val="auto"/>
                      <w:highlight w:val="none"/>
                      <w:lang w:val="en-US" w:eastAsia="zh-CN"/>
                    </w:rPr>
                    <w:t>20</w:t>
                  </w:r>
                </w:p>
              </w:tc>
              <w:tc>
                <w:tcPr>
                  <w:tcW w:w="765" w:type="pct"/>
                  <w:tcBorders>
                    <w:tl2br w:val="nil"/>
                    <w:tr2bl w:val="nil"/>
                  </w:tcBorders>
                  <w:vAlign w:val="center"/>
                </w:tcPr>
                <w:p w14:paraId="2D6F5E1B">
                  <w:pPr>
                    <w:shd w:val="clear"/>
                    <w:jc w:val="center"/>
                    <w:rPr>
                      <w:rFonts w:hint="default" w:eastAsia="宋体"/>
                      <w:color w:val="auto"/>
                      <w:highlight w:val="none"/>
                      <w:lang w:val="en-US" w:eastAsia="zh-CN"/>
                    </w:rPr>
                  </w:pPr>
                  <w:r>
                    <w:rPr>
                      <w:color w:val="auto"/>
                      <w:highlight w:val="none"/>
                    </w:rPr>
                    <w:t>≤</w:t>
                  </w:r>
                  <w:r>
                    <w:rPr>
                      <w:rFonts w:hint="eastAsia"/>
                      <w:color w:val="auto"/>
                      <w:highlight w:val="none"/>
                      <w:lang w:val="en-US" w:eastAsia="zh-CN"/>
                    </w:rPr>
                    <w:t>10</w:t>
                  </w:r>
                </w:p>
              </w:tc>
              <w:tc>
                <w:tcPr>
                  <w:tcW w:w="599" w:type="pct"/>
                  <w:tcBorders>
                    <w:tl2br w:val="nil"/>
                    <w:tr2bl w:val="nil"/>
                  </w:tcBorders>
                  <w:vAlign w:val="center"/>
                </w:tcPr>
                <w:p w14:paraId="3DFFD188">
                  <w:pPr>
                    <w:shd w:val="clear"/>
                    <w:jc w:val="center"/>
                    <w:rPr>
                      <w:rFonts w:hint="default" w:hAnsi="宋体" w:eastAsia="宋体"/>
                      <w:color w:val="auto"/>
                      <w:highlight w:val="none"/>
                      <w:lang w:val="en-US" w:eastAsia="zh-CN"/>
                    </w:rPr>
                  </w:pPr>
                  <w:r>
                    <w:rPr>
                      <w:color w:val="auto"/>
                      <w:highlight w:val="none"/>
                    </w:rPr>
                    <w:t>≤</w:t>
                  </w:r>
                  <w:r>
                    <w:rPr>
                      <w:rFonts w:hint="eastAsia" w:hAnsi="宋体"/>
                      <w:color w:val="auto"/>
                      <w:highlight w:val="none"/>
                      <w:lang w:val="en-US" w:eastAsia="zh-CN"/>
                    </w:rPr>
                    <w:t>60</w:t>
                  </w:r>
                </w:p>
              </w:tc>
            </w:tr>
          </w:tbl>
          <w:p w14:paraId="77953FB1">
            <w:pPr>
              <w:pStyle w:val="30"/>
              <w:ind w:left="0" w:leftChars="0" w:firstLine="0" w:firstLineChars="0"/>
              <w:rPr>
                <w:rFonts w:hint="default"/>
                <w:highlight w:val="none"/>
              </w:rPr>
            </w:pPr>
          </w:p>
          <w:p w14:paraId="47729745">
            <w:pPr>
              <w:shd w:val="clear"/>
              <w:snapToGrid w:val="0"/>
              <w:jc w:val="center"/>
              <w:rPr>
                <w:color w:val="auto"/>
                <w:sz w:val="24"/>
                <w:highlight w:val="none"/>
              </w:rPr>
            </w:pPr>
            <w:r>
              <w:rPr>
                <w:rFonts w:hint="default" w:ascii="Times New Roman" w:hAnsi="Times New Roman" w:eastAsia="宋体" w:cs="Times New Roman"/>
                <w:b/>
                <w:color w:val="000000"/>
                <w:sz w:val="24"/>
                <w:highlight w:val="none"/>
              </w:rPr>
              <w:t>表</w:t>
            </w:r>
            <w:r>
              <w:rPr>
                <w:rFonts w:hint="eastAsia" w:ascii="Times New Roman" w:hAnsi="Times New Roman" w:eastAsia="宋体" w:cs="Times New Roman"/>
                <w:b/>
                <w:color w:val="000000"/>
                <w:sz w:val="24"/>
                <w:highlight w:val="none"/>
                <w:lang w:val="en-US" w:eastAsia="zh-CN"/>
              </w:rPr>
              <w:t>3-</w:t>
            </w:r>
            <w:r>
              <w:rPr>
                <w:rFonts w:hint="eastAsia" w:cs="Times New Roman"/>
                <w:b/>
                <w:color w:val="000000"/>
                <w:sz w:val="24"/>
                <w:highlight w:val="none"/>
                <w:lang w:val="en-US" w:eastAsia="zh-CN"/>
              </w:rPr>
              <w:t xml:space="preserve">6（b） </w:t>
            </w:r>
            <w:r>
              <w:rPr>
                <w:rFonts w:hint="eastAsia"/>
                <w:b/>
                <w:color w:val="auto"/>
                <w:sz w:val="24"/>
                <w:highlight w:val="none"/>
              </w:rPr>
              <w:t xml:space="preserve">《农田灌溉水质标准》（摘录）    </w:t>
            </w:r>
            <w:r>
              <w:rPr>
                <w:rFonts w:hint="eastAsia"/>
                <w:b/>
                <w:bCs/>
                <w:color w:val="auto"/>
                <w:highlight w:val="none"/>
              </w:rPr>
              <w:t>单位：mg/L</w:t>
            </w:r>
            <w:r>
              <w:rPr>
                <w:b/>
                <w:bCs/>
                <w:color w:val="auto"/>
                <w:sz w:val="24"/>
                <w:highlight w:val="none"/>
              </w:rPr>
              <w:t xml:space="preserve"> </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7"/>
              <w:gridCol w:w="1649"/>
              <w:gridCol w:w="1140"/>
              <w:gridCol w:w="1323"/>
              <w:gridCol w:w="1221"/>
              <w:gridCol w:w="956"/>
            </w:tblGrid>
            <w:tr w14:paraId="08198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1057" w:type="pct"/>
                  <w:tcBorders>
                    <w:tl2br w:val="nil"/>
                    <w:tr2bl w:val="nil"/>
                  </w:tcBorders>
                  <w:vAlign w:val="center"/>
                </w:tcPr>
                <w:p w14:paraId="4873C5DF">
                  <w:pPr>
                    <w:shd w:val="clear"/>
                    <w:jc w:val="center"/>
                    <w:rPr>
                      <w:b/>
                      <w:bCs/>
                      <w:color w:val="auto"/>
                      <w:highlight w:val="none"/>
                    </w:rPr>
                  </w:pPr>
                  <w:r>
                    <w:rPr>
                      <w:rFonts w:hint="eastAsia"/>
                      <w:b/>
                      <w:bCs/>
                      <w:color w:val="auto"/>
                      <w:highlight w:val="none"/>
                    </w:rPr>
                    <w:t>指标名称</w:t>
                  </w:r>
                </w:p>
              </w:tc>
              <w:tc>
                <w:tcPr>
                  <w:tcW w:w="1033" w:type="pct"/>
                  <w:tcBorders>
                    <w:tl2br w:val="nil"/>
                    <w:tr2bl w:val="nil"/>
                  </w:tcBorders>
                  <w:vAlign w:val="center"/>
                </w:tcPr>
                <w:p w14:paraId="222CDD6D">
                  <w:pPr>
                    <w:shd w:val="clear"/>
                    <w:jc w:val="center"/>
                    <w:rPr>
                      <w:b/>
                      <w:bCs/>
                      <w:color w:val="auto"/>
                      <w:highlight w:val="none"/>
                    </w:rPr>
                  </w:pPr>
                  <w:r>
                    <w:rPr>
                      <w:rFonts w:hint="eastAsia"/>
                      <w:b/>
                      <w:bCs/>
                      <w:color w:val="auto"/>
                      <w:highlight w:val="none"/>
                    </w:rPr>
                    <w:t>pH（无量纲）</w:t>
                  </w:r>
                </w:p>
              </w:tc>
              <w:tc>
                <w:tcPr>
                  <w:tcW w:w="714" w:type="pct"/>
                  <w:tcBorders>
                    <w:tl2br w:val="nil"/>
                    <w:tr2bl w:val="nil"/>
                  </w:tcBorders>
                  <w:vAlign w:val="center"/>
                </w:tcPr>
                <w:p w14:paraId="0E8043BC">
                  <w:pPr>
                    <w:shd w:val="clear"/>
                    <w:jc w:val="center"/>
                    <w:rPr>
                      <w:b/>
                      <w:bCs/>
                      <w:color w:val="auto"/>
                      <w:highlight w:val="none"/>
                    </w:rPr>
                  </w:pPr>
                  <w:r>
                    <w:rPr>
                      <w:rFonts w:hint="eastAsia"/>
                      <w:b/>
                      <w:bCs/>
                      <w:color w:val="auto"/>
                      <w:highlight w:val="none"/>
                    </w:rPr>
                    <w:t>COD</w:t>
                  </w:r>
                </w:p>
              </w:tc>
              <w:tc>
                <w:tcPr>
                  <w:tcW w:w="829" w:type="pct"/>
                  <w:tcBorders>
                    <w:tl2br w:val="nil"/>
                    <w:tr2bl w:val="nil"/>
                  </w:tcBorders>
                  <w:vAlign w:val="center"/>
                </w:tcPr>
                <w:p w14:paraId="6664A297">
                  <w:pPr>
                    <w:shd w:val="clear"/>
                    <w:jc w:val="center"/>
                    <w:rPr>
                      <w:b/>
                      <w:bCs/>
                      <w:color w:val="auto"/>
                      <w:highlight w:val="none"/>
                    </w:rPr>
                  </w:pPr>
                  <w:r>
                    <w:rPr>
                      <w:rFonts w:hint="eastAsia"/>
                      <w:b/>
                      <w:bCs/>
                      <w:color w:val="auto"/>
                      <w:highlight w:val="none"/>
                    </w:rPr>
                    <w:t>BOD</w:t>
                  </w:r>
                  <w:r>
                    <w:rPr>
                      <w:rFonts w:hint="eastAsia"/>
                      <w:b/>
                      <w:bCs/>
                      <w:color w:val="auto"/>
                      <w:highlight w:val="none"/>
                      <w:vertAlign w:val="subscript"/>
                    </w:rPr>
                    <w:t>5</w:t>
                  </w:r>
                </w:p>
              </w:tc>
              <w:tc>
                <w:tcPr>
                  <w:tcW w:w="765" w:type="pct"/>
                  <w:tcBorders>
                    <w:tl2br w:val="nil"/>
                    <w:tr2bl w:val="nil"/>
                  </w:tcBorders>
                  <w:vAlign w:val="center"/>
                </w:tcPr>
                <w:p w14:paraId="384CAB60">
                  <w:pPr>
                    <w:shd w:val="clear"/>
                    <w:jc w:val="center"/>
                    <w:rPr>
                      <w:b/>
                      <w:bCs/>
                      <w:color w:val="auto"/>
                      <w:highlight w:val="none"/>
                    </w:rPr>
                  </w:pPr>
                  <w:r>
                    <w:rPr>
                      <w:rFonts w:hint="eastAsia"/>
                      <w:b/>
                      <w:bCs/>
                      <w:color w:val="auto"/>
                      <w:highlight w:val="none"/>
                    </w:rPr>
                    <w:t>NH</w:t>
                  </w:r>
                  <w:r>
                    <w:rPr>
                      <w:rFonts w:hint="eastAsia"/>
                      <w:b/>
                      <w:bCs/>
                      <w:color w:val="auto"/>
                      <w:highlight w:val="none"/>
                      <w:vertAlign w:val="subscript"/>
                    </w:rPr>
                    <w:t>3</w:t>
                  </w:r>
                  <w:r>
                    <w:rPr>
                      <w:rFonts w:hint="eastAsia"/>
                      <w:b/>
                      <w:bCs/>
                      <w:color w:val="auto"/>
                      <w:highlight w:val="none"/>
                    </w:rPr>
                    <w:t>-N</w:t>
                  </w:r>
                </w:p>
              </w:tc>
              <w:tc>
                <w:tcPr>
                  <w:tcW w:w="599" w:type="pct"/>
                  <w:tcBorders>
                    <w:tl2br w:val="nil"/>
                    <w:tr2bl w:val="nil"/>
                  </w:tcBorders>
                  <w:vAlign w:val="center"/>
                </w:tcPr>
                <w:p w14:paraId="1F19F164">
                  <w:pPr>
                    <w:shd w:val="clear"/>
                    <w:jc w:val="center"/>
                    <w:rPr>
                      <w:b/>
                      <w:bCs/>
                      <w:color w:val="auto"/>
                      <w:highlight w:val="none"/>
                    </w:rPr>
                  </w:pPr>
                  <w:r>
                    <w:rPr>
                      <w:rFonts w:hint="eastAsia"/>
                      <w:b/>
                      <w:bCs/>
                      <w:color w:val="auto"/>
                      <w:highlight w:val="none"/>
                    </w:rPr>
                    <w:t>SS</w:t>
                  </w:r>
                </w:p>
              </w:tc>
            </w:tr>
            <w:tr w14:paraId="5DAB9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1057" w:type="pct"/>
                  <w:tcBorders>
                    <w:tl2br w:val="nil"/>
                    <w:tr2bl w:val="nil"/>
                  </w:tcBorders>
                  <w:vAlign w:val="center"/>
                </w:tcPr>
                <w:p w14:paraId="561B25D7">
                  <w:pPr>
                    <w:shd w:val="clear"/>
                    <w:jc w:val="center"/>
                    <w:rPr>
                      <w:color w:val="auto"/>
                      <w:highlight w:val="none"/>
                    </w:rPr>
                  </w:pPr>
                  <w:r>
                    <w:rPr>
                      <w:rFonts w:hint="eastAsia"/>
                      <w:color w:val="auto"/>
                      <w:highlight w:val="none"/>
                    </w:rPr>
                    <w:t>标准限值</w:t>
                  </w:r>
                </w:p>
              </w:tc>
              <w:tc>
                <w:tcPr>
                  <w:tcW w:w="1033" w:type="pct"/>
                  <w:tcBorders>
                    <w:tl2br w:val="nil"/>
                    <w:tr2bl w:val="nil"/>
                  </w:tcBorders>
                  <w:vAlign w:val="center"/>
                </w:tcPr>
                <w:p w14:paraId="6F12C7BC">
                  <w:pPr>
                    <w:shd w:val="clear"/>
                    <w:jc w:val="center"/>
                    <w:rPr>
                      <w:color w:val="auto"/>
                      <w:highlight w:val="none"/>
                    </w:rPr>
                  </w:pPr>
                  <w:r>
                    <w:rPr>
                      <w:rFonts w:hint="eastAsia"/>
                      <w:color w:val="auto"/>
                      <w:highlight w:val="none"/>
                    </w:rPr>
                    <w:t>5.5~8.5</w:t>
                  </w:r>
                </w:p>
              </w:tc>
              <w:tc>
                <w:tcPr>
                  <w:tcW w:w="714" w:type="pct"/>
                  <w:tcBorders>
                    <w:tl2br w:val="nil"/>
                    <w:tr2bl w:val="nil"/>
                  </w:tcBorders>
                  <w:vAlign w:val="center"/>
                </w:tcPr>
                <w:p w14:paraId="7302CE1F">
                  <w:pPr>
                    <w:shd w:val="clear"/>
                    <w:jc w:val="center"/>
                    <w:rPr>
                      <w:color w:val="auto"/>
                      <w:highlight w:val="none"/>
                    </w:rPr>
                  </w:pPr>
                  <w:r>
                    <w:rPr>
                      <w:color w:val="auto"/>
                      <w:highlight w:val="none"/>
                    </w:rPr>
                    <w:t>≤</w:t>
                  </w:r>
                  <w:r>
                    <w:rPr>
                      <w:rFonts w:hint="eastAsia"/>
                      <w:color w:val="auto"/>
                      <w:highlight w:val="none"/>
                    </w:rPr>
                    <w:t>200</w:t>
                  </w:r>
                </w:p>
              </w:tc>
              <w:tc>
                <w:tcPr>
                  <w:tcW w:w="829" w:type="pct"/>
                  <w:tcBorders>
                    <w:tl2br w:val="nil"/>
                    <w:tr2bl w:val="nil"/>
                  </w:tcBorders>
                  <w:vAlign w:val="center"/>
                </w:tcPr>
                <w:p w14:paraId="4AF1D4E5">
                  <w:pPr>
                    <w:shd w:val="clear"/>
                    <w:jc w:val="center"/>
                    <w:rPr>
                      <w:color w:val="auto"/>
                      <w:highlight w:val="none"/>
                    </w:rPr>
                  </w:pPr>
                  <w:r>
                    <w:rPr>
                      <w:color w:val="auto"/>
                      <w:highlight w:val="none"/>
                    </w:rPr>
                    <w:t>≤</w:t>
                  </w:r>
                  <w:r>
                    <w:rPr>
                      <w:rFonts w:hint="eastAsia"/>
                      <w:color w:val="auto"/>
                      <w:highlight w:val="none"/>
                    </w:rPr>
                    <w:t>100</w:t>
                  </w:r>
                </w:p>
              </w:tc>
              <w:tc>
                <w:tcPr>
                  <w:tcW w:w="765" w:type="pct"/>
                  <w:tcBorders>
                    <w:tl2br w:val="nil"/>
                    <w:tr2bl w:val="nil"/>
                  </w:tcBorders>
                  <w:vAlign w:val="center"/>
                </w:tcPr>
                <w:p w14:paraId="4AB33C5D">
                  <w:pPr>
                    <w:shd w:val="clear"/>
                    <w:jc w:val="center"/>
                    <w:rPr>
                      <w:color w:val="auto"/>
                      <w:highlight w:val="none"/>
                    </w:rPr>
                  </w:pPr>
                  <w:r>
                    <w:rPr>
                      <w:rFonts w:hint="eastAsia" w:hAnsi="宋体"/>
                      <w:color w:val="auto"/>
                      <w:highlight w:val="none"/>
                    </w:rPr>
                    <w:t>—</w:t>
                  </w:r>
                </w:p>
              </w:tc>
              <w:tc>
                <w:tcPr>
                  <w:tcW w:w="599" w:type="pct"/>
                  <w:tcBorders>
                    <w:tl2br w:val="nil"/>
                    <w:tr2bl w:val="nil"/>
                  </w:tcBorders>
                  <w:vAlign w:val="center"/>
                </w:tcPr>
                <w:p w14:paraId="2A2B9501">
                  <w:pPr>
                    <w:shd w:val="clear"/>
                    <w:jc w:val="center"/>
                    <w:rPr>
                      <w:rFonts w:hAnsi="宋体"/>
                      <w:color w:val="auto"/>
                      <w:highlight w:val="none"/>
                    </w:rPr>
                  </w:pPr>
                  <w:r>
                    <w:rPr>
                      <w:color w:val="auto"/>
                      <w:highlight w:val="none"/>
                    </w:rPr>
                    <w:t>≤</w:t>
                  </w:r>
                  <w:r>
                    <w:rPr>
                      <w:rFonts w:hint="eastAsia" w:hAnsi="宋体"/>
                      <w:color w:val="auto"/>
                      <w:highlight w:val="none"/>
                    </w:rPr>
                    <w:t>100</w:t>
                  </w:r>
                </w:p>
              </w:tc>
            </w:tr>
          </w:tbl>
          <w:p w14:paraId="6C4DDF83">
            <w:pPr>
              <w:pStyle w:val="16"/>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textAlignment w:val="auto"/>
              <w:rPr>
                <w:rFonts w:hAnsi="宋体"/>
                <w:b/>
                <w:color w:val="auto"/>
                <w:sz w:val="24"/>
                <w:highlight w:val="none"/>
              </w:rPr>
            </w:pPr>
            <w:r>
              <w:rPr>
                <w:rFonts w:ascii="Times New Roman" w:hAnsi="Times New Roman" w:cs="Times New Roman"/>
                <w:b/>
                <w:color w:val="auto"/>
                <w:sz w:val="24"/>
                <w:highlight w:val="none"/>
              </w:rPr>
              <w:t>3</w:t>
            </w:r>
            <w:r>
              <w:rPr>
                <w:rFonts w:hint="eastAsia" w:ascii="Times New Roman" w:hAnsi="Times New Roman" w:cs="Times New Roman"/>
                <w:b/>
                <w:color w:val="auto"/>
                <w:sz w:val="24"/>
                <w:highlight w:val="none"/>
                <w:lang w:eastAsia="zh-CN"/>
              </w:rPr>
              <w:t>、</w:t>
            </w:r>
            <w:r>
              <w:rPr>
                <w:rFonts w:hAnsi="宋体"/>
                <w:b/>
                <w:color w:val="auto"/>
                <w:sz w:val="24"/>
                <w:highlight w:val="none"/>
              </w:rPr>
              <w:t>噪声排放</w:t>
            </w:r>
            <w:r>
              <w:rPr>
                <w:rFonts w:hint="eastAsia" w:hAnsi="宋体"/>
                <w:b/>
                <w:color w:val="auto"/>
                <w:sz w:val="24"/>
                <w:highlight w:val="none"/>
              </w:rPr>
              <w:t>标准</w:t>
            </w:r>
          </w:p>
          <w:p w14:paraId="11E3C1DE">
            <w:pPr>
              <w:pStyle w:val="16"/>
              <w:adjustRightInd w:val="0"/>
              <w:snapToGrid w:val="0"/>
              <w:spacing w:line="360" w:lineRule="auto"/>
              <w:ind w:firstLine="480"/>
              <w:rPr>
                <w:rFonts w:ascii="Times New Roman" w:hAnsi="Times New Roman" w:cs="Times New Roman"/>
                <w:color w:val="auto"/>
                <w:sz w:val="24"/>
                <w:szCs w:val="20"/>
                <w:highlight w:val="none"/>
              </w:rPr>
            </w:pPr>
            <w:r>
              <w:rPr>
                <w:rFonts w:ascii="Times New Roman" w:hAnsi="Times New Roman" w:cs="Times New Roman"/>
                <w:color w:val="auto"/>
                <w:sz w:val="24"/>
                <w:szCs w:val="20"/>
                <w:highlight w:val="none"/>
              </w:rPr>
              <w:t>建设期执行《建筑施工场界环境噪声排放标准》（GB12523-2011）中噪声限值，即昼间低于70dB（A），夜间低于55dB（A）。</w:t>
            </w:r>
          </w:p>
          <w:p w14:paraId="4DD58C21">
            <w:pPr>
              <w:pStyle w:val="16"/>
              <w:adjustRightInd w:val="0"/>
              <w:snapToGrid w:val="0"/>
              <w:spacing w:line="360" w:lineRule="auto"/>
              <w:ind w:firstLine="480"/>
              <w:rPr>
                <w:rFonts w:hint="default" w:ascii="Times New Roman" w:hAnsi="Times New Roman" w:eastAsia="宋体" w:cs="Times New Roman"/>
                <w:sz w:val="24"/>
                <w:szCs w:val="20"/>
                <w:highlight w:val="none"/>
              </w:rPr>
            </w:pPr>
            <w:r>
              <w:rPr>
                <w:rFonts w:hint="default" w:ascii="Times New Roman" w:hAnsi="Times New Roman" w:eastAsia="宋体" w:cs="Times New Roman"/>
                <w:kern w:val="0"/>
                <w:sz w:val="24"/>
                <w:highlight w:val="none"/>
              </w:rPr>
              <w:t>运营期</w:t>
            </w:r>
            <w:r>
              <w:rPr>
                <w:rFonts w:hint="default" w:ascii="Times New Roman" w:hAnsi="Times New Roman" w:eastAsia="宋体" w:cs="Times New Roman"/>
                <w:kern w:val="0"/>
                <w:sz w:val="24"/>
                <w:highlight w:val="none"/>
                <w:lang w:val="en-US" w:eastAsia="zh-CN"/>
              </w:rPr>
              <w:t>项目</w:t>
            </w:r>
            <w:r>
              <w:rPr>
                <w:rFonts w:hint="eastAsia" w:ascii="Times New Roman" w:hAnsi="Times New Roman" w:eastAsia="宋体" w:cs="Times New Roman"/>
                <w:kern w:val="0"/>
                <w:sz w:val="24"/>
                <w:highlight w:val="none"/>
                <w:lang w:val="en-US" w:eastAsia="zh-CN"/>
              </w:rPr>
              <w:t>东</w:t>
            </w:r>
            <w:r>
              <w:rPr>
                <w:rFonts w:hint="default" w:ascii="Times New Roman" w:hAnsi="Times New Roman" w:eastAsia="宋体" w:cs="Times New Roman"/>
                <w:kern w:val="0"/>
                <w:sz w:val="24"/>
                <w:highlight w:val="none"/>
                <w:lang w:val="en-US" w:eastAsia="zh-CN"/>
              </w:rPr>
              <w:t>侧边界执行</w:t>
            </w:r>
            <w:r>
              <w:rPr>
                <w:rFonts w:hint="default" w:ascii="Times New Roman" w:hAnsi="Times New Roman" w:eastAsia="宋体" w:cs="Times New Roman"/>
                <w:sz w:val="24"/>
                <w:szCs w:val="20"/>
                <w:highlight w:val="none"/>
              </w:rPr>
              <w:t>《工业企业厂界环境噪声排放标准》（GB12348-2008）中</w:t>
            </w:r>
            <w:r>
              <w:rPr>
                <w:rFonts w:hint="default" w:ascii="Times New Roman" w:hAnsi="Times New Roman" w:eastAsia="宋体" w:cs="Times New Roman"/>
                <w:sz w:val="24"/>
                <w:szCs w:val="20"/>
                <w:highlight w:val="none"/>
                <w:lang w:val="en-US" w:eastAsia="zh-CN"/>
              </w:rPr>
              <w:t>4</w:t>
            </w:r>
            <w:r>
              <w:rPr>
                <w:rFonts w:hint="default" w:ascii="Times New Roman" w:hAnsi="Times New Roman" w:eastAsia="宋体" w:cs="Times New Roman"/>
                <w:sz w:val="24"/>
                <w:szCs w:val="20"/>
                <w:highlight w:val="none"/>
              </w:rPr>
              <w:t>类排放标准要求，即昼间低于</w:t>
            </w:r>
            <w:r>
              <w:rPr>
                <w:rFonts w:hint="default" w:ascii="Times New Roman" w:hAnsi="Times New Roman" w:eastAsia="宋体" w:cs="Times New Roman"/>
                <w:sz w:val="24"/>
                <w:szCs w:val="20"/>
                <w:highlight w:val="none"/>
                <w:lang w:val="en-US" w:eastAsia="zh-CN"/>
              </w:rPr>
              <w:t>70</w:t>
            </w:r>
            <w:r>
              <w:rPr>
                <w:rFonts w:hint="default" w:ascii="Times New Roman" w:hAnsi="Times New Roman" w:eastAsia="宋体" w:cs="Times New Roman"/>
                <w:sz w:val="24"/>
                <w:szCs w:val="20"/>
                <w:highlight w:val="none"/>
              </w:rPr>
              <w:t>dB（A），夜间低于</w:t>
            </w:r>
            <w:r>
              <w:rPr>
                <w:rFonts w:hint="default" w:ascii="Times New Roman" w:hAnsi="Times New Roman" w:eastAsia="宋体" w:cs="Times New Roman"/>
                <w:sz w:val="24"/>
                <w:szCs w:val="20"/>
                <w:highlight w:val="none"/>
                <w:lang w:val="en-US" w:eastAsia="zh-CN"/>
              </w:rPr>
              <w:t>55</w:t>
            </w:r>
            <w:r>
              <w:rPr>
                <w:rFonts w:hint="default" w:ascii="Times New Roman" w:hAnsi="Times New Roman" w:eastAsia="宋体" w:cs="Times New Roman"/>
                <w:sz w:val="24"/>
                <w:szCs w:val="20"/>
                <w:highlight w:val="none"/>
              </w:rPr>
              <w:t>dB（A）</w:t>
            </w:r>
            <w:r>
              <w:rPr>
                <w:rFonts w:hint="default" w:ascii="Times New Roman" w:hAnsi="Times New Roman" w:eastAsia="宋体" w:cs="Times New Roman"/>
                <w:sz w:val="24"/>
                <w:szCs w:val="20"/>
                <w:highlight w:val="none"/>
                <w:lang w:eastAsia="zh-CN"/>
              </w:rPr>
              <w:t>；</w:t>
            </w:r>
            <w:r>
              <w:rPr>
                <w:rFonts w:hint="default" w:ascii="Times New Roman" w:hAnsi="Times New Roman" w:eastAsia="宋体" w:cs="Times New Roman"/>
                <w:kern w:val="0"/>
                <w:sz w:val="24"/>
                <w:highlight w:val="none"/>
                <w:lang w:val="en-US" w:eastAsia="zh-CN"/>
              </w:rPr>
              <w:t>其他边界</w:t>
            </w:r>
            <w:r>
              <w:rPr>
                <w:rFonts w:hint="default" w:ascii="Times New Roman" w:hAnsi="Times New Roman" w:eastAsia="宋体" w:cs="Times New Roman"/>
                <w:sz w:val="24"/>
                <w:szCs w:val="20"/>
                <w:highlight w:val="none"/>
              </w:rPr>
              <w:t>执行《工业企业厂界环境噪声排放标准》（GB12348-2008）中</w:t>
            </w:r>
            <w:r>
              <w:rPr>
                <w:rFonts w:hint="default" w:ascii="Times New Roman" w:hAnsi="Times New Roman" w:eastAsia="宋体" w:cs="Times New Roman"/>
                <w:sz w:val="24"/>
                <w:szCs w:val="20"/>
                <w:highlight w:val="none"/>
                <w:lang w:val="en-US" w:eastAsia="zh-CN"/>
              </w:rPr>
              <w:t>2</w:t>
            </w:r>
            <w:r>
              <w:rPr>
                <w:rFonts w:hint="default" w:ascii="Times New Roman" w:hAnsi="Times New Roman" w:eastAsia="宋体" w:cs="Times New Roman"/>
                <w:sz w:val="24"/>
                <w:szCs w:val="20"/>
                <w:highlight w:val="none"/>
              </w:rPr>
              <w:t>类排放标准要求，即昼间低于</w:t>
            </w:r>
            <w:r>
              <w:rPr>
                <w:rFonts w:hint="default" w:ascii="Times New Roman" w:hAnsi="Times New Roman" w:eastAsia="宋体" w:cs="Times New Roman"/>
                <w:sz w:val="24"/>
                <w:szCs w:val="20"/>
                <w:highlight w:val="none"/>
                <w:lang w:val="en-US" w:eastAsia="zh-CN"/>
              </w:rPr>
              <w:t>60</w:t>
            </w:r>
            <w:r>
              <w:rPr>
                <w:rFonts w:hint="default" w:ascii="Times New Roman" w:hAnsi="Times New Roman" w:eastAsia="宋体" w:cs="Times New Roman"/>
                <w:sz w:val="24"/>
                <w:szCs w:val="20"/>
                <w:highlight w:val="none"/>
              </w:rPr>
              <w:t>dB（A），夜间低于</w:t>
            </w:r>
            <w:r>
              <w:rPr>
                <w:rFonts w:hint="default" w:ascii="Times New Roman" w:hAnsi="Times New Roman" w:eastAsia="宋体" w:cs="Times New Roman"/>
                <w:sz w:val="24"/>
                <w:szCs w:val="20"/>
                <w:highlight w:val="none"/>
                <w:lang w:val="en-US" w:eastAsia="zh-CN"/>
              </w:rPr>
              <w:t>50</w:t>
            </w:r>
            <w:r>
              <w:rPr>
                <w:rFonts w:hint="default" w:ascii="Times New Roman" w:hAnsi="Times New Roman" w:eastAsia="宋体" w:cs="Times New Roman"/>
                <w:sz w:val="24"/>
                <w:szCs w:val="20"/>
                <w:highlight w:val="none"/>
              </w:rPr>
              <w:t>dB（A）</w:t>
            </w:r>
          </w:p>
          <w:p w14:paraId="06F1E687">
            <w:pPr>
              <w:pStyle w:val="16"/>
              <w:adjustRightInd w:val="0"/>
              <w:snapToGrid w:val="0"/>
              <w:spacing w:line="360" w:lineRule="auto"/>
              <w:ind w:firstLine="482" w:firstLineChars="200"/>
              <w:rPr>
                <w:rFonts w:ascii="Times New Roman" w:hAnsi="Times New Roman" w:cs="Times New Roman"/>
                <w:b/>
                <w:color w:val="auto"/>
                <w:sz w:val="24"/>
                <w:szCs w:val="24"/>
                <w:highlight w:val="none"/>
              </w:rPr>
            </w:pPr>
            <w:r>
              <w:rPr>
                <w:rFonts w:hint="eastAsia" w:ascii="Times New Roman" w:hAnsi="Times New Roman" w:cs="Times New Roman"/>
                <w:b/>
                <w:color w:val="auto"/>
                <w:sz w:val="24"/>
                <w:szCs w:val="24"/>
                <w:highlight w:val="none"/>
              </w:rPr>
              <w:t>4</w:t>
            </w:r>
            <w:r>
              <w:rPr>
                <w:rFonts w:hint="eastAsia" w:ascii="Times New Roman" w:hAnsi="Times New Roman" w:cs="Times New Roman"/>
                <w:b/>
                <w:color w:val="auto"/>
                <w:sz w:val="24"/>
                <w:szCs w:val="24"/>
                <w:highlight w:val="none"/>
                <w:lang w:eastAsia="zh-CN"/>
              </w:rPr>
              <w:t>、</w:t>
            </w:r>
            <w:r>
              <w:rPr>
                <w:rFonts w:hint="eastAsia" w:ascii="Times New Roman" w:hAnsi="Times New Roman" w:cs="Times New Roman"/>
                <w:b/>
                <w:color w:val="auto"/>
                <w:sz w:val="24"/>
                <w:szCs w:val="24"/>
                <w:highlight w:val="none"/>
              </w:rPr>
              <w:t>固体废弃物执行标准</w:t>
            </w:r>
          </w:p>
          <w:p w14:paraId="1812537B">
            <w:pPr>
              <w:adjustRightInd w:val="0"/>
              <w:snapToGrid w:val="0"/>
              <w:spacing w:line="360" w:lineRule="auto"/>
              <w:ind w:firstLine="480" w:firstLineChars="200"/>
              <w:jc w:val="left"/>
              <w:rPr>
                <w:color w:val="auto"/>
                <w:sz w:val="24"/>
                <w:highlight w:val="none"/>
              </w:rPr>
            </w:pPr>
            <w:r>
              <w:rPr>
                <w:rFonts w:hint="eastAsia"/>
                <w:color w:val="auto"/>
                <w:sz w:val="24"/>
                <w:highlight w:val="none"/>
                <w:lang w:val="en-US" w:eastAsia="zh-CN"/>
              </w:rPr>
              <w:t>本项目</w:t>
            </w:r>
            <w:r>
              <w:rPr>
                <w:color w:val="auto"/>
                <w:sz w:val="24"/>
                <w:highlight w:val="none"/>
              </w:rPr>
              <w:t>一般工业固废</w:t>
            </w:r>
            <w:r>
              <w:rPr>
                <w:rFonts w:hint="eastAsia"/>
                <w:color w:val="auto"/>
                <w:sz w:val="24"/>
                <w:highlight w:val="none"/>
              </w:rPr>
              <w:t>储存</w:t>
            </w:r>
            <w:r>
              <w:rPr>
                <w:color w:val="auto"/>
                <w:sz w:val="24"/>
                <w:highlight w:val="none"/>
              </w:rPr>
              <w:t>执行《一般工业固体废物贮存</w:t>
            </w:r>
            <w:r>
              <w:rPr>
                <w:rFonts w:hint="eastAsia"/>
                <w:color w:val="auto"/>
                <w:sz w:val="24"/>
                <w:highlight w:val="none"/>
                <w:lang w:val="en-US" w:eastAsia="zh-CN"/>
              </w:rPr>
              <w:t>和填埋</w:t>
            </w:r>
            <w:r>
              <w:rPr>
                <w:color w:val="auto"/>
                <w:sz w:val="24"/>
                <w:highlight w:val="none"/>
              </w:rPr>
              <w:t>污染控制标准》</w:t>
            </w:r>
            <w:r>
              <w:rPr>
                <w:rFonts w:hint="eastAsia"/>
                <w:color w:val="auto"/>
                <w:sz w:val="24"/>
                <w:highlight w:val="none"/>
                <w:lang w:eastAsia="zh-CN"/>
              </w:rPr>
              <w:t>（GB18599-2020），</w:t>
            </w:r>
            <w:r>
              <w:rPr>
                <w:rFonts w:hint="eastAsia" w:cs="Times New Roman"/>
                <w:color w:val="auto"/>
                <w:sz w:val="24"/>
                <w:highlight w:val="none"/>
                <w:lang w:val="en-US" w:eastAsia="zh-CN"/>
              </w:rPr>
              <w:t>危险废物贮存执行</w:t>
            </w:r>
            <w:r>
              <w:rPr>
                <w:rFonts w:hint="eastAsia" w:cs="Times New Roman"/>
                <w:color w:val="auto"/>
                <w:sz w:val="24"/>
                <w:highlight w:val="none"/>
                <w:lang w:eastAsia="zh-CN"/>
              </w:rPr>
              <w:t>《危险废物贮存污染控制标准》（GB18597—2023）</w:t>
            </w:r>
            <w:r>
              <w:rPr>
                <w:rFonts w:hint="eastAsia"/>
                <w:color w:val="auto"/>
                <w:sz w:val="24"/>
                <w:highlight w:val="none"/>
              </w:rPr>
              <w:t>。</w:t>
            </w:r>
          </w:p>
        </w:tc>
      </w:tr>
      <w:tr w14:paraId="596C91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28" w:hRule="atLeast"/>
          <w:jc w:val="center"/>
        </w:trPr>
        <w:tc>
          <w:tcPr>
            <w:tcW w:w="856" w:type="dxa"/>
            <w:vAlign w:val="center"/>
          </w:tcPr>
          <w:p w14:paraId="4D360D6F">
            <w:pPr>
              <w:adjustRightInd w:val="0"/>
              <w:snapToGrid w:val="0"/>
              <w:jc w:val="center"/>
              <w:rPr>
                <w:color w:val="auto"/>
                <w:kern w:val="0"/>
                <w:szCs w:val="21"/>
                <w:highlight w:val="none"/>
              </w:rPr>
            </w:pPr>
            <w:r>
              <w:rPr>
                <w:color w:val="auto"/>
                <w:kern w:val="0"/>
                <w:sz w:val="24"/>
                <w:szCs w:val="24"/>
                <w:highlight w:val="none"/>
              </w:rPr>
              <w:t>总量控制指标</w:t>
            </w:r>
          </w:p>
        </w:tc>
        <w:tc>
          <w:tcPr>
            <w:tcW w:w="8205" w:type="dxa"/>
            <w:vAlign w:val="center"/>
          </w:tcPr>
          <w:p w14:paraId="3E91B9BD">
            <w:pPr>
              <w:spacing w:line="360" w:lineRule="auto"/>
              <w:ind w:firstLine="480" w:firstLineChars="200"/>
              <w:jc w:val="both"/>
              <w:rPr>
                <w:rFonts w:hint="eastAsia"/>
                <w:color w:val="auto"/>
                <w:sz w:val="24"/>
                <w:szCs w:val="24"/>
                <w:highlight w:val="none"/>
              </w:rPr>
            </w:pPr>
          </w:p>
          <w:p w14:paraId="6B1965C3">
            <w:pPr>
              <w:adjustRightInd w:val="0"/>
              <w:snapToGrid w:val="0"/>
              <w:spacing w:line="360" w:lineRule="auto"/>
              <w:ind w:firstLine="480" w:firstLineChars="200"/>
              <w:rPr>
                <w:rFonts w:hint="eastAsia"/>
                <w:color w:val="auto"/>
                <w:sz w:val="24"/>
                <w:szCs w:val="24"/>
                <w:highlight w:val="none"/>
              </w:rPr>
            </w:pPr>
            <w:r>
              <w:rPr>
                <w:rFonts w:hint="eastAsia" w:ascii="Times New Roman" w:hAnsi="Times New Roman" w:cs="Times New Roman"/>
                <w:color w:val="auto"/>
                <w:sz w:val="24"/>
                <w:szCs w:val="24"/>
                <w:highlight w:val="none"/>
                <w:u w:val="none"/>
              </w:rPr>
              <w:t>本工程新增废水排放量</w:t>
            </w:r>
            <w:r>
              <w:rPr>
                <w:rFonts w:hint="eastAsia" w:cs="Times New Roman"/>
                <w:color w:val="auto"/>
                <w:sz w:val="24"/>
                <w:szCs w:val="24"/>
                <w:highlight w:val="none"/>
                <w:u w:val="none"/>
                <w:lang w:val="en-US" w:eastAsia="zh-CN"/>
              </w:rPr>
              <w:t>3600</w:t>
            </w:r>
            <w:r>
              <w:rPr>
                <w:rFonts w:hint="eastAsia" w:ascii="Times New Roman" w:hAnsi="Times New Roman" w:cs="Times New Roman"/>
                <w:color w:val="auto"/>
                <w:sz w:val="24"/>
                <w:szCs w:val="24"/>
                <w:highlight w:val="none"/>
                <w:u w:val="none"/>
              </w:rPr>
              <w:t>m</w:t>
            </w:r>
            <w:r>
              <w:rPr>
                <w:rFonts w:hint="eastAsia" w:ascii="Times New Roman" w:hAnsi="Times New Roman" w:cs="Times New Roman"/>
                <w:color w:val="auto"/>
                <w:sz w:val="24"/>
                <w:szCs w:val="24"/>
                <w:highlight w:val="none"/>
                <w:u w:val="none"/>
                <w:vertAlign w:val="superscript"/>
              </w:rPr>
              <w:t>3</w:t>
            </w:r>
            <w:r>
              <w:rPr>
                <w:rFonts w:hint="eastAsia" w:ascii="Times New Roman" w:hAnsi="Times New Roman" w:cs="Times New Roman"/>
                <w:color w:val="auto"/>
                <w:sz w:val="24"/>
                <w:szCs w:val="24"/>
                <w:highlight w:val="none"/>
                <w:u w:val="none"/>
              </w:rPr>
              <w:t>/a（</w:t>
            </w:r>
            <w:r>
              <w:rPr>
                <w:rFonts w:hint="eastAsia" w:cs="Times New Roman"/>
                <w:color w:val="auto"/>
                <w:sz w:val="24"/>
                <w:szCs w:val="24"/>
                <w:highlight w:val="none"/>
                <w:u w:val="none"/>
                <w:lang w:val="en-US" w:eastAsia="zh-CN"/>
              </w:rPr>
              <w:t>18</w:t>
            </w:r>
            <w:r>
              <w:rPr>
                <w:rFonts w:hint="eastAsia" w:ascii="Times New Roman" w:hAnsi="Times New Roman" w:cs="Times New Roman"/>
                <w:color w:val="auto"/>
                <w:sz w:val="24"/>
                <w:szCs w:val="24"/>
                <w:highlight w:val="none"/>
                <w:u w:val="none"/>
              </w:rPr>
              <w:t>m</w:t>
            </w:r>
            <w:r>
              <w:rPr>
                <w:rFonts w:hint="eastAsia" w:ascii="Times New Roman" w:hAnsi="Times New Roman" w:cs="Times New Roman"/>
                <w:color w:val="auto"/>
                <w:sz w:val="24"/>
                <w:szCs w:val="24"/>
                <w:highlight w:val="none"/>
                <w:u w:val="none"/>
                <w:vertAlign w:val="superscript"/>
              </w:rPr>
              <w:t>3</w:t>
            </w:r>
            <w:r>
              <w:rPr>
                <w:rFonts w:hint="eastAsia" w:ascii="Times New Roman" w:hAnsi="Times New Roman" w:cs="Times New Roman"/>
                <w:color w:val="auto"/>
                <w:sz w:val="24"/>
                <w:szCs w:val="24"/>
                <w:highlight w:val="none"/>
                <w:u w:val="none"/>
              </w:rPr>
              <w:t>/d），主要污染物新增排放量为CODCr：</w:t>
            </w:r>
            <w:r>
              <w:rPr>
                <w:rFonts w:hint="eastAsia" w:cs="Times New Roman"/>
                <w:color w:val="auto"/>
                <w:sz w:val="24"/>
                <w:szCs w:val="24"/>
                <w:highlight w:val="none"/>
                <w:u w:val="none"/>
                <w:lang w:val="en-US" w:eastAsia="zh-CN"/>
              </w:rPr>
              <w:t>0.214</w:t>
            </w:r>
            <w:r>
              <w:rPr>
                <w:rFonts w:hint="eastAsia" w:ascii="Times New Roman" w:hAnsi="Times New Roman" w:cs="Times New Roman"/>
                <w:color w:val="auto"/>
                <w:sz w:val="24"/>
                <w:szCs w:val="24"/>
                <w:highlight w:val="none"/>
                <w:u w:val="none"/>
              </w:rPr>
              <w:t>t/a；NH</w:t>
            </w:r>
            <w:r>
              <w:rPr>
                <w:rFonts w:hint="eastAsia" w:ascii="Times New Roman" w:hAnsi="Times New Roman" w:cs="Times New Roman"/>
                <w:color w:val="auto"/>
                <w:sz w:val="24"/>
                <w:szCs w:val="24"/>
                <w:highlight w:val="none"/>
                <w:u w:val="none"/>
                <w:vertAlign w:val="subscript"/>
              </w:rPr>
              <w:t>3</w:t>
            </w:r>
            <w:r>
              <w:rPr>
                <w:rFonts w:hint="eastAsia" w:ascii="Times New Roman" w:hAnsi="Times New Roman" w:cs="Times New Roman"/>
                <w:color w:val="auto"/>
                <w:sz w:val="24"/>
                <w:szCs w:val="24"/>
                <w:highlight w:val="none"/>
                <w:u w:val="none"/>
              </w:rPr>
              <w:t>-N：</w:t>
            </w:r>
            <w:r>
              <w:rPr>
                <w:rFonts w:hint="eastAsia" w:cs="Times New Roman"/>
                <w:color w:val="auto"/>
                <w:sz w:val="24"/>
                <w:szCs w:val="24"/>
                <w:highlight w:val="none"/>
                <w:u w:val="none"/>
                <w:lang w:val="en-US" w:eastAsia="zh-CN"/>
              </w:rPr>
              <w:t>0.018</w:t>
            </w:r>
            <w:r>
              <w:rPr>
                <w:rFonts w:hint="eastAsia" w:ascii="Times New Roman" w:hAnsi="Times New Roman" w:cs="Times New Roman"/>
                <w:color w:val="auto"/>
                <w:sz w:val="24"/>
                <w:szCs w:val="24"/>
                <w:highlight w:val="none"/>
                <w:u w:val="none"/>
              </w:rPr>
              <w:t>t/a</w:t>
            </w:r>
            <w:r>
              <w:rPr>
                <w:rFonts w:hint="eastAsia"/>
                <w:color w:val="auto"/>
                <w:sz w:val="24"/>
                <w:szCs w:val="24"/>
                <w:highlight w:val="none"/>
              </w:rPr>
              <w:t>。</w:t>
            </w:r>
            <w:r>
              <w:rPr>
                <w:rFonts w:hint="eastAsia"/>
                <w:color w:val="auto"/>
                <w:sz w:val="24"/>
                <w:szCs w:val="24"/>
                <w:highlight w:val="none"/>
                <w:lang w:val="en-US" w:eastAsia="zh-CN"/>
              </w:rPr>
              <w:t>其中</w:t>
            </w:r>
            <w:r>
              <w:rPr>
                <w:rFonts w:hint="eastAsia" w:ascii="Times New Roman" w:hAnsi="宋体" w:eastAsia="宋体" w:cs="Times New Roman"/>
                <w:color w:val="auto"/>
                <w:spacing w:val="-2"/>
                <w:kern w:val="0"/>
                <w:sz w:val="24"/>
                <w:szCs w:val="20"/>
                <w:highlight w:val="none"/>
                <w:lang w:val="en-US" w:eastAsia="zh-CN"/>
              </w:rPr>
              <w:t>所需</w:t>
            </w:r>
            <w:r>
              <w:rPr>
                <w:rFonts w:hint="eastAsia" w:hAnsi="宋体" w:eastAsia="宋体" w:cs="Times New Roman"/>
                <w:color w:val="auto"/>
                <w:spacing w:val="-2"/>
                <w:kern w:val="0"/>
                <w:sz w:val="24"/>
                <w:szCs w:val="20"/>
                <w:highlight w:val="none"/>
                <w:lang w:val="en-US" w:eastAsia="zh-CN"/>
              </w:rPr>
              <w:t>化学需氧量、氨氮</w:t>
            </w:r>
            <w:r>
              <w:rPr>
                <w:rFonts w:hint="eastAsia" w:ascii="Times New Roman" w:hAnsi="宋体" w:eastAsia="宋体" w:cs="Times New Roman"/>
                <w:color w:val="auto"/>
                <w:spacing w:val="-2"/>
                <w:kern w:val="0"/>
                <w:sz w:val="24"/>
                <w:szCs w:val="20"/>
                <w:highlight w:val="none"/>
                <w:lang w:val="en-US" w:eastAsia="zh-CN"/>
              </w:rPr>
              <w:t>总量从黄圃镇污水处理厂替代削减方案中分配，总量来源指标说明见附件</w:t>
            </w:r>
            <w:r>
              <w:rPr>
                <w:rFonts w:hint="eastAsia" w:hAnsi="宋体" w:eastAsia="宋体" w:cs="Times New Roman"/>
                <w:color w:val="auto"/>
                <w:spacing w:val="-2"/>
                <w:kern w:val="0"/>
                <w:sz w:val="24"/>
                <w:szCs w:val="20"/>
                <w:highlight w:val="none"/>
                <w:lang w:val="en-US" w:eastAsia="zh-CN"/>
              </w:rPr>
              <w:t>3</w:t>
            </w:r>
            <w:r>
              <w:rPr>
                <w:rFonts w:hint="eastAsia" w:ascii="Times New Roman" w:hAnsi="宋体" w:eastAsia="宋体" w:cs="Times New Roman"/>
                <w:color w:val="auto"/>
                <w:spacing w:val="-2"/>
                <w:kern w:val="0"/>
                <w:sz w:val="24"/>
                <w:szCs w:val="20"/>
                <w:highlight w:val="none"/>
                <w:lang w:val="en-US" w:eastAsia="zh-CN"/>
              </w:rPr>
              <w:t>。</w:t>
            </w:r>
          </w:p>
          <w:p w14:paraId="3A00E06D">
            <w:pPr>
              <w:spacing w:line="360" w:lineRule="auto"/>
              <w:ind w:firstLine="480" w:firstLineChars="200"/>
              <w:jc w:val="both"/>
              <w:rPr>
                <w:rFonts w:hint="eastAsia" w:ascii="Times New Roman" w:hAnsi="宋体" w:eastAsia="宋体" w:cs="Times New Roman"/>
                <w:sz w:val="24"/>
                <w:highlight w:val="none"/>
                <w:lang w:eastAsia="zh-CN"/>
              </w:rPr>
            </w:pPr>
            <w:r>
              <w:rPr>
                <w:rFonts w:hint="eastAsia"/>
                <w:color w:val="auto"/>
                <w:sz w:val="24"/>
                <w:szCs w:val="24"/>
                <w:highlight w:val="none"/>
              </w:rPr>
              <w:t>本项目大气污染物有组织排放量为颗粒物</w:t>
            </w:r>
            <w:r>
              <w:rPr>
                <w:rFonts w:hint="eastAsia"/>
                <w:color w:val="auto"/>
                <w:sz w:val="24"/>
                <w:szCs w:val="24"/>
                <w:highlight w:val="none"/>
                <w:lang w:eastAsia="zh-CN"/>
              </w:rPr>
              <w:t>：</w:t>
            </w:r>
            <w:r>
              <w:rPr>
                <w:rFonts w:hint="eastAsia"/>
                <w:color w:val="auto"/>
                <w:sz w:val="24"/>
                <w:szCs w:val="24"/>
                <w:highlight w:val="none"/>
                <w:lang w:val="en-US" w:eastAsia="zh-CN"/>
              </w:rPr>
              <w:t>2.05</w:t>
            </w:r>
            <w:r>
              <w:rPr>
                <w:rFonts w:hint="eastAsia"/>
                <w:color w:val="auto"/>
                <w:sz w:val="24"/>
                <w:szCs w:val="24"/>
                <w:highlight w:val="none"/>
              </w:rPr>
              <w:t>t/a</w:t>
            </w:r>
            <w:r>
              <w:rPr>
                <w:rFonts w:hint="eastAsia"/>
                <w:color w:val="auto"/>
                <w:sz w:val="24"/>
                <w:szCs w:val="24"/>
                <w:highlight w:val="none"/>
                <w:lang w:eastAsia="zh-CN"/>
              </w:rPr>
              <w:t>，</w:t>
            </w:r>
            <w:r>
              <w:rPr>
                <w:rFonts w:hint="eastAsia"/>
                <w:color w:val="auto"/>
                <w:sz w:val="24"/>
                <w:szCs w:val="24"/>
                <w:highlight w:val="none"/>
              </w:rPr>
              <w:t>二氧化硫</w:t>
            </w:r>
            <w:r>
              <w:rPr>
                <w:rFonts w:hint="eastAsia"/>
                <w:color w:val="auto"/>
                <w:sz w:val="24"/>
                <w:szCs w:val="24"/>
                <w:highlight w:val="none"/>
                <w:lang w:eastAsia="zh-CN"/>
              </w:rPr>
              <w:t>：</w:t>
            </w:r>
            <w:r>
              <w:rPr>
                <w:rFonts w:hint="eastAsia"/>
                <w:color w:val="auto"/>
                <w:sz w:val="24"/>
                <w:szCs w:val="24"/>
                <w:highlight w:val="none"/>
                <w:lang w:val="en-US" w:eastAsia="zh-CN"/>
              </w:rPr>
              <w:t>2.33</w:t>
            </w:r>
            <w:r>
              <w:rPr>
                <w:rFonts w:hint="eastAsia"/>
                <w:color w:val="auto"/>
                <w:sz w:val="24"/>
                <w:szCs w:val="24"/>
                <w:highlight w:val="none"/>
              </w:rPr>
              <w:t>t/a，氮氧化物</w:t>
            </w:r>
            <w:r>
              <w:rPr>
                <w:rFonts w:hint="eastAsia"/>
                <w:color w:val="auto"/>
                <w:sz w:val="24"/>
                <w:szCs w:val="24"/>
                <w:highlight w:val="none"/>
                <w:lang w:eastAsia="zh-CN"/>
              </w:rPr>
              <w:t>：</w:t>
            </w:r>
            <w:r>
              <w:rPr>
                <w:rFonts w:hint="eastAsia"/>
                <w:color w:val="auto"/>
                <w:sz w:val="24"/>
                <w:szCs w:val="24"/>
                <w:highlight w:val="none"/>
                <w:lang w:val="en-US" w:eastAsia="zh-CN"/>
              </w:rPr>
              <w:t>11.37</w:t>
            </w:r>
            <w:r>
              <w:rPr>
                <w:rFonts w:hint="eastAsia"/>
                <w:color w:val="auto"/>
                <w:sz w:val="24"/>
                <w:szCs w:val="24"/>
                <w:highlight w:val="none"/>
              </w:rPr>
              <w:t>t/a，无组织排放量为颗粒物</w:t>
            </w:r>
            <w:r>
              <w:rPr>
                <w:rFonts w:hint="eastAsia"/>
                <w:color w:val="auto"/>
                <w:sz w:val="24"/>
                <w:szCs w:val="24"/>
                <w:highlight w:val="none"/>
                <w:lang w:eastAsia="zh-CN"/>
              </w:rPr>
              <w:t>：</w:t>
            </w:r>
            <w:r>
              <w:rPr>
                <w:rFonts w:hint="eastAsia"/>
                <w:color w:val="auto"/>
                <w:sz w:val="24"/>
                <w:szCs w:val="24"/>
                <w:highlight w:val="none"/>
                <w:lang w:val="en-US" w:eastAsia="zh-CN"/>
              </w:rPr>
              <w:t>0.0011</w:t>
            </w:r>
            <w:r>
              <w:rPr>
                <w:rFonts w:hint="eastAsia"/>
                <w:color w:val="auto"/>
                <w:sz w:val="24"/>
                <w:szCs w:val="24"/>
                <w:highlight w:val="none"/>
              </w:rPr>
              <w:t>t/a，合计颗粒物</w:t>
            </w:r>
            <w:r>
              <w:rPr>
                <w:rFonts w:hint="eastAsia"/>
                <w:color w:val="auto"/>
                <w:sz w:val="24"/>
                <w:szCs w:val="24"/>
                <w:highlight w:val="none"/>
                <w:lang w:eastAsia="zh-CN"/>
              </w:rPr>
              <w:t>：</w:t>
            </w:r>
            <w:r>
              <w:rPr>
                <w:rFonts w:hint="eastAsia"/>
                <w:color w:val="auto"/>
                <w:sz w:val="24"/>
                <w:szCs w:val="24"/>
                <w:highlight w:val="none"/>
                <w:lang w:val="en-US" w:eastAsia="zh-CN"/>
              </w:rPr>
              <w:t>2.0511</w:t>
            </w:r>
            <w:r>
              <w:rPr>
                <w:rFonts w:hint="eastAsia"/>
                <w:color w:val="auto"/>
                <w:sz w:val="24"/>
                <w:szCs w:val="24"/>
                <w:highlight w:val="none"/>
              </w:rPr>
              <w:t>t/a</w:t>
            </w:r>
            <w:r>
              <w:rPr>
                <w:rFonts w:hint="eastAsia"/>
                <w:color w:val="auto"/>
                <w:sz w:val="24"/>
                <w:szCs w:val="24"/>
                <w:highlight w:val="none"/>
                <w:lang w:eastAsia="zh-CN"/>
              </w:rPr>
              <w:t>，</w:t>
            </w:r>
            <w:r>
              <w:rPr>
                <w:rFonts w:hint="eastAsia"/>
                <w:color w:val="auto"/>
                <w:sz w:val="24"/>
                <w:szCs w:val="24"/>
                <w:highlight w:val="none"/>
              </w:rPr>
              <w:t>二氧化硫</w:t>
            </w:r>
            <w:r>
              <w:rPr>
                <w:rFonts w:hint="eastAsia"/>
                <w:color w:val="auto"/>
                <w:sz w:val="24"/>
                <w:szCs w:val="24"/>
                <w:highlight w:val="none"/>
                <w:lang w:eastAsia="zh-CN"/>
              </w:rPr>
              <w:t>：</w:t>
            </w:r>
            <w:r>
              <w:rPr>
                <w:rFonts w:hint="eastAsia"/>
                <w:color w:val="auto"/>
                <w:sz w:val="24"/>
                <w:szCs w:val="24"/>
                <w:highlight w:val="none"/>
                <w:lang w:val="en-US" w:eastAsia="zh-CN"/>
              </w:rPr>
              <w:t>2.33</w:t>
            </w:r>
            <w:r>
              <w:rPr>
                <w:rFonts w:hint="eastAsia"/>
                <w:color w:val="auto"/>
                <w:sz w:val="24"/>
                <w:szCs w:val="24"/>
                <w:highlight w:val="none"/>
              </w:rPr>
              <w:t>t/a，氮氧化物</w:t>
            </w:r>
            <w:r>
              <w:rPr>
                <w:rFonts w:hint="eastAsia"/>
                <w:color w:val="auto"/>
                <w:sz w:val="24"/>
                <w:szCs w:val="24"/>
                <w:highlight w:val="none"/>
                <w:lang w:eastAsia="zh-CN"/>
              </w:rPr>
              <w:t>：</w:t>
            </w:r>
            <w:r>
              <w:rPr>
                <w:rFonts w:hint="eastAsia"/>
                <w:color w:val="auto"/>
                <w:sz w:val="24"/>
                <w:szCs w:val="24"/>
                <w:highlight w:val="none"/>
                <w:lang w:val="en-US" w:eastAsia="zh-CN"/>
              </w:rPr>
              <w:t>11.37</w:t>
            </w:r>
            <w:r>
              <w:rPr>
                <w:rFonts w:hint="eastAsia"/>
                <w:color w:val="auto"/>
                <w:sz w:val="24"/>
                <w:szCs w:val="24"/>
                <w:highlight w:val="none"/>
              </w:rPr>
              <w:t>t/a。</w:t>
            </w:r>
            <w:r>
              <w:rPr>
                <w:rFonts w:hint="eastAsia"/>
                <w:color w:val="auto"/>
                <w:sz w:val="24"/>
                <w:szCs w:val="24"/>
                <w:highlight w:val="none"/>
                <w:lang w:val="en-US" w:eastAsia="zh-CN"/>
              </w:rPr>
              <w:t>其中</w:t>
            </w:r>
            <w:r>
              <w:rPr>
                <w:rFonts w:hint="eastAsia" w:ascii="Times New Roman" w:hAnsi="宋体" w:eastAsia="宋体" w:cs="Times New Roman"/>
                <w:color w:val="auto"/>
                <w:spacing w:val="-2"/>
                <w:kern w:val="0"/>
                <w:sz w:val="24"/>
                <w:szCs w:val="20"/>
                <w:highlight w:val="none"/>
                <w:lang w:val="en-US" w:eastAsia="zh-CN"/>
              </w:rPr>
              <w:t>所需</w:t>
            </w:r>
            <w:r>
              <w:rPr>
                <w:rFonts w:hint="eastAsia" w:hAnsi="宋体" w:eastAsia="宋体" w:cs="Times New Roman"/>
                <w:color w:val="auto"/>
                <w:spacing w:val="-2"/>
                <w:kern w:val="0"/>
                <w:sz w:val="24"/>
                <w:szCs w:val="20"/>
                <w:highlight w:val="none"/>
                <w:lang w:val="en-US" w:eastAsia="zh-CN"/>
              </w:rPr>
              <w:t>氮氧化物</w:t>
            </w:r>
            <w:r>
              <w:rPr>
                <w:rFonts w:hint="eastAsia" w:ascii="Times New Roman" w:hAnsi="宋体" w:eastAsia="宋体" w:cs="Times New Roman"/>
                <w:color w:val="auto"/>
                <w:spacing w:val="-2"/>
                <w:kern w:val="0"/>
                <w:sz w:val="24"/>
                <w:szCs w:val="20"/>
                <w:highlight w:val="none"/>
                <w:lang w:val="en-US" w:eastAsia="zh-CN"/>
              </w:rPr>
              <w:t>总量从乐昌东锆新材料有限公司燃煤锅炉淘汰项目中分配，总量来源指标说明见附件</w:t>
            </w:r>
            <w:r>
              <w:rPr>
                <w:rFonts w:hint="eastAsia" w:hAnsi="宋体" w:eastAsia="宋体" w:cs="Times New Roman"/>
                <w:color w:val="auto"/>
                <w:spacing w:val="-2"/>
                <w:kern w:val="0"/>
                <w:sz w:val="24"/>
                <w:szCs w:val="20"/>
                <w:highlight w:val="none"/>
                <w:lang w:val="en-US" w:eastAsia="zh-CN"/>
              </w:rPr>
              <w:t>3</w:t>
            </w:r>
            <w:r>
              <w:rPr>
                <w:rFonts w:hint="eastAsia" w:ascii="Times New Roman" w:hAnsi="宋体" w:eastAsia="宋体" w:cs="Times New Roman"/>
                <w:color w:val="auto"/>
                <w:spacing w:val="-2"/>
                <w:kern w:val="0"/>
                <w:sz w:val="24"/>
                <w:szCs w:val="20"/>
                <w:highlight w:val="none"/>
                <w:lang w:val="en-US" w:eastAsia="zh-CN"/>
              </w:rPr>
              <w:t>。</w:t>
            </w:r>
          </w:p>
          <w:p w14:paraId="5025F595">
            <w:pPr>
              <w:adjustRightInd w:val="0"/>
              <w:snapToGrid w:val="0"/>
              <w:spacing w:line="360" w:lineRule="auto"/>
              <w:ind w:firstLine="480" w:firstLineChars="200"/>
              <w:rPr>
                <w:rFonts w:hint="eastAsia"/>
                <w:color w:val="auto"/>
                <w:sz w:val="24"/>
                <w:szCs w:val="24"/>
                <w:highlight w:val="none"/>
              </w:rPr>
            </w:pPr>
          </w:p>
          <w:p w14:paraId="0B6FC70D">
            <w:pPr>
              <w:pStyle w:val="30"/>
              <w:shd w:val="clear"/>
              <w:spacing w:line="360" w:lineRule="auto"/>
              <w:ind w:left="0" w:leftChars="0" w:firstLine="480"/>
              <w:rPr>
                <w:color w:val="auto"/>
                <w:sz w:val="24"/>
                <w:szCs w:val="24"/>
                <w:highlight w:val="none"/>
              </w:rPr>
            </w:pPr>
          </w:p>
          <w:p w14:paraId="7927863A">
            <w:pPr>
              <w:pStyle w:val="43"/>
              <w:rPr>
                <w:color w:val="auto"/>
                <w:sz w:val="24"/>
                <w:szCs w:val="24"/>
                <w:highlight w:val="none"/>
              </w:rPr>
            </w:pPr>
          </w:p>
          <w:p w14:paraId="1854BD10">
            <w:pPr>
              <w:pStyle w:val="43"/>
              <w:rPr>
                <w:color w:val="auto"/>
                <w:sz w:val="24"/>
                <w:szCs w:val="24"/>
                <w:highlight w:val="none"/>
              </w:rPr>
            </w:pPr>
          </w:p>
          <w:p w14:paraId="11E4AF37">
            <w:pPr>
              <w:pStyle w:val="43"/>
              <w:rPr>
                <w:color w:val="auto"/>
                <w:sz w:val="24"/>
                <w:szCs w:val="24"/>
                <w:highlight w:val="none"/>
              </w:rPr>
            </w:pPr>
          </w:p>
          <w:p w14:paraId="3D8B3CA0">
            <w:pPr>
              <w:pStyle w:val="43"/>
              <w:rPr>
                <w:color w:val="auto"/>
                <w:sz w:val="24"/>
                <w:szCs w:val="24"/>
                <w:highlight w:val="none"/>
              </w:rPr>
            </w:pPr>
          </w:p>
          <w:p w14:paraId="2C7E980A">
            <w:pPr>
              <w:pStyle w:val="43"/>
              <w:rPr>
                <w:color w:val="auto"/>
                <w:sz w:val="24"/>
                <w:szCs w:val="24"/>
                <w:highlight w:val="none"/>
              </w:rPr>
            </w:pPr>
          </w:p>
          <w:p w14:paraId="44946F97">
            <w:pPr>
              <w:pStyle w:val="43"/>
              <w:rPr>
                <w:color w:val="auto"/>
                <w:sz w:val="24"/>
                <w:szCs w:val="24"/>
                <w:highlight w:val="none"/>
              </w:rPr>
            </w:pPr>
          </w:p>
          <w:p w14:paraId="5AB9D86C">
            <w:pPr>
              <w:pStyle w:val="43"/>
              <w:rPr>
                <w:color w:val="auto"/>
                <w:sz w:val="24"/>
                <w:szCs w:val="24"/>
                <w:highlight w:val="none"/>
              </w:rPr>
            </w:pPr>
          </w:p>
          <w:p w14:paraId="06CBFE4C">
            <w:pPr>
              <w:pStyle w:val="43"/>
              <w:rPr>
                <w:color w:val="auto"/>
                <w:sz w:val="24"/>
                <w:szCs w:val="24"/>
                <w:highlight w:val="none"/>
              </w:rPr>
            </w:pPr>
          </w:p>
          <w:p w14:paraId="4013485E">
            <w:pPr>
              <w:pStyle w:val="43"/>
              <w:rPr>
                <w:color w:val="auto"/>
                <w:sz w:val="24"/>
                <w:szCs w:val="24"/>
                <w:highlight w:val="none"/>
              </w:rPr>
            </w:pPr>
          </w:p>
          <w:p w14:paraId="267D1753">
            <w:pPr>
              <w:rPr>
                <w:color w:val="auto"/>
                <w:kern w:val="0"/>
                <w:szCs w:val="21"/>
                <w:highlight w:val="none"/>
              </w:rPr>
            </w:pPr>
          </w:p>
        </w:tc>
      </w:tr>
    </w:tbl>
    <w:p w14:paraId="4BFA3D1C">
      <w:pPr>
        <w:pStyle w:val="26"/>
        <w:jc w:val="center"/>
        <w:outlineLvl w:val="0"/>
        <w:rPr>
          <w:rFonts w:ascii="Times New Roman" w:hAnsi="Times New Roman" w:eastAsia="黑体"/>
          <w:snapToGrid w:val="0"/>
          <w:color w:val="auto"/>
          <w:sz w:val="36"/>
          <w:szCs w:val="36"/>
          <w:highlight w:val="none"/>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7DFDCE89">
      <w:pPr>
        <w:pStyle w:val="2"/>
        <w:jc w:val="center"/>
        <w:rPr>
          <w:rFonts w:hint="eastAsia" w:ascii="宋体" w:hAnsi="宋体" w:eastAsia="宋体" w:cs="宋体"/>
          <w:sz w:val="36"/>
          <w:szCs w:val="36"/>
          <w:highlight w:val="none"/>
        </w:rPr>
      </w:pPr>
      <w:bookmarkStart w:id="38" w:name="_Toc26264"/>
      <w:bookmarkStart w:id="39" w:name="_Toc15220"/>
      <w:r>
        <w:rPr>
          <w:rFonts w:hint="eastAsia" w:ascii="宋体" w:hAnsi="宋体" w:eastAsia="宋体" w:cs="宋体"/>
          <w:sz w:val="36"/>
          <w:szCs w:val="36"/>
          <w:highlight w:val="none"/>
        </w:rPr>
        <w:t>四、主要环境影响和保护措施</w:t>
      </w:r>
      <w:bookmarkEnd w:id="38"/>
      <w:bookmarkEnd w:id="39"/>
    </w:p>
    <w:tbl>
      <w:tblPr>
        <w:tblStyle w:val="31"/>
        <w:tblW w:w="905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91"/>
        <w:gridCol w:w="8368"/>
      </w:tblGrid>
      <w:tr w14:paraId="457797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71" w:hRule="atLeast"/>
          <w:jc w:val="center"/>
        </w:trPr>
        <w:tc>
          <w:tcPr>
            <w:tcW w:w="691" w:type="dxa"/>
            <w:tcMar>
              <w:left w:w="28" w:type="dxa"/>
              <w:right w:w="28" w:type="dxa"/>
            </w:tcMar>
            <w:vAlign w:val="center"/>
          </w:tcPr>
          <w:p w14:paraId="4B926C15">
            <w:pPr>
              <w:pStyle w:val="26"/>
              <w:adjustRightInd w:val="0"/>
              <w:snapToGrid w:val="0"/>
              <w:spacing w:before="0" w:beforeAutospacing="0" w:after="0" w:afterAutospacing="0"/>
              <w:jc w:val="center"/>
              <w:rPr>
                <w:rFonts w:ascii="Times New Roman" w:hAnsi="Times New Roman"/>
                <w:bCs/>
                <w:color w:val="auto"/>
                <w:kern w:val="2"/>
                <w:sz w:val="21"/>
                <w:szCs w:val="21"/>
                <w:highlight w:val="none"/>
              </w:rPr>
            </w:pPr>
            <w:r>
              <w:rPr>
                <w:rFonts w:ascii="Times New Roman" w:hAnsi="Times New Roman"/>
                <w:color w:val="auto"/>
                <w:kern w:val="2"/>
                <w:sz w:val="24"/>
                <w:szCs w:val="24"/>
                <w:highlight w:val="none"/>
              </w:rPr>
              <w:t>施工期环境保护措施</w:t>
            </w:r>
          </w:p>
        </w:tc>
        <w:tc>
          <w:tcPr>
            <w:tcW w:w="8368" w:type="dxa"/>
            <w:vAlign w:val="center"/>
          </w:tcPr>
          <w:p w14:paraId="6D877DC7">
            <w:pPr>
              <w:autoSpaceDE w:val="0"/>
              <w:autoSpaceDN w:val="0"/>
              <w:adjustRightInd w:val="0"/>
              <w:snapToGrid w:val="0"/>
              <w:spacing w:line="360" w:lineRule="auto"/>
              <w:ind w:firstLine="482" w:firstLineChars="200"/>
              <w:rPr>
                <w:rFonts w:hint="eastAsia"/>
                <w:b/>
                <w:color w:val="auto"/>
                <w:kern w:val="0"/>
                <w:sz w:val="24"/>
                <w:szCs w:val="24"/>
                <w:highlight w:val="none"/>
              </w:rPr>
            </w:pPr>
            <w:r>
              <w:rPr>
                <w:b/>
                <w:color w:val="auto"/>
                <w:kern w:val="0"/>
                <w:sz w:val="24"/>
                <w:szCs w:val="24"/>
                <w:highlight w:val="none"/>
              </w:rPr>
              <w:t>1、</w:t>
            </w:r>
            <w:r>
              <w:rPr>
                <w:rFonts w:hint="eastAsia"/>
                <w:b/>
                <w:color w:val="auto"/>
                <w:kern w:val="0"/>
                <w:sz w:val="24"/>
                <w:szCs w:val="24"/>
                <w:highlight w:val="none"/>
              </w:rPr>
              <w:t>施工期扬尘治理措施</w:t>
            </w:r>
          </w:p>
          <w:p w14:paraId="6DAEF37C">
            <w:pPr>
              <w:autoSpaceDE w:val="0"/>
              <w:autoSpaceDN w:val="0"/>
              <w:adjustRightInd w:val="0"/>
              <w:snapToGrid w:val="0"/>
              <w:spacing w:line="360" w:lineRule="auto"/>
              <w:ind w:firstLine="480" w:firstLineChars="200"/>
              <w:rPr>
                <w:rFonts w:hint="eastAsia" w:eastAsia="宋体"/>
                <w:color w:val="auto"/>
                <w:kern w:val="0"/>
                <w:sz w:val="24"/>
                <w:szCs w:val="24"/>
                <w:highlight w:val="none"/>
                <w:lang w:eastAsia="zh-CN"/>
              </w:rPr>
            </w:pPr>
            <w:r>
              <w:rPr>
                <w:rFonts w:hint="eastAsia"/>
                <w:color w:val="auto"/>
                <w:kern w:val="0"/>
                <w:sz w:val="24"/>
                <w:szCs w:val="24"/>
                <w:highlight w:val="none"/>
              </w:rPr>
              <w:t>A．施工现场必须采用封闭</w:t>
            </w:r>
            <w:r>
              <w:rPr>
                <w:rFonts w:hint="eastAsia"/>
                <w:color w:val="auto"/>
                <w:kern w:val="0"/>
                <w:sz w:val="24"/>
                <w:szCs w:val="24"/>
                <w:highlight w:val="none"/>
                <w:lang w:val="en-US" w:eastAsia="zh-CN"/>
              </w:rPr>
              <w:t>围挡</w:t>
            </w:r>
            <w:r>
              <w:rPr>
                <w:rFonts w:hint="eastAsia"/>
                <w:color w:val="auto"/>
                <w:kern w:val="0"/>
                <w:sz w:val="24"/>
                <w:szCs w:val="24"/>
                <w:highlight w:val="none"/>
              </w:rPr>
              <w:t>，</w:t>
            </w:r>
            <w:r>
              <w:rPr>
                <w:rFonts w:hint="eastAsia"/>
                <w:color w:val="auto"/>
                <w:kern w:val="0"/>
                <w:sz w:val="24"/>
                <w:szCs w:val="24"/>
                <w:highlight w:val="none"/>
                <w:lang w:eastAsia="zh-CN"/>
              </w:rPr>
              <w:t>围挡</w:t>
            </w:r>
            <w:r>
              <w:rPr>
                <w:rFonts w:hint="eastAsia"/>
                <w:color w:val="auto"/>
                <w:kern w:val="0"/>
                <w:sz w:val="24"/>
                <w:szCs w:val="24"/>
                <w:highlight w:val="none"/>
              </w:rPr>
              <w:t>应坚固、整洁、美观；高度不得小于1.8m</w:t>
            </w:r>
            <w:r>
              <w:rPr>
                <w:rFonts w:hint="eastAsia"/>
                <w:color w:val="auto"/>
                <w:kern w:val="0"/>
                <w:sz w:val="24"/>
                <w:szCs w:val="24"/>
                <w:highlight w:val="none"/>
                <w:lang w:eastAsia="zh-CN"/>
              </w:rPr>
              <w:t>。</w:t>
            </w:r>
          </w:p>
          <w:p w14:paraId="26677A02">
            <w:pPr>
              <w:autoSpaceDE w:val="0"/>
              <w:autoSpaceDN w:val="0"/>
              <w:adjustRightInd w:val="0"/>
              <w:snapToGrid w:val="0"/>
              <w:spacing w:line="360" w:lineRule="auto"/>
              <w:ind w:firstLine="480" w:firstLineChars="200"/>
              <w:rPr>
                <w:rFonts w:hint="eastAsia"/>
                <w:color w:val="auto"/>
                <w:kern w:val="0"/>
                <w:sz w:val="24"/>
                <w:szCs w:val="24"/>
                <w:highlight w:val="none"/>
              </w:rPr>
            </w:pPr>
            <w:r>
              <w:rPr>
                <w:rFonts w:hint="eastAsia"/>
                <w:color w:val="auto"/>
                <w:kern w:val="0"/>
                <w:sz w:val="24"/>
                <w:szCs w:val="24"/>
                <w:highlight w:val="none"/>
              </w:rPr>
              <w:t>B．施工现场土方作业应采取防止扬尘措施</w:t>
            </w:r>
            <w:r>
              <w:rPr>
                <w:rFonts w:hint="eastAsia"/>
                <w:color w:val="auto"/>
                <w:kern w:val="0"/>
                <w:sz w:val="24"/>
                <w:szCs w:val="24"/>
                <w:highlight w:val="none"/>
                <w:lang w:eastAsia="zh-CN"/>
              </w:rPr>
              <w:t>，</w:t>
            </w:r>
            <w:r>
              <w:rPr>
                <w:rFonts w:hint="eastAsia"/>
                <w:color w:val="auto"/>
                <w:kern w:val="0"/>
                <w:sz w:val="24"/>
                <w:szCs w:val="24"/>
                <w:highlight w:val="none"/>
                <w:lang w:val="en-US" w:eastAsia="zh-CN"/>
              </w:rPr>
              <w:t>配置洒水车，每日至少喷洒3-4次</w:t>
            </w:r>
            <w:r>
              <w:rPr>
                <w:rFonts w:hint="eastAsia"/>
                <w:color w:val="auto"/>
                <w:kern w:val="0"/>
                <w:sz w:val="24"/>
                <w:szCs w:val="24"/>
                <w:highlight w:val="none"/>
              </w:rPr>
              <w:t>；从事土方、渣土和施工垃圾运输应采用密闭式运输车辆或采取覆盖措施；施工现场出入口设置洗车槽，车辆离场前冲洗轮胎及车身。</w:t>
            </w:r>
          </w:p>
          <w:p w14:paraId="7634AB4B">
            <w:pPr>
              <w:autoSpaceDE w:val="0"/>
              <w:autoSpaceDN w:val="0"/>
              <w:adjustRightInd w:val="0"/>
              <w:snapToGrid w:val="0"/>
              <w:spacing w:line="360" w:lineRule="auto"/>
              <w:ind w:firstLine="480" w:firstLineChars="200"/>
              <w:rPr>
                <w:rFonts w:hint="eastAsia"/>
                <w:color w:val="auto"/>
                <w:kern w:val="0"/>
                <w:sz w:val="24"/>
                <w:szCs w:val="24"/>
                <w:highlight w:val="none"/>
              </w:rPr>
            </w:pPr>
            <w:r>
              <w:rPr>
                <w:rFonts w:hint="eastAsia"/>
                <w:color w:val="auto"/>
                <w:kern w:val="0"/>
                <w:sz w:val="24"/>
                <w:szCs w:val="24"/>
                <w:highlight w:val="none"/>
                <w:lang w:val="en-US" w:eastAsia="zh-CN"/>
              </w:rPr>
              <w:t>C</w:t>
            </w:r>
            <w:r>
              <w:rPr>
                <w:rFonts w:hint="eastAsia"/>
                <w:color w:val="auto"/>
                <w:kern w:val="0"/>
                <w:sz w:val="24"/>
                <w:szCs w:val="24"/>
                <w:highlight w:val="none"/>
              </w:rPr>
              <w:t>．施工现场严禁焚烧各类废弃物。</w:t>
            </w:r>
          </w:p>
          <w:p w14:paraId="726C3961">
            <w:pPr>
              <w:autoSpaceDE w:val="0"/>
              <w:autoSpaceDN w:val="0"/>
              <w:adjustRightInd w:val="0"/>
              <w:snapToGrid w:val="0"/>
              <w:spacing w:line="360" w:lineRule="auto"/>
              <w:ind w:firstLine="480" w:firstLineChars="200"/>
              <w:rPr>
                <w:rFonts w:hint="eastAsia"/>
                <w:color w:val="auto"/>
                <w:kern w:val="0"/>
                <w:sz w:val="24"/>
                <w:szCs w:val="24"/>
                <w:highlight w:val="none"/>
              </w:rPr>
            </w:pPr>
            <w:r>
              <w:rPr>
                <w:rFonts w:hint="eastAsia"/>
                <w:color w:val="auto"/>
                <w:kern w:val="0"/>
                <w:sz w:val="24"/>
                <w:szCs w:val="24"/>
                <w:highlight w:val="none"/>
                <w:lang w:val="en-US" w:eastAsia="zh-CN"/>
              </w:rPr>
              <w:t>D</w:t>
            </w:r>
            <w:r>
              <w:rPr>
                <w:rFonts w:hint="eastAsia"/>
                <w:color w:val="auto"/>
                <w:kern w:val="0"/>
                <w:sz w:val="24"/>
                <w:szCs w:val="24"/>
                <w:highlight w:val="none"/>
              </w:rPr>
              <w:t>．对可能扬尘的施工场地定时洒水，并为在场的作业人员配备必要的专用劳保用品。对易于引起粉尘的细料或散料应予遮盖或适当洒水，运输时亦应予遮盖。</w:t>
            </w:r>
          </w:p>
          <w:p w14:paraId="1DF05AF6">
            <w:pPr>
              <w:autoSpaceDE w:val="0"/>
              <w:autoSpaceDN w:val="0"/>
              <w:adjustRightInd w:val="0"/>
              <w:snapToGrid w:val="0"/>
              <w:spacing w:line="360" w:lineRule="auto"/>
              <w:ind w:firstLine="480" w:firstLineChars="200"/>
              <w:rPr>
                <w:rFonts w:hint="eastAsia"/>
                <w:color w:val="auto"/>
                <w:kern w:val="0"/>
                <w:sz w:val="24"/>
                <w:szCs w:val="24"/>
                <w:highlight w:val="none"/>
              </w:rPr>
            </w:pPr>
            <w:r>
              <w:rPr>
                <w:rFonts w:hint="eastAsia"/>
                <w:color w:val="auto"/>
                <w:kern w:val="0"/>
                <w:sz w:val="24"/>
                <w:szCs w:val="24"/>
                <w:highlight w:val="none"/>
                <w:lang w:val="en-US" w:eastAsia="zh-CN"/>
              </w:rPr>
              <w:t>E</w:t>
            </w:r>
            <w:r>
              <w:rPr>
                <w:rFonts w:hint="eastAsia"/>
                <w:color w:val="auto"/>
                <w:kern w:val="0"/>
                <w:sz w:val="24"/>
                <w:szCs w:val="24"/>
                <w:highlight w:val="none"/>
              </w:rPr>
              <w:t>．汽车进入施工场地应减速行驶，减少扬尘。</w:t>
            </w:r>
          </w:p>
          <w:p w14:paraId="346CB33C">
            <w:pPr>
              <w:autoSpaceDE w:val="0"/>
              <w:autoSpaceDN w:val="0"/>
              <w:adjustRightInd w:val="0"/>
              <w:snapToGrid w:val="0"/>
              <w:spacing w:line="360" w:lineRule="auto"/>
              <w:ind w:firstLine="482" w:firstLineChars="200"/>
              <w:rPr>
                <w:rFonts w:hint="eastAsia"/>
                <w:b/>
                <w:color w:val="auto"/>
                <w:kern w:val="0"/>
                <w:sz w:val="24"/>
                <w:szCs w:val="24"/>
                <w:highlight w:val="none"/>
              </w:rPr>
            </w:pPr>
            <w:r>
              <w:rPr>
                <w:rFonts w:hint="eastAsia"/>
                <w:b/>
                <w:color w:val="auto"/>
                <w:kern w:val="0"/>
                <w:sz w:val="24"/>
                <w:szCs w:val="24"/>
                <w:highlight w:val="none"/>
              </w:rPr>
              <w:t>2、施工期废水防治措施</w:t>
            </w:r>
          </w:p>
          <w:p w14:paraId="07A90B45">
            <w:pPr>
              <w:autoSpaceDE w:val="0"/>
              <w:autoSpaceDN w:val="0"/>
              <w:adjustRightInd w:val="0"/>
              <w:snapToGrid w:val="0"/>
              <w:spacing w:line="360" w:lineRule="auto"/>
              <w:ind w:firstLine="480" w:firstLineChars="200"/>
              <w:rPr>
                <w:rFonts w:hint="eastAsia"/>
                <w:color w:val="auto"/>
                <w:kern w:val="0"/>
                <w:sz w:val="24"/>
                <w:szCs w:val="24"/>
                <w:highlight w:val="none"/>
              </w:rPr>
            </w:pPr>
            <w:r>
              <w:rPr>
                <w:rFonts w:hint="eastAsia"/>
                <w:color w:val="auto"/>
                <w:kern w:val="0"/>
                <w:sz w:val="24"/>
                <w:szCs w:val="24"/>
                <w:highlight w:val="none"/>
              </w:rPr>
              <w:t>A．加强对施工机械的维修保养，防止机械使用的油类渗漏进入土壤和地下水。</w:t>
            </w:r>
          </w:p>
          <w:p w14:paraId="14B096BE">
            <w:pPr>
              <w:autoSpaceDE w:val="0"/>
              <w:autoSpaceDN w:val="0"/>
              <w:adjustRightInd w:val="0"/>
              <w:snapToGrid w:val="0"/>
              <w:spacing w:line="360" w:lineRule="auto"/>
              <w:ind w:firstLine="480" w:firstLineChars="200"/>
              <w:rPr>
                <w:rFonts w:hint="eastAsia" w:hAnsi="宋体"/>
                <w:color w:val="auto"/>
                <w:sz w:val="24"/>
                <w:szCs w:val="24"/>
                <w:highlight w:val="none"/>
              </w:rPr>
            </w:pPr>
            <w:r>
              <w:rPr>
                <w:rFonts w:hint="eastAsia"/>
                <w:color w:val="auto"/>
                <w:kern w:val="0"/>
                <w:sz w:val="24"/>
                <w:szCs w:val="24"/>
                <w:highlight w:val="none"/>
                <w:lang w:val="en-US" w:eastAsia="zh-CN"/>
              </w:rPr>
              <w:t>B</w:t>
            </w:r>
            <w:r>
              <w:rPr>
                <w:rFonts w:hint="eastAsia"/>
                <w:color w:val="auto"/>
                <w:kern w:val="0"/>
                <w:sz w:val="24"/>
                <w:szCs w:val="24"/>
                <w:highlight w:val="none"/>
              </w:rPr>
              <w:t>．</w:t>
            </w:r>
            <w:r>
              <w:rPr>
                <w:rFonts w:hint="eastAsia" w:hAnsi="宋体"/>
                <w:color w:val="auto"/>
                <w:sz w:val="24"/>
                <w:szCs w:val="24"/>
                <w:highlight w:val="none"/>
              </w:rPr>
              <w:t>建设单位拟在施工场周围设置废水收集沟并设置二级沉淀池，将</w:t>
            </w:r>
            <w:r>
              <w:rPr>
                <w:rFonts w:hint="eastAsia" w:hAnsi="宋体"/>
                <w:color w:val="auto"/>
                <w:sz w:val="24"/>
                <w:szCs w:val="24"/>
                <w:highlight w:val="none"/>
                <w:lang w:val="en-US" w:eastAsia="zh-CN"/>
              </w:rPr>
              <w:t>施工</w:t>
            </w:r>
            <w:r>
              <w:rPr>
                <w:rFonts w:hint="eastAsia" w:hAnsi="宋体"/>
                <w:color w:val="auto"/>
                <w:sz w:val="24"/>
                <w:szCs w:val="24"/>
                <w:highlight w:val="none"/>
              </w:rPr>
              <w:t>废水收集至二沉池处理后回用或用于各易扬尘点洒水，不外排。</w:t>
            </w:r>
          </w:p>
          <w:p w14:paraId="0020CE47">
            <w:pPr>
              <w:autoSpaceDE w:val="0"/>
              <w:autoSpaceDN w:val="0"/>
              <w:adjustRightInd w:val="0"/>
              <w:snapToGrid w:val="0"/>
              <w:spacing w:line="360" w:lineRule="auto"/>
              <w:ind w:firstLine="480" w:firstLineChars="200"/>
              <w:rPr>
                <w:rFonts w:hint="eastAsia"/>
                <w:color w:val="auto"/>
                <w:kern w:val="0"/>
                <w:sz w:val="24"/>
                <w:szCs w:val="24"/>
                <w:highlight w:val="none"/>
              </w:rPr>
            </w:pPr>
            <w:r>
              <w:rPr>
                <w:rFonts w:hint="eastAsia" w:ascii="Times New Roman" w:hAnsi="Times New Roman" w:eastAsia="宋体" w:cs="Times New Roman"/>
                <w:color w:val="auto"/>
                <w:kern w:val="0"/>
                <w:sz w:val="24"/>
                <w:szCs w:val="24"/>
                <w:highlight w:val="none"/>
                <w:lang w:val="en-US" w:eastAsia="zh-CN"/>
              </w:rPr>
              <w:t>C</w:t>
            </w:r>
            <w:r>
              <w:rPr>
                <w:rFonts w:hint="eastAsia"/>
                <w:color w:val="auto"/>
                <w:kern w:val="0"/>
                <w:sz w:val="24"/>
                <w:szCs w:val="24"/>
                <w:highlight w:val="none"/>
              </w:rPr>
              <w:t>．</w:t>
            </w:r>
            <w:r>
              <w:rPr>
                <w:rFonts w:hint="eastAsia"/>
                <w:color w:val="auto"/>
                <w:kern w:val="0"/>
                <w:sz w:val="24"/>
                <w:szCs w:val="24"/>
                <w:highlight w:val="none"/>
                <w:lang w:val="en-US" w:eastAsia="zh-CN"/>
              </w:rPr>
              <w:t>施工期生活污水经化粪池处理后，用作场地内绿化浇灌，不外排。</w:t>
            </w:r>
          </w:p>
          <w:p w14:paraId="456F32A3">
            <w:pPr>
              <w:autoSpaceDE w:val="0"/>
              <w:autoSpaceDN w:val="0"/>
              <w:adjustRightInd w:val="0"/>
              <w:snapToGrid w:val="0"/>
              <w:spacing w:line="360" w:lineRule="auto"/>
              <w:ind w:firstLine="482" w:firstLineChars="200"/>
              <w:rPr>
                <w:rFonts w:hint="eastAsia"/>
                <w:b/>
                <w:color w:val="auto"/>
                <w:kern w:val="0"/>
                <w:sz w:val="24"/>
                <w:szCs w:val="24"/>
                <w:highlight w:val="none"/>
              </w:rPr>
            </w:pPr>
            <w:r>
              <w:rPr>
                <w:rFonts w:hint="eastAsia"/>
                <w:b/>
                <w:color w:val="auto"/>
                <w:kern w:val="0"/>
                <w:sz w:val="24"/>
                <w:szCs w:val="24"/>
                <w:highlight w:val="none"/>
              </w:rPr>
              <w:t>3、噪声防治措施</w:t>
            </w:r>
          </w:p>
          <w:p w14:paraId="31C3E27C">
            <w:pPr>
              <w:autoSpaceDE w:val="0"/>
              <w:autoSpaceDN w:val="0"/>
              <w:adjustRightInd w:val="0"/>
              <w:snapToGrid w:val="0"/>
              <w:spacing w:line="360" w:lineRule="auto"/>
              <w:ind w:firstLine="480" w:firstLineChars="200"/>
              <w:rPr>
                <w:color w:val="auto"/>
                <w:kern w:val="0"/>
                <w:sz w:val="24"/>
                <w:szCs w:val="24"/>
                <w:highlight w:val="none"/>
              </w:rPr>
            </w:pPr>
            <w:r>
              <w:rPr>
                <w:rFonts w:hint="eastAsia"/>
                <w:color w:val="auto"/>
                <w:kern w:val="0"/>
                <w:sz w:val="24"/>
                <w:szCs w:val="24"/>
                <w:highlight w:val="none"/>
              </w:rPr>
              <w:t>施工噪声主要来自施工机械，</w:t>
            </w:r>
            <w:r>
              <w:rPr>
                <w:color w:val="auto"/>
                <w:kern w:val="0"/>
                <w:sz w:val="24"/>
                <w:szCs w:val="24"/>
                <w:highlight w:val="none"/>
              </w:rPr>
              <w:t>为减轻施工噪声对其造成的影响，建设单位拟采用的噪声防治措施如下：</w:t>
            </w:r>
          </w:p>
          <w:p w14:paraId="714C609E">
            <w:pPr>
              <w:autoSpaceDE w:val="0"/>
              <w:autoSpaceDN w:val="0"/>
              <w:adjustRightInd w:val="0"/>
              <w:snapToGrid w:val="0"/>
              <w:spacing w:line="360" w:lineRule="auto"/>
              <w:ind w:firstLine="480" w:firstLineChars="200"/>
              <w:rPr>
                <w:color w:val="auto"/>
                <w:kern w:val="0"/>
                <w:sz w:val="24"/>
                <w:szCs w:val="24"/>
                <w:highlight w:val="none"/>
              </w:rPr>
            </w:pPr>
            <w:r>
              <w:rPr>
                <w:rFonts w:hint="eastAsia"/>
                <w:color w:val="auto"/>
                <w:kern w:val="0"/>
                <w:sz w:val="24"/>
                <w:szCs w:val="24"/>
                <w:highlight w:val="none"/>
              </w:rPr>
              <w:t>①</w:t>
            </w:r>
            <w:r>
              <w:rPr>
                <w:color w:val="auto"/>
                <w:kern w:val="0"/>
                <w:sz w:val="24"/>
                <w:szCs w:val="24"/>
                <w:highlight w:val="none"/>
              </w:rPr>
              <w:t>尽量选用低噪声机械设备，同时加强保养和维护，并负责对现场工作人员进行培训，严格按操作规范使用各类机械。</w:t>
            </w:r>
          </w:p>
          <w:p w14:paraId="42488EE4">
            <w:pPr>
              <w:autoSpaceDE w:val="0"/>
              <w:autoSpaceDN w:val="0"/>
              <w:adjustRightInd w:val="0"/>
              <w:snapToGrid w:val="0"/>
              <w:spacing w:line="360" w:lineRule="auto"/>
              <w:ind w:firstLine="480" w:firstLineChars="200"/>
              <w:rPr>
                <w:color w:val="auto"/>
                <w:kern w:val="0"/>
                <w:sz w:val="24"/>
                <w:szCs w:val="24"/>
                <w:highlight w:val="none"/>
              </w:rPr>
            </w:pPr>
            <w:r>
              <w:rPr>
                <w:rFonts w:hint="eastAsia"/>
                <w:color w:val="auto"/>
                <w:kern w:val="0"/>
                <w:sz w:val="24"/>
                <w:szCs w:val="24"/>
                <w:highlight w:val="none"/>
              </w:rPr>
              <w:t>②</w:t>
            </w:r>
            <w:r>
              <w:rPr>
                <w:color w:val="auto"/>
                <w:kern w:val="0"/>
                <w:sz w:val="24"/>
                <w:szCs w:val="24"/>
                <w:highlight w:val="none"/>
              </w:rPr>
              <w:t>合理安排施工时间：合理安排好施工时间，禁止在12:00～14:30、22:00～8:00期间施工；若因工程进度要求或抢险需要连续施工作业时，则提前5天向环保局申报，获《夜间噪声排放证》，并设立施工公告牌，接受市民监督，以取得市民谅解，防止扰民事件发生。“两考”期间禁止夜间施工作业。</w:t>
            </w:r>
          </w:p>
          <w:p w14:paraId="30712C5A">
            <w:pPr>
              <w:autoSpaceDE w:val="0"/>
              <w:autoSpaceDN w:val="0"/>
              <w:adjustRightInd w:val="0"/>
              <w:snapToGrid w:val="0"/>
              <w:spacing w:line="360" w:lineRule="auto"/>
              <w:ind w:firstLine="480" w:firstLineChars="200"/>
              <w:rPr>
                <w:color w:val="auto"/>
                <w:kern w:val="0"/>
                <w:sz w:val="24"/>
                <w:szCs w:val="24"/>
                <w:highlight w:val="none"/>
              </w:rPr>
            </w:pPr>
            <w:r>
              <w:rPr>
                <w:rFonts w:hint="eastAsia" w:ascii="宋体" w:hAnsi="宋体" w:cs="宋体"/>
                <w:color w:val="auto"/>
                <w:kern w:val="0"/>
                <w:sz w:val="24"/>
                <w:szCs w:val="24"/>
                <w:highlight w:val="none"/>
              </w:rPr>
              <w:t>③</w:t>
            </w:r>
            <w:r>
              <w:rPr>
                <w:color w:val="auto"/>
                <w:kern w:val="0"/>
                <w:sz w:val="24"/>
                <w:szCs w:val="24"/>
                <w:highlight w:val="none"/>
              </w:rPr>
              <w:t>采用距离防护措施：高噪声设备布置在远离居民点</w:t>
            </w:r>
            <w:r>
              <w:rPr>
                <w:rFonts w:hint="eastAsia"/>
                <w:color w:val="auto"/>
                <w:kern w:val="0"/>
                <w:sz w:val="24"/>
                <w:szCs w:val="24"/>
                <w:highlight w:val="none"/>
              </w:rPr>
              <w:t>一侧</w:t>
            </w:r>
            <w:r>
              <w:rPr>
                <w:color w:val="auto"/>
                <w:kern w:val="0"/>
                <w:sz w:val="24"/>
                <w:szCs w:val="24"/>
                <w:highlight w:val="none"/>
              </w:rPr>
              <w:t>，同时对固定的机械设备尽量入棚操作。</w:t>
            </w:r>
          </w:p>
          <w:p w14:paraId="5C8CB721">
            <w:pPr>
              <w:autoSpaceDE w:val="0"/>
              <w:autoSpaceDN w:val="0"/>
              <w:adjustRightInd w:val="0"/>
              <w:snapToGrid w:val="0"/>
              <w:spacing w:line="360" w:lineRule="auto"/>
              <w:ind w:firstLine="480" w:firstLineChars="200"/>
              <w:rPr>
                <w:color w:val="auto"/>
                <w:kern w:val="0"/>
                <w:sz w:val="24"/>
                <w:szCs w:val="24"/>
                <w:highlight w:val="none"/>
              </w:rPr>
            </w:pPr>
            <w:r>
              <w:rPr>
                <w:rFonts w:hint="eastAsia" w:ascii="宋体" w:hAnsi="宋体" w:cs="宋体"/>
                <w:color w:val="auto"/>
                <w:kern w:val="0"/>
                <w:sz w:val="24"/>
                <w:szCs w:val="24"/>
                <w:highlight w:val="none"/>
              </w:rPr>
              <w:t>④</w:t>
            </w:r>
            <w:r>
              <w:rPr>
                <w:color w:val="auto"/>
                <w:kern w:val="0"/>
                <w:sz w:val="24"/>
                <w:szCs w:val="24"/>
                <w:highlight w:val="none"/>
              </w:rPr>
              <w:t>使用商品混凝土，避免混凝土搅拌机等噪声的影响。</w:t>
            </w:r>
          </w:p>
          <w:p w14:paraId="2B65FEFE">
            <w:pPr>
              <w:autoSpaceDE w:val="0"/>
              <w:autoSpaceDN w:val="0"/>
              <w:adjustRightInd w:val="0"/>
              <w:snapToGrid w:val="0"/>
              <w:spacing w:line="360" w:lineRule="auto"/>
              <w:ind w:firstLine="480" w:firstLineChars="200"/>
              <w:rPr>
                <w:color w:val="auto"/>
                <w:kern w:val="0"/>
                <w:sz w:val="24"/>
                <w:szCs w:val="24"/>
                <w:highlight w:val="none"/>
              </w:rPr>
            </w:pPr>
            <w:r>
              <w:rPr>
                <w:rFonts w:hint="eastAsia" w:ascii="宋体" w:hAnsi="宋体" w:cs="宋体"/>
                <w:color w:val="auto"/>
                <w:kern w:val="0"/>
                <w:sz w:val="24"/>
                <w:szCs w:val="24"/>
                <w:highlight w:val="none"/>
              </w:rPr>
              <w:t>⑤</w:t>
            </w:r>
            <w:r>
              <w:rPr>
                <w:color w:val="auto"/>
                <w:kern w:val="0"/>
                <w:sz w:val="24"/>
                <w:szCs w:val="24"/>
                <w:highlight w:val="none"/>
              </w:rPr>
              <w:t>在施工场地周围有敏感点的地方设立临时声屏障。</w:t>
            </w:r>
          </w:p>
          <w:p w14:paraId="18EDAC42">
            <w:pPr>
              <w:autoSpaceDE w:val="0"/>
              <w:autoSpaceDN w:val="0"/>
              <w:adjustRightInd w:val="0"/>
              <w:snapToGrid w:val="0"/>
              <w:spacing w:line="360" w:lineRule="auto"/>
              <w:ind w:firstLine="480" w:firstLineChars="200"/>
              <w:rPr>
                <w:color w:val="auto"/>
                <w:kern w:val="0"/>
                <w:sz w:val="24"/>
                <w:szCs w:val="24"/>
                <w:highlight w:val="none"/>
              </w:rPr>
            </w:pPr>
            <w:r>
              <w:rPr>
                <w:rFonts w:hint="eastAsia" w:ascii="宋体" w:hAnsi="宋体" w:cs="宋体"/>
                <w:color w:val="auto"/>
                <w:kern w:val="0"/>
                <w:sz w:val="24"/>
                <w:szCs w:val="24"/>
                <w:highlight w:val="none"/>
              </w:rPr>
              <w:t>⑥</w:t>
            </w:r>
            <w:r>
              <w:rPr>
                <w:color w:val="auto"/>
                <w:kern w:val="0"/>
                <w:sz w:val="24"/>
                <w:szCs w:val="24"/>
                <w:highlight w:val="none"/>
              </w:rPr>
              <w:t>施工场出入口位置尽量远离敏感点，车辆出入现场时尽量低速、禁鸣。</w:t>
            </w:r>
          </w:p>
          <w:p w14:paraId="1B6F5446">
            <w:pPr>
              <w:autoSpaceDE w:val="0"/>
              <w:autoSpaceDN w:val="0"/>
              <w:adjustRightInd w:val="0"/>
              <w:snapToGrid w:val="0"/>
              <w:spacing w:line="360" w:lineRule="auto"/>
              <w:ind w:firstLine="480" w:firstLineChars="200"/>
              <w:rPr>
                <w:rFonts w:hint="eastAsia"/>
                <w:color w:val="auto"/>
                <w:kern w:val="0"/>
                <w:sz w:val="24"/>
                <w:szCs w:val="24"/>
                <w:highlight w:val="none"/>
              </w:rPr>
            </w:pPr>
            <w:r>
              <w:rPr>
                <w:color w:val="auto"/>
                <w:kern w:val="0"/>
                <w:sz w:val="24"/>
                <w:szCs w:val="24"/>
                <w:highlight w:val="none"/>
              </w:rPr>
              <w:t>受技术条件和施工环境的限制，即使采取严格的控制手段，仍可能对周围环境产生明显影响的，要向周围受影响的单位和居民做好宣传工作，以取得受影响人群的理解，克服暂时困难，配合施工单位完成建设任务。</w:t>
            </w:r>
          </w:p>
          <w:p w14:paraId="194A7FFA">
            <w:pPr>
              <w:autoSpaceDE w:val="0"/>
              <w:autoSpaceDN w:val="0"/>
              <w:adjustRightInd w:val="0"/>
              <w:snapToGrid w:val="0"/>
              <w:spacing w:line="360" w:lineRule="auto"/>
              <w:ind w:firstLine="482" w:firstLineChars="200"/>
              <w:rPr>
                <w:rFonts w:hint="eastAsia"/>
                <w:b/>
                <w:color w:val="auto"/>
                <w:kern w:val="0"/>
                <w:sz w:val="24"/>
                <w:szCs w:val="24"/>
                <w:highlight w:val="none"/>
              </w:rPr>
            </w:pPr>
            <w:r>
              <w:rPr>
                <w:rFonts w:hint="eastAsia"/>
                <w:b/>
                <w:color w:val="auto"/>
                <w:kern w:val="0"/>
                <w:sz w:val="24"/>
                <w:szCs w:val="24"/>
                <w:highlight w:val="none"/>
              </w:rPr>
              <w:t>4、固体废物处理处置措施</w:t>
            </w:r>
          </w:p>
          <w:p w14:paraId="23185819">
            <w:pPr>
              <w:autoSpaceDE w:val="0"/>
              <w:autoSpaceDN w:val="0"/>
              <w:adjustRightInd w:val="0"/>
              <w:snapToGrid w:val="0"/>
              <w:spacing w:line="360" w:lineRule="auto"/>
              <w:ind w:firstLine="480" w:firstLineChars="200"/>
              <w:rPr>
                <w:rFonts w:hint="eastAsia" w:hAnsi="宋体" w:eastAsia="宋体"/>
                <w:color w:val="auto"/>
                <w:sz w:val="24"/>
                <w:highlight w:val="none"/>
                <w:lang w:eastAsia="zh-CN"/>
              </w:rPr>
            </w:pPr>
            <w:r>
              <w:rPr>
                <w:rFonts w:hint="eastAsia" w:hAnsi="宋体"/>
                <w:color w:val="auto"/>
                <w:sz w:val="24"/>
                <w:highlight w:val="none"/>
              </w:rPr>
              <w:t>（1）施工现场的主要道路必须进行硬化处理，土方应集中堆放。祼露的场地和集中堆放的土方应采取覆盖，园化或绿化等措施</w:t>
            </w:r>
            <w:r>
              <w:rPr>
                <w:rFonts w:hint="eastAsia" w:hAnsi="宋体"/>
                <w:color w:val="auto"/>
                <w:sz w:val="24"/>
                <w:highlight w:val="none"/>
                <w:lang w:eastAsia="zh-CN"/>
              </w:rPr>
              <w:t>。</w:t>
            </w:r>
          </w:p>
          <w:p w14:paraId="12989A00">
            <w:pPr>
              <w:autoSpaceDE w:val="0"/>
              <w:autoSpaceDN w:val="0"/>
              <w:adjustRightInd w:val="0"/>
              <w:snapToGrid w:val="0"/>
              <w:spacing w:line="360" w:lineRule="auto"/>
              <w:ind w:firstLine="480" w:firstLineChars="200"/>
              <w:rPr>
                <w:rFonts w:hint="eastAsia"/>
                <w:color w:val="auto"/>
                <w:kern w:val="0"/>
                <w:sz w:val="24"/>
                <w:szCs w:val="24"/>
                <w:highlight w:val="none"/>
              </w:rPr>
            </w:pPr>
            <w:r>
              <w:rPr>
                <w:rFonts w:hint="eastAsia"/>
                <w:color w:val="auto"/>
                <w:kern w:val="0"/>
                <w:sz w:val="24"/>
                <w:szCs w:val="24"/>
                <w:highlight w:val="none"/>
              </w:rPr>
              <w:t>（2）</w:t>
            </w:r>
            <w:r>
              <w:rPr>
                <w:rFonts w:hAnsi="宋体"/>
                <w:color w:val="auto"/>
                <w:sz w:val="24"/>
                <w:highlight w:val="none"/>
              </w:rPr>
              <w:t>本工</w:t>
            </w:r>
            <w:r>
              <w:rPr>
                <w:color w:val="auto"/>
                <w:kern w:val="0"/>
                <w:sz w:val="24"/>
                <w:szCs w:val="24"/>
                <w:highlight w:val="none"/>
              </w:rPr>
              <w:t>程</w:t>
            </w:r>
            <w:r>
              <w:rPr>
                <w:rFonts w:hint="eastAsia"/>
                <w:color w:val="auto"/>
                <w:kern w:val="0"/>
                <w:sz w:val="24"/>
                <w:szCs w:val="24"/>
                <w:highlight w:val="none"/>
              </w:rPr>
              <w:t>施工人员</w:t>
            </w:r>
            <w:r>
              <w:rPr>
                <w:color w:val="auto"/>
                <w:kern w:val="0"/>
                <w:sz w:val="24"/>
                <w:szCs w:val="24"/>
                <w:highlight w:val="none"/>
              </w:rPr>
              <w:t>产生的生活垃圾统一收集后交由环卫部门处理。</w:t>
            </w:r>
          </w:p>
          <w:p w14:paraId="4FC0523F">
            <w:pPr>
              <w:autoSpaceDE w:val="0"/>
              <w:autoSpaceDN w:val="0"/>
              <w:adjustRightInd w:val="0"/>
              <w:snapToGrid w:val="0"/>
              <w:spacing w:line="360" w:lineRule="auto"/>
              <w:ind w:firstLine="480" w:firstLineChars="200"/>
              <w:rPr>
                <w:rFonts w:hint="eastAsia"/>
                <w:color w:val="auto"/>
                <w:kern w:val="0"/>
                <w:sz w:val="24"/>
                <w:szCs w:val="24"/>
                <w:highlight w:val="none"/>
              </w:rPr>
            </w:pPr>
            <w:r>
              <w:rPr>
                <w:rFonts w:hint="eastAsia"/>
                <w:color w:val="auto"/>
                <w:kern w:val="0"/>
                <w:sz w:val="24"/>
                <w:szCs w:val="24"/>
                <w:highlight w:val="none"/>
              </w:rPr>
              <w:t>（</w:t>
            </w:r>
            <w:r>
              <w:rPr>
                <w:rFonts w:hint="eastAsia"/>
                <w:color w:val="auto"/>
                <w:kern w:val="0"/>
                <w:sz w:val="24"/>
                <w:szCs w:val="24"/>
                <w:highlight w:val="none"/>
                <w:lang w:val="en-US" w:eastAsia="zh-CN"/>
              </w:rPr>
              <w:t>3</w:t>
            </w:r>
            <w:r>
              <w:rPr>
                <w:rFonts w:hint="eastAsia"/>
                <w:color w:val="auto"/>
                <w:kern w:val="0"/>
                <w:sz w:val="24"/>
                <w:szCs w:val="24"/>
                <w:highlight w:val="none"/>
              </w:rPr>
              <w:t>）</w:t>
            </w:r>
            <w:r>
              <w:rPr>
                <w:color w:val="auto"/>
                <w:kern w:val="0"/>
                <w:sz w:val="24"/>
                <w:szCs w:val="24"/>
                <w:highlight w:val="none"/>
              </w:rPr>
              <w:t>施工期固体废弃物为工程弃渣，主要来源于施工过程中产生的建筑垃圾。建筑垃圾主要为残砖、断瓦、废弃混凝土等。建筑垃圾外运处理不当将会产生一系列环境问题，</w:t>
            </w:r>
            <w:r>
              <w:rPr>
                <w:rFonts w:hAnsi="宋体"/>
                <w:color w:val="auto"/>
                <w:sz w:val="24"/>
                <w:highlight w:val="none"/>
              </w:rPr>
              <w:t>因此建设单位</w:t>
            </w:r>
            <w:r>
              <w:rPr>
                <w:rFonts w:hint="eastAsia" w:hAnsi="宋体"/>
                <w:color w:val="auto"/>
                <w:sz w:val="24"/>
                <w:highlight w:val="none"/>
              </w:rPr>
              <w:t>须按照要求</w:t>
            </w:r>
            <w:r>
              <w:rPr>
                <w:rFonts w:hAnsi="宋体"/>
                <w:color w:val="auto"/>
                <w:sz w:val="24"/>
                <w:highlight w:val="none"/>
              </w:rPr>
              <w:t>妥善处理</w:t>
            </w:r>
            <w:r>
              <w:rPr>
                <w:color w:val="auto"/>
                <w:kern w:val="0"/>
                <w:sz w:val="24"/>
                <w:szCs w:val="24"/>
                <w:highlight w:val="none"/>
              </w:rPr>
              <w:t>建筑垃圾</w:t>
            </w:r>
            <w:r>
              <w:rPr>
                <w:rFonts w:hAnsi="宋体"/>
                <w:color w:val="auto"/>
                <w:sz w:val="24"/>
                <w:highlight w:val="none"/>
              </w:rPr>
              <w:t>调运工作</w:t>
            </w:r>
            <w:r>
              <w:rPr>
                <w:rFonts w:hint="eastAsia" w:hAnsi="宋体"/>
                <w:color w:val="auto"/>
                <w:sz w:val="24"/>
                <w:highlight w:val="none"/>
              </w:rPr>
              <w:t>，将</w:t>
            </w:r>
            <w:r>
              <w:rPr>
                <w:color w:val="auto"/>
                <w:kern w:val="0"/>
                <w:sz w:val="24"/>
                <w:szCs w:val="24"/>
                <w:highlight w:val="none"/>
              </w:rPr>
              <w:t>建筑垃圾</w:t>
            </w:r>
            <w:r>
              <w:rPr>
                <w:rFonts w:hint="eastAsia" w:hAnsi="宋体"/>
                <w:color w:val="auto"/>
                <w:sz w:val="24"/>
                <w:highlight w:val="none"/>
              </w:rPr>
              <w:t>运至城市管理局指定的消纳场消纳</w:t>
            </w:r>
            <w:r>
              <w:rPr>
                <w:color w:val="auto"/>
                <w:kern w:val="0"/>
                <w:sz w:val="24"/>
                <w:szCs w:val="24"/>
                <w:highlight w:val="none"/>
              </w:rPr>
              <w:t>。</w:t>
            </w:r>
          </w:p>
          <w:p w14:paraId="6FC1F802">
            <w:pPr>
              <w:autoSpaceDE w:val="0"/>
              <w:autoSpaceDN w:val="0"/>
              <w:adjustRightInd w:val="0"/>
              <w:snapToGrid w:val="0"/>
              <w:spacing w:line="360" w:lineRule="auto"/>
              <w:ind w:firstLine="480" w:firstLineChars="200"/>
              <w:rPr>
                <w:rFonts w:hint="eastAsia"/>
                <w:color w:val="auto"/>
                <w:kern w:val="0"/>
                <w:sz w:val="24"/>
                <w:szCs w:val="24"/>
                <w:highlight w:val="none"/>
              </w:rPr>
            </w:pPr>
            <w:r>
              <w:rPr>
                <w:rFonts w:hint="eastAsia"/>
                <w:color w:val="auto"/>
                <w:kern w:val="0"/>
                <w:sz w:val="24"/>
                <w:szCs w:val="24"/>
                <w:highlight w:val="none"/>
              </w:rPr>
              <w:t>（</w:t>
            </w:r>
            <w:r>
              <w:rPr>
                <w:rFonts w:hint="eastAsia"/>
                <w:color w:val="auto"/>
                <w:kern w:val="0"/>
                <w:sz w:val="24"/>
                <w:szCs w:val="24"/>
                <w:highlight w:val="none"/>
                <w:lang w:val="en-US" w:eastAsia="zh-CN"/>
              </w:rPr>
              <w:t>4</w:t>
            </w:r>
            <w:r>
              <w:rPr>
                <w:rFonts w:hint="eastAsia"/>
                <w:color w:val="auto"/>
                <w:kern w:val="0"/>
                <w:sz w:val="24"/>
                <w:szCs w:val="24"/>
                <w:highlight w:val="none"/>
              </w:rPr>
              <w:t>）对施工期间的固体废弃物应分类定点堆放，分类处理。</w:t>
            </w:r>
          </w:p>
          <w:p w14:paraId="16E97D27">
            <w:pPr>
              <w:autoSpaceDE w:val="0"/>
              <w:autoSpaceDN w:val="0"/>
              <w:adjustRightInd w:val="0"/>
              <w:snapToGrid w:val="0"/>
              <w:spacing w:line="360" w:lineRule="auto"/>
              <w:ind w:firstLine="480" w:firstLineChars="200"/>
              <w:rPr>
                <w:rFonts w:hint="eastAsia"/>
                <w:color w:val="auto"/>
                <w:kern w:val="0"/>
                <w:sz w:val="24"/>
                <w:szCs w:val="24"/>
                <w:highlight w:val="none"/>
              </w:rPr>
            </w:pPr>
            <w:r>
              <w:rPr>
                <w:rFonts w:hint="eastAsia"/>
                <w:color w:val="auto"/>
                <w:kern w:val="0"/>
                <w:sz w:val="24"/>
                <w:szCs w:val="24"/>
                <w:highlight w:val="none"/>
              </w:rPr>
              <w:t>（</w:t>
            </w:r>
            <w:r>
              <w:rPr>
                <w:rFonts w:hint="eastAsia"/>
                <w:color w:val="auto"/>
                <w:kern w:val="0"/>
                <w:sz w:val="24"/>
                <w:szCs w:val="24"/>
                <w:highlight w:val="none"/>
                <w:lang w:val="en-US" w:eastAsia="zh-CN"/>
              </w:rPr>
              <w:t>5</w:t>
            </w:r>
            <w:r>
              <w:rPr>
                <w:rFonts w:hint="eastAsia"/>
                <w:color w:val="auto"/>
                <w:kern w:val="0"/>
                <w:sz w:val="24"/>
                <w:szCs w:val="24"/>
                <w:highlight w:val="none"/>
              </w:rPr>
              <w:t>）施工期间产生的废钢材、木材，塑料等固体废料应予回收利用。</w:t>
            </w:r>
          </w:p>
          <w:p w14:paraId="4B7022E3">
            <w:pPr>
              <w:autoSpaceDE w:val="0"/>
              <w:autoSpaceDN w:val="0"/>
              <w:adjustRightInd w:val="0"/>
              <w:snapToGrid w:val="0"/>
              <w:spacing w:line="360" w:lineRule="auto"/>
              <w:ind w:firstLine="482" w:firstLineChars="200"/>
              <w:rPr>
                <w:rFonts w:hint="eastAsia"/>
                <w:b/>
                <w:color w:val="auto"/>
                <w:kern w:val="0"/>
                <w:sz w:val="24"/>
                <w:szCs w:val="24"/>
                <w:highlight w:val="none"/>
              </w:rPr>
            </w:pPr>
            <w:r>
              <w:rPr>
                <w:rFonts w:hint="eastAsia"/>
                <w:b/>
                <w:color w:val="auto"/>
                <w:kern w:val="0"/>
                <w:sz w:val="24"/>
                <w:szCs w:val="24"/>
                <w:highlight w:val="none"/>
                <w:lang w:val="en-US" w:eastAsia="zh-CN"/>
              </w:rPr>
              <w:t>5</w:t>
            </w:r>
            <w:r>
              <w:rPr>
                <w:rFonts w:hint="eastAsia"/>
                <w:b/>
                <w:color w:val="auto"/>
                <w:kern w:val="0"/>
                <w:sz w:val="24"/>
                <w:szCs w:val="24"/>
                <w:highlight w:val="none"/>
              </w:rPr>
              <w:t>、水土保持措施</w:t>
            </w:r>
          </w:p>
          <w:p w14:paraId="742DE056">
            <w:pPr>
              <w:spacing w:line="360" w:lineRule="auto"/>
              <w:ind w:firstLine="480" w:firstLineChars="200"/>
              <w:jc w:val="left"/>
              <w:rPr>
                <w:rFonts w:hint="eastAsia"/>
                <w:color w:val="auto"/>
                <w:sz w:val="24"/>
                <w:highlight w:val="none"/>
              </w:rPr>
            </w:pPr>
            <w:r>
              <w:rPr>
                <w:rFonts w:hAnsi="宋体"/>
                <w:color w:val="auto"/>
                <w:sz w:val="24"/>
                <w:szCs w:val="24"/>
                <w:highlight w:val="none"/>
              </w:rPr>
              <w:t>合理施工布局，有计划地施工，避免大面积开挖，减少裸地面积，将基础开挖工作安排在降雨量少的季节进行、封闭施工、施工场地四周开挖防洪沟、弃土建筑垃圾及时清运等</w:t>
            </w:r>
            <w:r>
              <w:rPr>
                <w:rFonts w:hint="eastAsia"/>
                <w:color w:val="auto"/>
                <w:kern w:val="0"/>
                <w:sz w:val="24"/>
                <w:szCs w:val="24"/>
                <w:highlight w:val="none"/>
              </w:rPr>
              <w:t>措施，减少水土流失</w:t>
            </w:r>
            <w:r>
              <w:rPr>
                <w:rFonts w:hint="eastAsia" w:hAnsi="宋体"/>
                <w:color w:val="auto"/>
                <w:sz w:val="24"/>
                <w:szCs w:val="24"/>
                <w:highlight w:val="none"/>
              </w:rPr>
              <w:t>。</w:t>
            </w:r>
          </w:p>
          <w:p w14:paraId="610E74A7">
            <w:pPr>
              <w:spacing w:line="360" w:lineRule="auto"/>
              <w:ind w:firstLine="480" w:firstLineChars="200"/>
              <w:jc w:val="left"/>
              <w:rPr>
                <w:rFonts w:hint="eastAsia"/>
                <w:color w:val="auto"/>
                <w:sz w:val="24"/>
                <w:highlight w:val="none"/>
              </w:rPr>
            </w:pPr>
          </w:p>
          <w:p w14:paraId="07C23EEB">
            <w:pPr>
              <w:spacing w:line="360" w:lineRule="auto"/>
              <w:ind w:firstLine="480" w:firstLineChars="200"/>
              <w:jc w:val="left"/>
              <w:rPr>
                <w:rFonts w:hint="eastAsia"/>
                <w:color w:val="auto"/>
                <w:sz w:val="24"/>
                <w:highlight w:val="none"/>
              </w:rPr>
            </w:pPr>
          </w:p>
          <w:p w14:paraId="3EE3CA3A">
            <w:pPr>
              <w:adjustRightInd w:val="0"/>
              <w:snapToGrid w:val="0"/>
              <w:rPr>
                <w:bCs/>
                <w:color w:val="auto"/>
                <w:spacing w:val="-10"/>
                <w:szCs w:val="21"/>
                <w:highlight w:val="none"/>
              </w:rPr>
            </w:pPr>
          </w:p>
        </w:tc>
      </w:tr>
      <w:tr w14:paraId="2004EE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31" w:hRule="atLeast"/>
          <w:jc w:val="center"/>
        </w:trPr>
        <w:tc>
          <w:tcPr>
            <w:tcW w:w="691" w:type="dxa"/>
            <w:tcMar>
              <w:left w:w="28" w:type="dxa"/>
              <w:right w:w="28" w:type="dxa"/>
            </w:tcMar>
            <w:vAlign w:val="center"/>
          </w:tcPr>
          <w:p w14:paraId="432BC5B6">
            <w:pPr>
              <w:adjustRightInd w:val="0"/>
              <w:snapToGrid w:val="0"/>
              <w:jc w:val="center"/>
              <w:rPr>
                <w:bCs/>
                <w:color w:val="auto"/>
                <w:sz w:val="24"/>
                <w:szCs w:val="24"/>
                <w:highlight w:val="none"/>
              </w:rPr>
            </w:pPr>
            <w:r>
              <w:rPr>
                <w:bCs/>
                <w:color w:val="auto"/>
                <w:sz w:val="24"/>
                <w:szCs w:val="24"/>
                <w:highlight w:val="none"/>
              </w:rPr>
              <w:t>运营</w:t>
            </w:r>
          </w:p>
          <w:p w14:paraId="3CD678E2">
            <w:pPr>
              <w:adjustRightInd w:val="0"/>
              <w:snapToGrid w:val="0"/>
              <w:jc w:val="center"/>
              <w:rPr>
                <w:bCs/>
                <w:color w:val="auto"/>
                <w:sz w:val="24"/>
                <w:szCs w:val="24"/>
                <w:highlight w:val="none"/>
              </w:rPr>
            </w:pPr>
            <w:r>
              <w:rPr>
                <w:bCs/>
                <w:color w:val="auto"/>
                <w:sz w:val="24"/>
                <w:szCs w:val="24"/>
                <w:highlight w:val="none"/>
              </w:rPr>
              <w:t>期环</w:t>
            </w:r>
          </w:p>
          <w:p w14:paraId="022A2A01">
            <w:pPr>
              <w:adjustRightInd w:val="0"/>
              <w:snapToGrid w:val="0"/>
              <w:jc w:val="center"/>
              <w:rPr>
                <w:bCs/>
                <w:color w:val="auto"/>
                <w:sz w:val="24"/>
                <w:szCs w:val="24"/>
                <w:highlight w:val="none"/>
              </w:rPr>
            </w:pPr>
            <w:r>
              <w:rPr>
                <w:bCs/>
                <w:color w:val="auto"/>
                <w:sz w:val="24"/>
                <w:szCs w:val="24"/>
                <w:highlight w:val="none"/>
              </w:rPr>
              <w:t>境影</w:t>
            </w:r>
          </w:p>
          <w:p w14:paraId="3BD6DC88">
            <w:pPr>
              <w:adjustRightInd w:val="0"/>
              <w:snapToGrid w:val="0"/>
              <w:jc w:val="center"/>
              <w:rPr>
                <w:bCs/>
                <w:color w:val="auto"/>
                <w:sz w:val="24"/>
                <w:szCs w:val="24"/>
                <w:highlight w:val="none"/>
              </w:rPr>
            </w:pPr>
            <w:r>
              <w:rPr>
                <w:bCs/>
                <w:color w:val="auto"/>
                <w:sz w:val="24"/>
                <w:szCs w:val="24"/>
                <w:highlight w:val="none"/>
              </w:rPr>
              <w:t>响和</w:t>
            </w:r>
          </w:p>
          <w:p w14:paraId="076CC248">
            <w:pPr>
              <w:adjustRightInd w:val="0"/>
              <w:snapToGrid w:val="0"/>
              <w:jc w:val="center"/>
              <w:rPr>
                <w:bCs/>
                <w:color w:val="auto"/>
                <w:sz w:val="24"/>
                <w:szCs w:val="24"/>
                <w:highlight w:val="none"/>
              </w:rPr>
            </w:pPr>
            <w:r>
              <w:rPr>
                <w:bCs/>
                <w:color w:val="auto"/>
                <w:sz w:val="24"/>
                <w:szCs w:val="24"/>
                <w:highlight w:val="none"/>
              </w:rPr>
              <w:t>保护</w:t>
            </w:r>
          </w:p>
          <w:p w14:paraId="5F1A2452">
            <w:pPr>
              <w:adjustRightInd w:val="0"/>
              <w:snapToGrid w:val="0"/>
              <w:jc w:val="center"/>
              <w:rPr>
                <w:bCs/>
                <w:color w:val="auto"/>
                <w:szCs w:val="21"/>
                <w:highlight w:val="none"/>
              </w:rPr>
            </w:pPr>
            <w:r>
              <w:rPr>
                <w:bCs/>
                <w:color w:val="auto"/>
                <w:sz w:val="24"/>
                <w:szCs w:val="24"/>
                <w:highlight w:val="none"/>
              </w:rPr>
              <w:t>措施</w:t>
            </w:r>
          </w:p>
        </w:tc>
        <w:tc>
          <w:tcPr>
            <w:tcW w:w="8368" w:type="dxa"/>
            <w:vAlign w:val="center"/>
          </w:tcPr>
          <w:p w14:paraId="6D1C7F3B">
            <w:pPr>
              <w:pStyle w:val="18"/>
              <w:keepNext w:val="0"/>
              <w:keepLines w:val="0"/>
              <w:pageBreakBefore w:val="0"/>
              <w:widowControl w:val="0"/>
              <w:kinsoku/>
              <w:wordWrap/>
              <w:overflowPunct/>
              <w:topLinePunct w:val="0"/>
              <w:autoSpaceDE/>
              <w:autoSpaceDN/>
              <w:bidi w:val="0"/>
              <w:adjustRightInd w:val="0"/>
              <w:snapToGrid w:val="0"/>
              <w:spacing w:after="0" w:line="348" w:lineRule="auto"/>
              <w:ind w:left="0" w:leftChars="0" w:firstLine="482" w:firstLineChars="200"/>
              <w:textAlignment w:val="auto"/>
              <w:rPr>
                <w:rFonts w:hAnsi="宋体"/>
                <w:b/>
                <w:color w:val="auto"/>
                <w:sz w:val="24"/>
                <w:highlight w:val="none"/>
              </w:rPr>
            </w:pPr>
            <w:r>
              <w:rPr>
                <w:rFonts w:hint="eastAsia" w:hAnsi="宋体"/>
                <w:b/>
                <w:color w:val="auto"/>
                <w:sz w:val="24"/>
                <w:highlight w:val="none"/>
              </w:rPr>
              <w:t>1</w:t>
            </w:r>
            <w:r>
              <w:rPr>
                <w:rFonts w:hint="eastAsia" w:hAnsi="宋体"/>
                <w:b/>
                <w:color w:val="auto"/>
                <w:sz w:val="24"/>
                <w:highlight w:val="none"/>
                <w:lang w:eastAsia="zh-CN"/>
              </w:rPr>
              <w:t>、</w:t>
            </w:r>
            <w:r>
              <w:rPr>
                <w:rFonts w:hAnsi="宋体"/>
                <w:b/>
                <w:color w:val="auto"/>
                <w:sz w:val="24"/>
                <w:highlight w:val="none"/>
              </w:rPr>
              <w:t>废气</w:t>
            </w:r>
          </w:p>
          <w:p w14:paraId="68067463">
            <w:pPr>
              <w:numPr>
                <w:ilvl w:val="0"/>
                <w:numId w:val="6"/>
              </w:numPr>
              <w:autoSpaceDE w:val="0"/>
              <w:autoSpaceDN w:val="0"/>
              <w:adjustRightInd w:val="0"/>
              <w:snapToGrid w:val="0"/>
              <w:spacing w:line="360" w:lineRule="auto"/>
              <w:ind w:firstLine="471"/>
              <w:rPr>
                <w:rFonts w:hint="eastAsia"/>
                <w:b/>
                <w:bCs w:val="0"/>
                <w:color w:val="auto"/>
                <w:sz w:val="24"/>
                <w:highlight w:val="none"/>
                <w:lang w:val="en-US" w:eastAsia="zh-CN"/>
              </w:rPr>
            </w:pPr>
            <w:r>
              <w:rPr>
                <w:rFonts w:hint="eastAsia"/>
                <w:b/>
                <w:bCs w:val="0"/>
                <w:color w:val="auto"/>
                <w:sz w:val="24"/>
                <w:highlight w:val="none"/>
                <w:lang w:val="en-US" w:eastAsia="zh-CN"/>
              </w:rPr>
              <w:t>废气源强</w:t>
            </w:r>
          </w:p>
          <w:p w14:paraId="2570E209">
            <w:pPr>
              <w:pStyle w:val="16"/>
              <w:adjustRightInd w:val="0"/>
              <w:snapToGrid w:val="0"/>
              <w:spacing w:line="360" w:lineRule="auto"/>
              <w:ind w:firstLine="482" w:firstLineChars="200"/>
              <w:rPr>
                <w:rFonts w:hint="eastAsia" w:ascii="Times New Roman" w:hAnsi="Times New Roman" w:cs="Times New Roman"/>
                <w:color w:val="auto"/>
                <w:sz w:val="24"/>
                <w:szCs w:val="24"/>
                <w:highlight w:val="none"/>
                <w:lang w:val="en-US" w:eastAsia="zh-CN"/>
              </w:rPr>
            </w:pPr>
            <w:r>
              <w:rPr>
                <w:rFonts w:hint="default" w:ascii="Times New Roman" w:hAnsi="Times New Roman" w:cs="Times New Roman"/>
                <w:b/>
                <w:bCs w:val="0"/>
                <w:color w:val="auto"/>
                <w:sz w:val="24"/>
                <w:highlight w:val="none"/>
                <w:lang w:val="en-US" w:eastAsia="zh-CN"/>
              </w:rPr>
              <w:t>①</w:t>
            </w:r>
            <w:r>
              <w:rPr>
                <w:rFonts w:hint="eastAsia" w:ascii="Calibri" w:hAnsi="Calibri" w:cs="Calibri"/>
                <w:color w:val="auto"/>
                <w:sz w:val="24"/>
                <w:highlight w:val="none"/>
                <w:lang w:val="en-US" w:eastAsia="zh-CN"/>
              </w:rPr>
              <w:t>生物质</w:t>
            </w:r>
            <w:r>
              <w:rPr>
                <w:rFonts w:hint="eastAsia" w:ascii="Times New Roman" w:hAnsi="Times New Roman" w:cs="Times New Roman"/>
                <w:color w:val="auto"/>
                <w:sz w:val="24"/>
                <w:szCs w:val="24"/>
                <w:highlight w:val="none"/>
                <w:lang w:val="en-US" w:eastAsia="zh-CN"/>
              </w:rPr>
              <w:t>锅炉烟气</w:t>
            </w:r>
          </w:p>
          <w:p w14:paraId="10C3DC9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shd w:val="clear" w:color="auto" w:fill="auto"/>
                <w:lang w:val="en-US" w:eastAsia="zh-CN" w:bidi="ar-SA"/>
              </w:rPr>
            </w:pPr>
            <w:r>
              <w:rPr>
                <w:rFonts w:hint="default" w:ascii="Times New Roman" w:hAnsi="Times New Roman" w:eastAsia="宋体" w:cs="Times New Roman"/>
                <w:color w:val="auto"/>
                <w:kern w:val="2"/>
                <w:sz w:val="24"/>
                <w:szCs w:val="24"/>
                <w:highlight w:val="none"/>
                <w:shd w:val="clear" w:color="auto" w:fill="auto"/>
                <w:lang w:val="en-US" w:eastAsia="zh-CN" w:bidi="ar-SA"/>
              </w:rPr>
              <w:t>根据《污染源源强核算技术指南 锅炉》（HJ991-2018）中废气污染源源强核算方法，生物质锅炉废气中颗粒物、氮氧化物、二氧化硫采用物料衡算法，具体计算如下：</w:t>
            </w:r>
          </w:p>
          <w:p w14:paraId="4AE615D9">
            <w:pPr>
              <w:pStyle w:val="43"/>
              <w:numPr>
                <w:ilvl w:val="0"/>
                <w:numId w:val="7"/>
              </w:numPr>
              <w:rPr>
                <w:rFonts w:hint="eastAsia" w:ascii="Times New Roman" w:hAnsi="Times New Roman" w:eastAsia="宋体" w:cs="Times New Roman"/>
                <w:b/>
                <w:bCs/>
                <w:color w:val="auto"/>
                <w:kern w:val="2"/>
                <w:sz w:val="24"/>
                <w:szCs w:val="24"/>
                <w:highlight w:val="none"/>
                <w:shd w:val="clear" w:color="auto" w:fill="auto"/>
                <w:lang w:val="en-US" w:eastAsia="zh-CN" w:bidi="ar-SA"/>
              </w:rPr>
            </w:pPr>
            <w:r>
              <w:rPr>
                <w:rFonts w:hint="eastAsia" w:ascii="Times New Roman" w:hAnsi="Times New Roman" w:eastAsia="宋体" w:cs="Times New Roman"/>
                <w:b/>
                <w:bCs/>
                <w:color w:val="auto"/>
                <w:kern w:val="2"/>
                <w:sz w:val="24"/>
                <w:szCs w:val="24"/>
                <w:highlight w:val="none"/>
                <w:shd w:val="clear" w:color="auto" w:fill="auto"/>
                <w:lang w:val="en-US" w:eastAsia="zh-CN" w:bidi="ar-SA"/>
              </w:rPr>
              <w:t>颗粒物</w:t>
            </w:r>
          </w:p>
          <w:p w14:paraId="53F9AE63">
            <w:pPr>
              <w:pStyle w:val="43"/>
              <w:numPr>
                <w:ilvl w:val="0"/>
                <w:numId w:val="0"/>
              </w:numPr>
              <w:jc w:val="center"/>
              <w:rPr>
                <w:rFonts w:hint="default" w:ascii="Times New Roman" w:hAnsi="Times New Roman" w:eastAsia="宋体" w:cs="Times New Roman"/>
                <w:color w:val="auto"/>
                <w:kern w:val="2"/>
                <w:sz w:val="24"/>
                <w:szCs w:val="24"/>
                <w:highlight w:val="none"/>
                <w:shd w:val="clear" w:color="auto" w:fill="auto"/>
                <w:lang w:val="en-US" w:eastAsia="zh-CN" w:bidi="ar-SA"/>
              </w:rPr>
            </w:pPr>
            <w:r>
              <w:rPr>
                <w:rFonts w:hint="default" w:ascii="Times New Roman" w:hAnsi="Times New Roman" w:eastAsia="宋体" w:cs="Times New Roman"/>
                <w:color w:val="auto"/>
                <w:kern w:val="2"/>
                <w:position w:val="-54"/>
                <w:sz w:val="24"/>
                <w:szCs w:val="24"/>
                <w:highlight w:val="none"/>
                <w:shd w:val="clear" w:color="auto" w:fill="auto"/>
                <w:lang w:val="en-US" w:eastAsia="zh-CN" w:bidi="ar-SA"/>
              </w:rPr>
              <w:object>
                <v:shape id="_x0000_i1027" o:spt="75" type="#_x0000_t75" style="height:66pt;width:149pt;" o:ole="t" filled="f" o:preferrelative="t" stroked="f" coordsize="21600,21600">
                  <v:path/>
                  <v:fill on="f" focussize="0,0"/>
                  <v:stroke on="f"/>
                  <v:imagedata r:id="rId16" o:title=""/>
                  <o:lock v:ext="edit" aspectratio="t"/>
                  <w10:wrap type="none"/>
                  <w10:anchorlock/>
                </v:shape>
                <o:OLEObject Type="Embed" ProgID="Equation.KSEE3" ShapeID="_x0000_i1027" DrawAspect="Content" ObjectID="_1468075727" r:id="rId15">
                  <o:LockedField>false</o:LockedField>
                </o:OLEObject>
              </w:object>
            </w:r>
          </w:p>
          <w:p w14:paraId="78050FB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shd w:val="clear" w:color="auto" w:fill="auto"/>
                <w:lang w:val="en-US" w:eastAsia="zh-CN" w:bidi="ar-SA"/>
              </w:rPr>
            </w:pPr>
            <w:r>
              <w:rPr>
                <w:rFonts w:hint="default" w:ascii="Times New Roman" w:hAnsi="Times New Roman" w:eastAsia="宋体" w:cs="Times New Roman"/>
                <w:color w:val="auto"/>
                <w:kern w:val="2"/>
                <w:sz w:val="24"/>
                <w:szCs w:val="24"/>
                <w:highlight w:val="none"/>
                <w:shd w:val="clear" w:color="auto" w:fill="auto"/>
                <w:lang w:val="en-US" w:eastAsia="zh-CN" w:bidi="ar-SA"/>
              </w:rPr>
              <w:t>式中：E</w:t>
            </w:r>
            <w:r>
              <w:rPr>
                <w:rFonts w:hint="eastAsia" w:ascii="Times New Roman" w:hAnsi="Times New Roman" w:eastAsia="宋体" w:cs="Times New Roman"/>
                <w:color w:val="auto"/>
                <w:kern w:val="2"/>
                <w:sz w:val="24"/>
                <w:szCs w:val="24"/>
                <w:highlight w:val="none"/>
                <w:shd w:val="clear" w:color="auto" w:fill="auto"/>
                <w:vertAlign w:val="subscript"/>
                <w:lang w:val="en-US" w:eastAsia="zh-CN" w:bidi="ar-SA"/>
              </w:rPr>
              <w:t>A</w:t>
            </w:r>
            <w:r>
              <w:rPr>
                <w:rFonts w:hint="eastAsia" w:ascii="Times New Roman" w:hAnsi="Times New Roman" w:eastAsia="宋体" w:cs="Times New Roman"/>
                <w:color w:val="auto"/>
                <w:kern w:val="2"/>
                <w:sz w:val="24"/>
                <w:szCs w:val="24"/>
                <w:highlight w:val="none"/>
                <w:shd w:val="clear" w:color="auto" w:fill="auto"/>
                <w:lang w:val="en-US" w:eastAsia="zh-CN" w:bidi="ar-SA"/>
              </w:rPr>
              <w:t xml:space="preserve">—核算时段内颗粒物（烟尘）排放量，吨； </w:t>
            </w:r>
          </w:p>
          <w:p w14:paraId="21B9DF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shd w:val="clear" w:color="auto" w:fill="auto"/>
                <w:lang w:val="en-US" w:eastAsia="zh-CN" w:bidi="ar-SA"/>
              </w:rPr>
            </w:pPr>
            <w:r>
              <w:rPr>
                <w:rFonts w:hint="eastAsia" w:ascii="Times New Roman" w:hAnsi="Times New Roman" w:eastAsia="宋体" w:cs="Times New Roman"/>
                <w:color w:val="auto"/>
                <w:kern w:val="2"/>
                <w:sz w:val="24"/>
                <w:szCs w:val="24"/>
                <w:highlight w:val="none"/>
                <w:shd w:val="clear" w:color="auto" w:fill="auto"/>
                <w:lang w:val="en-US" w:eastAsia="zh-CN" w:bidi="ar-SA"/>
              </w:rPr>
              <w:t>R—核算时段内锅炉燃料耗量，吨；根据建设单位提供资料，生物质成型燃料年耗量为25000吨；</w:t>
            </w:r>
          </w:p>
          <w:p w14:paraId="4FA02BA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shd w:val="clear" w:color="auto" w:fill="auto"/>
                <w:lang w:val="en-US" w:eastAsia="zh-CN" w:bidi="ar-SA"/>
              </w:rPr>
            </w:pPr>
            <w:r>
              <w:rPr>
                <w:rFonts w:hint="eastAsia" w:ascii="Times New Roman" w:hAnsi="Times New Roman" w:eastAsia="宋体" w:cs="Times New Roman"/>
                <w:color w:val="auto"/>
                <w:kern w:val="2"/>
                <w:sz w:val="24"/>
                <w:szCs w:val="24"/>
                <w:highlight w:val="none"/>
                <w:shd w:val="clear" w:color="auto" w:fill="auto"/>
                <w:lang w:val="en-US" w:eastAsia="zh-CN" w:bidi="ar-SA"/>
              </w:rPr>
              <w:t>A</w:t>
            </w:r>
            <w:r>
              <w:rPr>
                <w:rFonts w:hint="eastAsia" w:ascii="Times New Roman" w:hAnsi="Times New Roman" w:eastAsia="宋体" w:cs="Times New Roman"/>
                <w:color w:val="auto"/>
                <w:kern w:val="2"/>
                <w:sz w:val="24"/>
                <w:szCs w:val="24"/>
                <w:highlight w:val="none"/>
                <w:shd w:val="clear" w:color="auto" w:fill="auto"/>
                <w:vertAlign w:val="subscript"/>
                <w:lang w:val="en-US" w:eastAsia="zh-CN" w:bidi="ar-SA"/>
              </w:rPr>
              <w:t>ar</w:t>
            </w:r>
            <w:r>
              <w:rPr>
                <w:rFonts w:hint="eastAsia" w:ascii="Times New Roman" w:hAnsi="Times New Roman" w:eastAsia="宋体" w:cs="Times New Roman"/>
                <w:color w:val="auto"/>
                <w:kern w:val="2"/>
                <w:sz w:val="24"/>
                <w:szCs w:val="24"/>
                <w:highlight w:val="none"/>
                <w:shd w:val="clear" w:color="auto" w:fill="auto"/>
                <w:lang w:val="en-US" w:eastAsia="zh-CN" w:bidi="ar-SA"/>
              </w:rPr>
              <w:t xml:space="preserve">—收到基灰分的质量分数，%；根据建设单位提供资料，本项目取8%； </w:t>
            </w:r>
          </w:p>
          <w:p w14:paraId="3BC5304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shd w:val="clear" w:color="auto" w:fill="auto"/>
                <w:lang w:val="en-US" w:eastAsia="zh-CN" w:bidi="ar-SA"/>
              </w:rPr>
            </w:pPr>
            <w:r>
              <w:rPr>
                <w:rFonts w:hint="eastAsia" w:ascii="Times New Roman" w:hAnsi="Times New Roman" w:eastAsia="宋体" w:cs="Times New Roman"/>
                <w:color w:val="auto"/>
                <w:kern w:val="2"/>
                <w:sz w:val="24"/>
                <w:szCs w:val="24"/>
                <w:highlight w:val="none"/>
                <w:shd w:val="clear" w:color="auto" w:fill="auto"/>
                <w:lang w:val="en-US" w:eastAsia="zh-CN" w:bidi="ar-SA"/>
              </w:rPr>
              <w:t>d</w:t>
            </w:r>
            <w:r>
              <w:rPr>
                <w:rFonts w:hint="eastAsia" w:ascii="Times New Roman" w:hAnsi="Times New Roman" w:eastAsia="宋体" w:cs="Times New Roman"/>
                <w:color w:val="auto"/>
                <w:kern w:val="2"/>
                <w:sz w:val="24"/>
                <w:szCs w:val="24"/>
                <w:highlight w:val="none"/>
                <w:shd w:val="clear" w:color="auto" w:fill="auto"/>
                <w:vertAlign w:val="subscript"/>
                <w:lang w:val="en-US" w:eastAsia="zh-CN" w:bidi="ar-SA"/>
              </w:rPr>
              <w:t>fh</w:t>
            </w:r>
            <w:r>
              <w:rPr>
                <w:rFonts w:hint="eastAsia" w:ascii="Times New Roman" w:hAnsi="Times New Roman" w:eastAsia="宋体" w:cs="Times New Roman"/>
                <w:color w:val="auto"/>
                <w:kern w:val="2"/>
                <w:sz w:val="24"/>
                <w:szCs w:val="24"/>
                <w:highlight w:val="none"/>
                <w:shd w:val="clear" w:color="auto" w:fill="auto"/>
                <w:lang w:val="en-US" w:eastAsia="zh-CN" w:bidi="ar-SA"/>
              </w:rPr>
              <w:t>—锅炉烟气带出的飞灰份额，%；根据附录 B 中表 B.2 锅炉烟气带出 飞灰份额的一般取值，层燃炉—往复炉排炉烟气中飞灰份额dfh=15~20%，本项目取值15%，同时燃用生物质时，飞灰份额加30%。本项目为燃生物质锅炉，飞灰份额按照dfh=15%×(1+30%)=19.5%考虑；</w:t>
            </w:r>
          </w:p>
          <w:p w14:paraId="67387A0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shd w:val="clear" w:color="auto" w:fill="auto"/>
                <w:lang w:val="en-US" w:eastAsia="zh-CN" w:bidi="ar-SA"/>
              </w:rPr>
            </w:pPr>
            <w:r>
              <w:rPr>
                <w:rFonts w:hint="default" w:ascii="Times New Roman" w:hAnsi="Times New Roman" w:eastAsia="宋体" w:cs="Times New Roman"/>
                <w:color w:val="auto"/>
                <w:kern w:val="2"/>
                <w:sz w:val="24"/>
                <w:szCs w:val="24"/>
                <w:highlight w:val="none"/>
                <w:shd w:val="clear" w:color="auto" w:fill="auto"/>
                <w:lang w:val="en-US" w:eastAsia="zh-CN" w:bidi="ar-SA"/>
              </w:rPr>
              <w:t xml:space="preserve">ηc—综合除尘效率，%；项目采用多管旋风除尘+袋式除尘，除尘效率取 </w:t>
            </w:r>
            <w:r>
              <w:rPr>
                <w:rFonts w:hint="eastAsia" w:ascii="Times New Roman" w:hAnsi="Times New Roman" w:eastAsia="宋体" w:cs="Times New Roman"/>
                <w:color w:val="auto"/>
                <w:kern w:val="2"/>
                <w:sz w:val="24"/>
                <w:szCs w:val="24"/>
                <w:highlight w:val="none"/>
                <w:shd w:val="clear" w:color="auto" w:fill="auto"/>
                <w:lang w:val="en-US" w:eastAsia="zh-CN" w:bidi="ar-SA"/>
              </w:rPr>
              <w:t>96</w:t>
            </w:r>
            <w:r>
              <w:rPr>
                <w:rFonts w:hint="default" w:ascii="Times New Roman" w:hAnsi="Times New Roman" w:eastAsia="宋体" w:cs="Times New Roman"/>
                <w:color w:val="auto"/>
                <w:kern w:val="2"/>
                <w:sz w:val="24"/>
                <w:szCs w:val="24"/>
                <w:highlight w:val="none"/>
                <w:shd w:val="clear" w:color="auto" w:fill="auto"/>
                <w:lang w:val="en-US" w:eastAsia="zh-CN" w:bidi="ar-SA"/>
              </w:rPr>
              <w:t>%；</w:t>
            </w:r>
          </w:p>
          <w:p w14:paraId="627965D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shd w:val="clear" w:color="auto" w:fill="auto"/>
                <w:lang w:val="en-US" w:eastAsia="zh-CN" w:bidi="ar-SA"/>
              </w:rPr>
            </w:pPr>
            <w:r>
              <w:rPr>
                <w:rFonts w:hint="default" w:ascii="Times New Roman" w:hAnsi="Times New Roman" w:eastAsia="宋体" w:cs="Times New Roman"/>
                <w:color w:val="auto"/>
                <w:kern w:val="2"/>
                <w:sz w:val="24"/>
                <w:szCs w:val="24"/>
                <w:highlight w:val="none"/>
                <w:shd w:val="clear" w:color="auto" w:fill="auto"/>
                <w:lang w:val="en-US" w:eastAsia="zh-CN" w:bidi="ar-SA"/>
              </w:rPr>
              <w:t>C</w:t>
            </w:r>
            <w:r>
              <w:rPr>
                <w:rFonts w:hint="default" w:ascii="Times New Roman" w:hAnsi="Times New Roman" w:eastAsia="宋体" w:cs="Times New Roman"/>
                <w:color w:val="auto"/>
                <w:kern w:val="2"/>
                <w:sz w:val="24"/>
                <w:szCs w:val="24"/>
                <w:highlight w:val="none"/>
                <w:shd w:val="clear" w:color="auto" w:fill="auto"/>
                <w:vertAlign w:val="subscript"/>
                <w:lang w:val="en-US" w:eastAsia="zh-CN" w:bidi="ar-SA"/>
              </w:rPr>
              <w:t>fh</w:t>
            </w:r>
            <w:r>
              <w:rPr>
                <w:rFonts w:hint="default" w:ascii="Times New Roman" w:hAnsi="Times New Roman" w:eastAsia="宋体" w:cs="Times New Roman"/>
                <w:color w:val="auto"/>
                <w:kern w:val="2"/>
                <w:sz w:val="24"/>
                <w:szCs w:val="24"/>
                <w:highlight w:val="none"/>
                <w:shd w:val="clear" w:color="auto" w:fill="auto"/>
                <w:lang w:val="en-US" w:eastAsia="zh-CN" w:bidi="ar-SA"/>
              </w:rPr>
              <w:t>—飞灰中的可燃物含量，%。根据锅炉厂家控制飞灰可燃物在5%以下，项目取5%。</w:t>
            </w:r>
          </w:p>
          <w:p w14:paraId="5DF7BBC8">
            <w:pPr>
              <w:pStyle w:val="43"/>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auto"/>
                <w:kern w:val="2"/>
                <w:sz w:val="24"/>
                <w:szCs w:val="24"/>
                <w:highlight w:val="none"/>
                <w:shd w:val="clear" w:color="auto" w:fill="auto"/>
                <w:lang w:val="en-US" w:eastAsia="zh-CN" w:bidi="ar-SA"/>
              </w:rPr>
            </w:pPr>
            <w:r>
              <w:rPr>
                <w:rFonts w:hint="eastAsia" w:ascii="Times New Roman" w:hAnsi="Times New Roman" w:eastAsia="宋体" w:cs="Times New Roman"/>
                <w:color w:val="auto"/>
                <w:kern w:val="2"/>
                <w:sz w:val="24"/>
                <w:szCs w:val="24"/>
                <w:highlight w:val="none"/>
                <w:shd w:val="clear" w:color="auto" w:fill="auto"/>
                <w:lang w:val="en-US" w:eastAsia="zh-CN" w:bidi="ar-SA"/>
              </w:rPr>
              <w:t>则本项目颗粒物排放量为2.05t/a，对应颗粒物产生量为410.53t/a。</w:t>
            </w:r>
          </w:p>
          <w:p w14:paraId="3797B42F">
            <w:pPr>
              <w:pStyle w:val="43"/>
              <w:keepNext w:val="0"/>
              <w:keepLines w:val="0"/>
              <w:pageBreakBefore w:val="0"/>
              <w:widowControl w:val="0"/>
              <w:numPr>
                <w:ilvl w:val="0"/>
                <w:numId w:val="7"/>
              </w:numPr>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Times New Roman"/>
                <w:b/>
                <w:bCs/>
                <w:color w:val="auto"/>
                <w:kern w:val="2"/>
                <w:sz w:val="24"/>
                <w:szCs w:val="24"/>
                <w:highlight w:val="none"/>
                <w:shd w:val="clear" w:color="auto" w:fill="auto"/>
                <w:lang w:val="en-US" w:eastAsia="zh-CN" w:bidi="ar-SA"/>
              </w:rPr>
            </w:pPr>
            <w:r>
              <w:rPr>
                <w:rFonts w:hint="eastAsia" w:ascii="Times New Roman" w:hAnsi="Times New Roman" w:eastAsia="宋体" w:cs="Times New Roman"/>
                <w:b/>
                <w:bCs/>
                <w:color w:val="auto"/>
                <w:kern w:val="2"/>
                <w:sz w:val="24"/>
                <w:szCs w:val="24"/>
                <w:highlight w:val="none"/>
                <w:shd w:val="clear" w:color="auto" w:fill="auto"/>
                <w:lang w:val="en-US" w:eastAsia="zh-CN" w:bidi="ar-SA"/>
              </w:rPr>
              <w:t>二氧化硫</w:t>
            </w:r>
          </w:p>
          <w:p w14:paraId="0D31046E">
            <w:pPr>
              <w:pStyle w:val="43"/>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default" w:ascii="Times New Roman" w:hAnsi="Times New Roman" w:eastAsia="宋体" w:cs="Times New Roman"/>
                <w:color w:val="auto"/>
                <w:kern w:val="2"/>
                <w:sz w:val="24"/>
                <w:szCs w:val="24"/>
                <w:highlight w:val="none"/>
                <w:shd w:val="clear" w:color="auto" w:fill="auto"/>
                <w:lang w:val="en-US" w:eastAsia="zh-CN" w:bidi="ar-SA"/>
              </w:rPr>
            </w:pPr>
            <w:r>
              <w:rPr>
                <w:rFonts w:hint="default" w:ascii="Times New Roman" w:hAnsi="Times New Roman" w:eastAsia="宋体" w:cs="Times New Roman"/>
                <w:color w:val="auto"/>
                <w:kern w:val="2"/>
                <w:position w:val="-28"/>
                <w:sz w:val="24"/>
                <w:szCs w:val="24"/>
                <w:highlight w:val="none"/>
                <w:shd w:val="clear" w:color="auto" w:fill="auto"/>
                <w:lang w:val="en-US" w:eastAsia="zh-CN" w:bidi="ar-SA"/>
              </w:rPr>
              <w:object>
                <v:shape id="_x0000_i1028" o:spt="75" type="#_x0000_t75" style="height:34pt;width:204.95pt;" o:ole="t" filled="f" o:preferrelative="t" stroked="f" coordsize="21600,21600">
                  <v:path/>
                  <v:fill on="f" focussize="0,0"/>
                  <v:stroke on="f"/>
                  <v:imagedata r:id="rId18" o:title=""/>
                  <o:lock v:ext="edit" aspectratio="t"/>
                  <w10:wrap type="none"/>
                  <w10:anchorlock/>
                </v:shape>
                <o:OLEObject Type="Embed" ProgID="Equation.KSEE3" ShapeID="_x0000_i1028" DrawAspect="Content" ObjectID="_1468075728" r:id="rId17">
                  <o:LockedField>false</o:LockedField>
                </o:OLEObject>
              </w:object>
            </w:r>
          </w:p>
          <w:p w14:paraId="2CB0A7F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2"/>
                <w:sz w:val="24"/>
                <w:szCs w:val="24"/>
                <w:highlight w:val="none"/>
                <w:shd w:val="clear" w:color="auto" w:fill="auto"/>
                <w:lang w:val="en-US" w:eastAsia="zh-CN" w:bidi="ar-SA"/>
              </w:rPr>
            </w:pPr>
            <w:r>
              <w:rPr>
                <w:rFonts w:hint="eastAsia" w:ascii="Times New Roman" w:hAnsi="Times New Roman" w:eastAsia="宋体" w:cs="Times New Roman"/>
                <w:color w:val="auto"/>
                <w:kern w:val="2"/>
                <w:sz w:val="24"/>
                <w:szCs w:val="24"/>
                <w:highlight w:val="none"/>
                <w:shd w:val="clear" w:color="auto" w:fill="auto"/>
                <w:lang w:val="en-US" w:eastAsia="zh-CN" w:bidi="ar-SA"/>
              </w:rPr>
              <w:t>式中：E</w:t>
            </w:r>
            <w:r>
              <w:rPr>
                <w:rFonts w:hint="eastAsia" w:ascii="Times New Roman" w:hAnsi="Times New Roman" w:eastAsia="宋体" w:cs="Times New Roman"/>
                <w:color w:val="auto"/>
                <w:kern w:val="2"/>
                <w:sz w:val="24"/>
                <w:szCs w:val="24"/>
                <w:highlight w:val="none"/>
                <w:shd w:val="clear" w:color="auto" w:fill="auto"/>
                <w:vertAlign w:val="subscript"/>
                <w:lang w:val="en-US" w:eastAsia="zh-CN" w:bidi="ar-SA"/>
              </w:rPr>
              <w:t>SO2</w:t>
            </w:r>
            <w:r>
              <w:rPr>
                <w:rFonts w:hint="eastAsia" w:ascii="Times New Roman" w:hAnsi="Times New Roman" w:eastAsia="宋体" w:cs="Times New Roman"/>
                <w:color w:val="auto"/>
                <w:kern w:val="2"/>
                <w:sz w:val="24"/>
                <w:szCs w:val="24"/>
                <w:highlight w:val="none"/>
                <w:shd w:val="clear" w:color="auto" w:fill="auto"/>
                <w:lang w:val="en-US" w:eastAsia="zh-CN" w:bidi="ar-SA"/>
              </w:rPr>
              <w:t xml:space="preserve">—核算时段内二氧化硫排放量，吨； </w:t>
            </w:r>
          </w:p>
          <w:p w14:paraId="2F5DDFD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2"/>
                <w:sz w:val="24"/>
                <w:szCs w:val="24"/>
                <w:highlight w:val="none"/>
                <w:shd w:val="clear" w:color="auto" w:fill="auto"/>
                <w:lang w:val="en-US" w:eastAsia="zh-CN" w:bidi="ar-SA"/>
              </w:rPr>
            </w:pPr>
            <w:r>
              <w:rPr>
                <w:rFonts w:hint="eastAsia" w:ascii="Times New Roman" w:hAnsi="Times New Roman" w:eastAsia="宋体" w:cs="Times New Roman"/>
                <w:color w:val="auto"/>
                <w:kern w:val="2"/>
                <w:sz w:val="24"/>
                <w:szCs w:val="24"/>
                <w:highlight w:val="none"/>
                <w:shd w:val="clear" w:color="auto" w:fill="auto"/>
                <w:lang w:val="en-US" w:eastAsia="zh-CN" w:bidi="ar-SA"/>
              </w:rPr>
              <w:t xml:space="preserve">R—核算时段内锅炉燃料耗量，吨；根据建设单位提供资料，生物质成型燃料年耗量为25000吨； </w:t>
            </w:r>
          </w:p>
          <w:p w14:paraId="16E25FB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2"/>
                <w:sz w:val="24"/>
                <w:szCs w:val="24"/>
                <w:highlight w:val="none"/>
                <w:shd w:val="clear" w:color="auto" w:fill="auto"/>
                <w:lang w:val="en-US" w:eastAsia="zh-CN" w:bidi="ar-SA"/>
              </w:rPr>
            </w:pPr>
            <w:r>
              <w:rPr>
                <w:rFonts w:hint="eastAsia" w:ascii="Times New Roman" w:hAnsi="Times New Roman" w:eastAsia="宋体" w:cs="Times New Roman"/>
                <w:color w:val="auto"/>
                <w:kern w:val="2"/>
                <w:sz w:val="24"/>
                <w:szCs w:val="24"/>
                <w:highlight w:val="none"/>
                <w:shd w:val="clear" w:color="auto" w:fill="auto"/>
                <w:lang w:val="en-US" w:eastAsia="zh-CN" w:bidi="ar-SA"/>
              </w:rPr>
              <w:t>S</w:t>
            </w:r>
            <w:r>
              <w:rPr>
                <w:rFonts w:hint="eastAsia" w:ascii="Times New Roman" w:hAnsi="Times New Roman" w:eastAsia="宋体" w:cs="Times New Roman"/>
                <w:color w:val="auto"/>
                <w:kern w:val="2"/>
                <w:sz w:val="24"/>
                <w:szCs w:val="24"/>
                <w:highlight w:val="none"/>
                <w:shd w:val="clear" w:color="auto" w:fill="auto"/>
                <w:vertAlign w:val="subscript"/>
                <w:lang w:val="en-US" w:eastAsia="zh-CN" w:bidi="ar-SA"/>
              </w:rPr>
              <w:t>ar</w:t>
            </w:r>
            <w:r>
              <w:rPr>
                <w:rFonts w:hint="eastAsia" w:ascii="Times New Roman" w:hAnsi="Times New Roman" w:eastAsia="宋体" w:cs="Times New Roman"/>
                <w:color w:val="auto"/>
                <w:kern w:val="2"/>
                <w:sz w:val="24"/>
                <w:szCs w:val="24"/>
                <w:highlight w:val="none"/>
                <w:shd w:val="clear" w:color="auto" w:fill="auto"/>
                <w:lang w:val="en-US" w:eastAsia="zh-CN" w:bidi="ar-SA"/>
              </w:rPr>
              <w:t xml:space="preserve">—收到基硫的质量分数，%；根据建设单位提供资料，本项目取0.02%； </w:t>
            </w:r>
          </w:p>
          <w:p w14:paraId="605DB1E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2"/>
                <w:sz w:val="24"/>
                <w:szCs w:val="24"/>
                <w:highlight w:val="none"/>
                <w:shd w:val="clear" w:color="auto" w:fill="auto"/>
                <w:lang w:val="en-US" w:eastAsia="zh-CN" w:bidi="ar-SA"/>
              </w:rPr>
            </w:pPr>
            <w:r>
              <w:rPr>
                <w:rFonts w:hint="eastAsia" w:ascii="Times New Roman" w:hAnsi="Times New Roman" w:eastAsia="宋体" w:cs="Times New Roman"/>
                <w:color w:val="auto"/>
                <w:kern w:val="2"/>
                <w:sz w:val="24"/>
                <w:szCs w:val="24"/>
                <w:highlight w:val="none"/>
                <w:shd w:val="clear" w:color="auto" w:fill="auto"/>
                <w:lang w:val="en-US" w:eastAsia="zh-CN" w:bidi="ar-SA"/>
              </w:rPr>
              <w:t>q</w:t>
            </w:r>
            <w:r>
              <w:rPr>
                <w:rFonts w:hint="eastAsia" w:ascii="Times New Roman" w:hAnsi="Times New Roman" w:eastAsia="宋体" w:cs="Times New Roman"/>
                <w:color w:val="auto"/>
                <w:kern w:val="2"/>
                <w:sz w:val="24"/>
                <w:szCs w:val="24"/>
                <w:highlight w:val="none"/>
                <w:shd w:val="clear" w:color="auto" w:fill="auto"/>
                <w:vertAlign w:val="subscript"/>
                <w:lang w:val="en-US" w:eastAsia="zh-CN" w:bidi="ar-SA"/>
              </w:rPr>
              <w:t>4</w:t>
            </w:r>
            <w:r>
              <w:rPr>
                <w:rFonts w:hint="eastAsia" w:ascii="Times New Roman" w:hAnsi="Times New Roman" w:eastAsia="宋体" w:cs="Times New Roman"/>
                <w:color w:val="auto"/>
                <w:kern w:val="2"/>
                <w:sz w:val="24"/>
                <w:szCs w:val="24"/>
                <w:highlight w:val="none"/>
                <w:shd w:val="clear" w:color="auto" w:fill="auto"/>
                <w:lang w:val="en-US" w:eastAsia="zh-CN" w:bidi="ar-SA"/>
              </w:rPr>
              <w:t xml:space="preserve">—锅炉机械不完全燃烧热损失，%；根据附录 B 中表 B.1 锅炉机械不完全燃烧热损失的一般取值，项目为往复炉排炉、燃用生物质，取值7%； </w:t>
            </w:r>
          </w:p>
          <w:p w14:paraId="6D6AF0E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2"/>
                <w:sz w:val="24"/>
                <w:szCs w:val="24"/>
                <w:highlight w:val="none"/>
                <w:shd w:val="clear" w:color="auto" w:fill="auto"/>
                <w:lang w:val="en-US" w:eastAsia="zh-CN" w:bidi="ar-SA"/>
              </w:rPr>
            </w:pPr>
            <w:r>
              <w:rPr>
                <w:rFonts w:hint="default" w:ascii="Times New Roman" w:hAnsi="Times New Roman" w:eastAsia="宋体" w:cs="Times New Roman"/>
                <w:color w:val="auto"/>
                <w:kern w:val="2"/>
                <w:sz w:val="24"/>
                <w:szCs w:val="24"/>
                <w:highlight w:val="none"/>
                <w:shd w:val="clear" w:color="auto" w:fill="auto"/>
                <w:lang w:val="en-US" w:eastAsia="zh-CN" w:bidi="ar-SA"/>
              </w:rPr>
              <w:t>η</w:t>
            </w:r>
            <w:r>
              <w:rPr>
                <w:rFonts w:hint="default" w:ascii="Times New Roman" w:hAnsi="Times New Roman" w:eastAsia="宋体" w:cs="Times New Roman"/>
                <w:color w:val="auto"/>
                <w:kern w:val="2"/>
                <w:sz w:val="24"/>
                <w:szCs w:val="24"/>
                <w:highlight w:val="none"/>
                <w:shd w:val="clear" w:color="auto" w:fill="auto"/>
                <w:vertAlign w:val="subscript"/>
                <w:lang w:val="en-US" w:eastAsia="zh-CN" w:bidi="ar-SA"/>
              </w:rPr>
              <w:t>s</w:t>
            </w:r>
            <w:r>
              <w:rPr>
                <w:rFonts w:hint="eastAsia" w:ascii="Times New Roman" w:hAnsi="Times New Roman" w:eastAsia="宋体" w:cs="Times New Roman"/>
                <w:color w:val="auto"/>
                <w:kern w:val="2"/>
                <w:sz w:val="24"/>
                <w:szCs w:val="24"/>
                <w:highlight w:val="none"/>
                <w:shd w:val="clear" w:color="auto" w:fill="auto"/>
                <w:lang w:val="en-US" w:eastAsia="zh-CN" w:bidi="ar-SA"/>
              </w:rPr>
              <w:t xml:space="preserve">—脱硫效率，%；取50%； </w:t>
            </w:r>
          </w:p>
          <w:p w14:paraId="6250138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2"/>
                <w:sz w:val="24"/>
                <w:szCs w:val="24"/>
                <w:highlight w:val="none"/>
                <w:shd w:val="clear" w:color="auto" w:fill="auto"/>
                <w:lang w:val="en-US" w:eastAsia="zh-CN" w:bidi="ar-SA"/>
              </w:rPr>
            </w:pPr>
            <w:r>
              <w:rPr>
                <w:rFonts w:hint="eastAsia" w:ascii="Times New Roman" w:hAnsi="Times New Roman" w:eastAsia="宋体" w:cs="Times New Roman"/>
                <w:color w:val="auto"/>
                <w:kern w:val="2"/>
                <w:sz w:val="24"/>
                <w:szCs w:val="24"/>
                <w:highlight w:val="none"/>
                <w:shd w:val="clear" w:color="auto" w:fill="auto"/>
                <w:lang w:val="en-US" w:eastAsia="zh-CN" w:bidi="ar-SA"/>
              </w:rPr>
              <w:t>K—燃料中的硫燃烧后氧化成二氧化硫的份额，量纲一的量。根据附录 B 中表B.3 燃料中硫转化率的一般取值，燃生物质炉=0.30～0.50。项目取0.50。</w:t>
            </w:r>
          </w:p>
          <w:p w14:paraId="79D0F874">
            <w:pPr>
              <w:pStyle w:val="43"/>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auto"/>
                <w:kern w:val="2"/>
                <w:sz w:val="24"/>
                <w:szCs w:val="24"/>
                <w:highlight w:val="none"/>
                <w:shd w:val="clear" w:color="auto" w:fill="auto"/>
                <w:lang w:val="en-US" w:eastAsia="zh-CN" w:bidi="ar-SA"/>
              </w:rPr>
            </w:pPr>
            <w:r>
              <w:rPr>
                <w:rFonts w:hint="eastAsia" w:ascii="Times New Roman" w:hAnsi="Times New Roman" w:eastAsia="宋体" w:cs="Times New Roman"/>
                <w:color w:val="auto"/>
                <w:kern w:val="2"/>
                <w:sz w:val="24"/>
                <w:szCs w:val="24"/>
                <w:highlight w:val="none"/>
                <w:shd w:val="clear" w:color="auto" w:fill="auto"/>
                <w:lang w:val="en-US" w:eastAsia="zh-CN" w:bidi="ar-SA"/>
              </w:rPr>
              <w:t>则本项目二氧化硫排放量为2.33t/a，对应二氧化硫产生量为4.66t/a。</w:t>
            </w:r>
          </w:p>
          <w:p w14:paraId="0902F233">
            <w:pPr>
              <w:pStyle w:val="43"/>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rPr>
                <w:rFonts w:hint="default" w:ascii="Times New Roman" w:hAnsi="Times New Roman" w:eastAsia="宋体" w:cs="Times New Roman"/>
                <w:b/>
                <w:bCs/>
                <w:color w:val="auto"/>
                <w:kern w:val="2"/>
                <w:sz w:val="24"/>
                <w:szCs w:val="24"/>
                <w:highlight w:val="none"/>
                <w:shd w:val="clear" w:color="auto" w:fill="auto"/>
                <w:lang w:val="en-US" w:eastAsia="zh-CN" w:bidi="ar-SA"/>
              </w:rPr>
            </w:pPr>
            <w:r>
              <w:rPr>
                <w:rFonts w:hint="eastAsia" w:ascii="Times New Roman" w:hAnsi="Times New Roman" w:eastAsia="宋体" w:cs="Times New Roman"/>
                <w:b/>
                <w:bCs/>
                <w:color w:val="auto"/>
                <w:kern w:val="2"/>
                <w:sz w:val="24"/>
                <w:szCs w:val="24"/>
                <w:highlight w:val="none"/>
                <w:shd w:val="clear" w:color="auto" w:fill="auto"/>
                <w:lang w:val="en-US" w:eastAsia="zh-CN" w:bidi="ar-SA"/>
              </w:rPr>
              <w:t>C、氮氧化物</w:t>
            </w:r>
          </w:p>
          <w:p w14:paraId="563EFB50">
            <w:pPr>
              <w:pStyle w:val="16"/>
              <w:adjustRightInd w:val="0"/>
              <w:snapToGrid w:val="0"/>
              <w:spacing w:line="360" w:lineRule="auto"/>
              <w:ind w:firstLine="480" w:firstLineChars="200"/>
              <w:jc w:val="center"/>
              <w:rPr>
                <w:rFonts w:hint="eastAsia" w:ascii="Times New Roman" w:hAnsi="Times New Roman" w:eastAsia="宋体" w:cs="Times New Roman"/>
                <w:color w:val="auto"/>
                <w:sz w:val="24"/>
                <w:szCs w:val="21"/>
                <w:highlight w:val="none"/>
                <w:u w:val="none" w:color="auto"/>
                <w:lang w:eastAsia="zh-CN"/>
              </w:rPr>
            </w:pPr>
            <w:r>
              <w:rPr>
                <w:rFonts w:hint="eastAsia" w:ascii="Times New Roman" w:hAnsi="Times New Roman" w:eastAsia="宋体" w:cs="Times New Roman"/>
                <w:color w:val="auto"/>
                <w:position w:val="-32"/>
                <w:sz w:val="24"/>
                <w:szCs w:val="21"/>
                <w:highlight w:val="none"/>
                <w:u w:val="none" w:color="auto"/>
                <w:lang w:eastAsia="zh-CN"/>
              </w:rPr>
              <w:object>
                <v:shape id="_x0000_i1029" o:spt="75" type="#_x0000_t75" style="height:38pt;width:165pt;" o:ole="t" filled="f" o:preferrelative="t" stroked="f" coordsize="21600,21600">
                  <v:path/>
                  <v:fill on="f" focussize="0,0"/>
                  <v:stroke on="f"/>
                  <v:imagedata r:id="rId20" o:title=""/>
                  <o:lock v:ext="edit" aspectratio="t"/>
                  <w10:wrap type="none"/>
                  <w10:anchorlock/>
                </v:shape>
                <o:OLEObject Type="Embed" ProgID="Equation.KSEE3" ShapeID="_x0000_i1029" DrawAspect="Content" ObjectID="_1468075729" r:id="rId19">
                  <o:LockedField>false</o:LockedField>
                </o:OLEObject>
              </w:object>
            </w:r>
          </w:p>
          <w:p w14:paraId="06AB055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2"/>
                <w:sz w:val="24"/>
                <w:szCs w:val="24"/>
                <w:highlight w:val="none"/>
                <w:shd w:val="clear" w:color="auto" w:fill="auto"/>
                <w:lang w:val="en-US" w:eastAsia="zh-CN" w:bidi="ar-SA"/>
              </w:rPr>
            </w:pPr>
            <w:r>
              <w:rPr>
                <w:rFonts w:hint="eastAsia" w:ascii="Times New Roman" w:hAnsi="Times New Roman" w:eastAsia="宋体" w:cs="Times New Roman"/>
                <w:color w:val="auto"/>
                <w:kern w:val="2"/>
                <w:sz w:val="24"/>
                <w:szCs w:val="24"/>
                <w:highlight w:val="none"/>
                <w:shd w:val="clear" w:color="auto" w:fill="auto"/>
                <w:lang w:val="en-US" w:eastAsia="zh-CN" w:bidi="ar-SA"/>
              </w:rPr>
              <w:t>式中：E</w:t>
            </w:r>
            <w:r>
              <w:rPr>
                <w:rFonts w:hint="eastAsia" w:ascii="Times New Roman" w:hAnsi="Times New Roman" w:eastAsia="宋体" w:cs="Times New Roman"/>
                <w:color w:val="auto"/>
                <w:kern w:val="2"/>
                <w:sz w:val="24"/>
                <w:szCs w:val="24"/>
                <w:highlight w:val="none"/>
                <w:shd w:val="clear" w:color="auto" w:fill="auto"/>
                <w:vertAlign w:val="subscript"/>
                <w:lang w:val="en-US" w:eastAsia="zh-CN" w:bidi="ar-SA"/>
              </w:rPr>
              <w:t>NOx</w:t>
            </w:r>
            <w:r>
              <w:rPr>
                <w:rFonts w:hint="eastAsia" w:ascii="Times New Roman" w:hAnsi="Times New Roman" w:eastAsia="宋体" w:cs="Times New Roman"/>
                <w:color w:val="auto"/>
                <w:kern w:val="2"/>
                <w:sz w:val="24"/>
                <w:szCs w:val="24"/>
                <w:highlight w:val="none"/>
                <w:shd w:val="clear" w:color="auto" w:fill="auto"/>
                <w:lang w:val="en-US" w:eastAsia="zh-CN" w:bidi="ar-SA"/>
              </w:rPr>
              <w:t xml:space="preserve">—核算时段内氮氧化物排放量，吨； </w:t>
            </w:r>
          </w:p>
          <w:p w14:paraId="5E9FC9CD">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eastAsia" w:ascii="Times New Roman" w:hAnsi="Times New Roman" w:eastAsia="宋体" w:cs="Times New Roman"/>
                <w:color w:val="auto"/>
                <w:kern w:val="2"/>
                <w:sz w:val="24"/>
                <w:szCs w:val="24"/>
                <w:highlight w:val="none"/>
                <w:shd w:val="clear" w:color="auto" w:fill="auto"/>
                <w:lang w:val="en-US" w:eastAsia="zh-CN" w:bidi="ar-SA"/>
              </w:rPr>
            </w:pPr>
            <w:r>
              <w:rPr>
                <w:rFonts w:hint="default" w:ascii="Times New Roman" w:hAnsi="Times New Roman" w:eastAsia="宋体" w:cs="Times New Roman"/>
                <w:color w:val="auto"/>
                <w:kern w:val="2"/>
                <w:sz w:val="24"/>
                <w:szCs w:val="24"/>
                <w:highlight w:val="none"/>
                <w:shd w:val="clear" w:color="auto" w:fill="auto"/>
                <w:lang w:val="en-US" w:eastAsia="zh-CN" w:bidi="ar-SA"/>
              </w:rPr>
              <w:t>ρ</w:t>
            </w:r>
            <w:r>
              <w:rPr>
                <w:rFonts w:hint="default" w:ascii="Times New Roman" w:hAnsi="Times New Roman" w:eastAsia="宋体" w:cs="Times New Roman"/>
                <w:color w:val="auto"/>
                <w:kern w:val="2"/>
                <w:sz w:val="24"/>
                <w:szCs w:val="24"/>
                <w:highlight w:val="none"/>
                <w:shd w:val="clear" w:color="auto" w:fill="auto"/>
                <w:vertAlign w:val="subscript"/>
                <w:lang w:val="en-US" w:eastAsia="zh-CN" w:bidi="ar-SA"/>
              </w:rPr>
              <w:t>NOx</w:t>
            </w:r>
            <w:r>
              <w:rPr>
                <w:rFonts w:hint="eastAsia" w:ascii="Times New Roman" w:hAnsi="Times New Roman" w:eastAsia="宋体" w:cs="Times New Roman"/>
                <w:color w:val="auto"/>
                <w:kern w:val="2"/>
                <w:sz w:val="24"/>
                <w:szCs w:val="24"/>
                <w:highlight w:val="none"/>
                <w:shd w:val="clear" w:color="auto" w:fill="auto"/>
                <w:lang w:val="en-US" w:eastAsia="zh-CN" w:bidi="ar-SA"/>
              </w:rPr>
              <w:t xml:space="preserve">—锅炉炉膛出口氮氧化物质量浓度，毫克/立方米；取150毫克/立方米； </w:t>
            </w:r>
          </w:p>
          <w:p w14:paraId="21CD7145">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eastAsia" w:ascii="Times New Roman" w:hAnsi="Times New Roman" w:eastAsia="宋体" w:cs="Times New Roman"/>
                <w:color w:val="auto"/>
                <w:kern w:val="2"/>
                <w:sz w:val="24"/>
                <w:szCs w:val="24"/>
                <w:highlight w:val="none"/>
                <w:shd w:val="clear" w:color="auto" w:fill="auto"/>
                <w:lang w:val="en-US" w:eastAsia="zh-CN" w:bidi="ar-SA"/>
              </w:rPr>
            </w:pPr>
            <w:r>
              <w:rPr>
                <w:rFonts w:hint="eastAsia" w:ascii="Times New Roman" w:hAnsi="Times New Roman" w:eastAsia="宋体" w:cs="Times New Roman"/>
                <w:color w:val="auto"/>
                <w:kern w:val="2"/>
                <w:sz w:val="24"/>
                <w:szCs w:val="24"/>
                <w:highlight w:val="none"/>
                <w:shd w:val="clear" w:color="auto" w:fill="auto"/>
                <w:lang w:val="en-US" w:eastAsia="zh-CN" w:bidi="ar-SA"/>
              </w:rPr>
              <w:t xml:space="preserve">Q—核算时段内标态干烟气排放量，立方米； </w:t>
            </w:r>
          </w:p>
          <w:p w14:paraId="55C74922">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eastAsia" w:ascii="Times New Roman" w:hAnsi="Times New Roman" w:eastAsia="宋体" w:cs="Times New Roman"/>
                <w:color w:val="auto"/>
                <w:kern w:val="2"/>
                <w:sz w:val="24"/>
                <w:szCs w:val="24"/>
                <w:highlight w:val="none"/>
                <w:shd w:val="clear" w:color="auto" w:fill="auto"/>
                <w:lang w:val="en-US" w:eastAsia="zh-CN" w:bidi="ar-SA"/>
              </w:rPr>
            </w:pPr>
            <w:r>
              <w:rPr>
                <w:rFonts w:hint="default" w:ascii="Times New Roman" w:hAnsi="Times New Roman" w:eastAsia="宋体" w:cs="Times New Roman"/>
                <w:color w:val="auto"/>
                <w:kern w:val="2"/>
                <w:sz w:val="24"/>
                <w:szCs w:val="24"/>
                <w:highlight w:val="none"/>
                <w:shd w:val="clear" w:color="auto" w:fill="auto"/>
                <w:lang w:val="en-US" w:eastAsia="zh-CN" w:bidi="ar-SA"/>
              </w:rPr>
              <w:t>η</w:t>
            </w:r>
            <w:r>
              <w:rPr>
                <w:rFonts w:hint="default" w:ascii="Times New Roman" w:hAnsi="Times New Roman" w:eastAsia="宋体" w:cs="Times New Roman"/>
                <w:color w:val="auto"/>
                <w:kern w:val="2"/>
                <w:sz w:val="24"/>
                <w:szCs w:val="24"/>
                <w:highlight w:val="none"/>
                <w:shd w:val="clear" w:color="auto" w:fill="auto"/>
                <w:vertAlign w:val="subscript"/>
                <w:lang w:val="en-US" w:eastAsia="zh-CN" w:bidi="ar-SA"/>
              </w:rPr>
              <w:t>NOx</w:t>
            </w:r>
            <w:r>
              <w:rPr>
                <w:rFonts w:hint="eastAsia" w:ascii="Times New Roman" w:hAnsi="Times New Roman" w:eastAsia="宋体" w:cs="Times New Roman"/>
                <w:color w:val="auto"/>
                <w:kern w:val="2"/>
                <w:sz w:val="24"/>
                <w:szCs w:val="24"/>
                <w:highlight w:val="none"/>
                <w:shd w:val="clear" w:color="auto" w:fill="auto"/>
                <w:lang w:val="en-US" w:eastAsia="zh-CN" w:bidi="ar-SA"/>
              </w:rPr>
              <w:t>—脱硝效率，%。采用SCR+SCNR组合，项目取55%。</w:t>
            </w:r>
          </w:p>
          <w:p w14:paraId="4EB9327D">
            <w:pPr>
              <w:pStyle w:val="43"/>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auto"/>
                <w:kern w:val="2"/>
                <w:sz w:val="24"/>
                <w:szCs w:val="24"/>
                <w:highlight w:val="none"/>
                <w:shd w:val="clear" w:color="auto" w:fill="auto"/>
                <w:lang w:val="en-US" w:eastAsia="zh-CN" w:bidi="ar-SA"/>
              </w:rPr>
            </w:pPr>
            <w:r>
              <w:rPr>
                <w:rFonts w:hint="eastAsia" w:ascii="Times New Roman" w:hAnsi="Times New Roman" w:eastAsia="宋体" w:cs="Times New Roman"/>
                <w:color w:val="auto"/>
                <w:kern w:val="2"/>
                <w:sz w:val="24"/>
                <w:szCs w:val="24"/>
                <w:highlight w:val="none"/>
                <w:shd w:val="clear" w:color="auto" w:fill="auto"/>
                <w:lang w:val="en-US" w:eastAsia="zh-CN" w:bidi="ar-SA"/>
              </w:rPr>
              <w:t>由于本项目燃料无元素分析数据，故采用经验公式估算基准烟气量。</w:t>
            </w:r>
          </w:p>
          <w:p w14:paraId="068DD574">
            <w:pPr>
              <w:pStyle w:val="43"/>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auto"/>
                <w:kern w:val="2"/>
                <w:sz w:val="24"/>
                <w:szCs w:val="24"/>
                <w:highlight w:val="none"/>
                <w:shd w:val="clear" w:color="auto" w:fill="auto"/>
                <w:vertAlign w:val="baseline"/>
                <w:lang w:val="en-US" w:eastAsia="zh-CN" w:bidi="ar-SA"/>
              </w:rPr>
            </w:pPr>
            <w:r>
              <w:rPr>
                <w:rFonts w:hint="eastAsia" w:ascii="Times New Roman" w:hAnsi="Times New Roman" w:eastAsia="宋体" w:cs="Times New Roman"/>
                <w:color w:val="auto"/>
                <w:kern w:val="2"/>
                <w:sz w:val="24"/>
                <w:szCs w:val="24"/>
                <w:highlight w:val="none"/>
                <w:shd w:val="clear" w:color="auto" w:fill="auto"/>
                <w:lang w:val="en-US" w:eastAsia="zh-CN" w:bidi="ar-SA"/>
              </w:rPr>
              <w:t>本项目燃料收到基低位发热量Q</w:t>
            </w:r>
            <w:r>
              <w:rPr>
                <w:rFonts w:hint="eastAsia" w:ascii="Times New Roman" w:hAnsi="Times New Roman" w:eastAsia="宋体" w:cs="Times New Roman"/>
                <w:color w:val="auto"/>
                <w:kern w:val="2"/>
                <w:sz w:val="24"/>
                <w:szCs w:val="24"/>
                <w:highlight w:val="none"/>
                <w:shd w:val="clear" w:color="auto" w:fill="auto"/>
                <w:vertAlign w:val="subscript"/>
                <w:lang w:val="en-US" w:eastAsia="zh-CN" w:bidi="ar-SA"/>
              </w:rPr>
              <w:t>net,ar</w:t>
            </w:r>
            <w:r>
              <w:rPr>
                <w:rFonts w:hint="eastAsia" w:ascii="Times New Roman" w:hAnsi="Times New Roman" w:eastAsia="宋体" w:cs="Times New Roman"/>
                <w:color w:val="auto"/>
                <w:kern w:val="2"/>
                <w:sz w:val="24"/>
                <w:szCs w:val="24"/>
                <w:highlight w:val="none"/>
                <w:shd w:val="clear" w:color="auto" w:fill="auto"/>
                <w:vertAlign w:val="baseline"/>
                <w:lang w:val="en-US" w:eastAsia="zh-CN" w:bidi="ar-SA"/>
              </w:rPr>
              <w:t>=14.66MJ/kg≥12.54MJ/kg，燃料干燥无灰基挥发分V</w:t>
            </w:r>
            <w:r>
              <w:rPr>
                <w:rFonts w:hint="eastAsia" w:ascii="Times New Roman" w:hAnsi="Times New Roman" w:eastAsia="宋体" w:cs="Times New Roman"/>
                <w:color w:val="auto"/>
                <w:kern w:val="2"/>
                <w:sz w:val="24"/>
                <w:szCs w:val="24"/>
                <w:highlight w:val="none"/>
                <w:shd w:val="clear" w:color="auto" w:fill="auto"/>
                <w:vertAlign w:val="subscript"/>
                <w:lang w:val="en-US" w:eastAsia="zh-CN" w:bidi="ar-SA"/>
              </w:rPr>
              <w:t>daf</w:t>
            </w:r>
            <w:r>
              <w:rPr>
                <w:rFonts w:hint="eastAsia" w:ascii="Times New Roman" w:hAnsi="Times New Roman" w:eastAsia="宋体" w:cs="Times New Roman"/>
                <w:color w:val="auto"/>
                <w:kern w:val="2"/>
                <w:sz w:val="24"/>
                <w:szCs w:val="24"/>
                <w:highlight w:val="none"/>
                <w:shd w:val="clear" w:color="auto" w:fill="auto"/>
                <w:vertAlign w:val="baseline"/>
                <w:lang w:val="en-US" w:eastAsia="zh-CN" w:bidi="ar-SA"/>
              </w:rPr>
              <w:t>=8%小于15%，故基准烟气量Vgy采用以下公式核算：</w:t>
            </w:r>
          </w:p>
          <w:p w14:paraId="2949CFB6">
            <w:pPr>
              <w:pStyle w:val="43"/>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2"/>
                <w:sz w:val="24"/>
                <w:szCs w:val="24"/>
                <w:highlight w:val="none"/>
                <w:shd w:val="clear" w:color="auto" w:fill="auto"/>
                <w:vertAlign w:val="baseline"/>
                <w:lang w:val="en-US" w:eastAsia="zh-CN" w:bidi="ar-SA"/>
              </w:rPr>
            </w:pPr>
            <w:r>
              <w:rPr>
                <w:rFonts w:hint="default" w:ascii="Times New Roman" w:hAnsi="Times New Roman" w:eastAsia="宋体" w:cs="Times New Roman"/>
                <w:color w:val="auto"/>
                <w:kern w:val="2"/>
                <w:position w:val="-14"/>
                <w:sz w:val="24"/>
                <w:szCs w:val="24"/>
                <w:highlight w:val="none"/>
                <w:shd w:val="clear" w:color="auto" w:fill="auto"/>
                <w:vertAlign w:val="baseline"/>
                <w:lang w:val="en-US" w:eastAsia="zh-CN" w:bidi="ar-SA"/>
              </w:rPr>
              <w:object>
                <v:shape id="_x0000_i1030" o:spt="75" type="#_x0000_t75" style="height:19pt;width:132.95pt;" o:ole="t" filled="f" o:preferrelative="t" stroked="f" coordsize="21600,21600">
                  <v:path/>
                  <v:fill on="f" focussize="0,0"/>
                  <v:stroke on="f"/>
                  <v:imagedata r:id="rId22" o:title=""/>
                  <o:lock v:ext="edit" aspectratio="t"/>
                  <w10:wrap type="none"/>
                  <w10:anchorlock/>
                </v:shape>
                <o:OLEObject Type="Embed" ProgID="Equation.KSEE3" ShapeID="_x0000_i1030" DrawAspect="Content" ObjectID="_1468075730" r:id="rId21">
                  <o:LockedField>false</o:LockedField>
                </o:OLEObject>
              </w:object>
            </w:r>
            <w:r>
              <w:rPr>
                <w:rFonts w:hint="eastAsia" w:ascii="Times New Roman" w:hAnsi="Times New Roman" w:eastAsia="宋体" w:cs="Times New Roman"/>
                <w:color w:val="auto"/>
                <w:kern w:val="2"/>
                <w:sz w:val="24"/>
                <w:szCs w:val="24"/>
                <w:highlight w:val="none"/>
                <w:shd w:val="clear" w:color="auto" w:fill="auto"/>
                <w:vertAlign w:val="baseline"/>
                <w:lang w:val="en-US" w:eastAsia="zh-CN" w:bidi="ar-SA"/>
              </w:rPr>
              <w:t>=0.385×14.66+1.095=6.74Nm</w:t>
            </w:r>
            <w:r>
              <w:rPr>
                <w:rFonts w:hint="eastAsia" w:ascii="Times New Roman" w:hAnsi="Times New Roman" w:eastAsia="宋体" w:cs="Times New Roman"/>
                <w:color w:val="auto"/>
                <w:kern w:val="2"/>
                <w:sz w:val="24"/>
                <w:szCs w:val="24"/>
                <w:highlight w:val="none"/>
                <w:shd w:val="clear" w:color="auto" w:fill="auto"/>
                <w:vertAlign w:val="superscript"/>
                <w:lang w:val="en-US" w:eastAsia="zh-CN" w:bidi="ar-SA"/>
              </w:rPr>
              <w:t>3</w:t>
            </w:r>
            <w:r>
              <w:rPr>
                <w:rFonts w:hint="eastAsia" w:ascii="Times New Roman" w:hAnsi="Times New Roman" w:eastAsia="宋体" w:cs="Times New Roman"/>
                <w:color w:val="auto"/>
                <w:kern w:val="2"/>
                <w:sz w:val="24"/>
                <w:szCs w:val="24"/>
                <w:highlight w:val="none"/>
                <w:shd w:val="clear" w:color="auto" w:fill="auto"/>
                <w:vertAlign w:val="baseline"/>
                <w:lang w:val="en-US" w:eastAsia="zh-CN" w:bidi="ar-SA"/>
              </w:rPr>
              <w:t>/kg</w:t>
            </w:r>
          </w:p>
          <w:p w14:paraId="506D1137">
            <w:pPr>
              <w:pStyle w:val="43"/>
              <w:keepNext w:val="0"/>
              <w:keepLines w:val="0"/>
              <w:pageBreakBefore w:val="0"/>
              <w:widowControl w:val="0"/>
              <w:kinsoku/>
              <w:wordWrap/>
              <w:overflowPunct/>
              <w:topLinePunct w:val="0"/>
              <w:autoSpaceDE/>
              <w:autoSpaceDN/>
              <w:bidi w:val="0"/>
              <w:spacing w:line="360" w:lineRule="auto"/>
              <w:ind w:leftChars="0"/>
              <w:textAlignment w:val="auto"/>
              <w:rPr>
                <w:rFonts w:hint="eastAsia" w:ascii="Times New Roman" w:hAnsi="Times New Roman" w:eastAsia="宋体" w:cs="Times New Roman"/>
                <w:color w:val="auto"/>
                <w:kern w:val="2"/>
                <w:sz w:val="24"/>
                <w:szCs w:val="24"/>
                <w:highlight w:val="none"/>
                <w:shd w:val="clear" w:color="auto" w:fill="auto"/>
                <w:lang w:val="en-US" w:eastAsia="zh-CN" w:bidi="ar-SA"/>
              </w:rPr>
            </w:pPr>
            <w:r>
              <w:rPr>
                <w:rFonts w:hint="eastAsia" w:ascii="Times New Roman" w:hAnsi="Times New Roman" w:eastAsia="宋体" w:cs="Times New Roman"/>
                <w:color w:val="auto"/>
                <w:kern w:val="2"/>
                <w:sz w:val="24"/>
                <w:szCs w:val="24"/>
                <w:highlight w:val="none"/>
                <w:shd w:val="clear" w:color="auto" w:fill="auto"/>
                <w:lang w:val="en-US" w:eastAsia="zh-CN" w:bidi="ar-SA"/>
              </w:rPr>
              <w:t>则氮氧化物排放量为11.37t/a，对应氮氧化物排放量为25.27t/a。</w:t>
            </w:r>
          </w:p>
          <w:p w14:paraId="6B532B99">
            <w:pPr>
              <w:pStyle w:val="43"/>
              <w:keepNext w:val="0"/>
              <w:keepLines w:val="0"/>
              <w:pageBreakBefore w:val="0"/>
              <w:widowControl w:val="0"/>
              <w:numPr>
                <w:ilvl w:val="0"/>
                <w:numId w:val="0"/>
              </w:numPr>
              <w:kinsoku/>
              <w:wordWrap/>
              <w:overflowPunct/>
              <w:topLinePunct w:val="0"/>
              <w:autoSpaceDE/>
              <w:autoSpaceDN/>
              <w:bidi w:val="0"/>
              <w:spacing w:line="360" w:lineRule="auto"/>
              <w:ind w:leftChars="0" w:firstLine="482" w:firstLineChars="200"/>
              <w:textAlignment w:val="auto"/>
              <w:rPr>
                <w:rFonts w:hint="eastAsia" w:ascii="Times New Roman" w:hAnsi="Times New Roman" w:eastAsia="宋体" w:cs="Times New Roman"/>
                <w:b/>
                <w:bCs/>
                <w:color w:val="auto"/>
                <w:kern w:val="2"/>
                <w:sz w:val="24"/>
                <w:szCs w:val="24"/>
                <w:highlight w:val="none"/>
                <w:shd w:val="clear" w:color="auto" w:fill="auto"/>
                <w:lang w:val="en-US" w:eastAsia="zh-CN" w:bidi="ar-SA"/>
              </w:rPr>
            </w:pPr>
            <w:r>
              <w:rPr>
                <w:rFonts w:hint="eastAsia" w:ascii="Times New Roman" w:hAnsi="Times New Roman" w:eastAsia="宋体" w:cs="Times New Roman"/>
                <w:b/>
                <w:bCs/>
                <w:color w:val="auto"/>
                <w:kern w:val="2"/>
                <w:sz w:val="24"/>
                <w:szCs w:val="24"/>
                <w:highlight w:val="none"/>
                <w:shd w:val="clear" w:color="auto" w:fill="auto"/>
                <w:lang w:val="en-US" w:eastAsia="zh-CN" w:bidi="ar-SA"/>
              </w:rPr>
              <w:t>D、一氧化碳</w:t>
            </w:r>
          </w:p>
          <w:p w14:paraId="2BAA3B07">
            <w:pPr>
              <w:pStyle w:val="16"/>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szCs w:val="21"/>
                <w:highlight w:val="none"/>
                <w:u w:val="none" w:color="auto"/>
                <w:lang w:val="en-US" w:eastAsia="zh-CN"/>
              </w:rPr>
            </w:pPr>
            <w:r>
              <w:rPr>
                <w:rFonts w:hint="default" w:ascii="Times New Roman" w:hAnsi="Times New Roman" w:eastAsia="宋体" w:cs="Times New Roman"/>
                <w:color w:val="auto"/>
                <w:sz w:val="24"/>
                <w:szCs w:val="21"/>
                <w:highlight w:val="none"/>
                <w:u w:val="none" w:color="auto"/>
              </w:rPr>
              <w:t>参照《生物质燃烧源大气污染物排放清单编制技术指南》（试行）中燃生物质成型燃料锅炉产污系数：CO 6.22g/kg生物质</w:t>
            </w:r>
            <w:r>
              <w:rPr>
                <w:rFonts w:hint="eastAsia" w:ascii="Times New Roman" w:hAnsi="Times New Roman" w:eastAsia="宋体" w:cs="Times New Roman"/>
                <w:color w:val="auto"/>
                <w:sz w:val="24"/>
                <w:szCs w:val="21"/>
                <w:highlight w:val="none"/>
                <w:u w:val="none" w:color="auto"/>
                <w:lang w:eastAsia="zh-CN"/>
              </w:rPr>
              <w:t>，</w:t>
            </w:r>
            <w:r>
              <w:rPr>
                <w:rFonts w:hint="eastAsia" w:ascii="Times New Roman" w:hAnsi="Times New Roman" w:eastAsia="宋体" w:cs="Times New Roman"/>
                <w:color w:val="auto"/>
                <w:sz w:val="24"/>
                <w:szCs w:val="21"/>
                <w:highlight w:val="none"/>
                <w:u w:val="none" w:color="auto"/>
                <w:lang w:val="en-US" w:eastAsia="zh-CN"/>
              </w:rPr>
              <w:t>本项目生物质燃料用量为25000吨/年，则一氧化碳产生量为155.5t/a。</w:t>
            </w:r>
          </w:p>
          <w:p w14:paraId="538B2CA5">
            <w:pPr>
              <w:keepNext w:val="0"/>
              <w:keepLines w:val="0"/>
              <w:pageBreakBefore w:val="0"/>
              <w:widowControl w:val="0"/>
              <w:kinsoku/>
              <w:wordWrap/>
              <w:overflowPunct/>
              <w:topLinePunct w:val="0"/>
              <w:autoSpaceDE/>
              <w:autoSpaceDN/>
              <w:bidi w:val="0"/>
              <w:spacing w:line="360" w:lineRule="auto"/>
              <w:ind w:leftChars="0" w:firstLine="482" w:firstLineChars="200"/>
              <w:textAlignment w:val="auto"/>
              <w:rPr>
                <w:rFonts w:hint="default"/>
                <w:b/>
                <w:bCs/>
                <w:highlight w:val="none"/>
                <w:lang w:val="en-US" w:eastAsia="zh-CN"/>
              </w:rPr>
            </w:pPr>
            <w:r>
              <w:rPr>
                <w:rFonts w:hint="eastAsia" w:ascii="Times New Roman" w:hAnsi="Times New Roman" w:eastAsia="宋体" w:cs="Times New Roman"/>
                <w:b/>
                <w:bCs/>
                <w:color w:val="auto"/>
                <w:sz w:val="24"/>
                <w:szCs w:val="21"/>
                <w:highlight w:val="none"/>
                <w:u w:val="none" w:color="auto"/>
                <w:lang w:val="en-US" w:eastAsia="zh-CN"/>
              </w:rPr>
              <w:t>E、氨</w:t>
            </w:r>
          </w:p>
          <w:p w14:paraId="4B4EE656">
            <w:pPr>
              <w:pStyle w:val="43"/>
              <w:keepNext w:val="0"/>
              <w:keepLines w:val="0"/>
              <w:pageBreakBefore w:val="0"/>
              <w:widowControl w:val="0"/>
              <w:numPr>
                <w:ilvl w:val="0"/>
                <w:numId w:val="0"/>
              </w:numPr>
              <w:kinsoku/>
              <w:wordWrap/>
              <w:overflowPunct/>
              <w:topLinePunct w:val="0"/>
              <w:autoSpaceDE/>
              <w:autoSpaceDN/>
              <w:bidi w:val="0"/>
              <w:spacing w:line="360" w:lineRule="auto"/>
              <w:ind w:leftChars="0" w:firstLine="480" w:firstLineChars="200"/>
              <w:textAlignment w:val="auto"/>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锅炉废气中氨主要来源于在脱硝反应过程中未完全参与反应的还原剂中氨的排放，根据《工业锅炉污染防治可行技术指南》(HJ1178-2021)，“采用SNCR-SCR联合法脱硝技术，新建项目宜控制氨逃逸质量浓度低于2.28mg/m</w:t>
            </w:r>
            <w:r>
              <w:rPr>
                <w:rFonts w:hint="eastAsia" w:ascii="Times New Roman" w:hAnsi="Times New Roman"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。”根据相关资料，影响氨逃逸最重要的 3 个因素是：反应温度、还原剂与烟气的混合程度和NSR值(氨氮摩尔比)。通过采取选择适量的还原剂在最佳的温度区间内与烟气中充分的混合、优化的喷射策略、提高NH</w:t>
            </w:r>
            <w:r>
              <w:rPr>
                <w:rFonts w:hint="eastAsia" w:ascii="Times New Roman" w:hAnsi="Times New Roman" w:cs="Times New Roman"/>
                <w:color w:val="auto"/>
                <w:sz w:val="24"/>
                <w:szCs w:val="24"/>
                <w:highlight w:val="none"/>
                <w:vertAlign w:val="subscript"/>
                <w:lang w:val="en-US" w:eastAsia="zh-CN"/>
              </w:rPr>
              <w:t>3</w:t>
            </w:r>
            <w:r>
              <w:rPr>
                <w:rFonts w:hint="eastAsia" w:ascii="Times New Roman" w:hAnsi="Times New Roman" w:cs="Times New Roman"/>
                <w:color w:val="auto"/>
                <w:sz w:val="24"/>
                <w:szCs w:val="24"/>
                <w:highlight w:val="none"/>
                <w:lang w:val="en-US" w:eastAsia="zh-CN"/>
              </w:rPr>
              <w:t>的反应效率，降低还原剂的使用量等措施，可以最大限度地减少氨逃逸，预计采取上述措施后，锅炉烟气中氨产生浓度达到2.28mg/m</w:t>
            </w:r>
            <w:r>
              <w:rPr>
                <w:rFonts w:hint="eastAsia" w:ascii="Times New Roman" w:hAnsi="Times New Roman"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vertAlign w:val="baseline"/>
                <w:lang w:val="en-US" w:eastAsia="zh-CN"/>
              </w:rPr>
              <w:t>排放</w:t>
            </w:r>
            <w:r>
              <w:rPr>
                <w:rFonts w:hint="eastAsia" w:ascii="Times New Roman" w:hAnsi="Times New Roman" w:cs="Times New Roman"/>
                <w:color w:val="auto"/>
                <w:sz w:val="24"/>
                <w:szCs w:val="24"/>
                <w:highlight w:val="none"/>
                <w:lang w:val="en-US" w:eastAsia="zh-CN"/>
              </w:rPr>
              <w:t>标准。根据查阅相关技术资料，目前尚无SNCR烟气脱硝工艺氨产生源强的核算方法和产污系数，因此本评价按2.28mg/m³计，按照本项目生物质锅炉废气量16850万m</w:t>
            </w:r>
            <w:r>
              <w:rPr>
                <w:rFonts w:hint="eastAsia" w:ascii="Times New Roman" w:hAnsi="Times New Roman"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a计算，则氨逃逸量为0.08kg/h，年运行4800h，排放量为0.38t/a。此外，本项目采用尿素作为还原剂，不需要在厂区存储氨水，只需要存储尿素原料和尿素溶液，而尿素在130℃以上才会分解为氨和二氧化碳，因此不会产生氨的无组织排放。</w:t>
            </w:r>
          </w:p>
          <w:p w14:paraId="1F5A15AB">
            <w:pPr>
              <w:pStyle w:val="16"/>
              <w:adjustRightInd w:val="0"/>
              <w:snapToGrid w:val="0"/>
              <w:spacing w:line="360" w:lineRule="auto"/>
              <w:ind w:firstLine="480" w:firstLineChars="200"/>
              <w:rPr>
                <w:rFonts w:hint="eastAsia"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建设单位拟采用“</w:t>
            </w:r>
            <w:r>
              <w:rPr>
                <w:rFonts w:hint="default" w:ascii="Times New Roman" w:hAnsi="Times New Roman" w:cs="Times New Roman"/>
                <w:color w:val="auto"/>
                <w:kern w:val="0"/>
                <w:sz w:val="24"/>
                <w:highlight w:val="none"/>
              </w:rPr>
              <w:t>多管旋风除尘+</w:t>
            </w:r>
            <w:r>
              <w:rPr>
                <w:rFonts w:hint="eastAsia" w:ascii="宋体" w:hAnsi="宋体" w:eastAsia="宋体" w:cs="宋体"/>
                <w:spacing w:val="7"/>
                <w:sz w:val="25"/>
                <w:szCs w:val="25"/>
                <w:highlight w:val="none"/>
                <w:lang w:eastAsia="zh-CN"/>
              </w:rPr>
              <w:t>高温布袋除尘器</w:t>
            </w:r>
            <w:r>
              <w:rPr>
                <w:rFonts w:hint="eastAsia" w:ascii="Times New Roman" w:hAnsi="Times New Roman" w:cs="Times New Roman"/>
                <w:color w:val="auto"/>
                <w:sz w:val="24"/>
                <w:szCs w:val="24"/>
                <w:highlight w:val="none"/>
              </w:rPr>
              <w:t>”装置对锅炉烟气进行除尘处理，最高可达99.9%，本评价除尘效率按9</w:t>
            </w:r>
            <w:r>
              <w:rPr>
                <w:rFonts w:hint="eastAsia" w:ascii="Times New Roman" w:hAnsi="Times New Roman" w:cs="Times New Roman"/>
                <w:color w:val="auto"/>
                <w:sz w:val="24"/>
                <w:szCs w:val="24"/>
                <w:highlight w:val="none"/>
                <w:lang w:val="en-US" w:eastAsia="zh-CN"/>
              </w:rPr>
              <w:t>9.5</w:t>
            </w:r>
            <w:r>
              <w:rPr>
                <w:rFonts w:hint="eastAsia" w:ascii="Times New Roman" w:hAnsi="Times New Roman" w:cs="Times New Roman"/>
                <w:color w:val="auto"/>
                <w:sz w:val="24"/>
                <w:szCs w:val="24"/>
                <w:highlight w:val="none"/>
              </w:rPr>
              <w:t>%计</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根据《污染源源强核算技术指南 锅炉》（HJ991-2018），</w:t>
            </w:r>
            <w:r>
              <w:rPr>
                <w:rFonts w:hint="eastAsia" w:ascii="Times New Roman" w:hAnsi="Times New Roman" w:cs="Times New Roman"/>
                <w:color w:val="auto"/>
                <w:sz w:val="24"/>
                <w:szCs w:val="24"/>
                <w:highlight w:val="none"/>
                <w:lang w:eastAsia="zh-CN"/>
              </w:rPr>
              <w:t>SNCR + SCR联合脱硝</w:t>
            </w:r>
            <w:r>
              <w:rPr>
                <w:rFonts w:hint="eastAsia" w:ascii="Times New Roman" w:hAnsi="Times New Roman" w:eastAsia="宋体" w:cs="Times New Roman"/>
                <w:color w:val="auto"/>
                <w:spacing w:val="-2"/>
                <w:kern w:val="0"/>
                <w:sz w:val="24"/>
                <w:szCs w:val="21"/>
                <w:highlight w:val="none"/>
                <w:u w:val="none" w:color="auto"/>
                <w:lang w:val="en-US" w:eastAsia="zh-CN"/>
              </w:rPr>
              <w:t>效率取</w:t>
            </w:r>
            <w:r>
              <w:rPr>
                <w:rFonts w:hint="eastAsia" w:ascii="Times New Roman" w:hAnsi="Times New Roman" w:cs="Times New Roman"/>
                <w:color w:val="auto"/>
                <w:spacing w:val="-2"/>
                <w:kern w:val="0"/>
                <w:sz w:val="24"/>
                <w:szCs w:val="21"/>
                <w:highlight w:val="none"/>
                <w:u w:val="none" w:color="auto"/>
                <w:lang w:val="en-US" w:eastAsia="zh-CN"/>
              </w:rPr>
              <w:t>55</w:t>
            </w:r>
            <w:r>
              <w:rPr>
                <w:rFonts w:hint="eastAsia" w:ascii="Times New Roman" w:hAnsi="Times New Roman" w:eastAsia="宋体" w:cs="Times New Roman"/>
                <w:color w:val="auto"/>
                <w:spacing w:val="-2"/>
                <w:kern w:val="0"/>
                <w:sz w:val="24"/>
                <w:szCs w:val="21"/>
                <w:highlight w:val="none"/>
                <w:u w:val="none" w:color="auto"/>
                <w:lang w:val="en-US" w:eastAsia="zh-CN"/>
              </w:rPr>
              <w:t>%；</w:t>
            </w:r>
            <w:r>
              <w:rPr>
                <w:rFonts w:hint="eastAsia" w:ascii="宋体" w:hAnsi="宋体" w:cs="宋体"/>
                <w:color w:val="auto"/>
                <w:kern w:val="0"/>
                <w:sz w:val="24"/>
                <w:highlight w:val="none"/>
                <w:lang w:eastAsia="zh-CN"/>
              </w:rPr>
              <w:t>“</w:t>
            </w:r>
            <w:r>
              <w:rPr>
                <w:rFonts w:hint="eastAsia" w:ascii="Times New Roman" w:hAnsi="Times New Roman" w:cs="Times New Roman"/>
                <w:color w:val="auto"/>
                <w:kern w:val="0"/>
                <w:sz w:val="24"/>
                <w:highlight w:val="none"/>
                <w:lang w:val="en-US" w:eastAsia="zh-CN"/>
              </w:rPr>
              <w:t>干法</w:t>
            </w:r>
            <w:r>
              <w:rPr>
                <w:rFonts w:hint="default" w:ascii="Times New Roman" w:hAnsi="Times New Roman" w:cs="Times New Roman"/>
                <w:color w:val="auto"/>
                <w:kern w:val="0"/>
                <w:sz w:val="24"/>
                <w:highlight w:val="none"/>
              </w:rPr>
              <w:t>脱硫</w:t>
            </w:r>
            <w:r>
              <w:rPr>
                <w:rFonts w:hint="eastAsia" w:ascii="宋体" w:hAnsi="宋体" w:cs="宋体"/>
                <w:color w:val="auto"/>
                <w:kern w:val="0"/>
                <w:sz w:val="24"/>
                <w:highlight w:val="none"/>
                <w:lang w:eastAsia="zh-CN"/>
              </w:rPr>
              <w:t>”</w:t>
            </w:r>
            <w:r>
              <w:rPr>
                <w:rFonts w:hint="eastAsia" w:hAnsi="宋体" w:cs="宋体"/>
                <w:color w:val="auto"/>
                <w:kern w:val="0"/>
                <w:sz w:val="24"/>
                <w:highlight w:val="none"/>
                <w:lang w:val="en-US" w:eastAsia="zh-CN"/>
              </w:rPr>
              <w:t>对</w:t>
            </w:r>
            <w:r>
              <w:rPr>
                <w:rFonts w:hint="default" w:ascii="Times New Roman" w:hAnsi="Times New Roman" w:cs="Times New Roman"/>
                <w:color w:val="auto"/>
                <w:kern w:val="0"/>
                <w:sz w:val="24"/>
                <w:highlight w:val="none"/>
                <w:lang w:val="en-US" w:eastAsia="zh-CN"/>
              </w:rPr>
              <w:t>SO</w:t>
            </w:r>
            <w:r>
              <w:rPr>
                <w:rFonts w:hint="default" w:ascii="Times New Roman" w:hAnsi="Times New Roman" w:cs="Times New Roman"/>
                <w:color w:val="auto"/>
                <w:kern w:val="0"/>
                <w:sz w:val="24"/>
                <w:highlight w:val="none"/>
                <w:vertAlign w:val="subscript"/>
                <w:lang w:val="en-US" w:eastAsia="zh-CN"/>
              </w:rPr>
              <w:t>2</w:t>
            </w:r>
            <w:r>
              <w:rPr>
                <w:rFonts w:hint="default" w:ascii="Times New Roman" w:hAnsi="Times New Roman" w:cs="Times New Roman"/>
                <w:color w:val="auto"/>
                <w:kern w:val="0"/>
                <w:sz w:val="24"/>
                <w:highlight w:val="none"/>
                <w:lang w:val="en-US" w:eastAsia="zh-CN"/>
              </w:rPr>
              <w:t>去</w:t>
            </w:r>
            <w:r>
              <w:rPr>
                <w:rFonts w:hint="eastAsia" w:ascii="宋体" w:hAnsi="宋体" w:cs="宋体"/>
                <w:color w:val="auto"/>
                <w:kern w:val="0"/>
                <w:sz w:val="24"/>
                <w:highlight w:val="none"/>
                <w:lang w:val="en-US" w:eastAsia="zh-CN"/>
              </w:rPr>
              <w:t>除效率</w:t>
            </w:r>
            <w:r>
              <w:rPr>
                <w:rFonts w:hint="eastAsia" w:ascii="Times New Roman" w:hAnsi="Times New Roman" w:cs="Times New Roman"/>
                <w:color w:val="auto"/>
                <w:sz w:val="24"/>
                <w:szCs w:val="24"/>
                <w:highlight w:val="none"/>
                <w:lang w:val="en-US" w:eastAsia="zh-CN"/>
              </w:rPr>
              <w:t>取50%</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rPr>
              <w:t>锅炉设有双层炉拱、喉口二次风结构炉，可有效地确保火焰充满炉膛、烟气在炉膛内的停留时间、充足的供氧能力，促进烟气中CO充分燃烧，CO去除效率一般为80%~86%，本项目保守按82%计</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rPr>
              <w:t>锅炉燃烧废气经处理达标后经</w:t>
            </w:r>
            <w:r>
              <w:rPr>
                <w:rFonts w:hint="eastAsia" w:ascii="Times New Roman" w:hAnsi="Times New Roman" w:cs="Times New Roman"/>
                <w:color w:val="auto"/>
                <w:sz w:val="24"/>
                <w:szCs w:val="24"/>
                <w:highlight w:val="none"/>
                <w:lang w:val="en-US" w:eastAsia="zh-CN"/>
              </w:rPr>
              <w:t>45</w:t>
            </w:r>
            <w:r>
              <w:rPr>
                <w:rFonts w:hint="eastAsia" w:ascii="Times New Roman" w:hAnsi="Times New Roman" w:cs="Times New Roman"/>
                <w:color w:val="auto"/>
                <w:sz w:val="24"/>
                <w:szCs w:val="24"/>
                <w:highlight w:val="none"/>
              </w:rPr>
              <w:t>m高排气筒（</w:t>
            </w:r>
            <w:r>
              <w:rPr>
                <w:rFonts w:hint="eastAsia" w:ascii="Times New Roman" w:hAnsi="Times New Roman" w:cs="Times New Roman"/>
                <w:color w:val="auto"/>
                <w:sz w:val="24"/>
                <w:szCs w:val="24"/>
                <w:highlight w:val="none"/>
                <w:lang w:val="en-US" w:eastAsia="zh-CN"/>
              </w:rPr>
              <w:t>DA001</w:t>
            </w:r>
            <w:r>
              <w:rPr>
                <w:rFonts w:hint="eastAsia" w:ascii="Times New Roman" w:hAnsi="Times New Roman" w:cs="Times New Roman"/>
                <w:color w:val="auto"/>
                <w:sz w:val="24"/>
                <w:szCs w:val="24"/>
                <w:highlight w:val="none"/>
              </w:rPr>
              <w:t>）排放。</w:t>
            </w:r>
          </w:p>
          <w:p w14:paraId="638CDDEC">
            <w:pPr>
              <w:pStyle w:val="43"/>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highlight w:val="none"/>
              </w:rPr>
            </w:pPr>
            <w:r>
              <w:rPr>
                <w:rFonts w:hint="eastAsia" w:cs="Times New Roman"/>
                <w:bCs/>
                <w:color w:val="auto"/>
                <w:kern w:val="0"/>
                <w:sz w:val="24"/>
                <w:highlight w:val="none"/>
                <w:lang w:val="en-US" w:eastAsia="zh-CN"/>
              </w:rPr>
              <w:t>日常运行过程中为避免不完全燃烧情况出现，建设单位也将加强日常运行管理：①精细化配风：适当关小炉排下的一次风总风门，然后重点优化各风室的配比。确保主燃烧区风量充足，而干燥区和燃尽区风量较小。在保证不冒黑烟的前提下，尽量降低过量空气系数（提高氧量设定值），以维持炉膛温度。②优化炉排操作：调整炉排速度与推煤（或往复）频率，保持炉排上有一个厚度均匀、火床平整的燃烧层。③保障燃料质量：使用粒度均匀、干爽的生物质燃料。④定期检查炉排：确保炉排往复机构运行平稳，防止因机械磨损导致送风不均，引发局部不完全燃烧。</w:t>
            </w:r>
          </w:p>
          <w:p w14:paraId="245BC3DA">
            <w:pPr>
              <w:spacing w:line="360" w:lineRule="auto"/>
              <w:ind w:right="29" w:firstLine="472" w:firstLineChars="200"/>
              <w:jc w:val="left"/>
              <w:rPr>
                <w:rFonts w:ascii="Times New Roman" w:hAnsi="Times New Roman" w:eastAsia="宋体" w:cs="Times New Roman"/>
                <w:color w:val="auto"/>
                <w:spacing w:val="-2"/>
                <w:kern w:val="0"/>
                <w:sz w:val="24"/>
                <w:highlight w:val="none"/>
                <w:lang w:bidi="ar"/>
              </w:rPr>
            </w:pPr>
            <w:r>
              <w:rPr>
                <w:rFonts w:hint="eastAsia" w:ascii="Times New Roman" w:hAnsi="Times New Roman" w:eastAsia="宋体" w:cs="Times New Roman"/>
                <w:color w:val="auto"/>
                <w:spacing w:val="-2"/>
                <w:kern w:val="0"/>
                <w:sz w:val="24"/>
                <w:szCs w:val="24"/>
                <w:highlight w:val="none"/>
                <w:u w:val="none" w:color="auto"/>
                <w:lang w:eastAsia="zh-CN"/>
              </w:rPr>
              <w:t>由此可核算</w:t>
            </w:r>
            <w:r>
              <w:rPr>
                <w:rFonts w:hint="eastAsia" w:ascii="Times New Roman" w:hAnsi="Times New Roman" w:eastAsia="宋体" w:cs="Times New Roman"/>
                <w:color w:val="auto"/>
                <w:spacing w:val="-2"/>
                <w:kern w:val="0"/>
                <w:sz w:val="24"/>
                <w:szCs w:val="24"/>
                <w:highlight w:val="none"/>
                <w:u w:val="none" w:color="auto"/>
                <w:lang w:val="en-US" w:eastAsia="zh-CN"/>
              </w:rPr>
              <w:t>生物质成型燃料锅炉</w:t>
            </w:r>
            <w:r>
              <w:rPr>
                <w:rFonts w:hint="eastAsia" w:ascii="Times New Roman" w:hAnsi="Times New Roman" w:eastAsia="宋体" w:cs="Times New Roman"/>
                <w:color w:val="auto"/>
                <w:spacing w:val="-2"/>
                <w:kern w:val="0"/>
                <w:sz w:val="24"/>
                <w:szCs w:val="24"/>
                <w:highlight w:val="none"/>
                <w:u w:val="none" w:color="auto"/>
                <w:lang w:eastAsia="zh-CN"/>
              </w:rPr>
              <w:t>废气污染物产排情况详见下表</w:t>
            </w:r>
            <w:r>
              <w:rPr>
                <w:rFonts w:hint="eastAsia" w:ascii="Times New Roman" w:hAnsi="Times New Roman" w:eastAsia="宋体" w:cs="Times New Roman"/>
                <w:color w:val="auto"/>
                <w:spacing w:val="-2"/>
                <w:kern w:val="0"/>
                <w:sz w:val="24"/>
                <w:szCs w:val="24"/>
                <w:highlight w:val="none"/>
                <w:u w:val="none" w:color="auto"/>
                <w:lang w:val="en-US" w:eastAsia="zh-CN"/>
              </w:rPr>
              <w:t>4-2</w:t>
            </w:r>
            <w:r>
              <w:rPr>
                <w:rFonts w:hint="eastAsia" w:ascii="Times New Roman" w:hAnsi="Times New Roman" w:eastAsia="宋体" w:cs="Times New Roman"/>
                <w:color w:val="auto"/>
                <w:spacing w:val="-2"/>
                <w:kern w:val="0"/>
                <w:sz w:val="24"/>
                <w:szCs w:val="24"/>
                <w:highlight w:val="none"/>
                <w:u w:val="none" w:color="auto"/>
                <w:lang w:eastAsia="zh-CN"/>
              </w:rPr>
              <w:t>。</w:t>
            </w:r>
          </w:p>
          <w:p w14:paraId="13A975B0">
            <w:pPr>
              <w:pStyle w:val="1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kern w:val="0"/>
                <w:sz w:val="24"/>
                <w:szCs w:val="24"/>
                <w:highlight w:val="none"/>
              </w:rPr>
            </w:pPr>
            <w:r>
              <w:rPr>
                <w:rFonts w:hint="default" w:ascii="Times New Roman" w:hAnsi="Times New Roman" w:cs="Times New Roman"/>
                <w:b/>
                <w:color w:val="auto"/>
                <w:kern w:val="0"/>
                <w:sz w:val="24"/>
                <w:szCs w:val="24"/>
                <w:highlight w:val="none"/>
                <w:lang w:val="zh-CN"/>
              </w:rPr>
              <w:t>表</w:t>
            </w:r>
            <w:r>
              <w:rPr>
                <w:rFonts w:hint="default" w:ascii="Times New Roman" w:hAnsi="Times New Roman" w:cs="Times New Roman"/>
                <w:b/>
                <w:color w:val="auto"/>
                <w:kern w:val="0"/>
                <w:sz w:val="24"/>
                <w:szCs w:val="24"/>
                <w:highlight w:val="none"/>
                <w:lang w:val="en-US" w:eastAsia="zh-CN"/>
              </w:rPr>
              <w:t>4-</w:t>
            </w:r>
            <w:r>
              <w:rPr>
                <w:rFonts w:hint="eastAsia" w:ascii="Times New Roman" w:hAnsi="Times New Roman" w:cs="Times New Roman"/>
                <w:b/>
                <w:color w:val="auto"/>
                <w:kern w:val="0"/>
                <w:sz w:val="24"/>
                <w:szCs w:val="24"/>
                <w:highlight w:val="none"/>
                <w:lang w:val="en-US" w:eastAsia="zh-CN"/>
              </w:rPr>
              <w:t>2</w:t>
            </w:r>
            <w:r>
              <w:rPr>
                <w:rFonts w:hint="default" w:ascii="Times New Roman" w:hAnsi="Times New Roman" w:cs="Times New Roman"/>
                <w:b/>
                <w:color w:val="auto"/>
                <w:kern w:val="0"/>
                <w:sz w:val="24"/>
                <w:szCs w:val="24"/>
                <w:highlight w:val="none"/>
                <w:lang w:val="zh-CN"/>
              </w:rPr>
              <w:t xml:space="preserve"> 锅</w:t>
            </w:r>
            <w:r>
              <w:rPr>
                <w:rFonts w:hint="default" w:ascii="Times New Roman" w:hAnsi="Times New Roman" w:cs="Times New Roman"/>
                <w:b/>
                <w:color w:val="auto"/>
                <w:kern w:val="0"/>
                <w:sz w:val="24"/>
                <w:szCs w:val="24"/>
                <w:highlight w:val="none"/>
              </w:rPr>
              <w:t>炉污染物的产生量和排放量</w:t>
            </w:r>
          </w:p>
          <w:tbl>
            <w:tblPr>
              <w:tblStyle w:val="31"/>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25"/>
              <w:gridCol w:w="1500"/>
              <w:gridCol w:w="1837"/>
              <w:gridCol w:w="1670"/>
              <w:gridCol w:w="1025"/>
              <w:gridCol w:w="889"/>
            </w:tblGrid>
            <w:tr w14:paraId="49F56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6" w:hRule="atLeast"/>
              </w:trPr>
              <w:tc>
                <w:tcPr>
                  <w:tcW w:w="1125" w:type="dxa"/>
                  <w:shd w:val="clear" w:color="auto" w:fill="auto"/>
                  <w:vAlign w:val="center"/>
                </w:tcPr>
                <w:p w14:paraId="68EC87E0">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项目</w:t>
                  </w:r>
                </w:p>
              </w:tc>
              <w:tc>
                <w:tcPr>
                  <w:tcW w:w="1500" w:type="dxa"/>
                  <w:shd w:val="clear" w:color="auto" w:fill="auto"/>
                  <w:vAlign w:val="center"/>
                </w:tcPr>
                <w:p w14:paraId="3A37EC16">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烟尘</w:t>
                  </w:r>
                </w:p>
              </w:tc>
              <w:tc>
                <w:tcPr>
                  <w:tcW w:w="1837" w:type="dxa"/>
                  <w:shd w:val="clear" w:color="auto" w:fill="auto"/>
                  <w:vAlign w:val="center"/>
                </w:tcPr>
                <w:p w14:paraId="32F93693">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SO</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2</w:t>
                  </w:r>
                </w:p>
              </w:tc>
              <w:tc>
                <w:tcPr>
                  <w:tcW w:w="1670" w:type="dxa"/>
                  <w:shd w:val="clear" w:color="auto" w:fill="auto"/>
                  <w:vAlign w:val="center"/>
                </w:tcPr>
                <w:p w14:paraId="33C6FC23">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NO</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X</w:t>
                  </w:r>
                </w:p>
              </w:tc>
              <w:tc>
                <w:tcPr>
                  <w:tcW w:w="1025" w:type="dxa"/>
                  <w:shd w:val="clear" w:color="auto" w:fill="auto"/>
                  <w:vAlign w:val="center"/>
                </w:tcPr>
                <w:p w14:paraId="021F1A05">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CO</w:t>
                  </w:r>
                </w:p>
              </w:tc>
              <w:tc>
                <w:tcPr>
                  <w:tcW w:w="889" w:type="dxa"/>
                  <w:shd w:val="clear" w:color="auto" w:fill="auto"/>
                  <w:vAlign w:val="center"/>
                </w:tcPr>
                <w:p w14:paraId="0C4ED542">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氨</w:t>
                  </w:r>
                </w:p>
              </w:tc>
            </w:tr>
            <w:tr w14:paraId="19110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trPr>
              <w:tc>
                <w:tcPr>
                  <w:tcW w:w="1125" w:type="dxa"/>
                  <w:shd w:val="clear" w:color="auto" w:fill="auto"/>
                  <w:vAlign w:val="center"/>
                </w:tcPr>
                <w:p w14:paraId="6BCFF419">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产生浓mg/m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p>
              </w:tc>
              <w:tc>
                <w:tcPr>
                  <w:tcW w:w="1500" w:type="dxa"/>
                  <w:shd w:val="clear" w:color="auto" w:fill="auto"/>
                  <w:vAlign w:val="center"/>
                </w:tcPr>
                <w:p w14:paraId="4AD60CF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2436.36 </w:t>
                  </w:r>
                </w:p>
              </w:tc>
              <w:tc>
                <w:tcPr>
                  <w:tcW w:w="1837" w:type="dxa"/>
                  <w:shd w:val="clear" w:color="auto" w:fill="auto"/>
                  <w:vAlign w:val="center"/>
                </w:tcPr>
                <w:p w14:paraId="3F6C048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27.66 </w:t>
                  </w:r>
                </w:p>
              </w:tc>
              <w:tc>
                <w:tcPr>
                  <w:tcW w:w="1670" w:type="dxa"/>
                  <w:shd w:val="clear" w:color="auto" w:fill="auto"/>
                  <w:vAlign w:val="center"/>
                </w:tcPr>
                <w:p w14:paraId="3FB16C9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149.95 </w:t>
                  </w:r>
                </w:p>
              </w:tc>
              <w:tc>
                <w:tcPr>
                  <w:tcW w:w="1025" w:type="dxa"/>
                  <w:shd w:val="clear" w:color="auto" w:fill="auto"/>
                  <w:vAlign w:val="center"/>
                </w:tcPr>
                <w:p w14:paraId="4C064EE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922.85 </w:t>
                  </w:r>
                </w:p>
              </w:tc>
              <w:tc>
                <w:tcPr>
                  <w:tcW w:w="889" w:type="dxa"/>
                  <w:shd w:val="clear" w:color="auto" w:fill="auto"/>
                  <w:vAlign w:val="center"/>
                </w:tcPr>
                <w:p w14:paraId="686C227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2.28</w:t>
                  </w:r>
                </w:p>
              </w:tc>
            </w:tr>
            <w:tr w14:paraId="54797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4" w:hRule="atLeast"/>
              </w:trPr>
              <w:tc>
                <w:tcPr>
                  <w:tcW w:w="1125" w:type="dxa"/>
                  <w:shd w:val="clear" w:color="auto" w:fill="auto"/>
                  <w:vAlign w:val="center"/>
                </w:tcPr>
                <w:p w14:paraId="34C30504">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w:t>
                  </w:r>
                </w:p>
                <w:p w14:paraId="5D3A6846">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t/a</w:t>
                  </w:r>
                </w:p>
              </w:tc>
              <w:tc>
                <w:tcPr>
                  <w:tcW w:w="1500" w:type="dxa"/>
                  <w:shd w:val="clear" w:color="auto" w:fill="auto"/>
                  <w:vAlign w:val="center"/>
                </w:tcPr>
                <w:p w14:paraId="4F52764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410.53 </w:t>
                  </w:r>
                </w:p>
              </w:tc>
              <w:tc>
                <w:tcPr>
                  <w:tcW w:w="1837" w:type="dxa"/>
                  <w:shd w:val="clear" w:color="auto" w:fill="auto"/>
                  <w:vAlign w:val="center"/>
                </w:tcPr>
                <w:p w14:paraId="488E5DA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4.66 </w:t>
                  </w:r>
                </w:p>
              </w:tc>
              <w:tc>
                <w:tcPr>
                  <w:tcW w:w="1670" w:type="dxa"/>
                  <w:shd w:val="clear" w:color="auto" w:fill="auto"/>
                  <w:vAlign w:val="center"/>
                </w:tcPr>
                <w:p w14:paraId="1BCF219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25.27 </w:t>
                  </w:r>
                </w:p>
              </w:tc>
              <w:tc>
                <w:tcPr>
                  <w:tcW w:w="1025" w:type="dxa"/>
                  <w:shd w:val="clear" w:color="auto" w:fill="auto"/>
                  <w:vAlign w:val="center"/>
                </w:tcPr>
                <w:p w14:paraId="7FA3447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155.50 </w:t>
                  </w:r>
                </w:p>
              </w:tc>
              <w:tc>
                <w:tcPr>
                  <w:tcW w:w="889" w:type="dxa"/>
                  <w:shd w:val="clear" w:color="auto" w:fill="auto"/>
                  <w:vAlign w:val="center"/>
                </w:tcPr>
                <w:p w14:paraId="58D451E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0.3</w:t>
                  </w:r>
                  <w:r>
                    <w:rPr>
                      <w:rFonts w:hint="eastAsia" w:ascii="Times New Roman" w:hAnsi="Times New Roman" w:eastAsia="宋体" w:cs="Times New Roman"/>
                      <w:i w:val="0"/>
                      <w:iCs w:val="0"/>
                      <w:color w:val="000000"/>
                      <w:kern w:val="0"/>
                      <w:sz w:val="21"/>
                      <w:szCs w:val="21"/>
                      <w:highlight w:val="none"/>
                      <w:u w:val="none"/>
                      <w:lang w:val="en-US" w:eastAsia="zh-CN" w:bidi="ar"/>
                    </w:rPr>
                    <w:t>8</w:t>
                  </w:r>
                  <w:r>
                    <w:rPr>
                      <w:rFonts w:hint="default" w:ascii="Times New Roman" w:hAnsi="Times New Roman" w:eastAsia="宋体" w:cs="Times New Roman"/>
                      <w:i w:val="0"/>
                      <w:iCs w:val="0"/>
                      <w:color w:val="000000"/>
                      <w:kern w:val="0"/>
                      <w:sz w:val="21"/>
                      <w:szCs w:val="21"/>
                      <w:highlight w:val="none"/>
                      <w:u w:val="none"/>
                      <w:lang w:val="en-US" w:eastAsia="zh-CN" w:bidi="ar"/>
                    </w:rPr>
                    <w:t xml:space="preserve"> </w:t>
                  </w:r>
                </w:p>
              </w:tc>
            </w:tr>
            <w:tr w14:paraId="4F9BF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9" w:hRule="atLeast"/>
              </w:trPr>
              <w:tc>
                <w:tcPr>
                  <w:tcW w:w="1125" w:type="dxa"/>
                  <w:shd w:val="clear" w:color="auto" w:fill="auto"/>
                  <w:vAlign w:val="center"/>
                </w:tcPr>
                <w:p w14:paraId="705FF2DE">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处理工艺</w:t>
                  </w:r>
                </w:p>
              </w:tc>
              <w:tc>
                <w:tcPr>
                  <w:tcW w:w="1500" w:type="dxa"/>
                  <w:shd w:val="clear" w:color="auto" w:fill="auto"/>
                  <w:noWrap/>
                  <w:vAlign w:val="center"/>
                </w:tcPr>
                <w:p w14:paraId="5703D01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多管旋风除尘+高温布袋除尘器</w:t>
                  </w:r>
                </w:p>
              </w:tc>
              <w:tc>
                <w:tcPr>
                  <w:tcW w:w="1837" w:type="dxa"/>
                  <w:shd w:val="clear" w:color="auto" w:fill="auto"/>
                  <w:noWrap/>
                  <w:vAlign w:val="center"/>
                </w:tcPr>
                <w:p w14:paraId="4B6B06D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干法脱硫</w:t>
                  </w:r>
                </w:p>
              </w:tc>
              <w:tc>
                <w:tcPr>
                  <w:tcW w:w="1670" w:type="dxa"/>
                  <w:shd w:val="clear" w:color="auto" w:fill="auto"/>
                  <w:noWrap/>
                  <w:vAlign w:val="center"/>
                </w:tcPr>
                <w:p w14:paraId="71E487C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SNCR + SCR联合脱硝</w:t>
                  </w:r>
                </w:p>
              </w:tc>
              <w:tc>
                <w:tcPr>
                  <w:tcW w:w="1025" w:type="dxa"/>
                  <w:shd w:val="clear" w:color="auto" w:fill="auto"/>
                  <w:vAlign w:val="center"/>
                </w:tcPr>
                <w:p w14:paraId="4AA7C20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充分燃烧</w:t>
                  </w:r>
                </w:p>
              </w:tc>
              <w:tc>
                <w:tcPr>
                  <w:tcW w:w="889" w:type="dxa"/>
                  <w:shd w:val="clear" w:color="auto" w:fill="auto"/>
                  <w:vAlign w:val="center"/>
                </w:tcPr>
                <w:p w14:paraId="7EF4EC8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w:t>
                  </w:r>
                </w:p>
              </w:tc>
            </w:tr>
            <w:tr w14:paraId="746A9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1125" w:type="dxa"/>
                  <w:shd w:val="clear" w:color="auto" w:fill="auto"/>
                  <w:vAlign w:val="center"/>
                </w:tcPr>
                <w:p w14:paraId="5F5A9158">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去除效率</w:t>
                  </w:r>
                </w:p>
                <w:p w14:paraId="77B3BC7B">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1500" w:type="dxa"/>
                  <w:shd w:val="clear" w:color="auto" w:fill="auto"/>
                  <w:vAlign w:val="center"/>
                </w:tcPr>
                <w:p w14:paraId="6B21708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cs="Times New Roman"/>
                      <w:b w:val="0"/>
                      <w:bCs w:val="0"/>
                      <w:i w:val="0"/>
                      <w:iCs w:val="0"/>
                      <w:color w:val="auto"/>
                      <w:kern w:val="0"/>
                      <w:sz w:val="21"/>
                      <w:szCs w:val="21"/>
                      <w:highlight w:val="none"/>
                      <w:u w:val="none"/>
                      <w:lang w:val="en-US" w:eastAsia="zh-CN" w:bidi="ar"/>
                    </w:rPr>
                    <w:t>99.5</w:t>
                  </w:r>
                </w:p>
              </w:tc>
              <w:tc>
                <w:tcPr>
                  <w:tcW w:w="1837" w:type="dxa"/>
                  <w:shd w:val="clear" w:color="auto" w:fill="auto"/>
                  <w:vAlign w:val="center"/>
                </w:tcPr>
                <w:p w14:paraId="5502B1F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 xml:space="preserve">50 </w:t>
                  </w:r>
                </w:p>
              </w:tc>
              <w:tc>
                <w:tcPr>
                  <w:tcW w:w="1670" w:type="dxa"/>
                  <w:shd w:val="clear" w:color="auto" w:fill="auto"/>
                  <w:vAlign w:val="center"/>
                </w:tcPr>
                <w:p w14:paraId="661D4F2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cs="Times New Roman"/>
                      <w:b w:val="0"/>
                      <w:bCs w:val="0"/>
                      <w:i w:val="0"/>
                      <w:iCs w:val="0"/>
                      <w:color w:val="auto"/>
                      <w:kern w:val="0"/>
                      <w:sz w:val="21"/>
                      <w:szCs w:val="21"/>
                      <w:highlight w:val="none"/>
                      <w:u w:val="none"/>
                      <w:lang w:val="en-US" w:eastAsia="zh-CN" w:bidi="ar"/>
                    </w:rPr>
                    <w:t>55</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 xml:space="preserve"> </w:t>
                  </w:r>
                </w:p>
              </w:tc>
              <w:tc>
                <w:tcPr>
                  <w:tcW w:w="1025" w:type="dxa"/>
                  <w:shd w:val="clear" w:color="auto" w:fill="auto"/>
                  <w:vAlign w:val="center"/>
                </w:tcPr>
                <w:p w14:paraId="4C951FA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82</w:t>
                  </w:r>
                </w:p>
              </w:tc>
              <w:tc>
                <w:tcPr>
                  <w:tcW w:w="889" w:type="dxa"/>
                  <w:shd w:val="clear" w:color="auto" w:fill="auto"/>
                  <w:vAlign w:val="center"/>
                </w:tcPr>
                <w:p w14:paraId="4A6B1FB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0</w:t>
                  </w:r>
                </w:p>
              </w:tc>
            </w:tr>
            <w:tr w14:paraId="0C2B0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trPr>
              <w:tc>
                <w:tcPr>
                  <w:tcW w:w="1125" w:type="dxa"/>
                  <w:shd w:val="clear" w:color="auto" w:fill="auto"/>
                  <w:vAlign w:val="center"/>
                </w:tcPr>
                <w:p w14:paraId="2C56E066">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排放浓度mg/m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p>
              </w:tc>
              <w:tc>
                <w:tcPr>
                  <w:tcW w:w="1500" w:type="dxa"/>
                  <w:shd w:val="clear" w:color="auto" w:fill="auto"/>
                  <w:vAlign w:val="center"/>
                </w:tcPr>
                <w:p w14:paraId="1A3F61F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12.18 </w:t>
                  </w:r>
                </w:p>
              </w:tc>
              <w:tc>
                <w:tcPr>
                  <w:tcW w:w="1837" w:type="dxa"/>
                  <w:shd w:val="clear" w:color="auto" w:fill="auto"/>
                  <w:vAlign w:val="center"/>
                </w:tcPr>
                <w:p w14:paraId="641D133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13.83 </w:t>
                  </w:r>
                </w:p>
              </w:tc>
              <w:tc>
                <w:tcPr>
                  <w:tcW w:w="1670" w:type="dxa"/>
                  <w:shd w:val="clear" w:color="auto" w:fill="auto"/>
                  <w:vAlign w:val="center"/>
                </w:tcPr>
                <w:p w14:paraId="596FB56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67.48 </w:t>
                  </w:r>
                </w:p>
              </w:tc>
              <w:tc>
                <w:tcPr>
                  <w:tcW w:w="1025" w:type="dxa"/>
                  <w:shd w:val="clear" w:color="auto" w:fill="auto"/>
                  <w:vAlign w:val="center"/>
                </w:tcPr>
                <w:p w14:paraId="4F204C0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166.11 </w:t>
                  </w:r>
                </w:p>
              </w:tc>
              <w:tc>
                <w:tcPr>
                  <w:tcW w:w="889" w:type="dxa"/>
                  <w:shd w:val="clear" w:color="auto" w:fill="auto"/>
                  <w:vAlign w:val="center"/>
                </w:tcPr>
                <w:p w14:paraId="52D69D7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w:t>
                  </w:r>
                  <w:r>
                    <w:rPr>
                      <w:rFonts w:hint="eastAsia" w:ascii="Times New Roman" w:hAnsi="Times New Roman" w:eastAsia="宋体" w:cs="Times New Roman"/>
                      <w:i w:val="0"/>
                      <w:iCs w:val="0"/>
                      <w:color w:val="000000"/>
                      <w:kern w:val="0"/>
                      <w:sz w:val="21"/>
                      <w:szCs w:val="21"/>
                      <w:highlight w:val="none"/>
                      <w:u w:val="none"/>
                      <w:lang w:val="en-US" w:eastAsia="zh-CN" w:bidi="ar"/>
                    </w:rPr>
                    <w:t>28</w:t>
                  </w:r>
                  <w:r>
                    <w:rPr>
                      <w:rFonts w:hint="default" w:ascii="Times New Roman" w:hAnsi="Times New Roman" w:eastAsia="宋体" w:cs="Times New Roman"/>
                      <w:i w:val="0"/>
                      <w:iCs w:val="0"/>
                      <w:color w:val="000000"/>
                      <w:kern w:val="0"/>
                      <w:sz w:val="21"/>
                      <w:szCs w:val="21"/>
                      <w:highlight w:val="none"/>
                      <w:u w:val="none"/>
                      <w:lang w:val="en-US" w:eastAsia="zh-CN" w:bidi="ar"/>
                    </w:rPr>
                    <w:t xml:space="preserve"> </w:t>
                  </w:r>
                </w:p>
              </w:tc>
            </w:tr>
            <w:tr w14:paraId="3C8A1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25" w:type="dxa"/>
                  <w:shd w:val="clear" w:color="auto" w:fill="auto"/>
                  <w:vAlign w:val="center"/>
                </w:tcPr>
                <w:p w14:paraId="4143A604">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排放量</w:t>
                  </w:r>
                </w:p>
                <w:p w14:paraId="2C6A77D6">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t/a</w:t>
                  </w:r>
                </w:p>
              </w:tc>
              <w:tc>
                <w:tcPr>
                  <w:tcW w:w="1500" w:type="dxa"/>
                  <w:shd w:val="clear" w:color="auto" w:fill="auto"/>
                  <w:vAlign w:val="center"/>
                </w:tcPr>
                <w:p w14:paraId="3B7B57A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2.05 </w:t>
                  </w:r>
                </w:p>
              </w:tc>
              <w:tc>
                <w:tcPr>
                  <w:tcW w:w="1837" w:type="dxa"/>
                  <w:shd w:val="clear" w:color="auto" w:fill="auto"/>
                  <w:vAlign w:val="center"/>
                </w:tcPr>
                <w:p w14:paraId="6BAD94C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2.33 </w:t>
                  </w:r>
                </w:p>
              </w:tc>
              <w:tc>
                <w:tcPr>
                  <w:tcW w:w="1670" w:type="dxa"/>
                  <w:shd w:val="clear" w:color="auto" w:fill="auto"/>
                  <w:vAlign w:val="center"/>
                </w:tcPr>
                <w:p w14:paraId="0B37F37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11.37 </w:t>
                  </w:r>
                </w:p>
              </w:tc>
              <w:tc>
                <w:tcPr>
                  <w:tcW w:w="1025" w:type="dxa"/>
                  <w:shd w:val="clear" w:color="auto" w:fill="auto"/>
                  <w:vAlign w:val="center"/>
                </w:tcPr>
                <w:p w14:paraId="1B38483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27.99 </w:t>
                  </w:r>
                </w:p>
              </w:tc>
              <w:tc>
                <w:tcPr>
                  <w:tcW w:w="889" w:type="dxa"/>
                  <w:shd w:val="clear" w:color="auto" w:fill="auto"/>
                  <w:vAlign w:val="center"/>
                </w:tcPr>
                <w:p w14:paraId="579F450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0.3</w:t>
                  </w:r>
                  <w:r>
                    <w:rPr>
                      <w:rFonts w:hint="eastAsia" w:ascii="Times New Roman" w:hAnsi="Times New Roman" w:eastAsia="宋体" w:cs="Times New Roman"/>
                      <w:i w:val="0"/>
                      <w:iCs w:val="0"/>
                      <w:color w:val="000000"/>
                      <w:kern w:val="0"/>
                      <w:sz w:val="21"/>
                      <w:szCs w:val="21"/>
                      <w:highlight w:val="none"/>
                      <w:u w:val="none"/>
                      <w:lang w:val="en-US" w:eastAsia="zh-CN" w:bidi="ar"/>
                    </w:rPr>
                    <w:t>8</w:t>
                  </w:r>
                  <w:r>
                    <w:rPr>
                      <w:rFonts w:hint="default" w:ascii="Times New Roman" w:hAnsi="Times New Roman" w:eastAsia="宋体" w:cs="Times New Roman"/>
                      <w:i w:val="0"/>
                      <w:iCs w:val="0"/>
                      <w:color w:val="000000"/>
                      <w:kern w:val="0"/>
                      <w:sz w:val="21"/>
                      <w:szCs w:val="21"/>
                      <w:highlight w:val="none"/>
                      <w:u w:val="none"/>
                      <w:lang w:val="en-US" w:eastAsia="zh-CN" w:bidi="ar"/>
                    </w:rPr>
                    <w:t xml:space="preserve"> </w:t>
                  </w:r>
                </w:p>
              </w:tc>
            </w:tr>
            <w:tr w14:paraId="52998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1125" w:type="dxa"/>
                  <w:shd w:val="clear" w:color="auto" w:fill="auto"/>
                  <w:vAlign w:val="center"/>
                </w:tcPr>
                <w:p w14:paraId="76152496">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排放速率</w:t>
                  </w:r>
                </w:p>
                <w:p w14:paraId="503C37DC">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kg/h</w:t>
                  </w:r>
                </w:p>
              </w:tc>
              <w:tc>
                <w:tcPr>
                  <w:tcW w:w="1500" w:type="dxa"/>
                  <w:shd w:val="clear" w:color="auto" w:fill="auto"/>
                  <w:vAlign w:val="center"/>
                </w:tcPr>
                <w:p w14:paraId="3F70E37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0.43 </w:t>
                  </w:r>
                </w:p>
              </w:tc>
              <w:tc>
                <w:tcPr>
                  <w:tcW w:w="1837" w:type="dxa"/>
                  <w:shd w:val="clear" w:color="auto" w:fill="auto"/>
                  <w:vAlign w:val="center"/>
                </w:tcPr>
                <w:p w14:paraId="096A9E9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0.49 </w:t>
                  </w:r>
                </w:p>
              </w:tc>
              <w:tc>
                <w:tcPr>
                  <w:tcW w:w="1670" w:type="dxa"/>
                  <w:shd w:val="clear" w:color="auto" w:fill="auto"/>
                  <w:vAlign w:val="center"/>
                </w:tcPr>
                <w:p w14:paraId="49E4FD2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2.37 </w:t>
                  </w:r>
                </w:p>
              </w:tc>
              <w:tc>
                <w:tcPr>
                  <w:tcW w:w="1025" w:type="dxa"/>
                  <w:shd w:val="clear" w:color="auto" w:fill="auto"/>
                  <w:vAlign w:val="center"/>
                </w:tcPr>
                <w:p w14:paraId="51FDE58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5.83 </w:t>
                  </w:r>
                </w:p>
              </w:tc>
              <w:tc>
                <w:tcPr>
                  <w:tcW w:w="889" w:type="dxa"/>
                  <w:shd w:val="clear" w:color="auto" w:fill="auto"/>
                  <w:vAlign w:val="center"/>
                </w:tcPr>
                <w:p w14:paraId="5FAB0F5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0.08 </w:t>
                  </w:r>
                </w:p>
              </w:tc>
            </w:tr>
            <w:tr w14:paraId="7FBE0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3" w:hRule="atLeast"/>
              </w:trPr>
              <w:tc>
                <w:tcPr>
                  <w:tcW w:w="1125" w:type="dxa"/>
                  <w:shd w:val="clear" w:color="auto" w:fill="auto"/>
                  <w:vAlign w:val="center"/>
                </w:tcPr>
                <w:p w14:paraId="67DC6519">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标准限值mg/m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p>
              </w:tc>
              <w:tc>
                <w:tcPr>
                  <w:tcW w:w="1500" w:type="dxa"/>
                  <w:shd w:val="clear" w:color="auto" w:fill="auto"/>
                  <w:vAlign w:val="center"/>
                </w:tcPr>
                <w:p w14:paraId="62D1FD1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20</w:t>
                  </w:r>
                </w:p>
              </w:tc>
              <w:tc>
                <w:tcPr>
                  <w:tcW w:w="1837" w:type="dxa"/>
                  <w:shd w:val="clear" w:color="auto" w:fill="auto"/>
                  <w:vAlign w:val="center"/>
                </w:tcPr>
                <w:p w14:paraId="2577D29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35</w:t>
                  </w:r>
                </w:p>
              </w:tc>
              <w:tc>
                <w:tcPr>
                  <w:tcW w:w="1670" w:type="dxa"/>
                  <w:shd w:val="clear" w:color="auto" w:fill="auto"/>
                  <w:vAlign w:val="center"/>
                </w:tcPr>
                <w:p w14:paraId="44D1CE1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150</w:t>
                  </w:r>
                </w:p>
              </w:tc>
              <w:tc>
                <w:tcPr>
                  <w:tcW w:w="1025" w:type="dxa"/>
                  <w:shd w:val="clear" w:color="auto" w:fill="auto"/>
                  <w:vAlign w:val="center"/>
                </w:tcPr>
                <w:p w14:paraId="44CE793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200</w:t>
                  </w:r>
                </w:p>
              </w:tc>
              <w:tc>
                <w:tcPr>
                  <w:tcW w:w="889" w:type="dxa"/>
                  <w:shd w:val="clear" w:color="auto" w:fill="auto"/>
                  <w:vAlign w:val="center"/>
                </w:tcPr>
                <w:p w14:paraId="1A3EBE2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2.28</w:t>
                  </w:r>
                </w:p>
              </w:tc>
            </w:tr>
            <w:tr w14:paraId="30DCD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1125" w:type="dxa"/>
                  <w:shd w:val="clear" w:color="auto" w:fill="auto"/>
                  <w:vAlign w:val="center"/>
                </w:tcPr>
                <w:p w14:paraId="1AB4956C">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标准限值kg/h</w:t>
                  </w:r>
                </w:p>
              </w:tc>
              <w:tc>
                <w:tcPr>
                  <w:tcW w:w="1500" w:type="dxa"/>
                  <w:shd w:val="clear" w:color="auto" w:fill="auto"/>
                  <w:vAlign w:val="center"/>
                </w:tcPr>
                <w:p w14:paraId="4AEE9A5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1837" w:type="dxa"/>
                  <w:shd w:val="clear" w:color="auto" w:fill="auto"/>
                  <w:vAlign w:val="center"/>
                </w:tcPr>
                <w:p w14:paraId="6F3846B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1670" w:type="dxa"/>
                  <w:shd w:val="clear" w:color="auto" w:fill="auto"/>
                  <w:vAlign w:val="center"/>
                </w:tcPr>
                <w:p w14:paraId="6FB7A7B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1025" w:type="dxa"/>
                  <w:shd w:val="clear" w:color="auto" w:fill="auto"/>
                  <w:vAlign w:val="center"/>
                </w:tcPr>
                <w:p w14:paraId="0FEE61D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889" w:type="dxa"/>
                  <w:shd w:val="clear" w:color="auto" w:fill="auto"/>
                  <w:vAlign w:val="center"/>
                </w:tcPr>
                <w:p w14:paraId="41DB5BB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w:t>
                  </w:r>
                </w:p>
              </w:tc>
            </w:tr>
          </w:tbl>
          <w:p w14:paraId="0159F92D">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cs="Times New Roman"/>
                <w:b/>
                <w:bCs/>
                <w:color w:val="auto"/>
                <w:sz w:val="24"/>
                <w:highlight w:val="none"/>
                <w:lang w:val="en-US" w:eastAsia="zh-CN"/>
              </w:rPr>
            </w:pPr>
            <w:r>
              <w:rPr>
                <w:rFonts w:hint="eastAsia"/>
                <w:b/>
                <w:bCs/>
                <w:color w:val="auto"/>
                <w:sz w:val="24"/>
                <w:highlight w:val="none"/>
                <w:lang w:val="en-US" w:eastAsia="zh-CN"/>
              </w:rPr>
              <w:t>②</w:t>
            </w:r>
            <w:r>
              <w:rPr>
                <w:rFonts w:hint="eastAsia" w:ascii="Times New Roman" w:hAnsi="Times New Roman" w:cs="Times New Roman"/>
                <w:b/>
                <w:bCs/>
                <w:color w:val="auto"/>
                <w:sz w:val="24"/>
                <w:highlight w:val="none"/>
                <w:lang w:val="en-US" w:eastAsia="zh-CN"/>
              </w:rPr>
              <w:t>灰库（渣库）清灰粉尘</w:t>
            </w:r>
          </w:p>
          <w:p w14:paraId="326B4EC0">
            <w:pPr>
              <w:pStyle w:val="11"/>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jc w:val="both"/>
              <w:textAlignment w:val="auto"/>
              <w:rPr>
                <w:rFonts w:hint="default" w:ascii="宋体" w:hAnsi="宋体" w:eastAsia="宋体" w:cs="宋体"/>
                <w:b w:val="0"/>
                <w:bCs w:val="0"/>
                <w:color w:val="000000"/>
                <w:sz w:val="24"/>
                <w:szCs w:val="24"/>
                <w:highlight w:val="none"/>
                <w:lang w:val="en-US" w:eastAsia="zh-CN"/>
              </w:rPr>
            </w:pPr>
            <w:r>
              <w:rPr>
                <w:rFonts w:hint="default" w:ascii="Times New Roman" w:hAnsi="Times New Roman" w:eastAsia="宋体" w:cs="Times New Roman"/>
                <w:color w:val="auto"/>
                <w:kern w:val="2"/>
                <w:sz w:val="24"/>
                <w:szCs w:val="21"/>
                <w:highlight w:val="none"/>
                <w:lang w:val="en-US" w:eastAsia="zh-CN" w:bidi="ar-SA"/>
              </w:rPr>
              <w:t>灰库(渣库)清运过程中仍有一定量的无组织粉尘产生，类比美国国家环保局《逸散性工业粉尘控制技术》电厂飞灰搬运及处置过程粉尘产生情况,即 0.02kg/t转运量~0.5kg/t转运量，本项目以0.25kg/t转运量计。本项目飞灰总产生量约为</w:t>
            </w:r>
            <w:r>
              <w:rPr>
                <w:rFonts w:hint="eastAsia" w:ascii="Times New Roman" w:hAnsi="Times New Roman" w:cs="Times New Roman"/>
                <w:color w:val="auto"/>
                <w:kern w:val="2"/>
                <w:sz w:val="24"/>
                <w:szCs w:val="21"/>
                <w:highlight w:val="none"/>
                <w:lang w:val="en-US" w:eastAsia="zh-CN" w:bidi="ar-SA"/>
              </w:rPr>
              <w:t>408.48</w:t>
            </w:r>
            <w:r>
              <w:rPr>
                <w:rFonts w:hint="default" w:ascii="Times New Roman" w:hAnsi="Times New Roman" w:eastAsia="宋体" w:cs="Times New Roman"/>
                <w:color w:val="auto"/>
                <w:kern w:val="2"/>
                <w:sz w:val="24"/>
                <w:szCs w:val="21"/>
                <w:highlight w:val="none"/>
                <w:lang w:val="en-US" w:eastAsia="zh-CN" w:bidi="ar-SA"/>
              </w:rPr>
              <w:t>t/a，则</w:t>
            </w:r>
            <w:r>
              <w:rPr>
                <w:rFonts w:hint="eastAsia" w:ascii="Times New Roman" w:hAnsi="Times New Roman" w:cs="Times New Roman"/>
                <w:color w:val="auto"/>
                <w:kern w:val="2"/>
                <w:sz w:val="24"/>
                <w:szCs w:val="21"/>
                <w:highlight w:val="none"/>
                <w:lang w:val="en-US" w:eastAsia="zh-CN" w:bidi="ar-SA"/>
              </w:rPr>
              <w:t>该环节</w:t>
            </w:r>
            <w:r>
              <w:rPr>
                <w:rFonts w:hint="default" w:ascii="Times New Roman" w:hAnsi="Times New Roman" w:eastAsia="宋体" w:cs="Times New Roman"/>
                <w:color w:val="auto"/>
                <w:kern w:val="2"/>
                <w:sz w:val="24"/>
                <w:szCs w:val="21"/>
                <w:highlight w:val="none"/>
                <w:lang w:val="en-US" w:eastAsia="zh-CN" w:bidi="ar-SA"/>
              </w:rPr>
              <w:t>无组织粉尘产生量约为</w:t>
            </w:r>
            <w:r>
              <w:rPr>
                <w:rFonts w:hint="eastAsia" w:ascii="Times New Roman" w:hAnsi="Times New Roman" w:cs="Times New Roman"/>
                <w:color w:val="auto"/>
                <w:kern w:val="2"/>
                <w:sz w:val="24"/>
                <w:szCs w:val="21"/>
                <w:highlight w:val="none"/>
                <w:lang w:val="en-US" w:eastAsia="zh-CN" w:bidi="ar-SA"/>
              </w:rPr>
              <w:t>0.10</w:t>
            </w:r>
            <w:r>
              <w:rPr>
                <w:rFonts w:hint="default" w:ascii="Times New Roman" w:hAnsi="Times New Roman" w:eastAsia="宋体" w:cs="Times New Roman"/>
                <w:color w:val="auto"/>
                <w:kern w:val="2"/>
                <w:sz w:val="24"/>
                <w:szCs w:val="21"/>
                <w:highlight w:val="none"/>
                <w:lang w:val="en-US" w:eastAsia="zh-CN" w:bidi="ar-SA"/>
              </w:rPr>
              <w:t>t/a</w:t>
            </w:r>
            <w:r>
              <w:rPr>
                <w:rFonts w:hint="eastAsia" w:ascii="Times New Roman" w:hAnsi="Times New Roman" w:cs="Times New Roman"/>
                <w:color w:val="auto"/>
                <w:kern w:val="2"/>
                <w:sz w:val="24"/>
                <w:szCs w:val="21"/>
                <w:highlight w:val="none"/>
                <w:lang w:val="en-US" w:eastAsia="zh-CN" w:bidi="ar-SA"/>
              </w:rPr>
              <w:t>，排放速率为0.02kg/h。</w:t>
            </w:r>
            <w:r>
              <w:rPr>
                <w:rFonts w:ascii="宋体" w:hAnsi="宋体" w:eastAsia="宋体" w:cs="宋体"/>
                <w:b w:val="0"/>
                <w:bCs w:val="0"/>
                <w:color w:val="000000"/>
                <w:sz w:val="24"/>
                <w:szCs w:val="24"/>
                <w:highlight w:val="none"/>
              </w:rPr>
              <w:t>灰库封闭设置，</w:t>
            </w:r>
            <w:r>
              <w:rPr>
                <w:rFonts w:hint="eastAsia" w:ascii="宋体" w:hAnsi="宋体" w:eastAsia="宋体" w:cs="宋体"/>
                <w:b w:val="0"/>
                <w:bCs w:val="0"/>
                <w:color w:val="000000"/>
                <w:sz w:val="24"/>
                <w:szCs w:val="24"/>
                <w:highlight w:val="none"/>
              </w:rPr>
              <w:t>无组织排放的粉尘大部分在</w:t>
            </w:r>
            <w:r>
              <w:rPr>
                <w:rFonts w:hint="eastAsia" w:ascii="宋体" w:hAnsi="宋体" w:eastAsia="宋体" w:cs="宋体"/>
                <w:b w:val="0"/>
                <w:bCs w:val="0"/>
                <w:color w:val="000000"/>
                <w:sz w:val="24"/>
                <w:szCs w:val="24"/>
                <w:highlight w:val="none"/>
                <w:lang w:val="en-US" w:eastAsia="zh-CN"/>
              </w:rPr>
              <w:t>灰渣库</w:t>
            </w:r>
            <w:r>
              <w:rPr>
                <w:rFonts w:hint="eastAsia" w:ascii="宋体" w:hAnsi="宋体" w:eastAsia="宋体" w:cs="宋体"/>
                <w:b w:val="0"/>
                <w:bCs w:val="0"/>
                <w:color w:val="000000"/>
                <w:sz w:val="24"/>
                <w:szCs w:val="24"/>
                <w:highlight w:val="none"/>
              </w:rPr>
              <w:t>内自然沉降，仅有少部分随人员、物料的出入逸散至</w:t>
            </w:r>
            <w:r>
              <w:rPr>
                <w:rFonts w:hint="eastAsia" w:ascii="宋体" w:hAnsi="宋体" w:eastAsia="宋体" w:cs="宋体"/>
                <w:b w:val="0"/>
                <w:bCs w:val="0"/>
                <w:color w:val="000000"/>
                <w:sz w:val="24"/>
                <w:szCs w:val="24"/>
                <w:highlight w:val="none"/>
                <w:lang w:val="en-US" w:eastAsia="zh-CN"/>
              </w:rPr>
              <w:t>外环境，日常适当洒水抑尘、清理地面，可有效减少粉尘外逸</w:t>
            </w:r>
            <w:r>
              <w:rPr>
                <w:rFonts w:ascii="宋体" w:hAnsi="宋体" w:eastAsia="宋体" w:cs="宋体"/>
                <w:b w:val="0"/>
                <w:bCs w:val="0"/>
                <w:color w:val="000000"/>
                <w:sz w:val="24"/>
                <w:szCs w:val="24"/>
                <w:highlight w:val="none"/>
              </w:rPr>
              <w:t>，对周边大气环境影响较小。</w:t>
            </w:r>
          </w:p>
          <w:p w14:paraId="0CD147B9">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b/>
                <w:bCs/>
                <w:color w:val="auto"/>
                <w:sz w:val="24"/>
                <w:highlight w:val="none"/>
              </w:rPr>
            </w:pPr>
            <w:r>
              <w:rPr>
                <w:rFonts w:hint="eastAsia"/>
                <w:b/>
                <w:bCs/>
                <w:color w:val="auto"/>
                <w:sz w:val="24"/>
                <w:highlight w:val="none"/>
                <w:lang w:val="en-US" w:eastAsia="zh-CN"/>
              </w:rPr>
              <w:t>③材料堆场</w:t>
            </w:r>
            <w:r>
              <w:rPr>
                <w:rFonts w:hint="eastAsia"/>
                <w:b/>
                <w:bCs/>
                <w:color w:val="auto"/>
                <w:sz w:val="24"/>
                <w:highlight w:val="none"/>
              </w:rPr>
              <w:t>粉尘</w:t>
            </w:r>
          </w:p>
          <w:p w14:paraId="47549D6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宋体"/>
                <w:b w:val="0"/>
                <w:bCs w:val="0"/>
                <w:color w:val="auto"/>
                <w:sz w:val="24"/>
                <w:highlight w:val="none"/>
                <w:lang w:eastAsia="zh-CN"/>
              </w:rPr>
            </w:pPr>
            <w:r>
              <w:rPr>
                <w:rFonts w:hint="eastAsia"/>
                <w:b w:val="0"/>
                <w:bCs w:val="0"/>
                <w:color w:val="auto"/>
                <w:sz w:val="24"/>
                <w:highlight w:val="none"/>
              </w:rPr>
              <w:t>本项目采用的生物质成型燃料无需进行破碎。</w:t>
            </w:r>
            <w:r>
              <w:rPr>
                <w:rFonts w:hint="eastAsia"/>
                <w:b w:val="0"/>
                <w:bCs w:val="0"/>
                <w:color w:val="auto"/>
                <w:sz w:val="24"/>
                <w:highlight w:val="none"/>
                <w:lang w:val="en-US" w:eastAsia="zh-CN"/>
              </w:rPr>
              <w:t>由于</w:t>
            </w:r>
            <w:r>
              <w:rPr>
                <w:rFonts w:hint="eastAsia"/>
                <w:b w:val="0"/>
                <w:bCs w:val="0"/>
                <w:color w:val="auto"/>
                <w:sz w:val="24"/>
                <w:highlight w:val="none"/>
              </w:rPr>
              <w:t>生物质燃料为成型的颗粒状、柱状或块状燃料，</w:t>
            </w:r>
            <w:r>
              <w:rPr>
                <w:rFonts w:hint="eastAsia"/>
                <w:sz w:val="24"/>
                <w:highlight w:val="none"/>
              </w:rPr>
              <w:t>粒径相对较大</w:t>
            </w:r>
            <w:r>
              <w:rPr>
                <w:rFonts w:hint="eastAsia"/>
                <w:sz w:val="24"/>
                <w:highlight w:val="none"/>
                <w:lang w:eastAsia="zh-CN"/>
              </w:rPr>
              <w:t>，</w:t>
            </w:r>
            <w:r>
              <w:rPr>
                <w:rFonts w:hint="eastAsia"/>
                <w:b w:val="0"/>
                <w:bCs w:val="0"/>
                <w:color w:val="auto"/>
                <w:sz w:val="24"/>
                <w:highlight w:val="none"/>
              </w:rPr>
              <w:t>本身不易起尘</w:t>
            </w:r>
            <w:r>
              <w:rPr>
                <w:rFonts w:hint="eastAsia"/>
                <w:b w:val="0"/>
                <w:bCs w:val="0"/>
                <w:color w:val="auto"/>
                <w:sz w:val="24"/>
                <w:highlight w:val="none"/>
                <w:lang w:eastAsia="zh-CN"/>
              </w:rPr>
              <w:t>，</w:t>
            </w:r>
            <w:r>
              <w:rPr>
                <w:rFonts w:hint="eastAsia"/>
                <w:b w:val="0"/>
                <w:bCs w:val="0"/>
                <w:color w:val="auto"/>
                <w:sz w:val="24"/>
                <w:highlight w:val="none"/>
              </w:rPr>
              <w:t>且转运距离较近，产生的粉尘量较少。只要加强管理，及时清扫地面，定期洒水抑尘，产生的粉尘对周边大气环境影响较小</w:t>
            </w:r>
            <w:r>
              <w:rPr>
                <w:rFonts w:hint="eastAsia"/>
                <w:b w:val="0"/>
                <w:bCs w:val="0"/>
                <w:color w:val="auto"/>
                <w:sz w:val="24"/>
                <w:highlight w:val="none"/>
                <w:lang w:eastAsia="zh-CN"/>
              </w:rPr>
              <w:t>。</w:t>
            </w:r>
          </w:p>
          <w:p w14:paraId="279E3632">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b/>
                <w:bCs/>
                <w:color w:val="auto"/>
                <w:sz w:val="24"/>
                <w:highlight w:val="none"/>
              </w:rPr>
            </w:pPr>
            <w:r>
              <w:rPr>
                <w:rFonts w:hint="eastAsia"/>
                <w:b/>
                <w:bCs/>
                <w:color w:val="auto"/>
                <w:sz w:val="24"/>
                <w:highlight w:val="none"/>
              </w:rPr>
              <w:t>（</w:t>
            </w:r>
            <w:r>
              <w:rPr>
                <w:rFonts w:hint="eastAsia"/>
                <w:b/>
                <w:bCs/>
                <w:color w:val="auto"/>
                <w:sz w:val="24"/>
                <w:highlight w:val="none"/>
                <w:lang w:val="en-US" w:eastAsia="zh-CN"/>
              </w:rPr>
              <w:t>2</w:t>
            </w:r>
            <w:r>
              <w:rPr>
                <w:rFonts w:hint="eastAsia"/>
                <w:b/>
                <w:bCs/>
                <w:color w:val="auto"/>
                <w:sz w:val="24"/>
                <w:highlight w:val="none"/>
              </w:rPr>
              <w:t>）废气污染防治措施可行性</w:t>
            </w:r>
          </w:p>
          <w:p w14:paraId="799BD5A8">
            <w:pPr>
              <w:pStyle w:val="43"/>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bCs/>
                <w:color w:val="auto"/>
                <w:kern w:val="0"/>
                <w:sz w:val="24"/>
                <w:highlight w:val="none"/>
                <w:lang w:val="en-US" w:eastAsia="zh-CN"/>
              </w:rPr>
            </w:pPr>
            <w:r>
              <w:rPr>
                <w:rFonts w:hint="eastAsia" w:cs="Times New Roman"/>
                <w:bCs/>
                <w:color w:val="auto"/>
                <w:kern w:val="0"/>
                <w:sz w:val="24"/>
                <w:highlight w:val="none"/>
                <w:lang w:val="en-US" w:eastAsia="zh-CN"/>
              </w:rPr>
              <w:t>一、</w:t>
            </w:r>
            <w:r>
              <w:rPr>
                <w:rFonts w:hint="eastAsia" w:ascii="Times New Roman" w:hAnsi="Times New Roman" w:cs="Times New Roman"/>
                <w:bCs/>
                <w:color w:val="auto"/>
                <w:kern w:val="0"/>
                <w:sz w:val="24"/>
                <w:highlight w:val="none"/>
                <w:lang w:val="en-US" w:eastAsia="zh-CN"/>
              </w:rPr>
              <w:t>锅炉烟气废气处理措施可行性分析</w:t>
            </w:r>
          </w:p>
          <w:p w14:paraId="6E5C51D2">
            <w:pPr>
              <w:pStyle w:val="43"/>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bCs/>
                <w:color w:val="auto"/>
                <w:kern w:val="0"/>
                <w:sz w:val="24"/>
                <w:highlight w:val="none"/>
                <w:lang w:val="en-US" w:eastAsia="zh-CN"/>
              </w:rPr>
            </w:pPr>
            <w:r>
              <w:rPr>
                <w:rFonts w:hint="eastAsia" w:ascii="Times New Roman" w:hAnsi="Times New Roman" w:cs="Times New Roman"/>
                <w:bCs/>
                <w:color w:val="auto"/>
                <w:kern w:val="0"/>
                <w:sz w:val="24"/>
                <w:highlight w:val="none"/>
                <w:lang w:val="en-US" w:eastAsia="zh-CN"/>
              </w:rPr>
              <w:t>生物质成型颗粒燃烧产生</w:t>
            </w:r>
            <w:r>
              <w:rPr>
                <w:rFonts w:hint="eastAsia" w:cs="Times New Roman"/>
                <w:bCs/>
                <w:color w:val="auto"/>
                <w:kern w:val="0"/>
                <w:sz w:val="24"/>
                <w:highlight w:val="none"/>
                <w:lang w:val="en-US" w:eastAsia="zh-CN"/>
              </w:rPr>
              <w:t>烟气</w:t>
            </w:r>
            <w:r>
              <w:rPr>
                <w:rFonts w:hint="eastAsia" w:ascii="Times New Roman" w:hAnsi="Times New Roman" w:cs="Times New Roman"/>
                <w:bCs/>
                <w:color w:val="auto"/>
                <w:kern w:val="0"/>
                <w:sz w:val="24"/>
                <w:highlight w:val="none"/>
                <w:lang w:val="en-US" w:eastAsia="zh-CN"/>
              </w:rPr>
              <w:t>经“设备密闭收集+炉内</w:t>
            </w:r>
            <w:r>
              <w:rPr>
                <w:rFonts w:hint="eastAsia" w:cs="Times New Roman"/>
                <w:bCs/>
                <w:color w:val="auto"/>
                <w:kern w:val="0"/>
                <w:sz w:val="24"/>
                <w:highlight w:val="none"/>
                <w:lang w:val="en-US" w:eastAsia="zh-CN"/>
              </w:rPr>
              <w:t>脱硝</w:t>
            </w:r>
            <w:r>
              <w:rPr>
                <w:rFonts w:hint="eastAsia" w:ascii="Times New Roman" w:hAnsi="Times New Roman" w:cs="Times New Roman"/>
                <w:bCs/>
                <w:color w:val="auto"/>
                <w:kern w:val="0"/>
                <w:sz w:val="24"/>
                <w:highlight w:val="none"/>
                <w:lang w:val="en-US" w:eastAsia="zh-CN"/>
              </w:rPr>
              <w:t>SNCR+省煤器+多管旋风除尘+干法脱硫+高温袋式除尘+炉外</w:t>
            </w:r>
            <w:r>
              <w:rPr>
                <w:rFonts w:hint="eastAsia" w:cs="Times New Roman"/>
                <w:bCs/>
                <w:color w:val="auto"/>
                <w:kern w:val="0"/>
                <w:sz w:val="24"/>
                <w:highlight w:val="none"/>
                <w:lang w:val="en-US" w:eastAsia="zh-CN"/>
              </w:rPr>
              <w:t>脱硝</w:t>
            </w:r>
            <w:r>
              <w:rPr>
                <w:rFonts w:hint="eastAsia" w:ascii="Times New Roman" w:hAnsi="Times New Roman" w:cs="Times New Roman"/>
                <w:bCs/>
                <w:color w:val="auto"/>
                <w:kern w:val="0"/>
                <w:sz w:val="24"/>
                <w:highlight w:val="none"/>
                <w:lang w:val="en-US" w:eastAsia="zh-CN"/>
              </w:rPr>
              <w:t>SCR”装置对锅炉烟气进行除尘处理，处理后经1根4</w:t>
            </w:r>
            <w:r>
              <w:rPr>
                <w:rFonts w:hint="eastAsia" w:cs="Times New Roman"/>
                <w:bCs/>
                <w:color w:val="auto"/>
                <w:kern w:val="0"/>
                <w:sz w:val="24"/>
                <w:highlight w:val="none"/>
                <w:lang w:val="en-US" w:eastAsia="zh-CN"/>
              </w:rPr>
              <w:t>5</w:t>
            </w:r>
            <w:r>
              <w:rPr>
                <w:rFonts w:hint="eastAsia" w:ascii="Times New Roman" w:hAnsi="Times New Roman" w:cs="Times New Roman"/>
                <w:bCs/>
                <w:color w:val="auto"/>
                <w:kern w:val="0"/>
                <w:sz w:val="24"/>
                <w:highlight w:val="none"/>
                <w:lang w:val="en-US" w:eastAsia="zh-CN"/>
              </w:rPr>
              <w:t>m高排气筒排放。</w:t>
            </w:r>
          </w:p>
          <w:p w14:paraId="0EC3554F">
            <w:pPr>
              <w:pStyle w:val="43"/>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bCs/>
                <w:color w:val="auto"/>
                <w:kern w:val="0"/>
                <w:sz w:val="24"/>
                <w:highlight w:val="none"/>
                <w:lang w:val="en-US" w:eastAsia="zh-CN"/>
              </w:rPr>
            </w:pPr>
            <w:r>
              <w:rPr>
                <w:rFonts w:hint="eastAsia" w:cs="Times New Roman"/>
                <w:bCs/>
                <w:color w:val="auto"/>
                <w:kern w:val="0"/>
                <w:sz w:val="24"/>
                <w:highlight w:val="none"/>
                <w:lang w:val="en-US" w:eastAsia="zh-CN"/>
              </w:rPr>
              <w:t>锅炉烟气首先</w:t>
            </w:r>
            <w:r>
              <w:rPr>
                <w:rFonts w:hint="eastAsia" w:ascii="Times New Roman" w:hAnsi="Times New Roman" w:cs="Times New Roman"/>
                <w:bCs/>
                <w:color w:val="auto"/>
                <w:kern w:val="0"/>
                <w:sz w:val="24"/>
                <w:highlight w:val="none"/>
                <w:lang w:val="en-US" w:eastAsia="zh-CN"/>
              </w:rPr>
              <w:t>进入SNCR脱硝系统，进行初步脱硝</w:t>
            </w:r>
            <w:r>
              <w:rPr>
                <w:rFonts w:hint="eastAsia" w:cs="Times New Roman"/>
                <w:bCs/>
                <w:color w:val="auto"/>
                <w:kern w:val="0"/>
                <w:sz w:val="24"/>
                <w:highlight w:val="none"/>
                <w:lang w:val="en-US" w:eastAsia="zh-CN"/>
              </w:rPr>
              <w:t>。</w:t>
            </w:r>
            <w:r>
              <w:rPr>
                <w:rFonts w:hint="eastAsia" w:ascii="Times New Roman" w:hAnsi="Times New Roman" w:cs="Times New Roman"/>
                <w:bCs/>
                <w:color w:val="auto"/>
                <w:kern w:val="0"/>
                <w:sz w:val="24"/>
                <w:highlight w:val="none"/>
                <w:lang w:val="en-US" w:eastAsia="zh-CN"/>
              </w:rPr>
              <w:t>在高温烟气（850℃~1100℃）中喷入还原剂（尿素），尿素等还原剂与NO</w:t>
            </w:r>
            <w:r>
              <w:rPr>
                <w:rFonts w:hint="eastAsia" w:ascii="Times New Roman" w:hAnsi="Times New Roman" w:cs="Times New Roman"/>
                <w:bCs/>
                <w:color w:val="auto"/>
                <w:kern w:val="0"/>
                <w:sz w:val="24"/>
                <w:highlight w:val="none"/>
                <w:vertAlign w:val="subscript"/>
                <w:lang w:val="en-US" w:eastAsia="zh-CN"/>
              </w:rPr>
              <w:t>x</w:t>
            </w:r>
            <w:r>
              <w:rPr>
                <w:rFonts w:hint="eastAsia" w:ascii="Times New Roman" w:hAnsi="Times New Roman" w:cs="Times New Roman"/>
                <w:bCs/>
                <w:color w:val="auto"/>
                <w:kern w:val="0"/>
                <w:sz w:val="24"/>
                <w:highlight w:val="none"/>
                <w:lang w:val="en-US" w:eastAsia="zh-CN"/>
              </w:rPr>
              <w:t>进行选择性反应，受热迅速热分解为氨基和CO，与烟气中的NOx进行还原反应生成N</w:t>
            </w:r>
            <w:r>
              <w:rPr>
                <w:rFonts w:hint="eastAsia" w:ascii="Times New Roman" w:hAnsi="Times New Roman" w:cs="Times New Roman"/>
                <w:bCs/>
                <w:color w:val="auto"/>
                <w:kern w:val="0"/>
                <w:sz w:val="24"/>
                <w:highlight w:val="none"/>
                <w:vertAlign w:val="subscript"/>
                <w:lang w:val="en-US" w:eastAsia="zh-CN"/>
              </w:rPr>
              <w:t>2</w:t>
            </w:r>
            <w:r>
              <w:rPr>
                <w:rFonts w:hint="eastAsia" w:cs="Times New Roman"/>
                <w:bCs/>
                <w:color w:val="auto"/>
                <w:kern w:val="0"/>
                <w:sz w:val="24"/>
                <w:highlight w:val="none"/>
                <w:vertAlign w:val="baseline"/>
                <w:lang w:val="en-US" w:eastAsia="zh-CN"/>
              </w:rPr>
              <w:t>，</w:t>
            </w:r>
            <w:r>
              <w:rPr>
                <w:rFonts w:hint="eastAsia" w:ascii="Times New Roman" w:hAnsi="Times New Roman" w:cs="Times New Roman"/>
                <w:bCs/>
                <w:color w:val="auto"/>
                <w:kern w:val="0"/>
                <w:sz w:val="24"/>
                <w:highlight w:val="none"/>
                <w:lang w:val="en-US" w:eastAsia="zh-CN"/>
              </w:rPr>
              <w:t>初步降低NOₓ浓度。</w:t>
            </w:r>
          </w:p>
          <w:p w14:paraId="46CA91ED">
            <w:pPr>
              <w:pStyle w:val="43"/>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bCs/>
                <w:color w:val="auto"/>
                <w:kern w:val="0"/>
                <w:sz w:val="24"/>
                <w:highlight w:val="none"/>
                <w:lang w:val="en-US" w:eastAsia="zh-CN"/>
              </w:rPr>
            </w:pPr>
            <w:r>
              <w:rPr>
                <w:rFonts w:hint="eastAsia" w:cs="Times New Roman"/>
                <w:bCs/>
                <w:color w:val="auto"/>
                <w:kern w:val="0"/>
                <w:sz w:val="24"/>
                <w:highlight w:val="none"/>
                <w:lang w:val="en-US" w:eastAsia="zh-CN"/>
              </w:rPr>
              <w:t>初步脱硝后的烟气通过省煤器时，调节排烟温度（300-400℃）后进入多管除尘器，去除烟气中大颗粒粉尘（＞10μm），去除效率通常为70%~90%，可减轻后续布袋除尘负荷；</w:t>
            </w:r>
          </w:p>
          <w:p w14:paraId="15B537B2">
            <w:pPr>
              <w:adjustRightInd w:val="0"/>
              <w:snapToGrid w:val="0"/>
              <w:spacing w:line="360" w:lineRule="auto"/>
              <w:ind w:firstLine="480" w:firstLineChars="200"/>
              <w:textAlignment w:val="baseline"/>
              <w:rPr>
                <w:rFonts w:hint="default" w:cs="Times New Roman"/>
                <w:bCs/>
                <w:color w:val="auto"/>
                <w:kern w:val="0"/>
                <w:sz w:val="24"/>
                <w:highlight w:val="none"/>
                <w:lang w:val="en-US" w:eastAsia="zh-CN"/>
              </w:rPr>
            </w:pPr>
            <w:r>
              <w:rPr>
                <w:rFonts w:hint="eastAsia" w:cs="Times New Roman"/>
                <w:bCs/>
                <w:color w:val="auto"/>
                <w:kern w:val="0"/>
                <w:sz w:val="24"/>
                <w:highlight w:val="none"/>
                <w:lang w:val="en-US" w:eastAsia="zh-CN"/>
              </w:rPr>
              <w:t>初步除尘后的烟气</w:t>
            </w:r>
            <w:r>
              <w:rPr>
                <w:rFonts w:hint="default" w:ascii="Times New Roman" w:hAnsi="Times New Roman" w:cs="Times New Roman"/>
                <w:color w:val="auto"/>
                <w:kern w:val="0"/>
                <w:sz w:val="24"/>
                <w:szCs w:val="24"/>
                <w:highlight w:val="none"/>
              </w:rPr>
              <w:t>进入干法脱硫装置</w:t>
            </w:r>
            <w:r>
              <w:rPr>
                <w:rFonts w:hint="eastAsia" w:cs="Times New Roman"/>
                <w:color w:val="auto"/>
                <w:kern w:val="0"/>
                <w:sz w:val="24"/>
                <w:szCs w:val="24"/>
                <w:highlight w:val="none"/>
                <w:lang w:eastAsia="zh-CN"/>
              </w:rPr>
              <w:t>。将活性氢氧化钙粉末均匀喷入烟道或反应器中，</w:t>
            </w:r>
            <w:r>
              <w:rPr>
                <w:rFonts w:hint="eastAsia" w:cs="Times New Roman"/>
                <w:color w:val="auto"/>
                <w:kern w:val="0"/>
                <w:sz w:val="24"/>
                <w:szCs w:val="24"/>
                <w:highlight w:val="none"/>
                <w:lang w:val="en-US" w:eastAsia="zh-CN"/>
              </w:rPr>
              <w:t>在180℃~200℃范围内</w:t>
            </w:r>
            <w:r>
              <w:rPr>
                <w:rFonts w:hint="eastAsia" w:cs="Times New Roman"/>
                <w:color w:val="auto"/>
                <w:kern w:val="0"/>
                <w:sz w:val="24"/>
                <w:szCs w:val="24"/>
                <w:highlight w:val="none"/>
                <w:lang w:eastAsia="zh-CN"/>
              </w:rPr>
              <w:t>烟气与脱硫剂充分混合，</w:t>
            </w:r>
            <w:r>
              <w:rPr>
                <w:rFonts w:hint="default" w:ascii="Times New Roman" w:hAnsi="Times New Roman" w:cs="Times New Roman"/>
                <w:color w:val="auto"/>
                <w:kern w:val="0"/>
                <w:sz w:val="24"/>
                <w:szCs w:val="24"/>
                <w:highlight w:val="none"/>
                <w:lang w:eastAsia="zh-CN"/>
              </w:rPr>
              <w:t>与烟气中的SO₂发生化学反应，SO₂与Ca(OH)₂反应生成亚硫酸钙（CaSO₃）</w:t>
            </w:r>
            <w:r>
              <w:rPr>
                <w:rFonts w:hint="eastAsia" w:ascii="Times New Roman" w:hAnsi="Times New Roman" w:cs="Times New Roman"/>
                <w:color w:val="auto"/>
                <w:kern w:val="0"/>
                <w:sz w:val="24"/>
                <w:szCs w:val="24"/>
                <w:highlight w:val="none"/>
                <w:lang w:eastAsia="zh-CN"/>
              </w:rPr>
              <w:t>，</w:t>
            </w:r>
            <w:r>
              <w:rPr>
                <w:rFonts w:hint="eastAsia" w:cs="Times New Roman"/>
                <w:color w:val="auto"/>
                <w:kern w:val="0"/>
                <w:sz w:val="24"/>
                <w:szCs w:val="24"/>
                <w:highlight w:val="none"/>
                <w:lang w:val="en-US" w:eastAsia="zh-CN"/>
              </w:rPr>
              <w:t>在</w:t>
            </w:r>
            <w:r>
              <w:rPr>
                <w:rFonts w:hint="eastAsia" w:cs="Times New Roman"/>
                <w:color w:val="auto"/>
                <w:kern w:val="0"/>
                <w:sz w:val="24"/>
                <w:szCs w:val="24"/>
                <w:highlight w:val="none"/>
                <w:lang w:eastAsia="zh-CN"/>
              </w:rPr>
              <w:t>有氧气存在的情况下，亚硫酸钙会进一步被氧化为硫酸钙（CaSO</w:t>
            </w:r>
            <w:r>
              <w:rPr>
                <w:rFonts w:hint="eastAsia" w:cs="Times New Roman"/>
                <w:color w:val="auto"/>
                <w:kern w:val="0"/>
                <w:sz w:val="24"/>
                <w:szCs w:val="24"/>
                <w:highlight w:val="none"/>
                <w:vertAlign w:val="subscript"/>
                <w:lang w:val="en-US" w:eastAsia="zh-CN"/>
              </w:rPr>
              <w:t>4</w:t>
            </w:r>
            <w:r>
              <w:rPr>
                <w:rFonts w:hint="eastAsia" w:cs="Times New Roman"/>
                <w:color w:val="auto"/>
                <w:kern w:val="0"/>
                <w:sz w:val="24"/>
                <w:szCs w:val="24"/>
                <w:highlight w:val="none"/>
                <w:lang w:eastAsia="zh-CN"/>
              </w:rPr>
              <w:t>）随炉渣排出，从而实现了对烟气中二氧化硫的脱除。</w:t>
            </w:r>
          </w:p>
          <w:p w14:paraId="65C3BCC5">
            <w:pPr>
              <w:pStyle w:val="43"/>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bCs/>
                <w:color w:val="auto"/>
                <w:kern w:val="0"/>
                <w:sz w:val="24"/>
                <w:highlight w:val="none"/>
                <w:lang w:val="en-US" w:eastAsia="zh-CN"/>
              </w:rPr>
            </w:pPr>
            <w:r>
              <w:rPr>
                <w:rFonts w:hint="eastAsia" w:cs="Times New Roman"/>
                <w:bCs/>
                <w:color w:val="auto"/>
                <w:kern w:val="0"/>
                <w:sz w:val="24"/>
                <w:highlight w:val="none"/>
                <w:lang w:val="en-US" w:eastAsia="zh-CN"/>
              </w:rPr>
              <w:t>烟气进入高温布袋除尘器，细小颗粒物被滤袋截留</w:t>
            </w:r>
            <w:r>
              <w:rPr>
                <w:rFonts w:hint="eastAsia" w:ascii="Times New Roman" w:hAnsi="Times New Roman" w:cs="Times New Roman"/>
                <w:bCs/>
                <w:color w:val="auto"/>
                <w:kern w:val="0"/>
                <w:sz w:val="24"/>
                <w:highlight w:val="none"/>
                <w:lang w:val="en-US" w:eastAsia="zh-CN"/>
              </w:rPr>
              <w:t>，除尘效率</w:t>
            </w:r>
            <w:r>
              <w:rPr>
                <w:rFonts w:hint="eastAsia" w:cs="Times New Roman"/>
                <w:bCs/>
                <w:color w:val="auto"/>
                <w:kern w:val="0"/>
                <w:sz w:val="24"/>
                <w:highlight w:val="none"/>
                <w:lang w:val="en-US" w:eastAsia="zh-CN"/>
              </w:rPr>
              <w:t>最高</w:t>
            </w:r>
            <w:r>
              <w:rPr>
                <w:rFonts w:hint="eastAsia" w:ascii="Times New Roman" w:hAnsi="Times New Roman" w:cs="Times New Roman"/>
                <w:bCs/>
                <w:color w:val="auto"/>
                <w:kern w:val="0"/>
                <w:sz w:val="24"/>
                <w:highlight w:val="none"/>
                <w:lang w:val="en-US" w:eastAsia="zh-CN"/>
              </w:rPr>
              <w:t>可达99.9%以上。</w:t>
            </w:r>
            <w:r>
              <w:rPr>
                <w:rFonts w:hint="eastAsia" w:cs="Times New Roman"/>
                <w:bCs/>
                <w:color w:val="auto"/>
                <w:kern w:val="0"/>
                <w:sz w:val="24"/>
                <w:highlight w:val="none"/>
                <w:lang w:val="en-US" w:eastAsia="zh-CN"/>
              </w:rPr>
              <w:t>（注：高温布袋除尘器入口烟气温度一般需低于260℃。）</w:t>
            </w:r>
          </w:p>
          <w:p w14:paraId="29BE56B8">
            <w:pPr>
              <w:pStyle w:val="43"/>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bCs/>
                <w:color w:val="auto"/>
                <w:kern w:val="0"/>
                <w:sz w:val="24"/>
                <w:highlight w:val="none"/>
                <w:lang w:val="en-US" w:eastAsia="zh-CN"/>
              </w:rPr>
            </w:pPr>
            <w:r>
              <w:rPr>
                <w:rFonts w:hint="eastAsia" w:cs="Times New Roman"/>
                <w:bCs/>
                <w:color w:val="auto"/>
                <w:kern w:val="0"/>
                <w:sz w:val="24"/>
                <w:highlight w:val="none"/>
                <w:lang w:val="en-US" w:eastAsia="zh-CN"/>
              </w:rPr>
              <w:t>除尘处理后烟气最终进入SCR脱硝系统，在低温（不低于180℃）及钒钛系催化剂作用下，NH</w:t>
            </w:r>
            <w:r>
              <w:rPr>
                <w:rFonts w:hint="eastAsia" w:cs="Times New Roman"/>
                <w:bCs/>
                <w:color w:val="auto"/>
                <w:kern w:val="0"/>
                <w:sz w:val="24"/>
                <w:highlight w:val="none"/>
                <w:vertAlign w:val="subscript"/>
                <w:lang w:val="en-US" w:eastAsia="zh-CN"/>
              </w:rPr>
              <w:t>3</w:t>
            </w:r>
            <w:r>
              <w:rPr>
                <w:rFonts w:hint="eastAsia" w:cs="Times New Roman"/>
                <w:bCs/>
                <w:color w:val="auto"/>
                <w:kern w:val="0"/>
                <w:sz w:val="24"/>
                <w:highlight w:val="none"/>
                <w:lang w:val="en-US" w:eastAsia="zh-CN"/>
              </w:rPr>
              <w:t>与烟气中的NO</w:t>
            </w:r>
            <w:r>
              <w:rPr>
                <w:rFonts w:hint="eastAsia" w:cs="Times New Roman"/>
                <w:bCs/>
                <w:color w:val="auto"/>
                <w:kern w:val="0"/>
                <w:sz w:val="24"/>
                <w:highlight w:val="none"/>
                <w:vertAlign w:val="subscript"/>
                <w:lang w:val="en-US" w:eastAsia="zh-CN"/>
              </w:rPr>
              <w:t>x</w:t>
            </w:r>
            <w:r>
              <w:rPr>
                <w:rFonts w:hint="eastAsia" w:cs="Times New Roman"/>
                <w:bCs/>
                <w:color w:val="auto"/>
                <w:kern w:val="0"/>
                <w:sz w:val="24"/>
                <w:highlight w:val="none"/>
                <w:lang w:val="en-US" w:eastAsia="zh-CN"/>
              </w:rPr>
              <w:t>进一步发生反应，提高脱硝效率，脱硝效率可达80%~90%以上。</w:t>
            </w:r>
          </w:p>
          <w:p w14:paraId="608784AD">
            <w:pPr>
              <w:pStyle w:val="43"/>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bCs/>
                <w:color w:val="auto"/>
                <w:kern w:val="0"/>
                <w:sz w:val="24"/>
                <w:highlight w:val="none"/>
                <w:lang w:val="en-US" w:eastAsia="zh-CN"/>
              </w:rPr>
            </w:pPr>
            <w:r>
              <w:rPr>
                <w:rFonts w:hint="eastAsia" w:ascii="Times New Roman" w:hAnsi="Times New Roman" w:cs="Times New Roman"/>
                <w:bCs/>
                <w:color w:val="auto"/>
                <w:kern w:val="0"/>
                <w:sz w:val="24"/>
                <w:highlight w:val="none"/>
                <w:lang w:val="en-US" w:eastAsia="zh-CN"/>
              </w:rPr>
              <w:t>同时，根据《排污许可证申请与核发技术规范 锅炉》(HJ953-2018)表7和《工业锅炉污染防治可行技术指南》(HJ1178-2021)表1，本项目锅炉烟气采用</w:t>
            </w:r>
            <w:r>
              <w:rPr>
                <w:rFonts w:hint="eastAsia" w:cs="Times New Roman"/>
                <w:bCs/>
                <w:color w:val="auto"/>
                <w:kern w:val="0"/>
                <w:sz w:val="24"/>
                <w:highlight w:val="none"/>
                <w:lang w:val="en-US" w:eastAsia="zh-CN"/>
              </w:rPr>
              <w:t>“</w:t>
            </w:r>
            <w:r>
              <w:rPr>
                <w:rFonts w:hint="eastAsia" w:ascii="Times New Roman" w:hAnsi="Times New Roman" w:cs="Times New Roman"/>
                <w:bCs/>
                <w:color w:val="auto"/>
                <w:kern w:val="0"/>
                <w:sz w:val="24"/>
                <w:highlight w:val="none"/>
                <w:lang w:val="en-US" w:eastAsia="zh-CN"/>
              </w:rPr>
              <w:t>设备密闭收集+炉内</w:t>
            </w:r>
            <w:r>
              <w:rPr>
                <w:rFonts w:hint="eastAsia" w:cs="Times New Roman"/>
                <w:bCs/>
                <w:color w:val="auto"/>
                <w:kern w:val="0"/>
                <w:sz w:val="24"/>
                <w:highlight w:val="none"/>
                <w:lang w:val="en-US" w:eastAsia="zh-CN"/>
              </w:rPr>
              <w:t>脱硝</w:t>
            </w:r>
            <w:r>
              <w:rPr>
                <w:rFonts w:hint="eastAsia" w:ascii="Times New Roman" w:hAnsi="Times New Roman" w:cs="Times New Roman"/>
                <w:bCs/>
                <w:color w:val="auto"/>
                <w:kern w:val="0"/>
                <w:sz w:val="24"/>
                <w:highlight w:val="none"/>
                <w:lang w:val="en-US" w:eastAsia="zh-CN"/>
              </w:rPr>
              <w:t>SNCR+省煤器+多管旋风除尘+干法脱硫+高温袋式除尘+炉外</w:t>
            </w:r>
            <w:r>
              <w:rPr>
                <w:rFonts w:hint="eastAsia" w:cs="Times New Roman"/>
                <w:bCs/>
                <w:color w:val="auto"/>
                <w:kern w:val="0"/>
                <w:sz w:val="24"/>
                <w:highlight w:val="none"/>
                <w:lang w:val="en-US" w:eastAsia="zh-CN"/>
              </w:rPr>
              <w:t>脱硝</w:t>
            </w:r>
            <w:r>
              <w:rPr>
                <w:rFonts w:hint="eastAsia" w:ascii="Times New Roman" w:hAnsi="Times New Roman" w:cs="Times New Roman"/>
                <w:bCs/>
                <w:color w:val="auto"/>
                <w:kern w:val="0"/>
                <w:sz w:val="24"/>
                <w:highlight w:val="none"/>
                <w:lang w:val="en-US" w:eastAsia="zh-CN"/>
              </w:rPr>
              <w:t>SCR</w:t>
            </w:r>
            <w:r>
              <w:rPr>
                <w:rFonts w:hint="eastAsia" w:cs="Times New Roman"/>
                <w:bCs/>
                <w:color w:val="auto"/>
                <w:kern w:val="0"/>
                <w:sz w:val="24"/>
                <w:highlight w:val="none"/>
                <w:lang w:val="en-US" w:eastAsia="zh-CN"/>
              </w:rPr>
              <w:t>”</w:t>
            </w:r>
            <w:r>
              <w:rPr>
                <w:rFonts w:hint="eastAsia" w:ascii="Times New Roman" w:hAnsi="Times New Roman" w:cs="Times New Roman"/>
                <w:bCs/>
                <w:color w:val="auto"/>
                <w:kern w:val="0"/>
                <w:sz w:val="24"/>
                <w:highlight w:val="none"/>
                <w:lang w:val="en-US" w:eastAsia="zh-CN"/>
              </w:rPr>
              <w:t>为可行技术。</w:t>
            </w:r>
          </w:p>
          <w:p w14:paraId="3E611EEB">
            <w:pPr>
              <w:pStyle w:val="43"/>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bCs/>
                <w:color w:val="auto"/>
                <w:kern w:val="0"/>
                <w:sz w:val="24"/>
                <w:highlight w:val="none"/>
                <w:lang w:val="en-US" w:eastAsia="zh-CN"/>
              </w:rPr>
            </w:pPr>
            <w:r>
              <w:rPr>
                <w:rFonts w:hint="eastAsia" w:ascii="Times New Roman" w:hAnsi="Times New Roman" w:cs="Times New Roman"/>
                <w:bCs/>
                <w:color w:val="auto"/>
                <w:kern w:val="0"/>
                <w:sz w:val="24"/>
                <w:highlight w:val="none"/>
                <w:lang w:val="en-US" w:eastAsia="zh-CN"/>
              </w:rPr>
              <w:t>因此，本项目锅炉烟气废气处理设施具有可行性。</w:t>
            </w:r>
          </w:p>
          <w:p w14:paraId="731E603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b/>
                <w:bCs/>
                <w:color w:val="auto"/>
                <w:sz w:val="24"/>
                <w:highlight w:val="none"/>
              </w:rPr>
            </w:pPr>
            <w:r>
              <w:rPr>
                <w:rFonts w:hint="eastAsia"/>
                <w:b/>
                <w:bCs/>
                <w:color w:val="auto"/>
                <w:sz w:val="24"/>
                <w:highlight w:val="none"/>
              </w:rPr>
              <w:t>（</w:t>
            </w:r>
            <w:r>
              <w:rPr>
                <w:rFonts w:hint="eastAsia"/>
                <w:b/>
                <w:bCs/>
                <w:color w:val="auto"/>
                <w:sz w:val="24"/>
                <w:highlight w:val="none"/>
                <w:lang w:val="en-US" w:eastAsia="zh-CN"/>
              </w:rPr>
              <w:t>3</w:t>
            </w:r>
            <w:r>
              <w:rPr>
                <w:rFonts w:hint="eastAsia"/>
                <w:b/>
                <w:bCs/>
                <w:color w:val="auto"/>
                <w:sz w:val="24"/>
                <w:highlight w:val="none"/>
              </w:rPr>
              <w:t>）废气环境影响分析</w:t>
            </w:r>
          </w:p>
          <w:p w14:paraId="302DCED5">
            <w:pPr>
              <w:pStyle w:val="136"/>
              <w:ind w:firstLine="480"/>
              <w:jc w:val="both"/>
              <w:rPr>
                <w:color w:val="auto"/>
                <w:szCs w:val="24"/>
                <w:highlight w:val="none"/>
              </w:rPr>
            </w:pPr>
            <w:r>
              <w:rPr>
                <w:rFonts w:hint="eastAsia"/>
                <w:color w:val="auto"/>
                <w:szCs w:val="24"/>
                <w:highlight w:val="none"/>
              </w:rPr>
              <w:t>综上所述，本项目</w:t>
            </w:r>
            <w:r>
              <w:rPr>
                <w:rFonts w:hint="eastAsia"/>
                <w:color w:val="auto"/>
                <w:sz w:val="24"/>
                <w:highlight w:val="none"/>
                <w:lang w:val="en-US" w:eastAsia="zh-CN"/>
              </w:rPr>
              <w:t>生物质锅炉烟气有组织排放的</w:t>
            </w:r>
            <w:r>
              <w:rPr>
                <w:rFonts w:ascii="Times New Roman" w:hAnsi="Times New Roman" w:cs="Times New Roman"/>
                <w:color w:val="auto"/>
                <w:sz w:val="24"/>
                <w:highlight w:val="none"/>
                <w:lang w:val="en-GB"/>
              </w:rPr>
              <w:t>SO</w:t>
            </w:r>
            <w:r>
              <w:rPr>
                <w:rFonts w:ascii="Times New Roman" w:hAnsi="Times New Roman" w:cs="Times New Roman"/>
                <w:color w:val="auto"/>
                <w:sz w:val="24"/>
                <w:highlight w:val="none"/>
                <w:vertAlign w:val="subscript"/>
                <w:lang w:val="en-GB"/>
              </w:rPr>
              <w:t>2</w:t>
            </w:r>
            <w:r>
              <w:rPr>
                <w:rFonts w:hint="eastAsia" w:ascii="Times New Roman" w:hAnsi="Times New Roman" w:cs="Times New Roman"/>
                <w:color w:val="auto"/>
                <w:sz w:val="24"/>
                <w:highlight w:val="none"/>
                <w:vertAlign w:val="baseline"/>
                <w:lang w:val="en-GB" w:eastAsia="zh-CN"/>
              </w:rPr>
              <w:t>、</w:t>
            </w:r>
            <w:r>
              <w:rPr>
                <w:rFonts w:ascii="Times New Roman" w:hAnsi="Times New Roman" w:cs="Times New Roman"/>
                <w:color w:val="auto"/>
                <w:sz w:val="24"/>
                <w:highlight w:val="none"/>
                <w:lang w:val="en-GB"/>
              </w:rPr>
              <w:t>NOx</w:t>
            </w:r>
            <w:r>
              <w:rPr>
                <w:rFonts w:hint="eastAsia" w:cs="Times New Roman"/>
                <w:color w:val="auto"/>
                <w:sz w:val="24"/>
                <w:szCs w:val="24"/>
                <w:highlight w:val="none"/>
                <w:lang w:val="en-US" w:eastAsia="zh-CN"/>
              </w:rPr>
              <w:t>、颗粒物</w:t>
            </w:r>
            <w:r>
              <w:rPr>
                <w:rFonts w:hint="eastAsia" w:ascii="Times New Roman" w:hAnsi="Times New Roman" w:cs="Times New Roman"/>
                <w:color w:val="auto"/>
                <w:sz w:val="24"/>
                <w:highlight w:val="none"/>
                <w:lang w:val="en-US" w:eastAsia="zh-CN"/>
              </w:rPr>
              <w:t>和</w:t>
            </w:r>
            <w:r>
              <w:rPr>
                <w:rFonts w:hint="eastAsia" w:cs="Times New Roman"/>
                <w:color w:val="auto"/>
                <w:sz w:val="24"/>
                <w:szCs w:val="24"/>
                <w:highlight w:val="none"/>
                <w:lang w:val="en-US" w:eastAsia="zh-CN"/>
              </w:rPr>
              <w:t>一氧化碳经处理后可</w:t>
            </w:r>
            <w:r>
              <w:rPr>
                <w:rFonts w:hint="default" w:ascii="Times New Roman" w:hAnsi="Times New Roman" w:eastAsia="宋体" w:cs="Times New Roman"/>
                <w:color w:val="auto"/>
                <w:sz w:val="24"/>
                <w:szCs w:val="24"/>
                <w:highlight w:val="none"/>
                <w:lang w:val="en-US" w:eastAsia="zh-CN"/>
              </w:rPr>
              <w:t>达到</w:t>
            </w:r>
            <w:r>
              <w:rPr>
                <w:rFonts w:hint="eastAsia" w:hAnsi="宋体" w:cs="宋体"/>
                <w:color w:val="auto"/>
                <w:sz w:val="24"/>
                <w:highlight w:val="none"/>
              </w:rPr>
              <w:t>《锅炉大气污染物排放标准》(DB44/765-2019) 表2</w:t>
            </w:r>
            <w:r>
              <w:rPr>
                <w:rFonts w:hint="eastAsia" w:hAnsi="宋体" w:cs="宋体"/>
                <w:color w:val="auto"/>
                <w:sz w:val="24"/>
                <w:highlight w:val="none"/>
                <w:lang w:val="en-US" w:eastAsia="zh-CN"/>
              </w:rPr>
              <w:t>然生物质成型燃料</w:t>
            </w:r>
            <w:r>
              <w:rPr>
                <w:rFonts w:hint="eastAsia" w:hAnsi="宋体" w:cs="宋体"/>
                <w:color w:val="auto"/>
                <w:sz w:val="24"/>
                <w:highlight w:val="none"/>
              </w:rPr>
              <w:t>锅炉排放限值</w:t>
            </w:r>
            <w:r>
              <w:rPr>
                <w:rFonts w:hint="eastAsia" w:hAnsi="宋体" w:cs="宋体"/>
                <w:color w:val="auto"/>
                <w:sz w:val="24"/>
                <w:highlight w:val="none"/>
                <w:lang w:eastAsia="zh-CN"/>
              </w:rPr>
              <w:t>；</w:t>
            </w:r>
            <w:r>
              <w:rPr>
                <w:rFonts w:hint="eastAsia"/>
                <w:color w:val="auto"/>
                <w:sz w:val="24"/>
                <w:highlight w:val="none"/>
                <w:lang w:eastAsia="zh-CN"/>
              </w:rPr>
              <w:t>无组织排放的</w:t>
            </w:r>
            <w:r>
              <w:rPr>
                <w:rFonts w:hint="eastAsia" w:cs="Times New Roman"/>
                <w:color w:val="auto"/>
                <w:sz w:val="24"/>
                <w:szCs w:val="24"/>
                <w:highlight w:val="none"/>
                <w:lang w:val="en-US" w:eastAsia="zh-CN"/>
              </w:rPr>
              <w:t>颗粒物可</w:t>
            </w:r>
            <w:r>
              <w:rPr>
                <w:rFonts w:hint="default" w:ascii="Times New Roman" w:hAnsi="Times New Roman" w:eastAsia="宋体" w:cs="Times New Roman"/>
                <w:color w:val="auto"/>
                <w:sz w:val="24"/>
                <w:szCs w:val="24"/>
                <w:highlight w:val="none"/>
                <w:lang w:val="en-US" w:eastAsia="zh-CN"/>
              </w:rPr>
              <w:t>达到</w:t>
            </w:r>
            <w:r>
              <w:rPr>
                <w:rFonts w:hint="eastAsia"/>
                <w:color w:val="auto"/>
                <w:sz w:val="24"/>
                <w:highlight w:val="none"/>
                <w:lang w:eastAsia="zh-CN"/>
              </w:rPr>
              <w:t>《大气污染物排放限值》（DB44/27-2001）第二时段无组织监控排放限值</w:t>
            </w:r>
            <w:r>
              <w:rPr>
                <w:rFonts w:hint="default" w:ascii="Times New Roman" w:hAnsi="Times New Roman" w:cs="Times New Roman"/>
                <w:color w:val="auto"/>
                <w:sz w:val="24"/>
                <w:highlight w:val="none"/>
              </w:rPr>
              <w:t>，不会对周围环境造成明显的影响</w:t>
            </w:r>
            <w:r>
              <w:rPr>
                <w:rFonts w:hint="eastAsia" w:hAnsi="宋体" w:cs="宋体"/>
                <w:color w:val="auto"/>
                <w:sz w:val="24"/>
                <w:highlight w:val="none"/>
                <w:lang w:eastAsia="zh-CN"/>
              </w:rPr>
              <w:t>。</w:t>
            </w:r>
            <w:r>
              <w:rPr>
                <w:rFonts w:hint="eastAsia"/>
                <w:color w:val="auto"/>
                <w:szCs w:val="24"/>
                <w:highlight w:val="none"/>
              </w:rPr>
              <w:t>因此本项目</w:t>
            </w:r>
            <w:r>
              <w:rPr>
                <w:rFonts w:hint="eastAsia"/>
                <w:color w:val="auto"/>
                <w:szCs w:val="24"/>
                <w:highlight w:val="none"/>
                <w:lang w:val="en-US" w:eastAsia="zh-CN"/>
              </w:rPr>
              <w:t>废气排放</w:t>
            </w:r>
            <w:r>
              <w:rPr>
                <w:rFonts w:hint="eastAsia"/>
                <w:color w:val="auto"/>
                <w:szCs w:val="24"/>
                <w:highlight w:val="none"/>
              </w:rPr>
              <w:t>可满足排放限值要求。</w:t>
            </w:r>
          </w:p>
          <w:p w14:paraId="55868D8F">
            <w:pPr>
              <w:adjustRightInd w:val="0"/>
              <w:snapToGrid w:val="0"/>
              <w:spacing w:line="360" w:lineRule="auto"/>
              <w:ind w:firstLine="480" w:firstLineChars="200"/>
              <w:rPr>
                <w:rFonts w:hint="eastAsia"/>
                <w:highlight w:val="none"/>
              </w:rPr>
            </w:pPr>
            <w:r>
              <w:rPr>
                <w:rFonts w:hint="eastAsia"/>
                <w:color w:val="auto"/>
                <w:sz w:val="24"/>
                <w:highlight w:val="none"/>
                <w:lang w:val="en-US" w:eastAsia="zh-CN"/>
              </w:rPr>
              <w:t>乐昌市</w:t>
            </w:r>
            <w:r>
              <w:rPr>
                <w:rFonts w:hint="eastAsia"/>
                <w:color w:val="auto"/>
                <w:sz w:val="24"/>
                <w:highlight w:val="none"/>
              </w:rPr>
              <w:t>属达标区，本项目采用的废气防治措施切实可行，可保证废气达标排放，因此本项目废气排放对周边大气环境影响在可接受范围内。</w:t>
            </w:r>
          </w:p>
          <w:p w14:paraId="7A134004">
            <w:pPr>
              <w:adjustRightInd w:val="0"/>
              <w:snapToGrid w:val="0"/>
              <w:spacing w:line="360" w:lineRule="auto"/>
              <w:ind w:firstLine="480" w:firstLineChars="200"/>
              <w:rPr>
                <w:rFonts w:hint="eastAsia"/>
                <w:color w:val="000000" w:themeColor="text1"/>
                <w:sz w:val="24"/>
                <w:szCs w:val="21"/>
                <w:highlight w:val="none"/>
                <w14:textFill>
                  <w14:solidFill>
                    <w14:schemeClr w14:val="tx1"/>
                  </w14:solidFill>
                </w14:textFill>
              </w:rPr>
            </w:pPr>
            <w:r>
              <w:rPr>
                <w:rFonts w:hint="eastAsia"/>
                <w:color w:val="000000" w:themeColor="text1"/>
                <w:sz w:val="24"/>
                <w:szCs w:val="21"/>
                <w:highlight w:val="none"/>
                <w14:textFill>
                  <w14:solidFill>
                    <w14:schemeClr w14:val="tx1"/>
                  </w14:solidFill>
                </w14:textFill>
              </w:rPr>
              <w:t>综上所述，本项目废气产排污节点、污染物及污染治理设施信息如表</w:t>
            </w:r>
            <w:r>
              <w:rPr>
                <w:rFonts w:hint="eastAsia"/>
                <w:color w:val="000000" w:themeColor="text1"/>
                <w:sz w:val="24"/>
                <w:szCs w:val="21"/>
                <w:highlight w:val="none"/>
                <w:lang w:val="en-US" w:eastAsia="zh-CN"/>
                <w14:textFill>
                  <w14:solidFill>
                    <w14:schemeClr w14:val="tx1"/>
                  </w14:solidFill>
                </w14:textFill>
              </w:rPr>
              <w:t>4-3~4-5</w:t>
            </w:r>
            <w:r>
              <w:rPr>
                <w:rFonts w:hint="eastAsia"/>
                <w:color w:val="000000" w:themeColor="text1"/>
                <w:sz w:val="24"/>
                <w:szCs w:val="21"/>
                <w:highlight w:val="none"/>
                <w14:textFill>
                  <w14:solidFill>
                    <w14:schemeClr w14:val="tx1"/>
                  </w14:solidFill>
                </w14:textFill>
              </w:rPr>
              <w:t>所示。</w:t>
            </w:r>
          </w:p>
          <w:p w14:paraId="3F5C5033">
            <w:pPr>
              <w:pStyle w:val="43"/>
              <w:rPr>
                <w:rFonts w:hint="eastAsia"/>
                <w:color w:val="000000" w:themeColor="text1"/>
                <w:sz w:val="24"/>
                <w:szCs w:val="21"/>
                <w:highlight w:val="none"/>
                <w14:textFill>
                  <w14:solidFill>
                    <w14:schemeClr w14:val="tx1"/>
                  </w14:solidFill>
                </w14:textFill>
              </w:rPr>
            </w:pPr>
          </w:p>
          <w:p w14:paraId="54470AE7">
            <w:pPr>
              <w:pStyle w:val="43"/>
              <w:rPr>
                <w:rFonts w:hint="eastAsia"/>
                <w:color w:val="000000" w:themeColor="text1"/>
                <w:sz w:val="24"/>
                <w:szCs w:val="21"/>
                <w:highlight w:val="none"/>
                <w14:textFill>
                  <w14:solidFill>
                    <w14:schemeClr w14:val="tx1"/>
                  </w14:solidFill>
                </w14:textFill>
              </w:rPr>
            </w:pPr>
          </w:p>
          <w:p w14:paraId="13A67A84">
            <w:pPr>
              <w:pStyle w:val="43"/>
              <w:rPr>
                <w:rFonts w:hint="eastAsia"/>
                <w:color w:val="000000" w:themeColor="text1"/>
                <w:sz w:val="24"/>
                <w:szCs w:val="21"/>
                <w:highlight w:val="none"/>
                <w14:textFill>
                  <w14:solidFill>
                    <w14:schemeClr w14:val="tx1"/>
                  </w14:solidFill>
                </w14:textFill>
              </w:rPr>
            </w:pPr>
          </w:p>
          <w:p w14:paraId="7ECEC588">
            <w:pPr>
              <w:pStyle w:val="43"/>
              <w:rPr>
                <w:rFonts w:hint="eastAsia"/>
                <w:color w:val="000000" w:themeColor="text1"/>
                <w:sz w:val="24"/>
                <w:szCs w:val="21"/>
                <w:highlight w:val="none"/>
                <w14:textFill>
                  <w14:solidFill>
                    <w14:schemeClr w14:val="tx1"/>
                  </w14:solidFill>
                </w14:textFill>
              </w:rPr>
            </w:pPr>
          </w:p>
          <w:p w14:paraId="37773EEE">
            <w:pPr>
              <w:pStyle w:val="43"/>
              <w:rPr>
                <w:rFonts w:hint="eastAsia"/>
                <w:color w:val="000000" w:themeColor="text1"/>
                <w:sz w:val="24"/>
                <w:szCs w:val="21"/>
                <w:highlight w:val="none"/>
                <w14:textFill>
                  <w14:solidFill>
                    <w14:schemeClr w14:val="tx1"/>
                  </w14:solidFill>
                </w14:textFill>
              </w:rPr>
            </w:pPr>
          </w:p>
          <w:p w14:paraId="5AE912CC">
            <w:pPr>
              <w:pStyle w:val="43"/>
              <w:rPr>
                <w:rFonts w:hint="eastAsia"/>
                <w:color w:val="000000" w:themeColor="text1"/>
                <w:sz w:val="24"/>
                <w:szCs w:val="21"/>
                <w:highlight w:val="none"/>
                <w14:textFill>
                  <w14:solidFill>
                    <w14:schemeClr w14:val="tx1"/>
                  </w14:solidFill>
                </w14:textFill>
              </w:rPr>
            </w:pPr>
          </w:p>
          <w:p w14:paraId="30A37BA4">
            <w:pPr>
              <w:pStyle w:val="43"/>
              <w:rPr>
                <w:rFonts w:hint="eastAsia"/>
                <w:color w:val="000000" w:themeColor="text1"/>
                <w:sz w:val="24"/>
                <w:szCs w:val="21"/>
                <w:highlight w:val="none"/>
                <w14:textFill>
                  <w14:solidFill>
                    <w14:schemeClr w14:val="tx1"/>
                  </w14:solidFill>
                </w14:textFill>
              </w:rPr>
            </w:pPr>
          </w:p>
          <w:p w14:paraId="5242AA7C">
            <w:pPr>
              <w:pStyle w:val="43"/>
              <w:rPr>
                <w:rFonts w:hint="eastAsia"/>
                <w:color w:val="000000" w:themeColor="text1"/>
                <w:sz w:val="24"/>
                <w:szCs w:val="21"/>
                <w:highlight w:val="none"/>
                <w14:textFill>
                  <w14:solidFill>
                    <w14:schemeClr w14:val="tx1"/>
                  </w14:solidFill>
                </w14:textFill>
              </w:rPr>
            </w:pPr>
          </w:p>
          <w:p w14:paraId="61D02508">
            <w:pPr>
              <w:pStyle w:val="43"/>
              <w:rPr>
                <w:rFonts w:hint="eastAsia"/>
                <w:color w:val="000000" w:themeColor="text1"/>
                <w:sz w:val="24"/>
                <w:szCs w:val="21"/>
                <w:highlight w:val="none"/>
                <w14:textFill>
                  <w14:solidFill>
                    <w14:schemeClr w14:val="tx1"/>
                  </w14:solidFill>
                </w14:textFill>
              </w:rPr>
            </w:pPr>
          </w:p>
          <w:p w14:paraId="1A4676AE">
            <w:pPr>
              <w:pStyle w:val="43"/>
              <w:rPr>
                <w:rFonts w:hint="eastAsia"/>
                <w:color w:val="000000" w:themeColor="text1"/>
                <w:sz w:val="24"/>
                <w:szCs w:val="21"/>
                <w:highlight w:val="none"/>
                <w14:textFill>
                  <w14:solidFill>
                    <w14:schemeClr w14:val="tx1"/>
                  </w14:solidFill>
                </w14:textFill>
              </w:rPr>
            </w:pPr>
          </w:p>
          <w:p w14:paraId="11B56044">
            <w:pPr>
              <w:pStyle w:val="43"/>
              <w:rPr>
                <w:rFonts w:hint="eastAsia"/>
                <w:color w:val="000000" w:themeColor="text1"/>
                <w:sz w:val="24"/>
                <w:szCs w:val="21"/>
                <w:highlight w:val="none"/>
                <w14:textFill>
                  <w14:solidFill>
                    <w14:schemeClr w14:val="tx1"/>
                  </w14:solidFill>
                </w14:textFill>
              </w:rPr>
            </w:pPr>
          </w:p>
          <w:p w14:paraId="3F13A283">
            <w:pPr>
              <w:pStyle w:val="43"/>
              <w:rPr>
                <w:rFonts w:hint="eastAsia"/>
                <w:color w:val="000000" w:themeColor="text1"/>
                <w:sz w:val="24"/>
                <w:szCs w:val="21"/>
                <w:highlight w:val="none"/>
                <w14:textFill>
                  <w14:solidFill>
                    <w14:schemeClr w14:val="tx1"/>
                  </w14:solidFill>
                </w14:textFill>
              </w:rPr>
            </w:pPr>
          </w:p>
          <w:p w14:paraId="3B38444F">
            <w:pPr>
              <w:pStyle w:val="43"/>
              <w:rPr>
                <w:rFonts w:hint="eastAsia"/>
                <w:color w:val="000000" w:themeColor="text1"/>
                <w:sz w:val="24"/>
                <w:szCs w:val="21"/>
                <w:highlight w:val="none"/>
                <w14:textFill>
                  <w14:solidFill>
                    <w14:schemeClr w14:val="tx1"/>
                  </w14:solidFill>
                </w14:textFill>
              </w:rPr>
            </w:pPr>
          </w:p>
          <w:p w14:paraId="64C36A2E">
            <w:pPr>
              <w:pStyle w:val="43"/>
              <w:rPr>
                <w:rFonts w:hint="eastAsia"/>
                <w:color w:val="000000" w:themeColor="text1"/>
                <w:sz w:val="24"/>
                <w:szCs w:val="21"/>
                <w:highlight w:val="none"/>
                <w14:textFill>
                  <w14:solidFill>
                    <w14:schemeClr w14:val="tx1"/>
                  </w14:solidFill>
                </w14:textFill>
              </w:rPr>
            </w:pPr>
          </w:p>
          <w:p w14:paraId="7C242EBF">
            <w:pPr>
              <w:pStyle w:val="43"/>
              <w:rPr>
                <w:rFonts w:hint="eastAsia"/>
                <w:color w:val="000000" w:themeColor="text1"/>
                <w:sz w:val="24"/>
                <w:szCs w:val="21"/>
                <w:highlight w:val="none"/>
                <w14:textFill>
                  <w14:solidFill>
                    <w14:schemeClr w14:val="tx1"/>
                  </w14:solidFill>
                </w14:textFill>
              </w:rPr>
            </w:pPr>
          </w:p>
          <w:p w14:paraId="238F5A72">
            <w:pPr>
              <w:pStyle w:val="43"/>
              <w:rPr>
                <w:rFonts w:hint="eastAsia"/>
                <w:color w:val="000000" w:themeColor="text1"/>
                <w:sz w:val="24"/>
                <w:szCs w:val="21"/>
                <w:highlight w:val="none"/>
                <w14:textFill>
                  <w14:solidFill>
                    <w14:schemeClr w14:val="tx1"/>
                  </w14:solidFill>
                </w14:textFill>
              </w:rPr>
            </w:pPr>
          </w:p>
          <w:p w14:paraId="69F839DD">
            <w:pPr>
              <w:pStyle w:val="43"/>
              <w:rPr>
                <w:rFonts w:hint="eastAsia"/>
                <w:color w:val="000000" w:themeColor="text1"/>
                <w:sz w:val="24"/>
                <w:szCs w:val="21"/>
                <w:highlight w:val="none"/>
                <w14:textFill>
                  <w14:solidFill>
                    <w14:schemeClr w14:val="tx1"/>
                  </w14:solidFill>
                </w14:textFill>
              </w:rPr>
            </w:pPr>
          </w:p>
          <w:p w14:paraId="189673D5">
            <w:pPr>
              <w:pStyle w:val="43"/>
              <w:rPr>
                <w:rFonts w:hint="eastAsia"/>
                <w:color w:val="000000" w:themeColor="text1"/>
                <w:sz w:val="24"/>
                <w:szCs w:val="21"/>
                <w:highlight w:val="none"/>
                <w14:textFill>
                  <w14:solidFill>
                    <w14:schemeClr w14:val="tx1"/>
                  </w14:solidFill>
                </w14:textFill>
              </w:rPr>
            </w:pPr>
          </w:p>
          <w:p w14:paraId="5927876E">
            <w:pPr>
              <w:pStyle w:val="43"/>
              <w:rPr>
                <w:rFonts w:hint="eastAsia"/>
                <w:color w:val="000000" w:themeColor="text1"/>
                <w:sz w:val="24"/>
                <w:szCs w:val="21"/>
                <w:highlight w:val="none"/>
                <w14:textFill>
                  <w14:solidFill>
                    <w14:schemeClr w14:val="tx1"/>
                  </w14:solidFill>
                </w14:textFill>
              </w:rPr>
            </w:pPr>
          </w:p>
          <w:p w14:paraId="15424364">
            <w:pPr>
              <w:pStyle w:val="43"/>
              <w:rPr>
                <w:rFonts w:hint="eastAsia"/>
                <w:color w:val="000000" w:themeColor="text1"/>
                <w:sz w:val="24"/>
                <w:szCs w:val="21"/>
                <w:highlight w:val="none"/>
                <w14:textFill>
                  <w14:solidFill>
                    <w14:schemeClr w14:val="tx1"/>
                  </w14:solidFill>
                </w14:textFill>
              </w:rPr>
            </w:pPr>
          </w:p>
          <w:p w14:paraId="317D3F23">
            <w:pPr>
              <w:pStyle w:val="43"/>
              <w:rPr>
                <w:rFonts w:hint="eastAsia"/>
                <w:color w:val="000000" w:themeColor="text1"/>
                <w:sz w:val="24"/>
                <w:szCs w:val="21"/>
                <w:highlight w:val="none"/>
                <w14:textFill>
                  <w14:solidFill>
                    <w14:schemeClr w14:val="tx1"/>
                  </w14:solidFill>
                </w14:textFill>
              </w:rPr>
            </w:pPr>
          </w:p>
          <w:p w14:paraId="5DB22FCC">
            <w:pPr>
              <w:pStyle w:val="43"/>
              <w:rPr>
                <w:rFonts w:hint="eastAsia"/>
                <w:color w:val="000000" w:themeColor="text1"/>
                <w:sz w:val="24"/>
                <w:szCs w:val="21"/>
                <w:highlight w:val="none"/>
                <w14:textFill>
                  <w14:solidFill>
                    <w14:schemeClr w14:val="tx1"/>
                  </w14:solidFill>
                </w14:textFill>
              </w:rPr>
            </w:pPr>
          </w:p>
          <w:p w14:paraId="3453A25C">
            <w:pPr>
              <w:pStyle w:val="43"/>
              <w:rPr>
                <w:rFonts w:hint="eastAsia"/>
                <w:color w:val="000000" w:themeColor="text1"/>
                <w:sz w:val="24"/>
                <w:szCs w:val="21"/>
                <w:highlight w:val="none"/>
                <w14:textFill>
                  <w14:solidFill>
                    <w14:schemeClr w14:val="tx1"/>
                  </w14:solidFill>
                </w14:textFill>
              </w:rPr>
            </w:pPr>
          </w:p>
          <w:p w14:paraId="0FADA97F">
            <w:pPr>
              <w:pStyle w:val="43"/>
              <w:rPr>
                <w:rFonts w:hint="eastAsia"/>
                <w:color w:val="000000" w:themeColor="text1"/>
                <w:sz w:val="24"/>
                <w:szCs w:val="21"/>
                <w:highlight w:val="none"/>
                <w14:textFill>
                  <w14:solidFill>
                    <w14:schemeClr w14:val="tx1"/>
                  </w14:solidFill>
                </w14:textFill>
              </w:rPr>
            </w:pPr>
          </w:p>
          <w:p w14:paraId="671375C6">
            <w:pPr>
              <w:pStyle w:val="43"/>
              <w:rPr>
                <w:rFonts w:hint="eastAsia"/>
                <w:color w:val="000000" w:themeColor="text1"/>
                <w:sz w:val="24"/>
                <w:szCs w:val="21"/>
                <w:highlight w:val="none"/>
                <w14:textFill>
                  <w14:solidFill>
                    <w14:schemeClr w14:val="tx1"/>
                  </w14:solidFill>
                </w14:textFill>
              </w:rPr>
            </w:pPr>
          </w:p>
          <w:p w14:paraId="41D5A9E9">
            <w:pPr>
              <w:pStyle w:val="43"/>
              <w:rPr>
                <w:rFonts w:hint="eastAsia"/>
                <w:color w:val="000000" w:themeColor="text1"/>
                <w:sz w:val="24"/>
                <w:szCs w:val="21"/>
                <w:highlight w:val="none"/>
                <w14:textFill>
                  <w14:solidFill>
                    <w14:schemeClr w14:val="tx1"/>
                  </w14:solidFill>
                </w14:textFill>
              </w:rPr>
            </w:pPr>
          </w:p>
          <w:p w14:paraId="68F24972">
            <w:pPr>
              <w:pStyle w:val="43"/>
              <w:rPr>
                <w:rFonts w:hint="eastAsia"/>
                <w:color w:val="000000" w:themeColor="text1"/>
                <w:sz w:val="24"/>
                <w:szCs w:val="21"/>
                <w:highlight w:val="none"/>
                <w14:textFill>
                  <w14:solidFill>
                    <w14:schemeClr w14:val="tx1"/>
                  </w14:solidFill>
                </w14:textFill>
              </w:rPr>
            </w:pPr>
          </w:p>
          <w:p w14:paraId="275030E7">
            <w:pPr>
              <w:pStyle w:val="43"/>
              <w:rPr>
                <w:rFonts w:hint="eastAsia"/>
                <w:color w:val="000000" w:themeColor="text1"/>
                <w:sz w:val="24"/>
                <w:szCs w:val="21"/>
                <w:highlight w:val="none"/>
                <w14:textFill>
                  <w14:solidFill>
                    <w14:schemeClr w14:val="tx1"/>
                  </w14:solidFill>
                </w14:textFill>
              </w:rPr>
            </w:pPr>
          </w:p>
          <w:p w14:paraId="7D6DFEEE">
            <w:pPr>
              <w:pStyle w:val="43"/>
              <w:rPr>
                <w:rFonts w:hint="eastAsia"/>
                <w:color w:val="000000" w:themeColor="text1"/>
                <w:sz w:val="24"/>
                <w:szCs w:val="21"/>
                <w:highlight w:val="none"/>
                <w14:textFill>
                  <w14:solidFill>
                    <w14:schemeClr w14:val="tx1"/>
                  </w14:solidFill>
                </w14:textFill>
              </w:rPr>
            </w:pPr>
          </w:p>
          <w:p w14:paraId="43DF9F4B">
            <w:pPr>
              <w:pStyle w:val="43"/>
              <w:rPr>
                <w:rFonts w:hint="eastAsia"/>
                <w:color w:val="000000" w:themeColor="text1"/>
                <w:sz w:val="24"/>
                <w:szCs w:val="21"/>
                <w:highlight w:val="none"/>
                <w14:textFill>
                  <w14:solidFill>
                    <w14:schemeClr w14:val="tx1"/>
                  </w14:solidFill>
                </w14:textFill>
              </w:rPr>
            </w:pPr>
          </w:p>
          <w:p w14:paraId="08F244C8">
            <w:pPr>
              <w:pStyle w:val="43"/>
              <w:ind w:left="0" w:leftChars="0" w:firstLine="0" w:firstLineChars="0"/>
              <w:rPr>
                <w:rFonts w:hint="eastAsia"/>
                <w:color w:val="000000" w:themeColor="text1"/>
                <w:sz w:val="24"/>
                <w:szCs w:val="21"/>
                <w:highlight w:val="none"/>
                <w:lang w:eastAsia="zh-CN"/>
                <w14:textFill>
                  <w14:solidFill>
                    <w14:schemeClr w14:val="tx1"/>
                  </w14:solidFill>
                </w14:textFill>
              </w:rPr>
            </w:pPr>
          </w:p>
        </w:tc>
      </w:tr>
    </w:tbl>
    <w:p w14:paraId="10FA526D">
      <w:pPr>
        <w:adjustRightInd w:val="0"/>
        <w:snapToGrid w:val="0"/>
        <w:spacing w:line="360" w:lineRule="auto"/>
        <w:rPr>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tbl>
      <w:tblPr>
        <w:tblStyle w:val="32"/>
        <w:tblW w:w="0" w:type="auto"/>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67"/>
      </w:tblGrid>
      <w:tr w14:paraId="6E7BA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67" w:type="dxa"/>
          </w:tcPr>
          <w:p w14:paraId="7F14BDFC">
            <w:pPr>
              <w:pStyle w:val="44"/>
              <w:keepNext w:val="0"/>
              <w:keepLines w:val="0"/>
              <w:pageBreakBefore w:val="0"/>
              <w:shd w:val="clear"/>
              <w:kinsoku/>
              <w:wordWrap/>
              <w:overflowPunct/>
              <w:topLinePunct w:val="0"/>
              <w:bidi w:val="0"/>
              <w:snapToGrid/>
              <w:jc w:val="center"/>
              <w:rPr>
                <w:rFonts w:hint="default" w:ascii="Times New Roman" w:hAnsi="Times New Roman" w:cs="Times New Roman"/>
                <w:b/>
                <w:bCs/>
                <w:i w:val="0"/>
                <w:iCs w:val="0"/>
                <w:caps w:val="0"/>
                <w:color w:val="000000" w:themeColor="text1"/>
                <w:spacing w:val="0"/>
                <w:sz w:val="24"/>
                <w:szCs w:val="24"/>
                <w:highlight w:val="none"/>
                <w:shd w:val="clear" w:fill="FFFFFF"/>
                <w:lang w:val="en-US" w:eastAsia="zh-CN"/>
                <w14:textFill>
                  <w14:solidFill>
                    <w14:schemeClr w14:val="tx1"/>
                  </w14:solidFill>
                </w14:textFill>
              </w:rPr>
            </w:pPr>
            <w:r>
              <w:rPr>
                <w:rFonts w:hint="default" w:ascii="Times New Roman" w:hAnsi="Times New Roman" w:cs="Times New Roman"/>
                <w:b/>
                <w:bCs/>
                <w:i w:val="0"/>
                <w:iCs w:val="0"/>
                <w:caps w:val="0"/>
                <w:color w:val="000000" w:themeColor="text1"/>
                <w:spacing w:val="0"/>
                <w:sz w:val="24"/>
                <w:szCs w:val="24"/>
                <w:highlight w:val="none"/>
                <w:shd w:val="clear" w:fill="FFFFFF"/>
                <w:lang w:val="en-US" w:eastAsia="zh-CN"/>
                <w14:textFill>
                  <w14:solidFill>
                    <w14:schemeClr w14:val="tx1"/>
                  </w14:solidFill>
                </w14:textFill>
              </w:rPr>
              <w:t>表</w:t>
            </w:r>
            <w:r>
              <w:rPr>
                <w:rFonts w:hint="eastAsia" w:ascii="Times New Roman" w:hAnsi="Times New Roman" w:cs="Times New Roman"/>
                <w:b/>
                <w:bCs/>
                <w:i w:val="0"/>
                <w:iCs w:val="0"/>
                <w:caps w:val="0"/>
                <w:color w:val="000000" w:themeColor="text1"/>
                <w:spacing w:val="0"/>
                <w:sz w:val="24"/>
                <w:szCs w:val="24"/>
                <w:highlight w:val="none"/>
                <w:shd w:val="clear" w:fill="FFFFFF"/>
                <w:lang w:val="en-US" w:eastAsia="zh-CN"/>
                <w14:textFill>
                  <w14:solidFill>
                    <w14:schemeClr w14:val="tx1"/>
                  </w14:solidFill>
                </w14:textFill>
              </w:rPr>
              <w:t>4-3本项目</w:t>
            </w:r>
            <w:r>
              <w:rPr>
                <w:rFonts w:hint="default" w:ascii="Times New Roman" w:hAnsi="Times New Roman" w:cs="Times New Roman"/>
                <w:b/>
                <w:bCs/>
                <w:i w:val="0"/>
                <w:iCs w:val="0"/>
                <w:caps w:val="0"/>
                <w:color w:val="000000" w:themeColor="text1"/>
                <w:spacing w:val="0"/>
                <w:sz w:val="24"/>
                <w:szCs w:val="24"/>
                <w:highlight w:val="none"/>
                <w:shd w:val="clear" w:fill="FFFFFF"/>
                <w:lang w:val="en-US" w:eastAsia="zh-CN"/>
                <w14:textFill>
                  <w14:solidFill>
                    <w14:schemeClr w14:val="tx1"/>
                  </w14:solidFill>
                </w14:textFill>
              </w:rPr>
              <w:t>废气产生量和排放量一览表</w:t>
            </w:r>
          </w:p>
          <w:tbl>
            <w:tblPr>
              <w:tblStyle w:val="31"/>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79"/>
              <w:gridCol w:w="810"/>
              <w:gridCol w:w="939"/>
              <w:gridCol w:w="1008"/>
              <w:gridCol w:w="948"/>
              <w:gridCol w:w="1014"/>
              <w:gridCol w:w="3182"/>
              <w:gridCol w:w="801"/>
              <w:gridCol w:w="948"/>
              <w:gridCol w:w="1014"/>
              <w:gridCol w:w="1576"/>
              <w:gridCol w:w="1014"/>
              <w:gridCol w:w="909"/>
            </w:tblGrid>
            <w:tr w14:paraId="714922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26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596A664">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排放形式</w:t>
                  </w:r>
                </w:p>
              </w:tc>
              <w:tc>
                <w:tcPr>
                  <w:tcW w:w="27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D55A4B">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污染源</w:t>
                  </w:r>
                </w:p>
              </w:tc>
              <w:tc>
                <w:tcPr>
                  <w:tcW w:w="31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ED5BC09">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污染物种类</w:t>
                  </w: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45F04D">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废气量</w:t>
                  </w:r>
                </w:p>
              </w:tc>
              <w:tc>
                <w:tcPr>
                  <w:tcW w:w="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5E8C92">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产生量</w:t>
                  </w:r>
                </w:p>
              </w:tc>
              <w:tc>
                <w:tcPr>
                  <w:tcW w:w="33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863A48D">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产生浓度mg/m</w:t>
                  </w:r>
                  <w:r>
                    <w:rPr>
                      <w:rFonts w:hint="default" w:ascii="Times New Roman" w:hAnsi="Times New Roman" w:eastAsia="宋体" w:cs="Times New Roman"/>
                      <w:b/>
                      <w:bCs/>
                      <w:i w:val="0"/>
                      <w:iCs w:val="0"/>
                      <w:color w:val="000000"/>
                      <w:kern w:val="0"/>
                      <w:sz w:val="21"/>
                      <w:szCs w:val="21"/>
                      <w:highlight w:val="none"/>
                      <w:u w:val="none"/>
                      <w:vertAlign w:val="superscript"/>
                      <w:lang w:val="en-US" w:eastAsia="zh-CN" w:bidi="ar"/>
                    </w:rPr>
                    <w:t>3</w:t>
                  </w:r>
                </w:p>
              </w:tc>
              <w:tc>
                <w:tcPr>
                  <w:tcW w:w="1064" w:type="pct"/>
                  <w:vMerge w:val="restart"/>
                  <w:tcBorders>
                    <w:top w:val="single" w:color="000000" w:sz="4" w:space="0"/>
                    <w:left w:val="single" w:color="000000" w:sz="4" w:space="0"/>
                    <w:right w:val="single" w:color="000000" w:sz="4" w:space="0"/>
                  </w:tcBorders>
                  <w:shd w:val="clear" w:color="auto" w:fill="auto"/>
                  <w:vAlign w:val="center"/>
                </w:tcPr>
                <w:p w14:paraId="507668F5">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主要污染治理设施</w:t>
                  </w:r>
                </w:p>
              </w:tc>
              <w:tc>
                <w:tcPr>
                  <w:tcW w:w="2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F1C4D0">
                  <w:pPr>
                    <w:keepNext w:val="0"/>
                    <w:keepLines w:val="0"/>
                    <w:widowControl/>
                    <w:suppressLineNumbers w:val="0"/>
                    <w:jc w:val="center"/>
                    <w:textAlignment w:val="center"/>
                    <w:rPr>
                      <w:rFonts w:hint="default" w:ascii="Times New Roman" w:hAnsi="Times New Roman" w:eastAsia="宋体" w:cs="Times New Roman"/>
                      <w:b/>
                      <w:bCs/>
                      <w:i w:val="0"/>
                      <w:iCs w:val="0"/>
                      <w:color w:val="000000"/>
                      <w:kern w:val="0"/>
                      <w:sz w:val="21"/>
                      <w:szCs w:val="21"/>
                      <w:highlight w:val="none"/>
                      <w:u w:val="none"/>
                      <w:lang w:val="en-US" w:eastAsia="zh-CN" w:bidi="ar"/>
                    </w:rPr>
                  </w:pPr>
                </w:p>
              </w:tc>
              <w:tc>
                <w:tcPr>
                  <w:tcW w:w="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7B177C">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排放量</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16E6CA">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排放浓度</w:t>
                  </w:r>
                </w:p>
              </w:tc>
              <w:tc>
                <w:tcPr>
                  <w:tcW w:w="52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B289643">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排放速率kg/h</w:t>
                  </w:r>
                </w:p>
              </w:tc>
              <w:tc>
                <w:tcPr>
                  <w:tcW w:w="64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5D208DB">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排放标准</w:t>
                  </w:r>
                </w:p>
              </w:tc>
            </w:tr>
            <w:tr w14:paraId="4032A5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26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A1347E">
                  <w:pPr>
                    <w:jc w:val="center"/>
                    <w:rPr>
                      <w:rFonts w:hint="default" w:ascii="Times New Roman" w:hAnsi="Times New Roman" w:eastAsia="宋体" w:cs="Times New Roman"/>
                      <w:b/>
                      <w:bCs/>
                      <w:i w:val="0"/>
                      <w:iCs w:val="0"/>
                      <w:color w:val="000000"/>
                      <w:sz w:val="21"/>
                      <w:szCs w:val="21"/>
                      <w:highlight w:val="none"/>
                      <w:u w:val="none"/>
                    </w:rPr>
                  </w:pPr>
                </w:p>
              </w:tc>
              <w:tc>
                <w:tcPr>
                  <w:tcW w:w="2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4FC581">
                  <w:pPr>
                    <w:jc w:val="center"/>
                    <w:rPr>
                      <w:rFonts w:hint="default" w:ascii="Times New Roman" w:hAnsi="Times New Roman" w:eastAsia="宋体" w:cs="Times New Roman"/>
                      <w:b/>
                      <w:bCs/>
                      <w:i w:val="0"/>
                      <w:iCs w:val="0"/>
                      <w:color w:val="000000"/>
                      <w:sz w:val="21"/>
                      <w:szCs w:val="21"/>
                      <w:highlight w:val="none"/>
                      <w:u w:val="none"/>
                    </w:rPr>
                  </w:pPr>
                </w:p>
              </w:tc>
              <w:tc>
                <w:tcPr>
                  <w:tcW w:w="31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3A0B7A">
                  <w:pPr>
                    <w:jc w:val="center"/>
                    <w:rPr>
                      <w:rFonts w:hint="default" w:ascii="Times New Roman" w:hAnsi="Times New Roman" w:eastAsia="宋体" w:cs="Times New Roman"/>
                      <w:b/>
                      <w:bCs/>
                      <w:i w:val="0"/>
                      <w:iCs w:val="0"/>
                      <w:color w:val="000000"/>
                      <w:sz w:val="21"/>
                      <w:szCs w:val="21"/>
                      <w:highlight w:val="none"/>
                      <w:u w:val="none"/>
                    </w:rPr>
                  </w:pPr>
                </w:p>
              </w:tc>
              <w:tc>
                <w:tcPr>
                  <w:tcW w:w="33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EE11E52">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Nm</w:t>
                  </w:r>
                  <w:r>
                    <w:rPr>
                      <w:rFonts w:hint="default" w:ascii="Times New Roman" w:hAnsi="Times New Roman" w:eastAsia="宋体" w:cs="Times New Roman"/>
                      <w:b/>
                      <w:bCs/>
                      <w:i w:val="0"/>
                      <w:iCs w:val="0"/>
                      <w:color w:val="000000"/>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highlight w:val="none"/>
                      <w:u w:val="none"/>
                      <w:lang w:val="en-US" w:eastAsia="zh-CN" w:bidi="ar"/>
                    </w:rPr>
                    <w:t>/h</w:t>
                  </w:r>
                </w:p>
              </w:tc>
              <w:tc>
                <w:tcPr>
                  <w:tcW w:w="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B28873">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t/a</w:t>
                  </w:r>
                </w:p>
              </w:tc>
              <w:tc>
                <w:tcPr>
                  <w:tcW w:w="33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0E0A06">
                  <w:pPr>
                    <w:jc w:val="center"/>
                    <w:rPr>
                      <w:rFonts w:hint="default" w:ascii="Times New Roman" w:hAnsi="Times New Roman" w:eastAsia="宋体" w:cs="Times New Roman"/>
                      <w:b/>
                      <w:bCs/>
                      <w:i w:val="0"/>
                      <w:iCs w:val="0"/>
                      <w:color w:val="000000"/>
                      <w:sz w:val="21"/>
                      <w:szCs w:val="21"/>
                      <w:highlight w:val="none"/>
                      <w:u w:val="none"/>
                    </w:rPr>
                  </w:pPr>
                </w:p>
              </w:tc>
              <w:tc>
                <w:tcPr>
                  <w:tcW w:w="1064" w:type="pct"/>
                  <w:vMerge w:val="continue"/>
                  <w:tcBorders>
                    <w:left w:val="single" w:color="000000" w:sz="4" w:space="0"/>
                    <w:right w:val="single" w:color="000000" w:sz="4" w:space="0"/>
                  </w:tcBorders>
                  <w:shd w:val="clear" w:color="auto" w:fill="auto"/>
                  <w:vAlign w:val="center"/>
                </w:tcPr>
                <w:p w14:paraId="29121F30">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p>
              </w:tc>
              <w:tc>
                <w:tcPr>
                  <w:tcW w:w="2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55ECE4">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处理效率</w:t>
                  </w:r>
                </w:p>
              </w:tc>
              <w:tc>
                <w:tcPr>
                  <w:tcW w:w="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FD7BCB">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t/a</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A937B4">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mg/m</w:t>
                  </w:r>
                  <w:r>
                    <w:rPr>
                      <w:rFonts w:hint="default" w:ascii="Times New Roman" w:hAnsi="Times New Roman" w:eastAsia="宋体" w:cs="Times New Roman"/>
                      <w:b/>
                      <w:bCs/>
                      <w:i w:val="0"/>
                      <w:iCs w:val="0"/>
                      <w:color w:val="000000"/>
                      <w:kern w:val="0"/>
                      <w:sz w:val="21"/>
                      <w:szCs w:val="21"/>
                      <w:highlight w:val="none"/>
                      <w:u w:val="none"/>
                      <w:vertAlign w:val="superscript"/>
                      <w:lang w:val="en-US" w:eastAsia="zh-CN" w:bidi="ar"/>
                    </w:rPr>
                    <w:t>3</w:t>
                  </w:r>
                </w:p>
              </w:tc>
              <w:tc>
                <w:tcPr>
                  <w:tcW w:w="52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C7B848">
                  <w:pPr>
                    <w:jc w:val="center"/>
                    <w:rPr>
                      <w:rFonts w:hint="default" w:ascii="Times New Roman" w:hAnsi="Times New Roman" w:eastAsia="宋体" w:cs="Times New Roman"/>
                      <w:b/>
                      <w:bCs/>
                      <w:i w:val="0"/>
                      <w:iCs w:val="0"/>
                      <w:color w:val="000000"/>
                      <w:sz w:val="21"/>
                      <w:szCs w:val="21"/>
                      <w:highlight w:val="none"/>
                      <w:u w:val="none"/>
                    </w:rPr>
                  </w:pP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6A1659">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mg/m</w:t>
                  </w:r>
                  <w:r>
                    <w:rPr>
                      <w:rFonts w:hint="default" w:ascii="Times New Roman" w:hAnsi="Times New Roman" w:eastAsia="宋体" w:cs="Times New Roman"/>
                      <w:b/>
                      <w:bCs/>
                      <w:i w:val="0"/>
                      <w:iCs w:val="0"/>
                      <w:color w:val="000000"/>
                      <w:kern w:val="0"/>
                      <w:sz w:val="21"/>
                      <w:szCs w:val="21"/>
                      <w:highlight w:val="none"/>
                      <w:u w:val="none"/>
                      <w:vertAlign w:val="superscript"/>
                      <w:lang w:val="en-US" w:eastAsia="zh-CN" w:bidi="ar"/>
                    </w:rPr>
                    <w:t>3</w:t>
                  </w:r>
                </w:p>
              </w:tc>
              <w:tc>
                <w:tcPr>
                  <w:tcW w:w="3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8AEBDE">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kg/h</w:t>
                  </w:r>
                </w:p>
              </w:tc>
            </w:tr>
            <w:tr w14:paraId="689EFF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26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6D6D08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有组织排放</w:t>
                  </w:r>
                </w:p>
              </w:tc>
              <w:tc>
                <w:tcPr>
                  <w:tcW w:w="27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EBE01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生物质锅炉燃烧</w:t>
                  </w: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28A97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烟尘</w:t>
                  </w:r>
                </w:p>
              </w:tc>
              <w:tc>
                <w:tcPr>
                  <w:tcW w:w="337" w:type="pct"/>
                  <w:vMerge w:val="restart"/>
                  <w:tcBorders>
                    <w:top w:val="single" w:color="000000" w:sz="4" w:space="0"/>
                    <w:left w:val="single" w:color="000000" w:sz="4" w:space="0"/>
                    <w:right w:val="single" w:color="000000" w:sz="4" w:space="0"/>
                  </w:tcBorders>
                  <w:shd w:val="clear" w:color="auto" w:fill="auto"/>
                  <w:vAlign w:val="center"/>
                </w:tcPr>
                <w:p w14:paraId="592E591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color w:val="000000"/>
                      <w:kern w:val="0"/>
                      <w:sz w:val="21"/>
                      <w:szCs w:val="21"/>
                      <w:highlight w:val="none"/>
                      <w:u w:val="none"/>
                      <w:lang w:val="en-US" w:eastAsia="zh-CN" w:bidi="ar"/>
                    </w:rPr>
                    <w:t>35104</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A39D6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 xml:space="preserve">410.53 </w:t>
                  </w:r>
                </w:p>
              </w:tc>
              <w:tc>
                <w:tcPr>
                  <w:tcW w:w="1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4F3C5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 xml:space="preserve">2436.36 </w:t>
                  </w:r>
                </w:p>
              </w:tc>
              <w:tc>
                <w:tcPr>
                  <w:tcW w:w="10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8C10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多管旋风除尘+布袋除尘</w:t>
                  </w:r>
                </w:p>
              </w:tc>
              <w:tc>
                <w:tcPr>
                  <w:tcW w:w="8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FDC4B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default" w:ascii="Times New Roman" w:hAnsi="Times New Roman" w:eastAsia="宋体" w:cs="Times New Roman"/>
                      <w:i w:val="0"/>
                      <w:iCs w:val="0"/>
                      <w:color w:val="000000"/>
                      <w:kern w:val="0"/>
                      <w:sz w:val="21"/>
                      <w:szCs w:val="21"/>
                      <w:highlight w:val="none"/>
                      <w:u w:val="none"/>
                      <w:lang w:val="en-US" w:eastAsia="zh-CN" w:bidi="ar"/>
                    </w:rPr>
                    <w:t>9</w:t>
                  </w:r>
                  <w:r>
                    <w:rPr>
                      <w:rFonts w:hint="eastAsia" w:cs="Times New Roman"/>
                      <w:i w:val="0"/>
                      <w:iCs w:val="0"/>
                      <w:color w:val="000000"/>
                      <w:kern w:val="0"/>
                      <w:sz w:val="21"/>
                      <w:szCs w:val="21"/>
                      <w:highlight w:val="none"/>
                      <w:u w:val="none"/>
                      <w:lang w:val="en-US" w:eastAsia="zh-CN" w:bidi="ar"/>
                    </w:rPr>
                    <w:t>9.5</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A8AF1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2.05</w:t>
                  </w:r>
                </w:p>
              </w:tc>
              <w:tc>
                <w:tcPr>
                  <w:tcW w:w="1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1F0A4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color w:val="000000"/>
                      <w:kern w:val="0"/>
                      <w:sz w:val="21"/>
                      <w:szCs w:val="21"/>
                      <w:highlight w:val="none"/>
                      <w:u w:val="none"/>
                      <w:lang w:val="en-US" w:eastAsia="zh-CN" w:bidi="ar"/>
                    </w:rPr>
                    <w:t>12.18</w:t>
                  </w:r>
                </w:p>
              </w:tc>
              <w:tc>
                <w:tcPr>
                  <w:tcW w:w="1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86B7F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2"/>
                      <w:szCs w:val="22"/>
                      <w:highlight w:val="none"/>
                      <w:u w:val="none"/>
                      <w:lang w:val="en-US" w:eastAsia="zh-CN" w:bidi="ar"/>
                    </w:rPr>
                    <w:t>0.43</w:t>
                  </w:r>
                </w:p>
              </w:tc>
              <w:tc>
                <w:tcPr>
                  <w:tcW w:w="1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C9E55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20</w:t>
                  </w:r>
                </w:p>
              </w:tc>
              <w:tc>
                <w:tcPr>
                  <w:tcW w:w="3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52B7A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r>
            <w:tr w14:paraId="020984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0" w:hRule="atLeast"/>
              </w:trPr>
              <w:tc>
                <w:tcPr>
                  <w:tcW w:w="26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689FCA">
                  <w:pPr>
                    <w:jc w:val="center"/>
                    <w:rPr>
                      <w:rFonts w:hint="default" w:ascii="Times New Roman" w:hAnsi="Times New Roman" w:eastAsia="宋体" w:cs="Times New Roman"/>
                      <w:i w:val="0"/>
                      <w:iCs w:val="0"/>
                      <w:color w:val="000000"/>
                      <w:sz w:val="21"/>
                      <w:szCs w:val="21"/>
                      <w:highlight w:val="none"/>
                      <w:u w:val="none"/>
                    </w:rPr>
                  </w:pPr>
                </w:p>
              </w:tc>
              <w:tc>
                <w:tcPr>
                  <w:tcW w:w="2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E179F8">
                  <w:pPr>
                    <w:jc w:val="center"/>
                    <w:rPr>
                      <w:rFonts w:hint="default" w:ascii="Times New Roman" w:hAnsi="Times New Roman" w:eastAsia="宋体" w:cs="Times New Roman"/>
                      <w:i w:val="0"/>
                      <w:iCs w:val="0"/>
                      <w:color w:val="000000"/>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480B5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SO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2</w:t>
                  </w:r>
                </w:p>
              </w:tc>
              <w:tc>
                <w:tcPr>
                  <w:tcW w:w="337" w:type="pct"/>
                  <w:vMerge w:val="continue"/>
                  <w:tcBorders>
                    <w:left w:val="single" w:color="000000" w:sz="4" w:space="0"/>
                    <w:right w:val="single" w:color="000000" w:sz="4" w:space="0"/>
                  </w:tcBorders>
                  <w:shd w:val="clear" w:color="auto" w:fill="auto"/>
                  <w:vAlign w:val="center"/>
                </w:tcPr>
                <w:p w14:paraId="5822A7F3">
                  <w:pPr>
                    <w:jc w:val="center"/>
                    <w:rPr>
                      <w:rFonts w:hint="default" w:ascii="Times New Roman" w:hAnsi="Times New Roman" w:eastAsia="宋体" w:cs="Times New Roman"/>
                      <w:i w:val="0"/>
                      <w:iCs w:val="0"/>
                      <w:color w:val="000000"/>
                      <w:sz w:val="21"/>
                      <w:szCs w:val="21"/>
                      <w:highlight w:val="none"/>
                      <w:u w:val="none"/>
                    </w:rPr>
                  </w:pP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D488C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 xml:space="preserve">4.66 </w:t>
                  </w:r>
                </w:p>
              </w:tc>
              <w:tc>
                <w:tcPr>
                  <w:tcW w:w="1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6090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 xml:space="preserve">27.66 </w:t>
                  </w:r>
                </w:p>
              </w:tc>
              <w:tc>
                <w:tcPr>
                  <w:tcW w:w="10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481F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干法脱硫</w:t>
                  </w:r>
                </w:p>
              </w:tc>
              <w:tc>
                <w:tcPr>
                  <w:tcW w:w="8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BC56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50</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B5F29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2.33</w:t>
                  </w:r>
                </w:p>
              </w:tc>
              <w:tc>
                <w:tcPr>
                  <w:tcW w:w="1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DED1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color w:val="000000"/>
                      <w:kern w:val="0"/>
                      <w:sz w:val="21"/>
                      <w:szCs w:val="21"/>
                      <w:highlight w:val="none"/>
                      <w:u w:val="none"/>
                      <w:lang w:val="en-US" w:eastAsia="zh-CN" w:bidi="ar"/>
                    </w:rPr>
                    <w:t>13.83</w:t>
                  </w:r>
                </w:p>
              </w:tc>
              <w:tc>
                <w:tcPr>
                  <w:tcW w:w="1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FA62E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2"/>
                      <w:szCs w:val="22"/>
                      <w:highlight w:val="none"/>
                      <w:u w:val="none"/>
                      <w:lang w:val="en-US" w:eastAsia="zh-CN" w:bidi="ar"/>
                    </w:rPr>
                    <w:t>0.49</w:t>
                  </w:r>
                </w:p>
              </w:tc>
              <w:tc>
                <w:tcPr>
                  <w:tcW w:w="1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1FAAD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35</w:t>
                  </w:r>
                </w:p>
              </w:tc>
              <w:tc>
                <w:tcPr>
                  <w:tcW w:w="3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C540F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r>
            <w:tr w14:paraId="3734D7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0" w:hRule="atLeast"/>
              </w:trPr>
              <w:tc>
                <w:tcPr>
                  <w:tcW w:w="26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78B34C">
                  <w:pPr>
                    <w:jc w:val="center"/>
                    <w:rPr>
                      <w:rFonts w:hint="default" w:ascii="Times New Roman" w:hAnsi="Times New Roman" w:eastAsia="宋体" w:cs="Times New Roman"/>
                      <w:i w:val="0"/>
                      <w:iCs w:val="0"/>
                      <w:color w:val="000000"/>
                      <w:sz w:val="21"/>
                      <w:szCs w:val="21"/>
                      <w:highlight w:val="none"/>
                      <w:u w:val="none"/>
                    </w:rPr>
                  </w:pPr>
                </w:p>
              </w:tc>
              <w:tc>
                <w:tcPr>
                  <w:tcW w:w="2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314900">
                  <w:pPr>
                    <w:jc w:val="center"/>
                    <w:rPr>
                      <w:rFonts w:hint="default" w:ascii="Times New Roman" w:hAnsi="Times New Roman" w:eastAsia="宋体" w:cs="Times New Roman"/>
                      <w:i w:val="0"/>
                      <w:iCs w:val="0"/>
                      <w:color w:val="000000"/>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67F6C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NO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X</w:t>
                  </w:r>
                </w:p>
              </w:tc>
              <w:tc>
                <w:tcPr>
                  <w:tcW w:w="337" w:type="pct"/>
                  <w:vMerge w:val="continue"/>
                  <w:tcBorders>
                    <w:left w:val="single" w:color="000000" w:sz="4" w:space="0"/>
                    <w:right w:val="single" w:color="000000" w:sz="4" w:space="0"/>
                  </w:tcBorders>
                  <w:shd w:val="clear" w:color="auto" w:fill="auto"/>
                  <w:vAlign w:val="center"/>
                </w:tcPr>
                <w:p w14:paraId="6DB7139D">
                  <w:pPr>
                    <w:jc w:val="center"/>
                    <w:rPr>
                      <w:rFonts w:hint="default" w:ascii="Times New Roman" w:hAnsi="Times New Roman" w:eastAsia="宋体" w:cs="Times New Roman"/>
                      <w:i w:val="0"/>
                      <w:iCs w:val="0"/>
                      <w:color w:val="000000"/>
                      <w:sz w:val="21"/>
                      <w:szCs w:val="21"/>
                      <w:highlight w:val="none"/>
                      <w:u w:val="none"/>
                    </w:rPr>
                  </w:pP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24A52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 xml:space="preserve">25.27 </w:t>
                  </w:r>
                </w:p>
              </w:tc>
              <w:tc>
                <w:tcPr>
                  <w:tcW w:w="1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15FD7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 xml:space="preserve">149.95 </w:t>
                  </w:r>
                </w:p>
              </w:tc>
              <w:tc>
                <w:tcPr>
                  <w:tcW w:w="10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D965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SNCR-SCR联合脱硝</w:t>
                  </w:r>
                </w:p>
              </w:tc>
              <w:tc>
                <w:tcPr>
                  <w:tcW w:w="8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5DFA2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55</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3FF5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11.37</w:t>
                  </w:r>
                </w:p>
              </w:tc>
              <w:tc>
                <w:tcPr>
                  <w:tcW w:w="1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09551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color w:val="000000"/>
                      <w:kern w:val="0"/>
                      <w:sz w:val="21"/>
                      <w:szCs w:val="21"/>
                      <w:highlight w:val="none"/>
                      <w:u w:val="none"/>
                      <w:lang w:val="en-US" w:eastAsia="zh-CN" w:bidi="ar"/>
                    </w:rPr>
                    <w:t>67.48</w:t>
                  </w:r>
                </w:p>
              </w:tc>
              <w:tc>
                <w:tcPr>
                  <w:tcW w:w="1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E7AA1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2"/>
                      <w:szCs w:val="22"/>
                      <w:highlight w:val="none"/>
                      <w:u w:val="none"/>
                      <w:lang w:val="en-US" w:eastAsia="zh-CN" w:bidi="ar"/>
                    </w:rPr>
                    <w:t>2.37</w:t>
                  </w:r>
                </w:p>
              </w:tc>
              <w:tc>
                <w:tcPr>
                  <w:tcW w:w="1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EED74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150</w:t>
                  </w:r>
                </w:p>
              </w:tc>
              <w:tc>
                <w:tcPr>
                  <w:tcW w:w="3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2F3C2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r>
            <w:tr w14:paraId="3FF6A2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26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313534">
                  <w:pPr>
                    <w:jc w:val="center"/>
                    <w:rPr>
                      <w:rFonts w:hint="default" w:ascii="Times New Roman" w:hAnsi="Times New Roman" w:eastAsia="宋体" w:cs="Times New Roman"/>
                      <w:i w:val="0"/>
                      <w:iCs w:val="0"/>
                      <w:color w:val="000000"/>
                      <w:sz w:val="21"/>
                      <w:szCs w:val="21"/>
                      <w:highlight w:val="none"/>
                      <w:u w:val="none"/>
                    </w:rPr>
                  </w:pPr>
                </w:p>
              </w:tc>
              <w:tc>
                <w:tcPr>
                  <w:tcW w:w="2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992ACD">
                  <w:pPr>
                    <w:jc w:val="center"/>
                    <w:rPr>
                      <w:rFonts w:hint="default" w:ascii="Times New Roman" w:hAnsi="Times New Roman" w:eastAsia="宋体" w:cs="Times New Roman"/>
                      <w:i w:val="0"/>
                      <w:iCs w:val="0"/>
                      <w:color w:val="000000"/>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6E1FF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CO</w:t>
                  </w:r>
                </w:p>
              </w:tc>
              <w:tc>
                <w:tcPr>
                  <w:tcW w:w="337" w:type="pct"/>
                  <w:vMerge w:val="continue"/>
                  <w:tcBorders>
                    <w:left w:val="single" w:color="000000" w:sz="4" w:space="0"/>
                    <w:right w:val="single" w:color="000000" w:sz="4" w:space="0"/>
                  </w:tcBorders>
                  <w:shd w:val="clear" w:color="auto" w:fill="auto"/>
                  <w:vAlign w:val="center"/>
                </w:tcPr>
                <w:p w14:paraId="73093522">
                  <w:pPr>
                    <w:jc w:val="center"/>
                    <w:rPr>
                      <w:rFonts w:hint="default" w:ascii="Times New Roman" w:hAnsi="Times New Roman" w:eastAsia="宋体" w:cs="Times New Roman"/>
                      <w:i w:val="0"/>
                      <w:iCs w:val="0"/>
                      <w:color w:val="000000"/>
                      <w:sz w:val="21"/>
                      <w:szCs w:val="21"/>
                      <w:highlight w:val="none"/>
                      <w:u w:val="none"/>
                    </w:rPr>
                  </w:pP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0C7D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 xml:space="preserve">155.50 </w:t>
                  </w:r>
                </w:p>
              </w:tc>
              <w:tc>
                <w:tcPr>
                  <w:tcW w:w="1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A1355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 xml:space="preserve">922.85 </w:t>
                  </w:r>
                </w:p>
              </w:tc>
              <w:tc>
                <w:tcPr>
                  <w:tcW w:w="10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BFBC1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c>
                <w:tcPr>
                  <w:tcW w:w="8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E53DD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82</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62EB6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27.99</w:t>
                  </w:r>
                </w:p>
              </w:tc>
              <w:tc>
                <w:tcPr>
                  <w:tcW w:w="1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F42A5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color w:val="000000"/>
                      <w:kern w:val="0"/>
                      <w:sz w:val="21"/>
                      <w:szCs w:val="21"/>
                      <w:highlight w:val="none"/>
                      <w:u w:val="none"/>
                      <w:lang w:val="en-US" w:eastAsia="zh-CN" w:bidi="ar"/>
                    </w:rPr>
                    <w:t>166.11</w:t>
                  </w:r>
                </w:p>
              </w:tc>
              <w:tc>
                <w:tcPr>
                  <w:tcW w:w="1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BC4AE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2"/>
                      <w:szCs w:val="22"/>
                      <w:highlight w:val="none"/>
                      <w:u w:val="none"/>
                      <w:lang w:val="en-US" w:eastAsia="zh-CN" w:bidi="ar"/>
                    </w:rPr>
                    <w:t>5.83</w:t>
                  </w:r>
                </w:p>
              </w:tc>
              <w:tc>
                <w:tcPr>
                  <w:tcW w:w="1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E2ABE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200</w:t>
                  </w:r>
                </w:p>
              </w:tc>
              <w:tc>
                <w:tcPr>
                  <w:tcW w:w="3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FCFA3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r>
            <w:tr w14:paraId="4B9D6C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26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0A3930">
                  <w:pPr>
                    <w:jc w:val="center"/>
                    <w:rPr>
                      <w:rFonts w:hint="default" w:ascii="Times New Roman" w:hAnsi="Times New Roman" w:eastAsia="宋体" w:cs="Times New Roman"/>
                      <w:i w:val="0"/>
                      <w:iCs w:val="0"/>
                      <w:color w:val="000000"/>
                      <w:sz w:val="21"/>
                      <w:szCs w:val="21"/>
                      <w:highlight w:val="none"/>
                      <w:u w:val="none"/>
                    </w:rPr>
                  </w:pPr>
                </w:p>
              </w:tc>
              <w:tc>
                <w:tcPr>
                  <w:tcW w:w="2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1FDC69">
                  <w:pPr>
                    <w:jc w:val="center"/>
                    <w:rPr>
                      <w:rFonts w:hint="default" w:ascii="Times New Roman" w:hAnsi="Times New Roman" w:eastAsia="宋体" w:cs="Times New Roman"/>
                      <w:i w:val="0"/>
                      <w:iCs w:val="0"/>
                      <w:color w:val="000000"/>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71B7F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氨</w:t>
                  </w:r>
                </w:p>
              </w:tc>
              <w:tc>
                <w:tcPr>
                  <w:tcW w:w="337" w:type="pct"/>
                  <w:vMerge w:val="continue"/>
                  <w:tcBorders>
                    <w:left w:val="single" w:color="000000" w:sz="4" w:space="0"/>
                    <w:bottom w:val="single" w:color="000000" w:sz="4" w:space="0"/>
                    <w:right w:val="single" w:color="000000" w:sz="4" w:space="0"/>
                  </w:tcBorders>
                  <w:shd w:val="clear" w:color="auto" w:fill="auto"/>
                  <w:vAlign w:val="center"/>
                </w:tcPr>
                <w:p w14:paraId="082D4872">
                  <w:pPr>
                    <w:jc w:val="center"/>
                    <w:rPr>
                      <w:rFonts w:hint="default" w:ascii="Times New Roman" w:hAnsi="Times New Roman" w:eastAsia="宋体" w:cs="Times New Roman"/>
                      <w:i w:val="0"/>
                      <w:iCs w:val="0"/>
                      <w:color w:val="000000"/>
                      <w:sz w:val="21"/>
                      <w:szCs w:val="21"/>
                      <w:highlight w:val="none"/>
                      <w:u w:val="none"/>
                    </w:rPr>
                  </w:pP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72853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 xml:space="preserve">0.36 </w:t>
                  </w:r>
                </w:p>
              </w:tc>
              <w:tc>
                <w:tcPr>
                  <w:tcW w:w="1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4A443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 xml:space="preserve">2.28 </w:t>
                  </w:r>
                </w:p>
              </w:tc>
              <w:tc>
                <w:tcPr>
                  <w:tcW w:w="10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17C1E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控制反应温度、还原剂与烟气的混合程度和NSR值</w:t>
                  </w:r>
                </w:p>
              </w:tc>
              <w:tc>
                <w:tcPr>
                  <w:tcW w:w="8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D8F1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0</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1BC1F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0.3</w:t>
                  </w:r>
                  <w:r>
                    <w:rPr>
                      <w:rFonts w:hint="eastAsia" w:ascii="Times New Roman" w:hAnsi="Times New Roman" w:eastAsia="宋体" w:cs="Times New Roman"/>
                      <w:i w:val="0"/>
                      <w:iCs w:val="0"/>
                      <w:color w:val="000000"/>
                      <w:kern w:val="0"/>
                      <w:sz w:val="21"/>
                      <w:szCs w:val="21"/>
                      <w:highlight w:val="none"/>
                      <w:u w:val="none"/>
                      <w:lang w:val="en-US" w:eastAsia="zh-CN" w:bidi="ar"/>
                    </w:rPr>
                    <w:t>8</w:t>
                  </w:r>
                </w:p>
              </w:tc>
              <w:tc>
                <w:tcPr>
                  <w:tcW w:w="1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31AE7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2.28</w:t>
                  </w:r>
                </w:p>
              </w:tc>
              <w:tc>
                <w:tcPr>
                  <w:tcW w:w="1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75CBD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2"/>
                      <w:szCs w:val="22"/>
                      <w:highlight w:val="none"/>
                      <w:u w:val="none"/>
                      <w:lang w:val="en-US" w:eastAsia="zh-CN" w:bidi="ar"/>
                    </w:rPr>
                    <w:t>0.08</w:t>
                  </w:r>
                </w:p>
              </w:tc>
              <w:tc>
                <w:tcPr>
                  <w:tcW w:w="1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E6CD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cs="Times New Roman"/>
                      <w:i w:val="0"/>
                      <w:iCs w:val="0"/>
                      <w:color w:val="000000"/>
                      <w:kern w:val="0"/>
                      <w:sz w:val="21"/>
                      <w:szCs w:val="21"/>
                      <w:highlight w:val="none"/>
                      <w:u w:val="none"/>
                      <w:lang w:val="en-US" w:eastAsia="zh-CN" w:bidi="ar"/>
                    </w:rPr>
                    <w:t>/</w:t>
                  </w:r>
                </w:p>
              </w:tc>
              <w:tc>
                <w:tcPr>
                  <w:tcW w:w="3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5EE780">
                  <w:pPr>
                    <w:jc w:val="center"/>
                    <w:rPr>
                      <w:rFonts w:hint="default" w:ascii="Times New Roman" w:hAnsi="Times New Roman" w:eastAsia="宋体" w:cs="Times New Roman"/>
                      <w:i w:val="0"/>
                      <w:iCs w:val="0"/>
                      <w:color w:val="000000"/>
                      <w:sz w:val="21"/>
                      <w:szCs w:val="21"/>
                      <w:highlight w:val="none"/>
                      <w:u w:val="none"/>
                    </w:rPr>
                  </w:pPr>
                </w:p>
              </w:tc>
            </w:tr>
            <w:tr w14:paraId="71905E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2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019D8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无组织排放</w:t>
                  </w:r>
                </w:p>
              </w:tc>
              <w:tc>
                <w:tcPr>
                  <w:tcW w:w="2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FE620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清灰</w:t>
                  </w: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47C05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颗粒物</w:t>
                  </w: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3006E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c>
                <w:tcPr>
                  <w:tcW w:w="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F3697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color w:val="000000"/>
                      <w:kern w:val="0"/>
                      <w:sz w:val="21"/>
                      <w:szCs w:val="21"/>
                      <w:highlight w:val="none"/>
                      <w:u w:val="none"/>
                      <w:lang w:val="en-US" w:eastAsia="zh-CN" w:bidi="ar"/>
                    </w:rPr>
                    <w:t>0.10</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5EECC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c>
                <w:tcPr>
                  <w:tcW w:w="1064" w:type="pct"/>
                  <w:tcBorders>
                    <w:top w:val="single" w:color="000000" w:sz="4" w:space="0"/>
                    <w:left w:val="single" w:color="000000" w:sz="4" w:space="0"/>
                    <w:right w:val="single" w:color="000000" w:sz="4" w:space="0"/>
                  </w:tcBorders>
                  <w:shd w:val="clear" w:color="auto" w:fill="auto"/>
                  <w:vAlign w:val="center"/>
                </w:tcPr>
                <w:p w14:paraId="34DFDC2B">
                  <w:pPr>
                    <w:jc w:val="center"/>
                    <w:rPr>
                      <w:rFonts w:hint="eastAsia" w:ascii="Times New Roman" w:hAnsi="Times New Roman" w:eastAsia="宋体"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w:t>
                  </w:r>
                </w:p>
              </w:tc>
              <w:tc>
                <w:tcPr>
                  <w:tcW w:w="2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D45DD0">
                  <w:pPr>
                    <w:jc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w:t>
                  </w:r>
                </w:p>
              </w:tc>
              <w:tc>
                <w:tcPr>
                  <w:tcW w:w="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638E7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color w:val="000000"/>
                      <w:kern w:val="0"/>
                      <w:sz w:val="21"/>
                      <w:szCs w:val="21"/>
                      <w:highlight w:val="none"/>
                      <w:u w:val="none"/>
                      <w:lang w:val="en-US" w:eastAsia="zh-CN" w:bidi="ar"/>
                    </w:rPr>
                    <w:t>0.10</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76BDA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7C87B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default" w:ascii="Times New Roman" w:hAnsi="Times New Roman" w:eastAsia="宋体" w:cs="Times New Roman"/>
                      <w:i w:val="0"/>
                      <w:iCs w:val="0"/>
                      <w:color w:val="000000"/>
                      <w:kern w:val="0"/>
                      <w:sz w:val="21"/>
                      <w:szCs w:val="21"/>
                      <w:highlight w:val="none"/>
                      <w:u w:val="none"/>
                      <w:lang w:val="en-US" w:eastAsia="zh-CN" w:bidi="ar"/>
                    </w:rPr>
                    <w:t>0.0</w:t>
                  </w:r>
                  <w:r>
                    <w:rPr>
                      <w:rFonts w:hint="eastAsia" w:cs="Times New Roman"/>
                      <w:i w:val="0"/>
                      <w:iCs w:val="0"/>
                      <w:color w:val="000000"/>
                      <w:kern w:val="0"/>
                      <w:sz w:val="21"/>
                      <w:szCs w:val="21"/>
                      <w:highlight w:val="none"/>
                      <w:u w:val="none"/>
                      <w:lang w:val="en-US" w:eastAsia="zh-CN" w:bidi="ar"/>
                    </w:rPr>
                    <w:t>2</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81281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DA8EF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r>
            <w:tr w14:paraId="4F6FA5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532" w:type="pct"/>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B23A72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合计</w:t>
                  </w: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EDBC4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颗粒物</w:t>
                  </w: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14988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BD608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lang w:val="en-US"/>
                    </w:rPr>
                  </w:pPr>
                  <w:r>
                    <w:rPr>
                      <w:rFonts w:hint="eastAsia" w:cs="Times New Roman"/>
                      <w:i w:val="0"/>
                      <w:iCs w:val="0"/>
                      <w:color w:val="000000"/>
                      <w:kern w:val="0"/>
                      <w:sz w:val="21"/>
                      <w:szCs w:val="21"/>
                      <w:highlight w:val="none"/>
                      <w:u w:val="none"/>
                      <w:lang w:val="en-US" w:eastAsia="zh-CN" w:bidi="ar"/>
                    </w:rPr>
                    <w:t>410.63</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1B1B9C">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10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BCEAB7">
                  <w:pPr>
                    <w:jc w:val="center"/>
                    <w:rPr>
                      <w:rFonts w:hint="eastAsia" w:ascii="Times New Roman" w:hAnsi="Times New Roman" w:eastAsia="宋体" w:cs="Times New Roman"/>
                      <w:b/>
                      <w:bCs/>
                      <w:i w:val="0"/>
                      <w:iCs w:val="0"/>
                      <w:color w:val="auto"/>
                      <w:sz w:val="21"/>
                      <w:szCs w:val="21"/>
                      <w:highlight w:val="none"/>
                      <w:u w:val="none"/>
                      <w:lang w:val="en-US" w:eastAsia="zh-CN"/>
                    </w:rPr>
                  </w:pPr>
                  <w:r>
                    <w:rPr>
                      <w:rFonts w:hint="eastAsia" w:ascii="Times New Roman" w:hAnsi="Times New Roman" w:eastAsia="宋体" w:cs="Times New Roman"/>
                      <w:b/>
                      <w:bCs/>
                      <w:i w:val="0"/>
                      <w:iCs w:val="0"/>
                      <w:color w:val="auto"/>
                      <w:sz w:val="21"/>
                      <w:szCs w:val="21"/>
                      <w:highlight w:val="none"/>
                      <w:u w:val="none"/>
                      <w:lang w:val="en-US" w:eastAsia="zh-CN"/>
                    </w:rPr>
                    <w:t>/</w:t>
                  </w:r>
                </w:p>
              </w:tc>
              <w:tc>
                <w:tcPr>
                  <w:tcW w:w="2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BA91CC">
                  <w:pPr>
                    <w:jc w:val="center"/>
                    <w:rPr>
                      <w:rFonts w:hint="default" w:ascii="Times New Roman" w:hAnsi="Times New Roman" w:eastAsia="宋体" w:cs="Times New Roman"/>
                      <w:b/>
                      <w:bCs/>
                      <w:i w:val="0"/>
                      <w:iCs w:val="0"/>
                      <w:color w:val="auto"/>
                      <w:sz w:val="21"/>
                      <w:szCs w:val="21"/>
                      <w:highlight w:val="none"/>
                      <w:u w:val="none"/>
                    </w:rPr>
                  </w:pP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00D07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2.15</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14958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0127C3">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F18DD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3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F4A77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r>
            <w:tr w14:paraId="4391D6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532"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DA164E">
                  <w:pPr>
                    <w:jc w:val="center"/>
                    <w:rPr>
                      <w:rFonts w:hint="default" w:ascii="Times New Roman" w:hAnsi="Times New Roman" w:eastAsia="宋体" w:cs="Times New Roman"/>
                      <w:b/>
                      <w:bCs/>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6517E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SO</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2</w:t>
                  </w: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CBE44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12AD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 xml:space="preserve">4.66 </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83A57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10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E648F5">
                  <w:pPr>
                    <w:jc w:val="center"/>
                    <w:rPr>
                      <w:rFonts w:hint="eastAsia" w:ascii="Times New Roman" w:hAnsi="Times New Roman" w:eastAsia="宋体" w:cs="Times New Roman"/>
                      <w:b/>
                      <w:bCs/>
                      <w:i w:val="0"/>
                      <w:iCs w:val="0"/>
                      <w:color w:val="auto"/>
                      <w:sz w:val="21"/>
                      <w:szCs w:val="21"/>
                      <w:highlight w:val="none"/>
                      <w:u w:val="none"/>
                      <w:lang w:val="en-US" w:eastAsia="zh-CN"/>
                    </w:rPr>
                  </w:pPr>
                  <w:r>
                    <w:rPr>
                      <w:rFonts w:hint="eastAsia" w:ascii="Times New Roman" w:hAnsi="Times New Roman" w:eastAsia="宋体" w:cs="Times New Roman"/>
                      <w:b/>
                      <w:bCs/>
                      <w:i w:val="0"/>
                      <w:iCs w:val="0"/>
                      <w:color w:val="auto"/>
                      <w:sz w:val="21"/>
                      <w:szCs w:val="21"/>
                      <w:highlight w:val="none"/>
                      <w:u w:val="none"/>
                      <w:lang w:val="en-US" w:eastAsia="zh-CN"/>
                    </w:rPr>
                    <w:t>/</w:t>
                  </w:r>
                </w:p>
              </w:tc>
              <w:tc>
                <w:tcPr>
                  <w:tcW w:w="2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754034">
                  <w:pPr>
                    <w:jc w:val="center"/>
                    <w:rPr>
                      <w:rFonts w:hint="eastAsia" w:ascii="Times New Roman" w:hAnsi="Times New Roman" w:eastAsia="宋体" w:cs="Times New Roman"/>
                      <w:b/>
                      <w:bCs/>
                      <w:i w:val="0"/>
                      <w:iCs w:val="0"/>
                      <w:color w:val="auto"/>
                      <w:sz w:val="21"/>
                      <w:szCs w:val="21"/>
                      <w:highlight w:val="none"/>
                      <w:u w:val="none"/>
                      <w:lang w:val="en-US" w:eastAsia="zh-CN"/>
                    </w:rPr>
                  </w:pPr>
                  <w:r>
                    <w:rPr>
                      <w:rFonts w:hint="eastAsia" w:ascii="Times New Roman" w:hAnsi="Times New Roman" w:eastAsia="宋体" w:cs="Times New Roman"/>
                      <w:b/>
                      <w:bCs/>
                      <w:i w:val="0"/>
                      <w:iCs w:val="0"/>
                      <w:color w:val="auto"/>
                      <w:sz w:val="21"/>
                      <w:szCs w:val="21"/>
                      <w:highlight w:val="none"/>
                      <w:u w:val="none"/>
                      <w:lang w:val="en-US" w:eastAsia="zh-CN"/>
                    </w:rPr>
                    <w:t>/</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75B4F3">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2.33</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48B50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A92D0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197DB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3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F3A36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r>
            <w:tr w14:paraId="1E6109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532"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B4659D">
                  <w:pPr>
                    <w:jc w:val="center"/>
                    <w:rPr>
                      <w:rFonts w:hint="default" w:ascii="Times New Roman" w:hAnsi="Times New Roman" w:eastAsia="宋体" w:cs="Times New Roman"/>
                      <w:b/>
                      <w:bCs/>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00EDE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NO</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X</w:t>
                  </w: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BB5C2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5D957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 xml:space="preserve">25.27 </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4F117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10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B7D136">
                  <w:pPr>
                    <w:jc w:val="center"/>
                    <w:rPr>
                      <w:rFonts w:hint="eastAsia" w:ascii="Times New Roman" w:hAnsi="Times New Roman" w:eastAsia="宋体" w:cs="Times New Roman"/>
                      <w:b/>
                      <w:bCs/>
                      <w:i w:val="0"/>
                      <w:iCs w:val="0"/>
                      <w:color w:val="auto"/>
                      <w:sz w:val="21"/>
                      <w:szCs w:val="21"/>
                      <w:highlight w:val="none"/>
                      <w:u w:val="none"/>
                      <w:lang w:val="en-US" w:eastAsia="zh-CN"/>
                    </w:rPr>
                  </w:pPr>
                  <w:r>
                    <w:rPr>
                      <w:rFonts w:hint="eastAsia" w:ascii="Times New Roman" w:hAnsi="Times New Roman" w:eastAsia="宋体" w:cs="Times New Roman"/>
                      <w:b/>
                      <w:bCs/>
                      <w:i w:val="0"/>
                      <w:iCs w:val="0"/>
                      <w:color w:val="auto"/>
                      <w:sz w:val="21"/>
                      <w:szCs w:val="21"/>
                      <w:highlight w:val="none"/>
                      <w:u w:val="none"/>
                      <w:lang w:val="en-US" w:eastAsia="zh-CN"/>
                    </w:rPr>
                    <w:t>/</w:t>
                  </w:r>
                </w:p>
              </w:tc>
              <w:tc>
                <w:tcPr>
                  <w:tcW w:w="2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C9C92E">
                  <w:pPr>
                    <w:jc w:val="center"/>
                    <w:rPr>
                      <w:rFonts w:hint="eastAsia" w:ascii="Times New Roman" w:hAnsi="Times New Roman" w:eastAsia="宋体" w:cs="Times New Roman"/>
                      <w:b/>
                      <w:bCs/>
                      <w:i w:val="0"/>
                      <w:iCs w:val="0"/>
                      <w:color w:val="auto"/>
                      <w:sz w:val="21"/>
                      <w:szCs w:val="21"/>
                      <w:highlight w:val="none"/>
                      <w:u w:val="none"/>
                      <w:lang w:val="en-US" w:eastAsia="zh-CN"/>
                    </w:rPr>
                  </w:pPr>
                  <w:r>
                    <w:rPr>
                      <w:rFonts w:hint="eastAsia" w:ascii="Times New Roman" w:hAnsi="Times New Roman" w:eastAsia="宋体" w:cs="Times New Roman"/>
                      <w:b/>
                      <w:bCs/>
                      <w:i w:val="0"/>
                      <w:iCs w:val="0"/>
                      <w:color w:val="auto"/>
                      <w:sz w:val="21"/>
                      <w:szCs w:val="21"/>
                      <w:highlight w:val="none"/>
                      <w:u w:val="none"/>
                      <w:lang w:val="en-US" w:eastAsia="zh-CN"/>
                    </w:rPr>
                    <w:t>/</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45A1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11.37</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2D7956">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8A3D4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292A8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3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B6F8E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r>
            <w:tr w14:paraId="1B9CDE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532"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7AD873">
                  <w:pPr>
                    <w:jc w:val="center"/>
                    <w:rPr>
                      <w:rFonts w:hint="default" w:ascii="Times New Roman" w:hAnsi="Times New Roman" w:eastAsia="宋体" w:cs="Times New Roman"/>
                      <w:b/>
                      <w:bCs/>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6E12F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CO</w:t>
                  </w: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60657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62EF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 xml:space="preserve">155.50 </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6D8C3D">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10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F23686">
                  <w:pPr>
                    <w:jc w:val="center"/>
                    <w:rPr>
                      <w:rFonts w:hint="default" w:ascii="Times New Roman" w:hAnsi="Times New Roman" w:eastAsia="宋体" w:cs="Times New Roman"/>
                      <w:b/>
                      <w:bCs/>
                      <w:i w:val="0"/>
                      <w:iCs w:val="0"/>
                      <w:color w:val="auto"/>
                      <w:sz w:val="21"/>
                      <w:szCs w:val="21"/>
                      <w:highlight w:val="none"/>
                      <w:u w:val="none"/>
                    </w:rPr>
                  </w:pPr>
                </w:p>
              </w:tc>
              <w:tc>
                <w:tcPr>
                  <w:tcW w:w="2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A59C72">
                  <w:pPr>
                    <w:jc w:val="center"/>
                    <w:rPr>
                      <w:rFonts w:hint="eastAsia" w:ascii="Times New Roman" w:hAnsi="Times New Roman" w:eastAsia="宋体" w:cs="Times New Roman"/>
                      <w:b/>
                      <w:bCs/>
                      <w:i w:val="0"/>
                      <w:iCs w:val="0"/>
                      <w:color w:val="auto"/>
                      <w:sz w:val="21"/>
                      <w:szCs w:val="21"/>
                      <w:highlight w:val="none"/>
                      <w:u w:val="none"/>
                      <w:lang w:val="en-US" w:eastAsia="zh-CN"/>
                    </w:rPr>
                  </w:pPr>
                  <w:r>
                    <w:rPr>
                      <w:rFonts w:hint="eastAsia" w:ascii="Times New Roman" w:hAnsi="Times New Roman" w:eastAsia="宋体" w:cs="Times New Roman"/>
                      <w:b/>
                      <w:bCs/>
                      <w:i w:val="0"/>
                      <w:iCs w:val="0"/>
                      <w:color w:val="auto"/>
                      <w:sz w:val="21"/>
                      <w:szCs w:val="21"/>
                      <w:highlight w:val="none"/>
                      <w:u w:val="none"/>
                      <w:lang w:val="en-US" w:eastAsia="zh-CN"/>
                    </w:rPr>
                    <w:t>/</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20986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27.99</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4A35B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7BF69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C94A6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3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EA5D8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r>
            <w:tr w14:paraId="40B90D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5" w:hRule="atLeast"/>
              </w:trPr>
              <w:tc>
                <w:tcPr>
                  <w:tcW w:w="532"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2B65EE">
                  <w:pPr>
                    <w:jc w:val="center"/>
                    <w:rPr>
                      <w:rFonts w:hint="default" w:ascii="Times New Roman" w:hAnsi="Times New Roman" w:eastAsia="宋体" w:cs="Times New Roman"/>
                      <w:b/>
                      <w:bCs/>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34286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氨</w:t>
                  </w: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09EDEA">
                  <w:pPr>
                    <w:jc w:val="center"/>
                    <w:rPr>
                      <w:rFonts w:hint="default" w:ascii="Times New Roman" w:hAnsi="Times New Roman" w:eastAsia="宋体" w:cs="Times New Roman"/>
                      <w:b/>
                      <w:bCs/>
                      <w:i w:val="0"/>
                      <w:iCs w:val="0"/>
                      <w:color w:val="auto"/>
                      <w:sz w:val="21"/>
                      <w:szCs w:val="21"/>
                      <w:highlight w:val="none"/>
                      <w:u w:val="none"/>
                    </w:rPr>
                  </w:pP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49AD7D">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 xml:space="preserve">0.36 </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72FBC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10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DDA90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lang w:val="en-US"/>
                    </w:rPr>
                  </w:pPr>
                  <w:r>
                    <w:rPr>
                      <w:rFonts w:hint="eastAsia" w:ascii="Times New Roman" w:hAnsi="Times New Roman" w:eastAsia="宋体" w:cs="Times New Roman"/>
                      <w:b/>
                      <w:bCs/>
                      <w:i w:val="0"/>
                      <w:iCs w:val="0"/>
                      <w:color w:val="auto"/>
                      <w:kern w:val="0"/>
                      <w:sz w:val="21"/>
                      <w:szCs w:val="21"/>
                      <w:highlight w:val="none"/>
                      <w:u w:val="none"/>
                      <w:lang w:val="en-US" w:eastAsia="zh-CN" w:bidi="ar"/>
                    </w:rPr>
                    <w:t>/</w:t>
                  </w:r>
                </w:p>
              </w:tc>
              <w:tc>
                <w:tcPr>
                  <w:tcW w:w="2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84ACBF">
                  <w:pPr>
                    <w:keepNext w:val="0"/>
                    <w:keepLines w:val="0"/>
                    <w:widowControl/>
                    <w:suppressLineNumbers w:val="0"/>
                    <w:jc w:val="center"/>
                    <w:textAlignment w:val="center"/>
                    <w:rPr>
                      <w:rFonts w:hint="eastAsia" w:ascii="Times New Roman" w:hAnsi="Times New Roman" w:eastAsia="宋体" w:cs="Times New Roman"/>
                      <w:b/>
                      <w:bCs/>
                      <w:i w:val="0"/>
                      <w:iCs w:val="0"/>
                      <w:color w:val="auto"/>
                      <w:sz w:val="21"/>
                      <w:szCs w:val="21"/>
                      <w:highlight w:val="none"/>
                      <w:u w:val="none"/>
                      <w:lang w:val="en-US" w:eastAsia="zh-CN"/>
                    </w:rPr>
                  </w:pPr>
                  <w:r>
                    <w:rPr>
                      <w:rFonts w:hint="eastAsia" w:ascii="Times New Roman" w:hAnsi="Times New Roman" w:eastAsia="宋体" w:cs="Times New Roman"/>
                      <w:b/>
                      <w:bCs/>
                      <w:i w:val="0"/>
                      <w:iCs w:val="0"/>
                      <w:color w:val="auto"/>
                      <w:sz w:val="21"/>
                      <w:szCs w:val="21"/>
                      <w:highlight w:val="none"/>
                      <w:u w:val="none"/>
                      <w:lang w:val="en-US" w:eastAsia="zh-CN"/>
                    </w:rPr>
                    <w:t>/</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10F69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0.3</w:t>
                  </w:r>
                  <w:r>
                    <w:rPr>
                      <w:rFonts w:hint="eastAsia" w:ascii="Times New Roman" w:hAnsi="Times New Roman" w:eastAsia="宋体" w:cs="Times New Roman"/>
                      <w:i w:val="0"/>
                      <w:iCs w:val="0"/>
                      <w:color w:val="000000"/>
                      <w:kern w:val="0"/>
                      <w:sz w:val="21"/>
                      <w:szCs w:val="21"/>
                      <w:highlight w:val="none"/>
                      <w:u w:val="none"/>
                      <w:lang w:val="en-US" w:eastAsia="zh-CN" w:bidi="ar"/>
                    </w:rPr>
                    <w:t>8</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39AE5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69534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0AACE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3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7F553">
                  <w:pPr>
                    <w:jc w:val="center"/>
                    <w:rPr>
                      <w:rFonts w:hint="eastAsia" w:ascii="Times New Roman" w:hAnsi="Times New Roman" w:eastAsia="宋体" w:cs="Times New Roman"/>
                      <w:b/>
                      <w:bCs/>
                      <w:i w:val="0"/>
                      <w:iCs w:val="0"/>
                      <w:color w:val="auto"/>
                      <w:sz w:val="21"/>
                      <w:szCs w:val="21"/>
                      <w:highlight w:val="none"/>
                      <w:u w:val="none"/>
                      <w:lang w:val="en-US" w:eastAsia="zh-CN"/>
                    </w:rPr>
                  </w:pPr>
                  <w:r>
                    <w:rPr>
                      <w:rFonts w:hint="eastAsia" w:ascii="Times New Roman" w:hAnsi="Times New Roman" w:eastAsia="宋体" w:cs="Times New Roman"/>
                      <w:b/>
                      <w:bCs/>
                      <w:i w:val="0"/>
                      <w:iCs w:val="0"/>
                      <w:color w:val="auto"/>
                      <w:sz w:val="21"/>
                      <w:szCs w:val="21"/>
                      <w:highlight w:val="none"/>
                      <w:u w:val="none"/>
                      <w:lang w:val="en-US" w:eastAsia="zh-CN"/>
                    </w:rPr>
                    <w:t>/</w:t>
                  </w:r>
                </w:p>
              </w:tc>
            </w:tr>
          </w:tbl>
          <w:p w14:paraId="746DBECA">
            <w:pPr>
              <w:rPr>
                <w:rFonts w:hint="default"/>
                <w:highlight w:val="none"/>
                <w:lang w:val="en-US" w:eastAsia="zh-CN"/>
              </w:rPr>
            </w:pPr>
          </w:p>
          <w:p w14:paraId="0D817BAD">
            <w:pPr>
              <w:rPr>
                <w:rFonts w:hint="default"/>
                <w:highlight w:val="none"/>
                <w:lang w:val="en-US" w:eastAsia="zh-CN"/>
              </w:rPr>
            </w:pPr>
          </w:p>
          <w:p w14:paraId="5778CA2F">
            <w:pPr>
              <w:adjustRightInd w:val="0"/>
              <w:snapToGrid w:val="0"/>
              <w:spacing w:before="120" w:beforeLines="50" w:line="360" w:lineRule="auto"/>
              <w:ind w:firstLine="482" w:firstLineChars="200"/>
              <w:jc w:val="center"/>
              <w:rPr>
                <w:b/>
                <w:color w:val="auto"/>
                <w:sz w:val="24"/>
                <w:szCs w:val="21"/>
                <w:highlight w:val="none"/>
              </w:rPr>
            </w:pPr>
            <w:r>
              <w:rPr>
                <w:rFonts w:hint="eastAsia"/>
                <w:b/>
                <w:color w:val="auto"/>
                <w:sz w:val="24"/>
                <w:szCs w:val="21"/>
                <w:highlight w:val="none"/>
              </w:rPr>
              <w:t>表</w:t>
            </w:r>
            <w:r>
              <w:rPr>
                <w:rFonts w:hint="eastAsia"/>
                <w:b/>
                <w:color w:val="auto"/>
                <w:sz w:val="24"/>
                <w:szCs w:val="21"/>
                <w:highlight w:val="none"/>
                <w:lang w:val="en-US" w:eastAsia="zh-CN"/>
              </w:rPr>
              <w:t>4-4</w:t>
            </w:r>
            <w:r>
              <w:rPr>
                <w:rFonts w:hint="eastAsia"/>
                <w:b/>
                <w:color w:val="auto"/>
                <w:sz w:val="24"/>
                <w:szCs w:val="21"/>
                <w:highlight w:val="none"/>
              </w:rPr>
              <w:t>大气排放口基本情况</w:t>
            </w:r>
          </w:p>
          <w:tbl>
            <w:tblPr>
              <w:tblStyle w:val="3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4"/>
              <w:gridCol w:w="1957"/>
              <w:gridCol w:w="1957"/>
              <w:gridCol w:w="2154"/>
              <w:gridCol w:w="2160"/>
              <w:gridCol w:w="1554"/>
              <w:gridCol w:w="1652"/>
              <w:gridCol w:w="960"/>
              <w:gridCol w:w="1394"/>
            </w:tblGrid>
            <w:tr w14:paraId="5FDF2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83" w:type="pct"/>
                  <w:vMerge w:val="restart"/>
                  <w:noWrap w:val="0"/>
                  <w:vAlign w:val="center"/>
                </w:tcPr>
                <w:p w14:paraId="6D26209D">
                  <w:pPr>
                    <w:pStyle w:val="129"/>
                    <w:adjustRightInd w:val="0"/>
                    <w:snapToGrid w:val="0"/>
                    <w:jc w:val="center"/>
                    <w:rPr>
                      <w:rFonts w:ascii="Times New Roman" w:hAnsi="Times New Roman" w:eastAsia="宋体"/>
                      <w:b/>
                      <w:bCs/>
                      <w:color w:val="auto"/>
                      <w:highlight w:val="none"/>
                    </w:rPr>
                  </w:pPr>
                  <w:r>
                    <w:rPr>
                      <w:rFonts w:ascii="Times New Roman" w:hAnsi="Times New Roman" w:eastAsia="宋体"/>
                      <w:b/>
                      <w:bCs/>
                      <w:color w:val="auto"/>
                      <w:highlight w:val="none"/>
                    </w:rPr>
                    <w:t>序号</w:t>
                  </w:r>
                </w:p>
              </w:tc>
              <w:tc>
                <w:tcPr>
                  <w:tcW w:w="655" w:type="pct"/>
                  <w:vMerge w:val="restart"/>
                  <w:noWrap w:val="0"/>
                  <w:vAlign w:val="center"/>
                </w:tcPr>
                <w:p w14:paraId="4E5BCC77">
                  <w:pPr>
                    <w:pStyle w:val="129"/>
                    <w:adjustRightInd w:val="0"/>
                    <w:snapToGrid w:val="0"/>
                    <w:jc w:val="center"/>
                    <w:rPr>
                      <w:rFonts w:ascii="Times New Roman" w:hAnsi="Times New Roman" w:eastAsia="宋体"/>
                      <w:b/>
                      <w:bCs/>
                      <w:color w:val="auto"/>
                      <w:highlight w:val="none"/>
                    </w:rPr>
                  </w:pPr>
                  <w:r>
                    <w:rPr>
                      <w:rFonts w:ascii="Times New Roman" w:hAnsi="Times New Roman" w:eastAsia="宋体"/>
                      <w:b/>
                      <w:bCs/>
                      <w:color w:val="auto"/>
                      <w:highlight w:val="none"/>
                    </w:rPr>
                    <w:t>排放口编号</w:t>
                  </w:r>
                </w:p>
              </w:tc>
              <w:tc>
                <w:tcPr>
                  <w:tcW w:w="655" w:type="pct"/>
                  <w:vMerge w:val="restart"/>
                  <w:noWrap w:val="0"/>
                  <w:vAlign w:val="center"/>
                </w:tcPr>
                <w:p w14:paraId="4B6CEE31">
                  <w:pPr>
                    <w:pStyle w:val="129"/>
                    <w:adjustRightInd w:val="0"/>
                    <w:snapToGrid w:val="0"/>
                    <w:jc w:val="center"/>
                    <w:rPr>
                      <w:rFonts w:ascii="Times New Roman" w:hAnsi="Times New Roman" w:eastAsia="宋体"/>
                      <w:b/>
                      <w:bCs/>
                      <w:color w:val="auto"/>
                      <w:highlight w:val="none"/>
                    </w:rPr>
                  </w:pPr>
                  <w:r>
                    <w:rPr>
                      <w:rFonts w:ascii="Times New Roman" w:hAnsi="Times New Roman" w:eastAsia="宋体"/>
                      <w:b/>
                      <w:bCs/>
                      <w:color w:val="auto"/>
                      <w:highlight w:val="none"/>
                    </w:rPr>
                    <w:t>排放口名称</w:t>
                  </w:r>
                </w:p>
              </w:tc>
              <w:tc>
                <w:tcPr>
                  <w:tcW w:w="1444" w:type="pct"/>
                  <w:gridSpan w:val="2"/>
                  <w:noWrap w:val="0"/>
                  <w:vAlign w:val="center"/>
                </w:tcPr>
                <w:p w14:paraId="3A25397A">
                  <w:pPr>
                    <w:pStyle w:val="129"/>
                    <w:adjustRightInd w:val="0"/>
                    <w:snapToGrid w:val="0"/>
                    <w:jc w:val="center"/>
                    <w:rPr>
                      <w:rFonts w:ascii="Times New Roman" w:hAnsi="Times New Roman" w:eastAsia="宋体"/>
                      <w:b/>
                      <w:bCs/>
                      <w:color w:val="auto"/>
                      <w:highlight w:val="none"/>
                    </w:rPr>
                  </w:pPr>
                  <w:r>
                    <w:rPr>
                      <w:rFonts w:ascii="Times New Roman" w:hAnsi="Times New Roman" w:eastAsia="宋体"/>
                      <w:b/>
                      <w:bCs/>
                      <w:color w:val="auto"/>
                      <w:highlight w:val="none"/>
                    </w:rPr>
                    <w:t>排放口地理坐标</w:t>
                  </w:r>
                </w:p>
              </w:tc>
              <w:tc>
                <w:tcPr>
                  <w:tcW w:w="520" w:type="pct"/>
                  <w:vMerge w:val="restart"/>
                  <w:noWrap w:val="0"/>
                  <w:vAlign w:val="center"/>
                </w:tcPr>
                <w:p w14:paraId="72040D36">
                  <w:pPr>
                    <w:pStyle w:val="129"/>
                    <w:adjustRightInd w:val="0"/>
                    <w:snapToGrid w:val="0"/>
                    <w:jc w:val="center"/>
                    <w:rPr>
                      <w:rFonts w:ascii="Times New Roman" w:hAnsi="Times New Roman" w:eastAsia="宋体"/>
                      <w:b/>
                      <w:bCs/>
                      <w:color w:val="auto"/>
                      <w:highlight w:val="none"/>
                    </w:rPr>
                  </w:pPr>
                  <w:r>
                    <w:rPr>
                      <w:rFonts w:ascii="Times New Roman" w:hAnsi="Times New Roman" w:eastAsia="宋体"/>
                      <w:b/>
                      <w:bCs/>
                      <w:color w:val="auto"/>
                      <w:highlight w:val="none"/>
                    </w:rPr>
                    <w:t>排气筒高度（m）</w:t>
                  </w:r>
                </w:p>
              </w:tc>
              <w:tc>
                <w:tcPr>
                  <w:tcW w:w="553" w:type="pct"/>
                  <w:vMerge w:val="restart"/>
                  <w:noWrap w:val="0"/>
                  <w:vAlign w:val="center"/>
                </w:tcPr>
                <w:p w14:paraId="27FF3102">
                  <w:pPr>
                    <w:pStyle w:val="129"/>
                    <w:adjustRightInd w:val="0"/>
                    <w:snapToGrid w:val="0"/>
                    <w:jc w:val="center"/>
                    <w:rPr>
                      <w:rFonts w:ascii="Times New Roman" w:hAnsi="Times New Roman" w:eastAsia="宋体"/>
                      <w:b/>
                      <w:bCs/>
                      <w:color w:val="auto"/>
                      <w:highlight w:val="none"/>
                    </w:rPr>
                  </w:pPr>
                  <w:r>
                    <w:rPr>
                      <w:rFonts w:ascii="Times New Roman" w:hAnsi="Times New Roman" w:eastAsia="宋体"/>
                      <w:b/>
                      <w:bCs/>
                      <w:color w:val="auto"/>
                      <w:highlight w:val="none"/>
                    </w:rPr>
                    <w:t>排气筒出口内径（m）</w:t>
                  </w:r>
                </w:p>
              </w:tc>
              <w:tc>
                <w:tcPr>
                  <w:tcW w:w="321" w:type="pct"/>
                  <w:vMerge w:val="restart"/>
                  <w:noWrap w:val="0"/>
                  <w:vAlign w:val="center"/>
                </w:tcPr>
                <w:p w14:paraId="09854212">
                  <w:pPr>
                    <w:pStyle w:val="129"/>
                    <w:adjustRightInd w:val="0"/>
                    <w:snapToGrid w:val="0"/>
                    <w:jc w:val="center"/>
                    <w:rPr>
                      <w:rFonts w:ascii="Times New Roman" w:hAnsi="Times New Roman" w:eastAsia="宋体"/>
                      <w:b/>
                      <w:bCs/>
                      <w:color w:val="auto"/>
                      <w:highlight w:val="none"/>
                    </w:rPr>
                  </w:pPr>
                  <w:r>
                    <w:rPr>
                      <w:rFonts w:ascii="Times New Roman" w:hAnsi="Times New Roman" w:eastAsia="宋体"/>
                      <w:b/>
                      <w:bCs/>
                      <w:color w:val="auto"/>
                      <w:highlight w:val="none"/>
                    </w:rPr>
                    <w:t>排气温度（</w:t>
                  </w:r>
                  <w:r>
                    <w:rPr>
                      <w:rFonts w:hint="eastAsia" w:ascii="宋体" w:hAnsi="宋体" w:cs="宋体"/>
                      <w:b/>
                      <w:bCs/>
                      <w:color w:val="auto"/>
                      <w:highlight w:val="none"/>
                    </w:rPr>
                    <w:t>℃</w:t>
                  </w:r>
                  <w:r>
                    <w:rPr>
                      <w:rFonts w:ascii="Times New Roman" w:hAnsi="Times New Roman" w:eastAsia="宋体"/>
                      <w:b/>
                      <w:bCs/>
                      <w:color w:val="auto"/>
                      <w:highlight w:val="none"/>
                    </w:rPr>
                    <w:t>）</w:t>
                  </w:r>
                </w:p>
              </w:tc>
              <w:tc>
                <w:tcPr>
                  <w:tcW w:w="466" w:type="pct"/>
                  <w:vMerge w:val="restart"/>
                  <w:noWrap w:val="0"/>
                  <w:vAlign w:val="center"/>
                </w:tcPr>
                <w:p w14:paraId="708E68E0">
                  <w:pPr>
                    <w:pStyle w:val="129"/>
                    <w:adjustRightInd w:val="0"/>
                    <w:snapToGrid w:val="0"/>
                    <w:jc w:val="center"/>
                    <w:rPr>
                      <w:rFonts w:ascii="Times New Roman" w:hAnsi="Times New Roman" w:eastAsia="宋体"/>
                      <w:b/>
                      <w:bCs/>
                      <w:color w:val="auto"/>
                      <w:highlight w:val="none"/>
                    </w:rPr>
                  </w:pPr>
                  <w:r>
                    <w:rPr>
                      <w:rFonts w:hint="eastAsia" w:ascii="Times New Roman" w:hAnsi="Times New Roman" w:eastAsia="宋体"/>
                      <w:b/>
                      <w:bCs/>
                      <w:color w:val="auto"/>
                      <w:highlight w:val="none"/>
                    </w:rPr>
                    <w:t>类型</w:t>
                  </w:r>
                </w:p>
              </w:tc>
            </w:tr>
            <w:tr w14:paraId="317F8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383" w:type="pct"/>
                  <w:vMerge w:val="continue"/>
                  <w:noWrap w:val="0"/>
                  <w:vAlign w:val="center"/>
                </w:tcPr>
                <w:p w14:paraId="73E20ABF">
                  <w:pPr>
                    <w:jc w:val="center"/>
                    <w:rPr>
                      <w:rFonts w:eastAsia="宋体"/>
                      <w:color w:val="auto"/>
                      <w:szCs w:val="20"/>
                      <w:highlight w:val="none"/>
                    </w:rPr>
                  </w:pPr>
                </w:p>
              </w:tc>
              <w:tc>
                <w:tcPr>
                  <w:tcW w:w="655" w:type="pct"/>
                  <w:vMerge w:val="continue"/>
                  <w:noWrap w:val="0"/>
                  <w:vAlign w:val="center"/>
                </w:tcPr>
                <w:p w14:paraId="2B3EC7D5">
                  <w:pPr>
                    <w:jc w:val="center"/>
                    <w:rPr>
                      <w:rFonts w:eastAsia="宋体"/>
                      <w:color w:val="auto"/>
                      <w:szCs w:val="20"/>
                      <w:highlight w:val="none"/>
                    </w:rPr>
                  </w:pPr>
                </w:p>
              </w:tc>
              <w:tc>
                <w:tcPr>
                  <w:tcW w:w="655" w:type="pct"/>
                  <w:vMerge w:val="continue"/>
                  <w:noWrap w:val="0"/>
                  <w:vAlign w:val="center"/>
                </w:tcPr>
                <w:p w14:paraId="2EE66C85">
                  <w:pPr>
                    <w:jc w:val="center"/>
                    <w:rPr>
                      <w:rFonts w:eastAsia="宋体"/>
                      <w:color w:val="auto"/>
                      <w:szCs w:val="20"/>
                      <w:highlight w:val="none"/>
                    </w:rPr>
                  </w:pPr>
                </w:p>
              </w:tc>
              <w:tc>
                <w:tcPr>
                  <w:tcW w:w="721" w:type="pct"/>
                  <w:noWrap w:val="0"/>
                  <w:vAlign w:val="center"/>
                </w:tcPr>
                <w:p w14:paraId="62D1D8FA">
                  <w:pPr>
                    <w:pStyle w:val="129"/>
                    <w:adjustRightInd w:val="0"/>
                    <w:snapToGrid w:val="0"/>
                    <w:jc w:val="center"/>
                    <w:rPr>
                      <w:rFonts w:ascii="Times New Roman" w:hAnsi="Times New Roman" w:eastAsia="宋体"/>
                      <w:b/>
                      <w:bCs/>
                      <w:color w:val="auto"/>
                      <w:highlight w:val="none"/>
                    </w:rPr>
                  </w:pPr>
                  <w:r>
                    <w:rPr>
                      <w:rFonts w:ascii="Times New Roman" w:hAnsi="Times New Roman" w:eastAsia="宋体"/>
                      <w:b/>
                      <w:bCs/>
                      <w:color w:val="auto"/>
                      <w:highlight w:val="none"/>
                    </w:rPr>
                    <w:t>经度</w:t>
                  </w:r>
                </w:p>
              </w:tc>
              <w:tc>
                <w:tcPr>
                  <w:tcW w:w="723" w:type="pct"/>
                  <w:noWrap w:val="0"/>
                  <w:vAlign w:val="center"/>
                </w:tcPr>
                <w:p w14:paraId="5A92FB47">
                  <w:pPr>
                    <w:pStyle w:val="129"/>
                    <w:adjustRightInd w:val="0"/>
                    <w:snapToGrid w:val="0"/>
                    <w:jc w:val="center"/>
                    <w:rPr>
                      <w:rFonts w:ascii="Times New Roman" w:hAnsi="Times New Roman" w:eastAsia="宋体"/>
                      <w:b/>
                      <w:bCs/>
                      <w:snapToGrid w:val="0"/>
                      <w:color w:val="auto"/>
                      <w:kern w:val="20"/>
                      <w:highlight w:val="none"/>
                    </w:rPr>
                  </w:pPr>
                  <w:r>
                    <w:rPr>
                      <w:rFonts w:ascii="Times New Roman" w:hAnsi="Times New Roman" w:eastAsia="宋体"/>
                      <w:b/>
                      <w:bCs/>
                      <w:color w:val="auto"/>
                      <w:highlight w:val="none"/>
                    </w:rPr>
                    <w:t>纬度</w:t>
                  </w:r>
                </w:p>
              </w:tc>
              <w:tc>
                <w:tcPr>
                  <w:tcW w:w="520" w:type="pct"/>
                  <w:vMerge w:val="continue"/>
                  <w:noWrap w:val="0"/>
                  <w:vAlign w:val="center"/>
                </w:tcPr>
                <w:p w14:paraId="4FB44ACF">
                  <w:pPr>
                    <w:jc w:val="center"/>
                    <w:rPr>
                      <w:rFonts w:eastAsia="宋体"/>
                      <w:color w:val="auto"/>
                      <w:szCs w:val="20"/>
                      <w:highlight w:val="none"/>
                    </w:rPr>
                  </w:pPr>
                </w:p>
              </w:tc>
              <w:tc>
                <w:tcPr>
                  <w:tcW w:w="553" w:type="pct"/>
                  <w:vMerge w:val="continue"/>
                  <w:noWrap w:val="0"/>
                  <w:vAlign w:val="center"/>
                </w:tcPr>
                <w:p w14:paraId="642823E4">
                  <w:pPr>
                    <w:jc w:val="center"/>
                    <w:rPr>
                      <w:rFonts w:eastAsia="宋体"/>
                      <w:color w:val="auto"/>
                      <w:szCs w:val="20"/>
                      <w:highlight w:val="none"/>
                    </w:rPr>
                  </w:pPr>
                </w:p>
              </w:tc>
              <w:tc>
                <w:tcPr>
                  <w:tcW w:w="321" w:type="pct"/>
                  <w:vMerge w:val="continue"/>
                  <w:noWrap w:val="0"/>
                  <w:vAlign w:val="center"/>
                </w:tcPr>
                <w:p w14:paraId="0FA397BA">
                  <w:pPr>
                    <w:jc w:val="center"/>
                    <w:rPr>
                      <w:rFonts w:eastAsia="宋体"/>
                      <w:color w:val="auto"/>
                      <w:szCs w:val="20"/>
                      <w:highlight w:val="none"/>
                    </w:rPr>
                  </w:pPr>
                </w:p>
              </w:tc>
              <w:tc>
                <w:tcPr>
                  <w:tcW w:w="466" w:type="pct"/>
                  <w:vMerge w:val="continue"/>
                  <w:noWrap w:val="0"/>
                  <w:vAlign w:val="center"/>
                </w:tcPr>
                <w:p w14:paraId="7BACE691">
                  <w:pPr>
                    <w:jc w:val="center"/>
                    <w:rPr>
                      <w:rFonts w:eastAsia="宋体"/>
                      <w:color w:val="auto"/>
                      <w:szCs w:val="20"/>
                      <w:highlight w:val="none"/>
                    </w:rPr>
                  </w:pPr>
                </w:p>
              </w:tc>
            </w:tr>
            <w:tr w14:paraId="34279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383" w:type="pct"/>
                  <w:noWrap w:val="0"/>
                  <w:vAlign w:val="center"/>
                </w:tcPr>
                <w:p w14:paraId="250575F6">
                  <w:pPr>
                    <w:jc w:val="center"/>
                    <w:rPr>
                      <w:rFonts w:eastAsia="宋体"/>
                      <w:color w:val="auto"/>
                      <w:szCs w:val="20"/>
                      <w:highlight w:val="none"/>
                    </w:rPr>
                  </w:pPr>
                  <w:r>
                    <w:rPr>
                      <w:rFonts w:hint="eastAsia" w:eastAsia="宋体"/>
                      <w:color w:val="auto"/>
                      <w:szCs w:val="20"/>
                      <w:highlight w:val="none"/>
                    </w:rPr>
                    <w:t>1</w:t>
                  </w:r>
                </w:p>
              </w:tc>
              <w:tc>
                <w:tcPr>
                  <w:tcW w:w="655" w:type="pct"/>
                  <w:noWrap w:val="0"/>
                  <w:vAlign w:val="center"/>
                </w:tcPr>
                <w:p w14:paraId="4A5BB89D">
                  <w:pPr>
                    <w:jc w:val="center"/>
                    <w:rPr>
                      <w:rFonts w:eastAsia="宋体"/>
                      <w:color w:val="auto"/>
                      <w:szCs w:val="20"/>
                      <w:highlight w:val="none"/>
                    </w:rPr>
                  </w:pPr>
                  <w:r>
                    <w:rPr>
                      <w:rFonts w:hint="eastAsia" w:eastAsia="宋体"/>
                      <w:color w:val="auto"/>
                      <w:szCs w:val="20"/>
                      <w:highlight w:val="none"/>
                    </w:rPr>
                    <w:t>DA001</w:t>
                  </w:r>
                </w:p>
              </w:tc>
              <w:tc>
                <w:tcPr>
                  <w:tcW w:w="655" w:type="pct"/>
                  <w:noWrap w:val="0"/>
                  <w:vAlign w:val="center"/>
                </w:tcPr>
                <w:p w14:paraId="0BD8C3D7">
                  <w:pPr>
                    <w:jc w:val="center"/>
                    <w:rPr>
                      <w:rFonts w:eastAsia="宋体"/>
                      <w:color w:val="auto"/>
                      <w:szCs w:val="20"/>
                      <w:highlight w:val="none"/>
                    </w:rPr>
                  </w:pPr>
                  <w:r>
                    <w:rPr>
                      <w:rFonts w:hint="eastAsia" w:eastAsia="宋体"/>
                      <w:color w:val="auto"/>
                      <w:szCs w:val="20"/>
                      <w:highlight w:val="none"/>
                    </w:rPr>
                    <w:t>排气筒1#</w:t>
                  </w:r>
                </w:p>
              </w:tc>
              <w:tc>
                <w:tcPr>
                  <w:tcW w:w="721" w:type="pct"/>
                  <w:noWrap w:val="0"/>
                  <w:vAlign w:val="center"/>
                </w:tcPr>
                <w:p w14:paraId="5B953FAD">
                  <w:pPr>
                    <w:pStyle w:val="129"/>
                    <w:adjustRightInd w:val="0"/>
                    <w:snapToGrid w:val="0"/>
                    <w:jc w:val="center"/>
                    <w:rPr>
                      <w:rFonts w:hint="default" w:ascii="Times New Roman" w:hAnsi="Times New Roman" w:eastAsia="宋体"/>
                      <w:color w:val="auto"/>
                      <w:highlight w:val="none"/>
                      <w:lang w:val="en-US" w:eastAsia="zh-CN"/>
                    </w:rPr>
                  </w:pPr>
                  <w:r>
                    <w:rPr>
                      <w:rFonts w:hint="default" w:ascii="Times New Roman" w:hAnsi="Times New Roman" w:eastAsia="宋体"/>
                      <w:color w:val="auto"/>
                      <w:highlight w:val="none"/>
                      <w:lang w:val="en-US" w:eastAsia="zh-CN"/>
                    </w:rPr>
                    <w:t>112.9891</w:t>
                  </w:r>
                  <w:r>
                    <w:rPr>
                      <w:rFonts w:hint="eastAsia" w:ascii="Times New Roman" w:hAnsi="Times New Roman"/>
                      <w:color w:val="auto"/>
                      <w:highlight w:val="none"/>
                      <w:lang w:val="en-US" w:eastAsia="zh-CN"/>
                    </w:rPr>
                    <w:t>5</w:t>
                  </w:r>
                  <w:r>
                    <w:rPr>
                      <w:rFonts w:hint="default" w:ascii="Times New Roman" w:hAnsi="Times New Roman" w:eastAsia="宋体"/>
                      <w:color w:val="auto"/>
                      <w:highlight w:val="none"/>
                      <w:lang w:val="en-US" w:eastAsia="zh-CN"/>
                    </w:rPr>
                    <w:t>°</w:t>
                  </w:r>
                </w:p>
              </w:tc>
              <w:tc>
                <w:tcPr>
                  <w:tcW w:w="723" w:type="pct"/>
                  <w:noWrap w:val="0"/>
                  <w:vAlign w:val="center"/>
                </w:tcPr>
                <w:p w14:paraId="709F93FF">
                  <w:pPr>
                    <w:pStyle w:val="129"/>
                    <w:adjustRightInd w:val="0"/>
                    <w:snapToGrid w:val="0"/>
                    <w:jc w:val="center"/>
                    <w:rPr>
                      <w:rFonts w:hint="eastAsia"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25.2598</w:t>
                  </w:r>
                  <w:r>
                    <w:rPr>
                      <w:rFonts w:hint="eastAsia" w:ascii="Times New Roman" w:hAnsi="Times New Roman"/>
                      <w:color w:val="auto"/>
                      <w:highlight w:val="none"/>
                      <w:lang w:val="en-US" w:eastAsia="zh-CN"/>
                    </w:rPr>
                    <w:t>9</w:t>
                  </w:r>
                  <w:r>
                    <w:rPr>
                      <w:rFonts w:hint="eastAsia" w:ascii="Times New Roman" w:hAnsi="Times New Roman" w:eastAsia="宋体"/>
                      <w:color w:val="auto"/>
                      <w:highlight w:val="none"/>
                      <w:lang w:val="en-US" w:eastAsia="zh-CN"/>
                    </w:rPr>
                    <w:t>°</w:t>
                  </w:r>
                </w:p>
              </w:tc>
              <w:tc>
                <w:tcPr>
                  <w:tcW w:w="520" w:type="pct"/>
                  <w:noWrap w:val="0"/>
                  <w:vAlign w:val="center"/>
                </w:tcPr>
                <w:p w14:paraId="4CD0C79B">
                  <w:pPr>
                    <w:pStyle w:val="117"/>
                    <w:jc w:val="center"/>
                    <w:rPr>
                      <w:rFonts w:hint="default"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45</w:t>
                  </w:r>
                </w:p>
              </w:tc>
              <w:tc>
                <w:tcPr>
                  <w:tcW w:w="553" w:type="pct"/>
                  <w:noWrap w:val="0"/>
                  <w:vAlign w:val="center"/>
                </w:tcPr>
                <w:p w14:paraId="2CB66567">
                  <w:pPr>
                    <w:pStyle w:val="117"/>
                    <w:rPr>
                      <w:rFonts w:hint="default"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1.5</w:t>
                  </w:r>
                </w:p>
              </w:tc>
              <w:tc>
                <w:tcPr>
                  <w:tcW w:w="321" w:type="pct"/>
                  <w:noWrap w:val="0"/>
                  <w:vAlign w:val="center"/>
                </w:tcPr>
                <w:p w14:paraId="79F529A6">
                  <w:pPr>
                    <w:pStyle w:val="117"/>
                    <w:rPr>
                      <w:rFonts w:hint="default"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150</w:t>
                  </w:r>
                </w:p>
              </w:tc>
              <w:tc>
                <w:tcPr>
                  <w:tcW w:w="466" w:type="pct"/>
                  <w:noWrap w:val="0"/>
                  <w:vAlign w:val="center"/>
                </w:tcPr>
                <w:p w14:paraId="42AC7B0F">
                  <w:pPr>
                    <w:jc w:val="center"/>
                    <w:rPr>
                      <w:rFonts w:eastAsia="宋体"/>
                      <w:color w:val="auto"/>
                      <w:szCs w:val="20"/>
                      <w:highlight w:val="none"/>
                    </w:rPr>
                  </w:pPr>
                  <w:r>
                    <w:rPr>
                      <w:rFonts w:hint="eastAsia"/>
                      <w:color w:val="auto"/>
                      <w:szCs w:val="20"/>
                      <w:highlight w:val="none"/>
                      <w:lang w:val="en-US" w:eastAsia="zh-CN"/>
                    </w:rPr>
                    <w:t>主要</w:t>
                  </w:r>
                  <w:r>
                    <w:rPr>
                      <w:rFonts w:hint="eastAsia" w:eastAsia="宋体"/>
                      <w:color w:val="auto"/>
                      <w:szCs w:val="20"/>
                      <w:highlight w:val="none"/>
                    </w:rPr>
                    <w:t>排放口</w:t>
                  </w:r>
                </w:p>
              </w:tc>
            </w:tr>
          </w:tbl>
          <w:p w14:paraId="59010E3D">
            <w:pPr>
              <w:adjustRightInd w:val="0"/>
              <w:snapToGrid w:val="0"/>
              <w:spacing w:line="360" w:lineRule="auto"/>
              <w:rPr>
                <w:b/>
                <w:color w:val="auto"/>
                <w:kern w:val="0"/>
                <w:sz w:val="28"/>
                <w:szCs w:val="28"/>
                <w:highlight w:val="none"/>
              </w:rPr>
            </w:pPr>
          </w:p>
          <w:p w14:paraId="6E48F9A5">
            <w:pPr>
              <w:adjustRightInd w:val="0"/>
              <w:snapToGrid w:val="0"/>
              <w:spacing w:line="360" w:lineRule="auto"/>
              <w:rPr>
                <w:b/>
                <w:color w:val="auto"/>
                <w:kern w:val="0"/>
                <w:sz w:val="28"/>
                <w:szCs w:val="28"/>
                <w:highlight w:val="none"/>
              </w:rPr>
            </w:pPr>
          </w:p>
          <w:p w14:paraId="15BA27AF">
            <w:pPr>
              <w:adjustRightInd w:val="0"/>
              <w:snapToGrid w:val="0"/>
              <w:spacing w:line="360" w:lineRule="auto"/>
              <w:rPr>
                <w:b/>
                <w:color w:val="auto"/>
                <w:kern w:val="0"/>
                <w:sz w:val="28"/>
                <w:szCs w:val="28"/>
                <w:highlight w:val="none"/>
              </w:rPr>
            </w:pPr>
          </w:p>
          <w:p w14:paraId="50F32576">
            <w:pPr>
              <w:adjustRightInd w:val="0"/>
              <w:snapToGrid w:val="0"/>
              <w:spacing w:line="360" w:lineRule="auto"/>
              <w:rPr>
                <w:b/>
                <w:color w:val="auto"/>
                <w:kern w:val="0"/>
                <w:sz w:val="28"/>
                <w:szCs w:val="28"/>
                <w:highlight w:val="none"/>
              </w:rPr>
            </w:pPr>
          </w:p>
          <w:p w14:paraId="1AD6BDE3">
            <w:pPr>
              <w:pStyle w:val="41"/>
              <w:rPr>
                <w:highlight w:val="none"/>
              </w:rPr>
            </w:pPr>
          </w:p>
        </w:tc>
      </w:tr>
    </w:tbl>
    <w:p w14:paraId="19478B93">
      <w:pPr>
        <w:adjustRightInd w:val="0"/>
        <w:snapToGrid w:val="0"/>
        <w:spacing w:line="360" w:lineRule="auto"/>
        <w:rPr>
          <w:b/>
          <w:color w:val="auto"/>
          <w:kern w:val="0"/>
          <w:sz w:val="28"/>
          <w:szCs w:val="28"/>
          <w:highlight w:val="none"/>
        </w:rPr>
        <w:sectPr>
          <w:pgSz w:w="16840" w:h="11907" w:orient="landscape"/>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p>
    <w:tbl>
      <w:tblPr>
        <w:tblStyle w:val="31"/>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55"/>
        <w:gridCol w:w="8426"/>
      </w:tblGrid>
      <w:tr w14:paraId="14A040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9" w:hRule="atLeast"/>
          <w:jc w:val="center"/>
        </w:trPr>
        <w:tc>
          <w:tcPr>
            <w:tcW w:w="555" w:type="dxa"/>
            <w:tcMar>
              <w:left w:w="28" w:type="dxa"/>
              <w:right w:w="28" w:type="dxa"/>
            </w:tcMar>
            <w:vAlign w:val="center"/>
          </w:tcPr>
          <w:p w14:paraId="2679867E">
            <w:pPr>
              <w:adjustRightInd w:val="0"/>
              <w:snapToGrid w:val="0"/>
              <w:jc w:val="center"/>
              <w:rPr>
                <w:bCs/>
                <w:color w:val="auto"/>
                <w:szCs w:val="21"/>
                <w:highlight w:val="none"/>
              </w:rPr>
            </w:pPr>
            <w:r>
              <w:rPr>
                <w:bCs/>
                <w:color w:val="auto"/>
                <w:sz w:val="24"/>
                <w:szCs w:val="24"/>
                <w:highlight w:val="none"/>
              </w:rPr>
              <w:t>运营期环境影响和保护措施</w:t>
            </w:r>
          </w:p>
        </w:tc>
        <w:tc>
          <w:tcPr>
            <w:tcW w:w="8426" w:type="dxa"/>
            <w:vAlign w:val="center"/>
          </w:tcPr>
          <w:p w14:paraId="56441366">
            <w:pPr>
              <w:pStyle w:val="18"/>
              <w:adjustRightInd w:val="0"/>
              <w:snapToGrid w:val="0"/>
              <w:spacing w:after="0" w:line="360" w:lineRule="auto"/>
              <w:ind w:left="0" w:leftChars="0" w:firstLine="482"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w:t>
            </w:r>
            <w:r>
              <w:rPr>
                <w:rFonts w:hint="default"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rPr>
              <w:t>废水</w:t>
            </w:r>
          </w:p>
          <w:p w14:paraId="563C30AA">
            <w:pPr>
              <w:adjustRightInd w:val="0"/>
              <w:snapToGrid w:val="0"/>
              <w:spacing w:line="360" w:lineRule="auto"/>
              <w:ind w:firstLine="480" w:firstLineChars="200"/>
              <w:rPr>
                <w:rFonts w:hint="eastAsia"/>
                <w:color w:val="auto"/>
                <w:sz w:val="24"/>
                <w:highlight w:val="none"/>
              </w:rPr>
            </w:pPr>
            <w:r>
              <w:rPr>
                <w:rFonts w:hint="eastAsia" w:ascii="Times New Roman" w:hAnsi="宋体" w:eastAsia="宋体"/>
                <w:color w:val="auto"/>
                <w:sz w:val="24"/>
                <w:highlight w:val="none"/>
              </w:rPr>
              <w:t>本项目废水主要包括锅炉排污水</w:t>
            </w:r>
            <w:r>
              <w:rPr>
                <w:rFonts w:hint="eastAsia" w:ascii="Times New Roman" w:hAnsi="宋体" w:eastAsia="宋体"/>
                <w:color w:val="auto"/>
                <w:sz w:val="24"/>
                <w:highlight w:val="none"/>
                <w:lang w:val="en-US" w:eastAsia="zh-CN"/>
              </w:rPr>
              <w:t>、</w:t>
            </w:r>
            <w:r>
              <w:rPr>
                <w:rFonts w:hint="eastAsia" w:ascii="Times New Roman" w:hAnsi="宋体" w:eastAsia="宋体"/>
                <w:color w:val="auto"/>
                <w:sz w:val="24"/>
                <w:highlight w:val="none"/>
              </w:rPr>
              <w:t>软化处理废水</w:t>
            </w:r>
            <w:r>
              <w:rPr>
                <w:rFonts w:hint="eastAsia" w:ascii="Times New Roman" w:hAnsi="宋体" w:eastAsia="宋体"/>
                <w:color w:val="auto"/>
                <w:sz w:val="24"/>
                <w:highlight w:val="none"/>
                <w:lang w:val="en-US" w:eastAsia="zh-CN"/>
              </w:rPr>
              <w:t>和</w:t>
            </w:r>
            <w:r>
              <w:rPr>
                <w:rFonts w:hint="eastAsia" w:ascii="Times New Roman" w:hAnsi="宋体" w:eastAsia="宋体"/>
                <w:color w:val="auto"/>
                <w:sz w:val="24"/>
                <w:highlight w:val="none"/>
              </w:rPr>
              <w:t>生活污水等</w:t>
            </w:r>
            <w:r>
              <w:rPr>
                <w:rFonts w:hint="eastAsia"/>
                <w:bCs/>
                <w:color w:val="auto"/>
                <w:sz w:val="24"/>
                <w:szCs w:val="21"/>
                <w:highlight w:val="none"/>
              </w:rPr>
              <w:t>。</w:t>
            </w:r>
          </w:p>
          <w:p w14:paraId="00342D73">
            <w:pPr>
              <w:tabs>
                <w:tab w:val="left" w:pos="484"/>
              </w:tabs>
              <w:snapToGrid w:val="0"/>
              <w:spacing w:line="360" w:lineRule="auto"/>
              <w:ind w:firstLine="480" w:firstLineChars="200"/>
              <w:rPr>
                <w:rFonts w:hint="eastAsia"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①生活</w:t>
            </w:r>
            <w:r>
              <w:rPr>
                <w:rFonts w:hint="eastAsia" w:cs="Times New Roman"/>
                <w:color w:val="auto"/>
                <w:sz w:val="24"/>
                <w:highlight w:val="none"/>
                <w:lang w:val="en-US" w:eastAsia="zh-CN"/>
              </w:rPr>
              <w:t>污水</w:t>
            </w:r>
          </w:p>
          <w:p w14:paraId="09257103">
            <w:pPr>
              <w:tabs>
                <w:tab w:val="left" w:pos="484"/>
              </w:tabs>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本项目劳动定员</w:t>
            </w:r>
            <w:r>
              <w:rPr>
                <w:rFonts w:hint="default" w:ascii="Times New Roman" w:hAnsi="Times New Roman" w:cs="Times New Roman"/>
                <w:color w:val="auto"/>
                <w:sz w:val="24"/>
                <w:highlight w:val="none"/>
                <w:lang w:val="en-US" w:eastAsia="zh-CN"/>
              </w:rPr>
              <w:t>14</w:t>
            </w:r>
            <w:r>
              <w:rPr>
                <w:rFonts w:hint="default" w:ascii="Times New Roman" w:hAnsi="Times New Roman" w:cs="Times New Roman"/>
                <w:color w:val="auto"/>
                <w:sz w:val="24"/>
                <w:highlight w:val="none"/>
              </w:rPr>
              <w:t>人，</w:t>
            </w:r>
            <w:r>
              <w:rPr>
                <w:rFonts w:hint="default" w:ascii="Times New Roman" w:hAnsi="Times New Roman" w:cs="Times New Roman"/>
                <w:color w:val="auto"/>
                <w:sz w:val="24"/>
                <w:highlight w:val="none"/>
                <w:lang w:val="zh-CN"/>
              </w:rPr>
              <w:t>均不在</w:t>
            </w:r>
            <w:r>
              <w:rPr>
                <w:rFonts w:hint="default" w:ascii="Times New Roman" w:hAnsi="Times New Roman" w:cs="Times New Roman"/>
                <w:color w:val="auto"/>
                <w:sz w:val="24"/>
                <w:highlight w:val="none"/>
              </w:rPr>
              <w:t>厂内食宿，根据《广东省地方标准用水定额第3部分</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生活》（DB44/T1461.3—2021）</w:t>
            </w:r>
            <w:r>
              <w:rPr>
                <w:rFonts w:hint="default" w:ascii="Times New Roman" w:hAnsi="Times New Roman" w:cs="Times New Roman"/>
                <w:color w:val="auto"/>
                <w:sz w:val="24"/>
                <w:highlight w:val="none"/>
                <w:lang w:val="zh-CN"/>
              </w:rPr>
              <w:t>，用水量按</w:t>
            </w:r>
            <w:r>
              <w:rPr>
                <w:rFonts w:hint="default" w:ascii="Times New Roman" w:hAnsi="Times New Roman" w:cs="Times New Roman"/>
                <w:color w:val="auto"/>
                <w:sz w:val="24"/>
                <w:highlight w:val="none"/>
              </w:rPr>
              <w:t>28</w:t>
            </w:r>
            <w:r>
              <w:rPr>
                <w:rFonts w:hint="default" w:ascii="Times New Roman" w:hAnsi="Times New Roman" w:cs="Times New Roman"/>
                <w:color w:val="auto"/>
                <w:sz w:val="24"/>
                <w:highlight w:val="none"/>
                <w:lang w:val="zh-CN"/>
              </w:rPr>
              <w:t>L/人·d，则生活用水量为</w:t>
            </w:r>
            <w:r>
              <w:rPr>
                <w:rFonts w:hint="default" w:ascii="Times New Roman" w:hAnsi="Times New Roman" w:cs="Times New Roman"/>
                <w:color w:val="auto"/>
                <w:sz w:val="24"/>
                <w:highlight w:val="none"/>
                <w:lang w:val="en-US" w:eastAsia="zh-CN"/>
              </w:rPr>
              <w:t>0.39</w:t>
            </w:r>
            <w:r>
              <w:rPr>
                <w:rFonts w:hint="default" w:ascii="Times New Roman" w:hAnsi="Times New Roman" w:cs="Times New Roman"/>
                <w:color w:val="auto"/>
                <w:sz w:val="24"/>
                <w:highlight w:val="none"/>
                <w:lang w:val="zh-CN"/>
              </w:rPr>
              <w:t>m</w:t>
            </w:r>
            <w:r>
              <w:rPr>
                <w:rFonts w:hint="default" w:ascii="Times New Roman" w:hAnsi="Times New Roman" w:cs="Times New Roman"/>
                <w:color w:val="auto"/>
                <w:sz w:val="24"/>
                <w:highlight w:val="none"/>
                <w:vertAlign w:val="superscript"/>
                <w:lang w:val="zh-CN"/>
              </w:rPr>
              <w:t>3</w:t>
            </w:r>
            <w:r>
              <w:rPr>
                <w:rFonts w:hint="default" w:ascii="Times New Roman" w:hAnsi="Times New Roman" w:cs="Times New Roman"/>
                <w:color w:val="auto"/>
                <w:sz w:val="24"/>
                <w:highlight w:val="none"/>
                <w:lang w:val="zh-CN"/>
              </w:rPr>
              <w:t>/d，</w:t>
            </w:r>
            <w:r>
              <w:rPr>
                <w:rFonts w:hint="default" w:ascii="Times New Roman" w:hAnsi="Times New Roman" w:cs="Times New Roman"/>
                <w:color w:val="auto"/>
                <w:sz w:val="24"/>
                <w:highlight w:val="none"/>
              </w:rPr>
              <w:t>合计</w:t>
            </w:r>
            <w:r>
              <w:rPr>
                <w:rFonts w:hint="default" w:ascii="Times New Roman" w:hAnsi="Times New Roman" w:cs="Times New Roman"/>
                <w:color w:val="auto"/>
                <w:sz w:val="24"/>
                <w:highlight w:val="none"/>
                <w:lang w:val="en-US" w:eastAsia="zh-CN"/>
              </w:rPr>
              <w:t>78.40</w:t>
            </w:r>
            <w:r>
              <w:rPr>
                <w:rFonts w:hint="default" w:ascii="Times New Roman" w:hAnsi="Times New Roman" w:cs="Times New Roman"/>
                <w:color w:val="auto"/>
                <w:sz w:val="24"/>
                <w:highlight w:val="none"/>
                <w:lang w:val="zh-CN"/>
              </w:rPr>
              <w:t>m</w:t>
            </w:r>
            <w:r>
              <w:rPr>
                <w:rFonts w:hint="default" w:ascii="Times New Roman" w:hAnsi="Times New Roman" w:cs="Times New Roman"/>
                <w:color w:val="auto"/>
                <w:sz w:val="24"/>
                <w:highlight w:val="none"/>
                <w:vertAlign w:val="superscript"/>
                <w:lang w:val="zh-CN"/>
              </w:rPr>
              <w:t>3</w:t>
            </w:r>
            <w:r>
              <w:rPr>
                <w:rFonts w:hint="default" w:ascii="Times New Roman" w:hAnsi="Times New Roman" w:cs="Times New Roman"/>
                <w:color w:val="auto"/>
                <w:sz w:val="24"/>
                <w:highlight w:val="none"/>
                <w:lang w:val="zh-CN"/>
              </w:rPr>
              <w:t>/a，员工</w:t>
            </w:r>
            <w:r>
              <w:rPr>
                <w:rFonts w:hint="default" w:ascii="Times New Roman" w:hAnsi="Times New Roman" w:cs="Times New Roman"/>
                <w:color w:val="auto"/>
                <w:sz w:val="24"/>
                <w:highlight w:val="none"/>
              </w:rPr>
              <w:t>生活污水产生量按用水量的90%计，</w:t>
            </w:r>
            <w:r>
              <w:rPr>
                <w:rFonts w:hint="default" w:ascii="Times New Roman" w:hAnsi="Times New Roman" w:cs="Times New Roman"/>
                <w:color w:val="auto"/>
                <w:sz w:val="24"/>
                <w:highlight w:val="none"/>
                <w:lang w:val="zh-CN"/>
              </w:rPr>
              <w:t>则生活污水产生量约为</w:t>
            </w:r>
            <w:r>
              <w:rPr>
                <w:rFonts w:hint="default" w:ascii="Times New Roman" w:hAnsi="Times New Roman" w:cs="Times New Roman"/>
                <w:color w:val="auto"/>
                <w:sz w:val="24"/>
                <w:highlight w:val="none"/>
                <w:lang w:val="en-US" w:eastAsia="zh-CN"/>
              </w:rPr>
              <w:t>0.35</w:t>
            </w:r>
            <w:r>
              <w:rPr>
                <w:rFonts w:hint="default" w:ascii="Times New Roman" w:hAnsi="Times New Roman" w:cs="Times New Roman"/>
                <w:color w:val="auto"/>
                <w:sz w:val="24"/>
                <w:highlight w:val="none"/>
                <w:lang w:val="zh-CN"/>
              </w:rPr>
              <w:t>m</w:t>
            </w:r>
            <w:r>
              <w:rPr>
                <w:rFonts w:hint="default" w:ascii="Times New Roman" w:hAnsi="Times New Roman" w:cs="Times New Roman"/>
                <w:color w:val="auto"/>
                <w:sz w:val="24"/>
                <w:highlight w:val="none"/>
                <w:vertAlign w:val="superscript"/>
                <w:lang w:val="zh-CN"/>
              </w:rPr>
              <w:t>3</w:t>
            </w:r>
            <w:r>
              <w:rPr>
                <w:rFonts w:hint="default" w:ascii="Times New Roman" w:hAnsi="Times New Roman" w:cs="Times New Roman"/>
                <w:color w:val="auto"/>
                <w:sz w:val="24"/>
                <w:highlight w:val="none"/>
              </w:rPr>
              <w:t>/d，合计</w:t>
            </w:r>
            <w:r>
              <w:rPr>
                <w:rFonts w:hint="default" w:ascii="Times New Roman" w:hAnsi="Times New Roman" w:cs="Times New Roman"/>
                <w:color w:val="auto"/>
                <w:sz w:val="24"/>
                <w:highlight w:val="none"/>
                <w:lang w:val="en-US" w:eastAsia="zh-CN"/>
              </w:rPr>
              <w:t>70.56</w:t>
            </w:r>
            <w:r>
              <w:rPr>
                <w:rFonts w:hint="default" w:ascii="Times New Roman" w:hAnsi="Times New Roman" w:cs="Times New Roman"/>
                <w:color w:val="auto"/>
                <w:sz w:val="24"/>
                <w:highlight w:val="none"/>
                <w:lang w:val="zh-CN"/>
              </w:rPr>
              <w:t>m</w:t>
            </w:r>
            <w:r>
              <w:rPr>
                <w:rFonts w:hint="default" w:ascii="Times New Roman" w:hAnsi="Times New Roman" w:cs="Times New Roman"/>
                <w:color w:val="auto"/>
                <w:sz w:val="24"/>
                <w:highlight w:val="none"/>
                <w:vertAlign w:val="superscript"/>
                <w:lang w:val="zh-CN"/>
              </w:rPr>
              <w:t>3</w:t>
            </w:r>
            <w:r>
              <w:rPr>
                <w:rFonts w:hint="default" w:ascii="Times New Roman" w:hAnsi="Times New Roman" w:cs="Times New Roman"/>
                <w:color w:val="auto"/>
                <w:sz w:val="24"/>
                <w:highlight w:val="none"/>
                <w:lang w:val="zh-CN"/>
              </w:rPr>
              <w:t>/a</w:t>
            </w:r>
            <w:r>
              <w:rPr>
                <w:rFonts w:hint="default" w:ascii="Times New Roman" w:hAnsi="Times New Roman" w:eastAsia="宋体" w:cs="Times New Roman"/>
                <w:color w:val="auto"/>
                <w:sz w:val="24"/>
                <w:highlight w:val="none"/>
                <w:lang w:eastAsia="zh-CN"/>
              </w:rPr>
              <w:t>。</w:t>
            </w:r>
            <w:r>
              <w:rPr>
                <w:rFonts w:hint="default" w:ascii="Times New Roman" w:hAnsi="Times New Roman" w:cs="Times New Roman"/>
                <w:color w:val="auto"/>
                <w:sz w:val="24"/>
                <w:highlight w:val="none"/>
              </w:rPr>
              <w:t>生活污水经三级化粪池（0.</w:t>
            </w:r>
            <w:r>
              <w:rPr>
                <w:rFonts w:hint="eastAsia" w:cs="Times New Roman"/>
                <w:color w:val="auto"/>
                <w:sz w:val="24"/>
                <w:highlight w:val="none"/>
                <w:lang w:val="en-US" w:eastAsia="zh-CN"/>
              </w:rPr>
              <w:t>6</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）处理后达到《农田灌溉水质标准》（GB5084-2021）中旱作作物标准后用于厂区周边绿化，不外排</w:t>
            </w:r>
            <w:r>
              <w:rPr>
                <w:rFonts w:hint="default" w:ascii="Times New Roman" w:hAnsi="Times New Roman" w:cs="Times New Roman"/>
                <w:color w:val="auto"/>
                <w:sz w:val="24"/>
                <w:highlight w:val="none"/>
                <w:lang w:eastAsia="zh-CN"/>
              </w:rPr>
              <w:t>。</w:t>
            </w:r>
          </w:p>
          <w:p w14:paraId="039B1B09">
            <w:pPr>
              <w:tabs>
                <w:tab w:val="left" w:pos="484"/>
              </w:tabs>
              <w:snapToGrid w:val="0"/>
              <w:spacing w:line="360" w:lineRule="auto"/>
              <w:ind w:firstLine="480" w:firstLineChars="200"/>
              <w:rPr>
                <w:rFonts w:hint="default" w:ascii="Times New Roman" w:hAnsi="Times New Roman" w:cs="Times New Roman"/>
                <w:snapToGrid w:val="0"/>
                <w:color w:val="auto"/>
                <w:kern w:val="0"/>
                <w:sz w:val="24"/>
                <w:highlight w:val="none"/>
                <w:lang w:val="en-US" w:eastAsia="zh-CN"/>
              </w:rPr>
            </w:pPr>
            <w:r>
              <w:rPr>
                <w:rFonts w:hint="default" w:ascii="Times New Roman" w:hAnsi="Times New Roman" w:cs="Times New Roman"/>
                <w:color w:val="auto"/>
                <w:sz w:val="24"/>
                <w:highlight w:val="none"/>
              </w:rPr>
              <w:t>②</w:t>
            </w:r>
            <w:r>
              <w:rPr>
                <w:rFonts w:hint="default" w:ascii="Times New Roman" w:hAnsi="Times New Roman" w:cs="Times New Roman"/>
                <w:snapToGrid w:val="0"/>
                <w:color w:val="auto"/>
                <w:kern w:val="0"/>
                <w:sz w:val="24"/>
                <w:highlight w:val="none"/>
              </w:rPr>
              <w:t>锅炉</w:t>
            </w:r>
            <w:r>
              <w:rPr>
                <w:rFonts w:hint="eastAsia" w:cs="Times New Roman"/>
                <w:snapToGrid w:val="0"/>
                <w:color w:val="auto"/>
                <w:kern w:val="0"/>
                <w:sz w:val="24"/>
                <w:highlight w:val="none"/>
                <w:lang w:val="en-US" w:eastAsia="zh-CN"/>
              </w:rPr>
              <w:t>排污水及软化处理废水</w:t>
            </w:r>
          </w:p>
          <w:p w14:paraId="38608570">
            <w:pPr>
              <w:tabs>
                <w:tab w:val="left" w:pos="484"/>
              </w:tabs>
              <w:snapToGrid w:val="0"/>
              <w:spacing w:line="360" w:lineRule="auto"/>
              <w:ind w:firstLine="480" w:firstLineChars="200"/>
              <w:rPr>
                <w:rFonts w:hint="eastAsia" w:cs="Times New Roman"/>
                <w:color w:val="auto"/>
                <w:sz w:val="24"/>
                <w:highlight w:val="none"/>
                <w:lang w:val="en-US" w:eastAsia="zh-CN"/>
              </w:rPr>
            </w:pPr>
            <w:r>
              <w:rPr>
                <w:rFonts w:hint="default" w:ascii="Times New Roman" w:hAnsi="Times New Roman" w:cs="Times New Roman"/>
                <w:color w:val="auto"/>
                <w:sz w:val="24"/>
                <w:highlight w:val="none"/>
              </w:rPr>
              <w:t>本项目锅炉需排出锅炉内部分被盐质和水渣污染的锅水，</w:t>
            </w:r>
            <w:r>
              <w:rPr>
                <w:rFonts w:hint="eastAsia" w:cs="Times New Roman"/>
                <w:color w:val="auto"/>
                <w:sz w:val="24"/>
                <w:highlight w:val="none"/>
                <w:lang w:val="en-US" w:eastAsia="zh-CN"/>
              </w:rPr>
              <w:t>根据前述分析此部分锅炉排污水为</w:t>
            </w:r>
            <w:r>
              <w:rPr>
                <w:rFonts w:hint="default" w:ascii="Times New Roman" w:hAnsi="Times New Roman" w:cs="Times New Roman"/>
                <w:color w:val="auto"/>
                <w:sz w:val="24"/>
                <w:highlight w:val="none"/>
                <w:lang w:val="en-US" w:eastAsia="zh-CN"/>
              </w:rPr>
              <w:t>1200</w:t>
            </w:r>
            <w:r>
              <w:rPr>
                <w:rFonts w:hint="default" w:ascii="Times New Roman" w:hAnsi="Times New Roman" w:cs="Times New Roman"/>
                <w:color w:val="auto"/>
                <w:sz w:val="24"/>
                <w:highlight w:val="none"/>
              </w:rPr>
              <w:t>t/a</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6</w:t>
            </w:r>
            <w:r>
              <w:rPr>
                <w:rFonts w:hint="default" w:ascii="Times New Roman" w:hAnsi="Times New Roman" w:cs="Times New Roman"/>
                <w:color w:val="auto"/>
                <w:sz w:val="24"/>
                <w:highlight w:val="none"/>
              </w:rPr>
              <w:t>t</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d</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eastAsia="zh-CN"/>
              </w:rPr>
              <w:t>；</w:t>
            </w:r>
            <w:r>
              <w:rPr>
                <w:rFonts w:hint="eastAsia" w:cs="Times New Roman"/>
                <w:snapToGrid w:val="0"/>
                <w:color w:val="auto"/>
                <w:kern w:val="0"/>
                <w:sz w:val="24"/>
                <w:highlight w:val="none"/>
                <w:lang w:val="en-US" w:eastAsia="zh-CN"/>
              </w:rPr>
              <w:t>软化处理废水即</w:t>
            </w:r>
            <w:r>
              <w:rPr>
                <w:rFonts w:hint="default" w:ascii="Times New Roman" w:hAnsi="Times New Roman" w:cs="Times New Roman"/>
                <w:color w:val="auto"/>
                <w:sz w:val="24"/>
                <w:highlight w:val="none"/>
                <w:lang w:val="en-US" w:eastAsia="zh-CN"/>
              </w:rPr>
              <w:t>浓水产生量为12</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则锅炉排污水、软化处理废水合计</w:t>
            </w:r>
            <w:r>
              <w:rPr>
                <w:rFonts w:hint="default" w:ascii="Times New Roman" w:hAnsi="Times New Roman" w:cs="Times New Roman"/>
                <w:color w:val="auto"/>
                <w:sz w:val="24"/>
                <w:highlight w:val="none"/>
                <w:lang w:val="en-US" w:eastAsia="zh-CN"/>
              </w:rPr>
              <w:t>18</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eastAsia="zh-CN"/>
              </w:rPr>
              <w:t>。废水中主要污染物为COD</w:t>
            </w:r>
            <w:r>
              <w:rPr>
                <w:rFonts w:hint="default" w:ascii="Times New Roman" w:hAnsi="Times New Roman" w:eastAsia="宋体" w:cs="Times New Roman"/>
                <w:color w:val="auto"/>
                <w:sz w:val="24"/>
                <w:highlight w:val="none"/>
                <w:vertAlign w:val="subscript"/>
                <w:lang w:eastAsia="zh-CN"/>
              </w:rPr>
              <w:t>Cr</w:t>
            </w:r>
            <w:r>
              <w:rPr>
                <w:rFonts w:hint="default" w:ascii="Times New Roman" w:hAnsi="Times New Roman" w:eastAsia="宋体" w:cs="Times New Roman"/>
                <w:color w:val="auto"/>
                <w:sz w:val="24"/>
                <w:highlight w:val="none"/>
                <w:lang w:eastAsia="zh-CN"/>
              </w:rPr>
              <w:t>、BOD</w:t>
            </w:r>
            <w:r>
              <w:rPr>
                <w:rFonts w:hint="default" w:ascii="Times New Roman" w:hAnsi="Times New Roman" w:eastAsia="宋体" w:cs="Times New Roman"/>
                <w:color w:val="auto"/>
                <w:sz w:val="24"/>
                <w:highlight w:val="none"/>
                <w:vertAlign w:val="subscript"/>
                <w:lang w:eastAsia="zh-CN"/>
              </w:rPr>
              <w:t>5</w:t>
            </w:r>
            <w:r>
              <w:rPr>
                <w:rFonts w:hint="default" w:ascii="Times New Roman" w:hAnsi="Times New Roman" w:eastAsia="宋体" w:cs="Times New Roman"/>
                <w:color w:val="auto"/>
                <w:sz w:val="24"/>
                <w:highlight w:val="none"/>
                <w:lang w:eastAsia="zh-CN"/>
              </w:rPr>
              <w:t>、SS、全盐量等</w:t>
            </w:r>
            <w:r>
              <w:rPr>
                <w:rFonts w:hint="eastAsia" w:cs="Times New Roman"/>
                <w:color w:val="auto"/>
                <w:sz w:val="24"/>
                <w:highlight w:val="none"/>
                <w:lang w:eastAsia="zh-CN"/>
              </w:rPr>
              <w:t>，</w:t>
            </w:r>
            <w:r>
              <w:rPr>
                <w:rFonts w:hint="eastAsia" w:cs="Times New Roman"/>
                <w:color w:val="auto"/>
                <w:sz w:val="24"/>
                <w:highlight w:val="none"/>
                <w:lang w:val="en-US" w:eastAsia="zh-CN"/>
              </w:rPr>
              <w:t>此两部分废水絮凝沉淀处理达到标准后外排至武江。</w:t>
            </w:r>
          </w:p>
          <w:p w14:paraId="3C50892A">
            <w:pPr>
              <w:pStyle w:val="176"/>
              <w:ind w:firstLine="480"/>
              <w:rPr>
                <w:rFonts w:hint="default" w:ascii="Times New Roman" w:hAnsi="Times New Roman" w:eastAsia="宋体" w:cs="Times New Roman"/>
                <w:bCs/>
                <w:color w:val="auto"/>
                <w:szCs w:val="24"/>
                <w:highlight w:val="none"/>
                <w:lang w:val="en-US" w:eastAsia="zh-CN"/>
              </w:rPr>
            </w:pPr>
            <w:bookmarkStart w:id="88" w:name="_GoBack"/>
            <w:r>
              <w:rPr>
                <w:rFonts w:hint="default" w:ascii="Times New Roman" w:hAnsi="Times New Roman" w:eastAsia="宋体" w:cs="Times New Roman"/>
                <w:color w:val="000000"/>
                <w:sz w:val="24"/>
                <w:szCs w:val="22"/>
                <w:highlight w:val="none"/>
                <w:lang w:val="en-US" w:eastAsia="zh-CN"/>
              </w:rPr>
              <w:t>本项目生物质锅炉排放水及软化处理废水的水质浓度采用类比法进行确定。</w:t>
            </w:r>
            <w:r>
              <w:rPr>
                <w:rFonts w:hint="eastAsia" w:ascii="Times New Roman" w:hAnsi="Times New Roman" w:eastAsia="宋体" w:cs="Times New Roman"/>
                <w:color w:val="000000"/>
                <w:sz w:val="24"/>
                <w:szCs w:val="22"/>
                <w:highlight w:val="none"/>
                <w:lang w:val="en-US" w:eastAsia="zh-CN"/>
              </w:rPr>
              <w:t>参考项目</w:t>
            </w:r>
            <w:r>
              <w:rPr>
                <w:rFonts w:hint="default" w:ascii="Times New Roman" w:hAnsi="Times New Roman" w:eastAsia="宋体" w:cs="Times New Roman"/>
                <w:bCs/>
                <w:color w:val="auto"/>
                <w:szCs w:val="24"/>
                <w:highlight w:val="none"/>
                <w:lang w:val="en-US" w:eastAsia="zh-CN"/>
              </w:rPr>
              <w:t>类比分析结果及浓度数据见下表</w:t>
            </w:r>
            <w:r>
              <w:rPr>
                <w:rFonts w:hint="eastAsia" w:cs="Times New Roman"/>
                <w:bCs/>
                <w:color w:val="auto"/>
                <w:szCs w:val="24"/>
                <w:highlight w:val="none"/>
                <w:lang w:val="en-US" w:eastAsia="zh-CN"/>
              </w:rPr>
              <w:t>4-5、表4-6</w:t>
            </w:r>
            <w:r>
              <w:rPr>
                <w:rFonts w:hint="default" w:ascii="Times New Roman" w:hAnsi="Times New Roman" w:eastAsia="宋体" w:cs="Times New Roman"/>
                <w:bCs/>
                <w:color w:val="auto"/>
                <w:szCs w:val="24"/>
                <w:highlight w:val="none"/>
                <w:lang w:val="en-US" w:eastAsia="zh-CN"/>
              </w:rPr>
              <w:t>。</w:t>
            </w:r>
          </w:p>
          <w:p w14:paraId="78015754">
            <w:pPr>
              <w:pStyle w:val="176"/>
              <w:ind w:firstLine="480"/>
              <w:rPr>
                <w:rFonts w:hint="eastAsia" w:cs="Times New Roman"/>
                <w:bCs/>
                <w:color w:val="auto"/>
                <w:szCs w:val="24"/>
                <w:highlight w:val="none"/>
                <w:lang w:val="en-US" w:eastAsia="zh-CN"/>
              </w:rPr>
            </w:pPr>
            <w:r>
              <w:rPr>
                <w:rFonts w:hint="default" w:ascii="Times New Roman" w:hAnsi="Times New Roman" w:eastAsia="宋体" w:cs="Times New Roman"/>
                <w:bCs/>
                <w:color w:val="auto"/>
                <w:kern w:val="2"/>
                <w:sz w:val="24"/>
                <w:szCs w:val="24"/>
                <w:highlight w:val="none"/>
                <w:lang w:val="en-US" w:eastAsia="zh-CN" w:bidi="ar-SA"/>
              </w:rPr>
              <w:t>根据《现代水处理技术》中，一级物理处理（沉砂池、沉淀池等利用物理作用分离污水悬浮物的工艺）对SS去除效率为50%</w:t>
            </w:r>
            <w:r>
              <w:rPr>
                <w:rFonts w:hint="eastAsia" w:ascii="Times New Roman" w:hAnsi="Times New Roman" w:eastAsia="宋体" w:cs="Times New Roman"/>
                <w:bCs/>
                <w:color w:val="auto"/>
                <w:kern w:val="2"/>
                <w:sz w:val="24"/>
                <w:szCs w:val="24"/>
                <w:highlight w:val="none"/>
                <w:lang w:val="en-US" w:eastAsia="zh-CN" w:bidi="ar-SA"/>
              </w:rPr>
              <w:t>；简单沉淀对其他污染物的去除效率记为0%。</w:t>
            </w:r>
            <w:r>
              <w:rPr>
                <w:rFonts w:hint="eastAsia" w:cs="Times New Roman"/>
                <w:bCs/>
                <w:color w:val="auto"/>
                <w:szCs w:val="24"/>
                <w:highlight w:val="none"/>
                <w:lang w:val="en-US" w:eastAsia="zh-CN"/>
              </w:rPr>
              <w:t>其中沂水县鑫发农副产品有限公司锅炉项目、东辽县安石镇集中供热清洁化改造项目、肇源县博茹物业管理服务有限责任公司燃煤改生物质锅炉供暖项目检测数据为锅炉排污水和软化处理废水经一级物理沉淀处理后的浓度，故纳入类比考虑时，在现有检测数据的基础上将SS浓度增加50%进行类比分析，其他污染物排放浓度近似等于产生浓度。</w:t>
            </w:r>
          </w:p>
          <w:bookmarkEnd w:id="88"/>
          <w:p w14:paraId="1DA04475">
            <w:pPr>
              <w:pStyle w:val="176"/>
              <w:ind w:firstLine="480"/>
              <w:rPr>
                <w:rFonts w:hint="default"/>
                <w:highlight w:val="none"/>
                <w:lang w:val="en-US" w:eastAsia="zh-CN"/>
              </w:rPr>
            </w:pPr>
            <w:r>
              <w:rPr>
                <w:rFonts w:hint="eastAsia" w:cs="Times New Roman"/>
                <w:bCs/>
                <w:color w:val="auto"/>
                <w:szCs w:val="24"/>
                <w:highlight w:val="none"/>
                <w:lang w:val="en-US" w:eastAsia="zh-CN"/>
              </w:rPr>
              <w:t>根据表4-6统计，锅炉排污水和软化处理废水的COD产生浓度在 55-68.38mg/L；BOD产生浓度在7-18.5mg/L；氨氮产生浓度在0.0825-3.10mg/L；悬浮物产生浓度在29-60mg/L；全盐量产生浓度在401-592.5mg/L</w:t>
            </w:r>
          </w:p>
          <w:p w14:paraId="2E1F37BB">
            <w:pPr>
              <w:adjustRightInd w:val="0"/>
              <w:snapToGrid w:val="0"/>
              <w:spacing w:line="360" w:lineRule="auto"/>
              <w:ind w:firstLine="480" w:firstLineChars="200"/>
              <w:rPr>
                <w:rFonts w:hint="default" w:ascii="Times New Roman" w:hAnsi="Times New Roman" w:eastAsia="宋体" w:cs="Times New Roman"/>
                <w:color w:val="000000"/>
                <w:sz w:val="24"/>
                <w:szCs w:val="22"/>
                <w:highlight w:val="none"/>
                <w:lang w:val="en-US" w:eastAsia="zh-CN"/>
              </w:rPr>
            </w:pPr>
            <w:r>
              <w:rPr>
                <w:rFonts w:hint="default" w:ascii="Times New Roman" w:hAnsi="Times New Roman" w:eastAsia="宋体" w:cs="Times New Roman"/>
                <w:color w:val="000000"/>
                <w:sz w:val="24"/>
                <w:szCs w:val="22"/>
                <w:highlight w:val="none"/>
                <w:lang w:val="en-US" w:eastAsia="zh-CN"/>
              </w:rPr>
              <w:t>本项目参考</w:t>
            </w:r>
            <w:r>
              <w:rPr>
                <w:rFonts w:hint="eastAsia" w:cs="Times New Roman"/>
                <w:color w:val="000000"/>
                <w:sz w:val="24"/>
                <w:szCs w:val="22"/>
                <w:highlight w:val="none"/>
                <w:lang w:val="en-US" w:eastAsia="zh-CN"/>
              </w:rPr>
              <w:t>表4-6所列企业锅炉</w:t>
            </w:r>
            <w:r>
              <w:rPr>
                <w:rFonts w:hint="default" w:ascii="Times New Roman" w:hAnsi="Times New Roman" w:eastAsia="宋体" w:cs="Times New Roman"/>
                <w:color w:val="000000"/>
                <w:sz w:val="24"/>
                <w:szCs w:val="22"/>
                <w:highlight w:val="none"/>
                <w:lang w:val="en-US" w:eastAsia="zh-CN"/>
              </w:rPr>
              <w:t>废水水质数据，</w:t>
            </w:r>
            <w:r>
              <w:rPr>
                <w:rFonts w:hint="eastAsia" w:cs="Times New Roman"/>
                <w:color w:val="000000"/>
                <w:sz w:val="24"/>
                <w:szCs w:val="22"/>
                <w:highlight w:val="none"/>
                <w:lang w:val="en-US" w:eastAsia="zh-CN"/>
              </w:rPr>
              <w:t>同时根据建设单位提供资料保守分析，本</w:t>
            </w:r>
            <w:r>
              <w:rPr>
                <w:rFonts w:hint="default" w:ascii="Times New Roman" w:hAnsi="Times New Roman" w:eastAsia="宋体" w:cs="Times New Roman"/>
                <w:color w:val="000000"/>
                <w:sz w:val="24"/>
                <w:szCs w:val="22"/>
                <w:highlight w:val="none"/>
                <w:lang w:val="en-US" w:eastAsia="zh-CN"/>
              </w:rPr>
              <w:t>项目各类废水污染物</w:t>
            </w:r>
            <w:r>
              <w:rPr>
                <w:rFonts w:hint="eastAsia" w:cs="Times New Roman"/>
                <w:color w:val="000000"/>
                <w:sz w:val="24"/>
                <w:szCs w:val="22"/>
                <w:highlight w:val="none"/>
                <w:lang w:val="en-US" w:eastAsia="zh-CN"/>
              </w:rPr>
              <w:t>浓度：</w:t>
            </w:r>
            <w:r>
              <w:rPr>
                <w:rFonts w:hint="default" w:ascii="Times New Roman" w:hAnsi="Times New Roman" w:eastAsia="宋体" w:cs="Times New Roman"/>
                <w:color w:val="000000"/>
                <w:sz w:val="24"/>
                <w:szCs w:val="22"/>
                <w:highlight w:val="none"/>
                <w:lang w:val="en-US" w:eastAsia="zh-CN"/>
              </w:rPr>
              <w:t xml:space="preserve">COD </w:t>
            </w:r>
            <w:r>
              <w:rPr>
                <w:rFonts w:hint="eastAsia" w:cs="Times New Roman"/>
                <w:color w:val="000000"/>
                <w:sz w:val="24"/>
                <w:szCs w:val="22"/>
                <w:highlight w:val="none"/>
                <w:lang w:val="en-US" w:eastAsia="zh-CN"/>
              </w:rPr>
              <w:t>70m</w:t>
            </w:r>
            <w:r>
              <w:rPr>
                <w:rFonts w:hint="default" w:ascii="Times New Roman" w:hAnsi="Times New Roman" w:eastAsia="宋体" w:cs="Times New Roman"/>
                <w:color w:val="000000"/>
                <w:sz w:val="24"/>
                <w:szCs w:val="22"/>
                <w:highlight w:val="none"/>
                <w:lang w:val="en-US" w:eastAsia="zh-CN"/>
              </w:rPr>
              <w:t>g/L；BOD</w:t>
            </w:r>
            <w:r>
              <w:rPr>
                <w:rFonts w:hint="eastAsia" w:cs="Times New Roman"/>
                <w:color w:val="000000"/>
                <w:sz w:val="24"/>
                <w:szCs w:val="22"/>
                <w:highlight w:val="none"/>
                <w:lang w:val="en-US" w:eastAsia="zh-CN"/>
              </w:rPr>
              <w:t xml:space="preserve"> 20</w:t>
            </w:r>
            <w:r>
              <w:rPr>
                <w:rFonts w:hint="default" w:ascii="Times New Roman" w:hAnsi="Times New Roman" w:eastAsia="宋体" w:cs="Times New Roman"/>
                <w:color w:val="000000"/>
                <w:sz w:val="24"/>
                <w:szCs w:val="22"/>
                <w:highlight w:val="none"/>
                <w:lang w:val="en-US" w:eastAsia="zh-CN"/>
              </w:rPr>
              <w:t>mg/L；氨氮</w:t>
            </w:r>
            <w:r>
              <w:rPr>
                <w:rFonts w:hint="eastAsia" w:cs="Times New Roman"/>
                <w:color w:val="000000"/>
                <w:sz w:val="24"/>
                <w:szCs w:val="22"/>
                <w:highlight w:val="none"/>
                <w:lang w:val="en-US" w:eastAsia="zh-CN"/>
              </w:rPr>
              <w:t>5</w:t>
            </w:r>
            <w:r>
              <w:rPr>
                <w:rFonts w:hint="default" w:ascii="Times New Roman" w:hAnsi="Times New Roman" w:eastAsia="宋体" w:cs="Times New Roman"/>
                <w:color w:val="000000"/>
                <w:sz w:val="24"/>
                <w:szCs w:val="22"/>
                <w:highlight w:val="none"/>
                <w:lang w:val="en-US" w:eastAsia="zh-CN"/>
              </w:rPr>
              <w:t>mg/L；悬浮物</w:t>
            </w:r>
            <w:r>
              <w:rPr>
                <w:rFonts w:hint="eastAsia" w:cs="Times New Roman"/>
                <w:color w:val="000000"/>
                <w:sz w:val="24"/>
                <w:szCs w:val="22"/>
                <w:highlight w:val="none"/>
                <w:lang w:val="en-US" w:eastAsia="zh-CN"/>
              </w:rPr>
              <w:t>60</w:t>
            </w:r>
            <w:r>
              <w:rPr>
                <w:rFonts w:hint="default" w:ascii="Times New Roman" w:hAnsi="Times New Roman" w:eastAsia="宋体" w:cs="Times New Roman"/>
                <w:color w:val="000000"/>
                <w:sz w:val="24"/>
                <w:szCs w:val="22"/>
                <w:highlight w:val="none"/>
                <w:lang w:val="en-US" w:eastAsia="zh-CN"/>
              </w:rPr>
              <w:t>mg/L；全盐量</w:t>
            </w:r>
            <w:r>
              <w:rPr>
                <w:rFonts w:hint="eastAsia" w:cs="Times New Roman"/>
                <w:color w:val="000000"/>
                <w:sz w:val="24"/>
                <w:szCs w:val="22"/>
                <w:highlight w:val="none"/>
                <w:lang w:val="en-US" w:eastAsia="zh-CN"/>
              </w:rPr>
              <w:t>600</w:t>
            </w:r>
            <w:r>
              <w:rPr>
                <w:rFonts w:hint="default" w:ascii="Times New Roman" w:hAnsi="Times New Roman" w:eastAsia="宋体" w:cs="Times New Roman"/>
                <w:color w:val="000000"/>
                <w:sz w:val="24"/>
                <w:szCs w:val="22"/>
                <w:highlight w:val="none"/>
                <w:lang w:val="en-US" w:eastAsia="zh-CN"/>
              </w:rPr>
              <w:t>mg/L</w:t>
            </w:r>
            <w:r>
              <w:rPr>
                <w:rFonts w:hint="eastAsia" w:cs="Times New Roman"/>
                <w:color w:val="000000"/>
                <w:sz w:val="24"/>
                <w:szCs w:val="22"/>
                <w:highlight w:val="none"/>
                <w:lang w:val="en-US" w:eastAsia="zh-CN"/>
              </w:rPr>
              <w:t>，详细</w:t>
            </w:r>
            <w:r>
              <w:rPr>
                <w:rFonts w:hint="default" w:ascii="Times New Roman" w:hAnsi="Times New Roman" w:eastAsia="宋体" w:cs="Times New Roman"/>
                <w:color w:val="000000"/>
                <w:sz w:val="24"/>
                <w:szCs w:val="22"/>
                <w:highlight w:val="none"/>
                <w:lang w:val="en-US" w:eastAsia="zh-CN"/>
              </w:rPr>
              <w:t>分析结果见表</w:t>
            </w:r>
            <w:r>
              <w:rPr>
                <w:rFonts w:hint="eastAsia" w:cs="Times New Roman"/>
                <w:color w:val="000000"/>
                <w:sz w:val="24"/>
                <w:szCs w:val="22"/>
                <w:highlight w:val="none"/>
                <w:lang w:val="en-US" w:eastAsia="zh-CN"/>
              </w:rPr>
              <w:t>4-7</w:t>
            </w:r>
            <w:r>
              <w:rPr>
                <w:rFonts w:hint="default" w:ascii="Times New Roman" w:hAnsi="Times New Roman" w:eastAsia="宋体" w:cs="Times New Roman"/>
                <w:color w:val="000000"/>
                <w:sz w:val="24"/>
                <w:szCs w:val="22"/>
                <w:highlight w:val="none"/>
                <w:lang w:val="en-US" w:eastAsia="zh-CN"/>
              </w:rPr>
              <w:t>。</w:t>
            </w:r>
          </w:p>
          <w:p w14:paraId="1C0F848C">
            <w:pPr>
              <w:pStyle w:val="177"/>
              <w:jc w:val="center"/>
              <w:rPr>
                <w:rFonts w:hint="default" w:ascii="Times New Roman" w:hAnsi="Times New Roman" w:eastAsia="宋体" w:cs="Times New Roman"/>
                <w:b/>
                <w:bCs/>
                <w:sz w:val="24"/>
                <w:szCs w:val="32"/>
                <w:highlight w:val="none"/>
                <w:lang w:val="en-US" w:eastAsia="zh-CN"/>
              </w:rPr>
            </w:pPr>
            <w:r>
              <w:rPr>
                <w:rFonts w:hint="default" w:ascii="Times New Roman" w:hAnsi="Times New Roman" w:eastAsia="宋体" w:cs="Times New Roman"/>
                <w:b/>
                <w:bCs/>
                <w:sz w:val="24"/>
                <w:szCs w:val="32"/>
                <w:highlight w:val="none"/>
                <w:lang w:val="en-US" w:eastAsia="zh-CN"/>
              </w:rPr>
              <w:t>表</w:t>
            </w:r>
            <w:r>
              <w:rPr>
                <w:rFonts w:hint="eastAsia" w:cs="Times New Roman"/>
                <w:b/>
                <w:bCs/>
                <w:sz w:val="24"/>
                <w:szCs w:val="32"/>
                <w:highlight w:val="none"/>
                <w:lang w:val="en-US" w:eastAsia="zh-CN"/>
              </w:rPr>
              <w:t>4</w:t>
            </w:r>
            <w:r>
              <w:rPr>
                <w:rFonts w:hint="default" w:ascii="Times New Roman" w:hAnsi="Times New Roman" w:eastAsia="宋体" w:cs="Times New Roman"/>
                <w:b/>
                <w:bCs/>
                <w:sz w:val="24"/>
                <w:szCs w:val="32"/>
                <w:highlight w:val="none"/>
                <w:lang w:val="en-US" w:eastAsia="zh-CN"/>
              </w:rPr>
              <w:t>-</w:t>
            </w:r>
            <w:r>
              <w:rPr>
                <w:rFonts w:hint="eastAsia" w:cs="Times New Roman"/>
                <w:b/>
                <w:bCs/>
                <w:sz w:val="24"/>
                <w:szCs w:val="32"/>
                <w:highlight w:val="none"/>
                <w:lang w:val="en-US" w:eastAsia="zh-CN"/>
              </w:rPr>
              <w:t>6（a）</w:t>
            </w:r>
            <w:r>
              <w:rPr>
                <w:rFonts w:hint="default" w:ascii="Times New Roman" w:hAnsi="Times New Roman" w:eastAsia="宋体" w:cs="Times New Roman"/>
                <w:b/>
                <w:bCs/>
                <w:sz w:val="24"/>
                <w:szCs w:val="32"/>
                <w:highlight w:val="none"/>
                <w:lang w:val="en-US" w:eastAsia="zh-CN"/>
              </w:rPr>
              <w:t xml:space="preserve">  《遂溪县环洋网业有限公司锅炉改扩建项目》各类废水产生浓度监测数据（</w:t>
            </w:r>
            <w:r>
              <w:rPr>
                <w:rFonts w:hint="eastAsia" w:cs="Times New Roman"/>
                <w:b/>
                <w:bCs/>
                <w:sz w:val="24"/>
                <w:szCs w:val="32"/>
                <w:highlight w:val="none"/>
                <w:lang w:val="en-US" w:eastAsia="zh-CN"/>
              </w:rPr>
              <w:t>数据来源于报告中提及的</w:t>
            </w:r>
            <w:r>
              <w:rPr>
                <w:rFonts w:hint="default" w:ascii="Times New Roman" w:hAnsi="Times New Roman" w:eastAsia="宋体" w:cs="Times New Roman"/>
                <w:b/>
                <w:bCs/>
                <w:sz w:val="24"/>
                <w:szCs w:val="32"/>
                <w:highlight w:val="none"/>
                <w:lang w:val="en-US" w:eastAsia="zh-CN"/>
              </w:rPr>
              <w:t>2021 年和 2024 年验收监测检测报告）</w:t>
            </w:r>
          </w:p>
          <w:tbl>
            <w:tblPr>
              <w:tblStyle w:val="31"/>
              <w:tblW w:w="4916"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185"/>
              <w:gridCol w:w="2188"/>
              <w:gridCol w:w="1847"/>
              <w:gridCol w:w="1852"/>
            </w:tblGrid>
            <w:tr w14:paraId="0CB4D8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EC72F2">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spacing w:val="-2"/>
                      <w:kern w:val="0"/>
                      <w:sz w:val="21"/>
                      <w:szCs w:val="21"/>
                      <w:highlight w:val="none"/>
                      <w:u w:val="none"/>
                      <w:lang w:val="en-US" w:eastAsia="zh-CN" w:bidi="ar"/>
                    </w:rPr>
                    <w:t>废水种类</w:t>
                  </w:r>
                </w:p>
              </w:tc>
              <w:tc>
                <w:tcPr>
                  <w:tcW w:w="13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85DA9B">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spacing w:val="-2"/>
                      <w:kern w:val="0"/>
                      <w:sz w:val="21"/>
                      <w:szCs w:val="21"/>
                      <w:highlight w:val="none"/>
                      <w:u w:val="none"/>
                      <w:lang w:val="en-US" w:eastAsia="zh-CN" w:bidi="ar"/>
                    </w:rPr>
                    <w:t>检测项目</w:t>
                  </w:r>
                </w:p>
              </w:tc>
              <w:tc>
                <w:tcPr>
                  <w:tcW w:w="11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59EE30">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spacing w:val="-2"/>
                      <w:kern w:val="0"/>
                      <w:sz w:val="21"/>
                      <w:szCs w:val="21"/>
                      <w:highlight w:val="none"/>
                      <w:u w:val="none"/>
                      <w:lang w:val="en-US" w:eastAsia="zh-CN" w:bidi="ar"/>
                    </w:rPr>
                    <w:t>结果</w:t>
                  </w:r>
                </w:p>
              </w:tc>
              <w:tc>
                <w:tcPr>
                  <w:tcW w:w="11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29626D">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spacing w:val="-2"/>
                      <w:kern w:val="0"/>
                      <w:sz w:val="21"/>
                      <w:szCs w:val="21"/>
                      <w:highlight w:val="none"/>
                      <w:u w:val="none"/>
                      <w:lang w:val="en-US" w:eastAsia="zh-CN" w:bidi="ar"/>
                    </w:rPr>
                    <w:t>单位</w:t>
                  </w:r>
                </w:p>
              </w:tc>
            </w:tr>
            <w:tr w14:paraId="264E49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35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94BE4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sz w:val="21"/>
                      <w:szCs w:val="21"/>
                      <w:highlight w:val="none"/>
                      <w:u w:val="none"/>
                    </w:rPr>
                    <w:t>锅炉排污水和软化处理废水</w:t>
                  </w:r>
                </w:p>
              </w:tc>
              <w:tc>
                <w:tcPr>
                  <w:tcW w:w="13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05F66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spacing w:val="-2"/>
                      <w:kern w:val="0"/>
                      <w:sz w:val="21"/>
                      <w:szCs w:val="21"/>
                      <w:highlight w:val="none"/>
                      <w:u w:val="none"/>
                      <w:lang w:val="en-US" w:eastAsia="zh-CN" w:bidi="ar"/>
                    </w:rPr>
                    <w:t>pH</w:t>
                  </w:r>
                </w:p>
              </w:tc>
              <w:tc>
                <w:tcPr>
                  <w:tcW w:w="11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91A96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color w:val="000000"/>
                      <w:spacing w:val="-2"/>
                      <w:kern w:val="0"/>
                      <w:sz w:val="21"/>
                      <w:szCs w:val="21"/>
                      <w:highlight w:val="none"/>
                      <w:u w:val="none"/>
                      <w:lang w:val="en-US" w:eastAsia="zh-CN" w:bidi="ar"/>
                    </w:rPr>
                    <w:t>6-9</w:t>
                  </w:r>
                </w:p>
              </w:tc>
              <w:tc>
                <w:tcPr>
                  <w:tcW w:w="11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3EEDA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spacing w:val="-2"/>
                      <w:kern w:val="0"/>
                      <w:sz w:val="21"/>
                      <w:szCs w:val="21"/>
                      <w:highlight w:val="none"/>
                      <w:u w:val="none"/>
                      <w:lang w:val="en-US" w:eastAsia="zh-CN" w:bidi="ar"/>
                    </w:rPr>
                    <w:t>无量纲</w:t>
                  </w:r>
                </w:p>
              </w:tc>
            </w:tr>
            <w:tr w14:paraId="5221A2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35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842B8D">
                  <w:pPr>
                    <w:jc w:val="center"/>
                    <w:rPr>
                      <w:rFonts w:hint="default" w:ascii="Times New Roman" w:hAnsi="Times New Roman" w:eastAsia="宋体" w:cs="Times New Roman"/>
                      <w:i w:val="0"/>
                      <w:iCs w:val="0"/>
                      <w:color w:val="000000"/>
                      <w:sz w:val="21"/>
                      <w:szCs w:val="21"/>
                      <w:highlight w:val="none"/>
                      <w:u w:val="none"/>
                    </w:rPr>
                  </w:pPr>
                </w:p>
              </w:tc>
              <w:tc>
                <w:tcPr>
                  <w:tcW w:w="13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D6359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spacing w:val="-2"/>
                      <w:kern w:val="0"/>
                      <w:sz w:val="21"/>
                      <w:szCs w:val="21"/>
                      <w:highlight w:val="none"/>
                      <w:u w:val="none"/>
                      <w:lang w:val="en-US" w:eastAsia="zh-CN" w:bidi="ar"/>
                    </w:rPr>
                    <w:t>CODcr</w:t>
                  </w:r>
                </w:p>
              </w:tc>
              <w:tc>
                <w:tcPr>
                  <w:tcW w:w="11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D5BC3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color w:val="000000"/>
                      <w:spacing w:val="-2"/>
                      <w:kern w:val="0"/>
                      <w:sz w:val="21"/>
                      <w:szCs w:val="21"/>
                      <w:highlight w:val="none"/>
                      <w:u w:val="none"/>
                      <w:lang w:val="en-US" w:eastAsia="zh-CN" w:bidi="ar"/>
                    </w:rPr>
                    <w:t>55</w:t>
                  </w:r>
                </w:p>
              </w:tc>
              <w:tc>
                <w:tcPr>
                  <w:tcW w:w="11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C4801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spacing w:val="-2"/>
                      <w:kern w:val="0"/>
                      <w:sz w:val="21"/>
                      <w:szCs w:val="21"/>
                      <w:highlight w:val="none"/>
                      <w:u w:val="none"/>
                      <w:lang w:val="en-US" w:eastAsia="zh-CN" w:bidi="ar"/>
                    </w:rPr>
                    <w:t>mg/L</w:t>
                  </w:r>
                </w:p>
              </w:tc>
            </w:tr>
            <w:tr w14:paraId="7547ED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135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9F6B42">
                  <w:pPr>
                    <w:jc w:val="center"/>
                    <w:rPr>
                      <w:rFonts w:hint="default" w:ascii="Times New Roman" w:hAnsi="Times New Roman" w:eastAsia="宋体" w:cs="Times New Roman"/>
                      <w:i w:val="0"/>
                      <w:iCs w:val="0"/>
                      <w:color w:val="000000"/>
                      <w:sz w:val="21"/>
                      <w:szCs w:val="21"/>
                      <w:highlight w:val="none"/>
                      <w:u w:val="none"/>
                    </w:rPr>
                  </w:pPr>
                </w:p>
              </w:tc>
              <w:tc>
                <w:tcPr>
                  <w:tcW w:w="13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708A3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spacing w:val="-2"/>
                      <w:kern w:val="0"/>
                      <w:sz w:val="21"/>
                      <w:szCs w:val="21"/>
                      <w:highlight w:val="none"/>
                      <w:u w:val="none"/>
                      <w:lang w:val="en-US" w:eastAsia="zh-CN" w:bidi="ar"/>
                    </w:rPr>
                    <w:t>BOD</w:t>
                  </w:r>
                  <w:r>
                    <w:rPr>
                      <w:rFonts w:hint="default" w:ascii="Times New Roman" w:hAnsi="Times New Roman" w:eastAsia="宋体" w:cs="Times New Roman"/>
                      <w:i w:val="0"/>
                      <w:iCs w:val="0"/>
                      <w:color w:val="000000"/>
                      <w:spacing w:val="-2"/>
                      <w:kern w:val="0"/>
                      <w:sz w:val="21"/>
                      <w:szCs w:val="21"/>
                      <w:highlight w:val="none"/>
                      <w:u w:val="none"/>
                      <w:vertAlign w:val="subscript"/>
                      <w:lang w:val="en-US" w:eastAsia="zh-CN" w:bidi="ar"/>
                    </w:rPr>
                    <w:t>5</w:t>
                  </w:r>
                </w:p>
              </w:tc>
              <w:tc>
                <w:tcPr>
                  <w:tcW w:w="11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38B11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color w:val="000000"/>
                      <w:spacing w:val="-2"/>
                      <w:kern w:val="0"/>
                      <w:sz w:val="21"/>
                      <w:szCs w:val="21"/>
                      <w:highlight w:val="none"/>
                      <w:u w:val="none"/>
                      <w:lang w:val="en-US" w:eastAsia="zh-CN" w:bidi="ar"/>
                    </w:rPr>
                    <w:t>18.5</w:t>
                  </w:r>
                </w:p>
              </w:tc>
              <w:tc>
                <w:tcPr>
                  <w:tcW w:w="11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4E72C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spacing w:val="-2"/>
                      <w:kern w:val="0"/>
                      <w:sz w:val="21"/>
                      <w:szCs w:val="21"/>
                      <w:highlight w:val="none"/>
                      <w:u w:val="none"/>
                      <w:lang w:val="en-US" w:eastAsia="zh-CN" w:bidi="ar"/>
                    </w:rPr>
                    <w:t>mg/L</w:t>
                  </w:r>
                </w:p>
              </w:tc>
            </w:tr>
            <w:tr w14:paraId="16FA52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35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DD5930">
                  <w:pPr>
                    <w:jc w:val="center"/>
                    <w:rPr>
                      <w:rFonts w:hint="default" w:ascii="Times New Roman" w:hAnsi="Times New Roman" w:eastAsia="宋体" w:cs="Times New Roman"/>
                      <w:i w:val="0"/>
                      <w:iCs w:val="0"/>
                      <w:color w:val="000000"/>
                      <w:sz w:val="21"/>
                      <w:szCs w:val="21"/>
                      <w:highlight w:val="none"/>
                      <w:u w:val="none"/>
                    </w:rPr>
                  </w:pPr>
                </w:p>
              </w:tc>
              <w:tc>
                <w:tcPr>
                  <w:tcW w:w="13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AB913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spacing w:val="-2"/>
                      <w:kern w:val="0"/>
                      <w:sz w:val="21"/>
                      <w:szCs w:val="21"/>
                      <w:highlight w:val="none"/>
                      <w:u w:val="none"/>
                      <w:lang w:val="en-US" w:eastAsia="zh-CN" w:bidi="ar"/>
                    </w:rPr>
                    <w:t>SS</w:t>
                  </w:r>
                </w:p>
              </w:tc>
              <w:tc>
                <w:tcPr>
                  <w:tcW w:w="11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158A2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color w:val="000000"/>
                      <w:spacing w:val="-2"/>
                      <w:kern w:val="0"/>
                      <w:sz w:val="21"/>
                      <w:szCs w:val="21"/>
                      <w:highlight w:val="none"/>
                      <w:u w:val="none"/>
                      <w:lang w:val="en-US" w:eastAsia="zh-CN" w:bidi="ar"/>
                    </w:rPr>
                    <w:t>30</w:t>
                  </w:r>
                </w:p>
              </w:tc>
              <w:tc>
                <w:tcPr>
                  <w:tcW w:w="11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217EE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spacing w:val="-2"/>
                      <w:kern w:val="0"/>
                      <w:sz w:val="21"/>
                      <w:szCs w:val="21"/>
                      <w:highlight w:val="none"/>
                      <w:u w:val="none"/>
                      <w:lang w:val="en-US" w:eastAsia="zh-CN" w:bidi="ar"/>
                    </w:rPr>
                    <w:t>mg/L</w:t>
                  </w:r>
                </w:p>
              </w:tc>
            </w:tr>
            <w:tr w14:paraId="4F9C45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35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08F293">
                  <w:pPr>
                    <w:jc w:val="center"/>
                    <w:rPr>
                      <w:rFonts w:hint="default" w:ascii="Times New Roman" w:hAnsi="Times New Roman" w:eastAsia="宋体" w:cs="Times New Roman"/>
                      <w:i w:val="0"/>
                      <w:iCs w:val="0"/>
                      <w:color w:val="000000"/>
                      <w:sz w:val="21"/>
                      <w:szCs w:val="21"/>
                      <w:highlight w:val="none"/>
                      <w:u w:val="none"/>
                    </w:rPr>
                  </w:pPr>
                </w:p>
              </w:tc>
              <w:tc>
                <w:tcPr>
                  <w:tcW w:w="13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368DEE">
                  <w:pPr>
                    <w:keepNext w:val="0"/>
                    <w:keepLines w:val="0"/>
                    <w:widowControl/>
                    <w:suppressLineNumbers w:val="0"/>
                    <w:jc w:val="center"/>
                    <w:textAlignment w:val="center"/>
                    <w:rPr>
                      <w:rFonts w:hint="default" w:ascii="Times New Roman" w:hAnsi="Times New Roman" w:eastAsia="宋体" w:cs="Times New Roman"/>
                      <w:i w:val="0"/>
                      <w:iCs w:val="0"/>
                      <w:color w:val="000000"/>
                      <w:spacing w:val="-2"/>
                      <w:kern w:val="0"/>
                      <w:sz w:val="21"/>
                      <w:szCs w:val="21"/>
                      <w:highlight w:val="none"/>
                      <w:u w:val="none"/>
                      <w:lang w:val="en-US" w:eastAsia="zh-CN" w:bidi="ar"/>
                    </w:rPr>
                  </w:pPr>
                  <w:r>
                    <w:rPr>
                      <w:rFonts w:hint="eastAsia" w:cs="Times New Roman"/>
                      <w:i w:val="0"/>
                      <w:iCs w:val="0"/>
                      <w:color w:val="000000"/>
                      <w:spacing w:val="-2"/>
                      <w:kern w:val="0"/>
                      <w:sz w:val="21"/>
                      <w:szCs w:val="21"/>
                      <w:highlight w:val="none"/>
                      <w:u w:val="none"/>
                      <w:lang w:val="en-US" w:eastAsia="zh-CN" w:bidi="ar"/>
                    </w:rPr>
                    <w:t>氨氮</w:t>
                  </w:r>
                </w:p>
              </w:tc>
              <w:tc>
                <w:tcPr>
                  <w:tcW w:w="11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017919">
                  <w:pPr>
                    <w:keepNext w:val="0"/>
                    <w:keepLines w:val="0"/>
                    <w:widowControl/>
                    <w:suppressLineNumbers w:val="0"/>
                    <w:jc w:val="center"/>
                    <w:textAlignment w:val="center"/>
                    <w:rPr>
                      <w:rFonts w:hint="default" w:ascii="Times New Roman" w:hAnsi="Times New Roman" w:eastAsia="宋体" w:cs="Times New Roman"/>
                      <w:i w:val="0"/>
                      <w:iCs w:val="0"/>
                      <w:color w:val="000000"/>
                      <w:spacing w:val="-2"/>
                      <w:kern w:val="0"/>
                      <w:sz w:val="21"/>
                      <w:szCs w:val="21"/>
                      <w:highlight w:val="none"/>
                      <w:u w:val="none"/>
                      <w:lang w:val="en-US" w:eastAsia="zh-CN" w:bidi="ar"/>
                    </w:rPr>
                  </w:pPr>
                  <w:r>
                    <w:rPr>
                      <w:rFonts w:hint="eastAsia" w:cs="Times New Roman"/>
                      <w:i w:val="0"/>
                      <w:iCs w:val="0"/>
                      <w:color w:val="000000"/>
                      <w:spacing w:val="-2"/>
                      <w:kern w:val="0"/>
                      <w:sz w:val="21"/>
                      <w:szCs w:val="21"/>
                      <w:highlight w:val="none"/>
                      <w:u w:val="none"/>
                      <w:lang w:val="en-US" w:eastAsia="zh-CN" w:bidi="ar"/>
                    </w:rPr>
                    <w:t>3.10</w:t>
                  </w:r>
                </w:p>
              </w:tc>
              <w:tc>
                <w:tcPr>
                  <w:tcW w:w="11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2FE5F5">
                  <w:pPr>
                    <w:keepNext w:val="0"/>
                    <w:keepLines w:val="0"/>
                    <w:widowControl/>
                    <w:suppressLineNumbers w:val="0"/>
                    <w:jc w:val="center"/>
                    <w:textAlignment w:val="center"/>
                    <w:rPr>
                      <w:rFonts w:hint="default" w:ascii="Times New Roman" w:hAnsi="Times New Roman" w:eastAsia="宋体" w:cs="Times New Roman"/>
                      <w:i w:val="0"/>
                      <w:iCs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color w:val="000000"/>
                      <w:spacing w:val="-2"/>
                      <w:kern w:val="0"/>
                      <w:sz w:val="21"/>
                      <w:szCs w:val="21"/>
                      <w:highlight w:val="none"/>
                      <w:u w:val="none"/>
                      <w:lang w:val="en-US" w:eastAsia="zh-CN" w:bidi="ar"/>
                    </w:rPr>
                    <w:t>mg/L</w:t>
                  </w:r>
                </w:p>
              </w:tc>
            </w:tr>
            <w:tr w14:paraId="2662F6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135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A23D84">
                  <w:pPr>
                    <w:jc w:val="center"/>
                    <w:rPr>
                      <w:rFonts w:hint="default" w:ascii="Times New Roman" w:hAnsi="Times New Roman" w:eastAsia="宋体" w:cs="Times New Roman"/>
                      <w:i w:val="0"/>
                      <w:iCs w:val="0"/>
                      <w:color w:val="000000"/>
                      <w:sz w:val="21"/>
                      <w:szCs w:val="21"/>
                      <w:highlight w:val="none"/>
                      <w:u w:val="none"/>
                    </w:rPr>
                  </w:pPr>
                </w:p>
              </w:tc>
              <w:tc>
                <w:tcPr>
                  <w:tcW w:w="13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F5291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color w:val="000000"/>
                      <w:spacing w:val="-2"/>
                      <w:kern w:val="0"/>
                      <w:sz w:val="21"/>
                      <w:szCs w:val="21"/>
                      <w:highlight w:val="none"/>
                      <w:u w:val="none"/>
                      <w:lang w:val="en-US" w:eastAsia="zh-CN" w:bidi="ar"/>
                    </w:rPr>
                    <w:t>溶解性总固体</w:t>
                  </w:r>
                </w:p>
              </w:tc>
              <w:tc>
                <w:tcPr>
                  <w:tcW w:w="11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7ACF1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color w:val="000000"/>
                      <w:spacing w:val="-2"/>
                      <w:kern w:val="0"/>
                      <w:sz w:val="21"/>
                      <w:szCs w:val="21"/>
                      <w:highlight w:val="none"/>
                      <w:u w:val="none"/>
                      <w:lang w:val="en-US" w:eastAsia="zh-CN" w:bidi="ar"/>
                    </w:rPr>
                    <w:t>401</w:t>
                  </w:r>
                </w:p>
              </w:tc>
              <w:tc>
                <w:tcPr>
                  <w:tcW w:w="11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6C629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spacing w:val="-2"/>
                      <w:kern w:val="0"/>
                      <w:sz w:val="21"/>
                      <w:szCs w:val="21"/>
                      <w:highlight w:val="none"/>
                      <w:u w:val="none"/>
                      <w:lang w:val="en-US" w:eastAsia="zh-CN" w:bidi="ar"/>
                    </w:rPr>
                    <w:t>mg/L</w:t>
                  </w:r>
                </w:p>
              </w:tc>
            </w:tr>
            <w:tr w14:paraId="364F41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5000"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0997493">
                  <w:pPr>
                    <w:keepNext w:val="0"/>
                    <w:keepLines w:val="0"/>
                    <w:widowControl/>
                    <w:suppressLineNumbers w:val="0"/>
                    <w:jc w:val="center"/>
                    <w:textAlignment w:val="center"/>
                    <w:rPr>
                      <w:rFonts w:hint="default" w:ascii="Times New Roman" w:hAnsi="Times New Roman" w:eastAsia="宋体" w:cs="Times New Roman"/>
                      <w:i w:val="0"/>
                      <w:iCs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color w:val="000000"/>
                      <w:sz w:val="21"/>
                      <w:szCs w:val="21"/>
                      <w:highlight w:val="none"/>
                      <w:u w:val="none"/>
                    </w:rPr>
                    <w:t>注：上表中的排放浓度为两天检测结果的平均值。</w:t>
                  </w:r>
                </w:p>
              </w:tc>
            </w:tr>
          </w:tbl>
          <w:p w14:paraId="26BAA0D1">
            <w:pPr>
              <w:pStyle w:val="177"/>
              <w:jc w:val="center"/>
              <w:rPr>
                <w:rFonts w:hint="default" w:ascii="Times New Roman" w:hAnsi="Times New Roman" w:eastAsia="宋体" w:cs="Times New Roman"/>
                <w:b/>
                <w:bCs/>
                <w:strike w:val="0"/>
                <w:dstrike w:val="0"/>
                <w:sz w:val="24"/>
                <w:szCs w:val="32"/>
                <w:highlight w:val="none"/>
                <w:lang w:val="en-US" w:eastAsia="zh-CN"/>
              </w:rPr>
            </w:pPr>
          </w:p>
          <w:p w14:paraId="7BCF8716">
            <w:pPr>
              <w:pStyle w:val="177"/>
              <w:jc w:val="center"/>
              <w:rPr>
                <w:rFonts w:hint="default" w:ascii="Times New Roman" w:hAnsi="Times New Roman" w:eastAsia="宋体" w:cs="Times New Roman"/>
                <w:b/>
                <w:bCs/>
                <w:strike w:val="0"/>
                <w:dstrike w:val="0"/>
                <w:sz w:val="24"/>
                <w:szCs w:val="32"/>
                <w:highlight w:val="none"/>
                <w:lang w:val="en-US" w:eastAsia="zh-CN"/>
              </w:rPr>
            </w:pPr>
            <w:r>
              <w:rPr>
                <w:rFonts w:hint="default" w:ascii="Times New Roman" w:hAnsi="Times New Roman" w:eastAsia="宋体" w:cs="Times New Roman"/>
                <w:b/>
                <w:bCs/>
                <w:strike w:val="0"/>
                <w:dstrike w:val="0"/>
                <w:sz w:val="24"/>
                <w:szCs w:val="32"/>
                <w:highlight w:val="none"/>
                <w:lang w:val="en-US" w:eastAsia="zh-CN"/>
              </w:rPr>
              <w:t>表</w:t>
            </w:r>
            <w:r>
              <w:rPr>
                <w:rFonts w:hint="eastAsia" w:ascii="Times New Roman" w:hAnsi="Times New Roman" w:eastAsia="宋体" w:cs="Times New Roman"/>
                <w:b/>
                <w:bCs/>
                <w:strike w:val="0"/>
                <w:dstrike w:val="0"/>
                <w:sz w:val="24"/>
                <w:szCs w:val="32"/>
                <w:highlight w:val="none"/>
                <w:lang w:val="en-US" w:eastAsia="zh-CN"/>
              </w:rPr>
              <w:t>4</w:t>
            </w:r>
            <w:r>
              <w:rPr>
                <w:rFonts w:hint="default" w:ascii="Times New Roman" w:hAnsi="Times New Roman" w:eastAsia="宋体" w:cs="Times New Roman"/>
                <w:b/>
                <w:bCs/>
                <w:strike w:val="0"/>
                <w:dstrike w:val="0"/>
                <w:sz w:val="24"/>
                <w:szCs w:val="32"/>
                <w:highlight w:val="none"/>
                <w:lang w:val="en-US" w:eastAsia="zh-CN"/>
              </w:rPr>
              <w:t>-</w:t>
            </w:r>
            <w:r>
              <w:rPr>
                <w:rFonts w:hint="eastAsia" w:ascii="Times New Roman" w:hAnsi="Times New Roman" w:eastAsia="宋体" w:cs="Times New Roman"/>
                <w:b/>
                <w:bCs/>
                <w:strike w:val="0"/>
                <w:dstrike w:val="0"/>
                <w:sz w:val="24"/>
                <w:szCs w:val="32"/>
                <w:highlight w:val="none"/>
                <w:lang w:val="en-US" w:eastAsia="zh-CN"/>
              </w:rPr>
              <w:t>6（b）</w:t>
            </w:r>
            <w:r>
              <w:rPr>
                <w:rFonts w:hint="default" w:ascii="Times New Roman" w:hAnsi="Times New Roman" w:eastAsia="宋体" w:cs="Times New Roman"/>
                <w:b/>
                <w:bCs/>
                <w:strike w:val="0"/>
                <w:dstrike w:val="0"/>
                <w:sz w:val="24"/>
                <w:szCs w:val="32"/>
                <w:highlight w:val="none"/>
                <w:lang w:val="en-US" w:eastAsia="zh-CN"/>
              </w:rPr>
              <w:t xml:space="preserve"> 《沂水县鑫发农副产品有限公司锅炉项目检测报告</w:t>
            </w:r>
            <w:r>
              <w:rPr>
                <w:rFonts w:hint="eastAsia" w:ascii="Times New Roman" w:hAnsi="Times New Roman" w:eastAsia="宋体" w:cs="Times New Roman"/>
                <w:b/>
                <w:bCs/>
                <w:strike w:val="0"/>
                <w:dstrike w:val="0"/>
                <w:sz w:val="24"/>
                <w:szCs w:val="32"/>
                <w:highlight w:val="none"/>
                <w:lang w:val="en-US" w:eastAsia="zh-CN"/>
              </w:rPr>
              <w:t>（2025年5月6日~2025年5月7日）</w:t>
            </w:r>
            <w:r>
              <w:rPr>
                <w:rFonts w:hint="default" w:ascii="Times New Roman" w:hAnsi="Times New Roman" w:eastAsia="宋体" w:cs="Times New Roman"/>
                <w:b/>
                <w:bCs/>
                <w:strike w:val="0"/>
                <w:dstrike w:val="0"/>
                <w:sz w:val="24"/>
                <w:szCs w:val="32"/>
                <w:highlight w:val="none"/>
                <w:lang w:val="en-US" w:eastAsia="zh-CN"/>
              </w:rPr>
              <w:t>》（报告编号：SDCD 第250516010 号）</w:t>
            </w:r>
          </w:p>
          <w:tbl>
            <w:tblPr>
              <w:tblStyle w:val="31"/>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702"/>
              <w:gridCol w:w="2414"/>
              <w:gridCol w:w="2040"/>
              <w:gridCol w:w="2051"/>
            </w:tblGrid>
            <w:tr w14:paraId="77F042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1037" w:type="pct"/>
                  <w:tcBorders>
                    <w:top w:val="single" w:color="auto" w:sz="4" w:space="0"/>
                    <w:left w:val="single" w:color="000000" w:sz="4" w:space="0"/>
                    <w:bottom w:val="single" w:color="auto" w:sz="4" w:space="0"/>
                    <w:right w:val="single" w:color="auto" w:sz="4" w:space="0"/>
                  </w:tcBorders>
                  <w:shd w:val="clear" w:color="auto" w:fill="auto"/>
                  <w:vAlign w:val="center"/>
                </w:tcPr>
                <w:p w14:paraId="610D6FA8">
                  <w:pPr>
                    <w:keepNext w:val="0"/>
                    <w:keepLines w:val="0"/>
                    <w:widowControl/>
                    <w:suppressLineNumbers w:val="0"/>
                    <w:jc w:val="center"/>
                    <w:textAlignment w:val="center"/>
                    <w:rPr>
                      <w:rFonts w:hint="default" w:ascii="Times New Roman" w:hAnsi="Times New Roman" w:eastAsia="宋体" w:cs="Times New Roman"/>
                      <w:b/>
                      <w:bCs/>
                      <w:i w:val="0"/>
                      <w:iCs w:val="0"/>
                      <w:strike w:val="0"/>
                      <w:dstrike w:val="0"/>
                      <w:color w:val="000000"/>
                      <w:sz w:val="21"/>
                      <w:szCs w:val="21"/>
                      <w:highlight w:val="none"/>
                      <w:u w:val="none"/>
                    </w:rPr>
                  </w:pPr>
                  <w:r>
                    <w:rPr>
                      <w:rFonts w:hint="default" w:ascii="Times New Roman" w:hAnsi="Times New Roman" w:eastAsia="宋体" w:cs="Times New Roman"/>
                      <w:b/>
                      <w:bCs/>
                      <w:i w:val="0"/>
                      <w:iCs w:val="0"/>
                      <w:strike w:val="0"/>
                      <w:dstrike w:val="0"/>
                      <w:color w:val="000000"/>
                      <w:spacing w:val="-2"/>
                      <w:kern w:val="0"/>
                      <w:sz w:val="21"/>
                      <w:szCs w:val="21"/>
                      <w:highlight w:val="none"/>
                      <w:u w:val="none"/>
                      <w:lang w:val="en-US" w:eastAsia="zh-CN" w:bidi="ar"/>
                    </w:rPr>
                    <w:t>废水种类</w:t>
                  </w:r>
                </w:p>
              </w:tc>
              <w:tc>
                <w:tcPr>
                  <w:tcW w:w="1471" w:type="pct"/>
                  <w:tcBorders>
                    <w:top w:val="single" w:color="auto" w:sz="4" w:space="0"/>
                    <w:left w:val="single" w:color="auto" w:sz="4" w:space="0"/>
                    <w:bottom w:val="single" w:color="auto" w:sz="4" w:space="0"/>
                    <w:right w:val="single" w:color="auto" w:sz="4" w:space="0"/>
                  </w:tcBorders>
                  <w:shd w:val="clear" w:color="auto" w:fill="auto"/>
                  <w:vAlign w:val="center"/>
                </w:tcPr>
                <w:p w14:paraId="736BE2E6">
                  <w:pPr>
                    <w:keepNext w:val="0"/>
                    <w:keepLines w:val="0"/>
                    <w:widowControl/>
                    <w:suppressLineNumbers w:val="0"/>
                    <w:jc w:val="center"/>
                    <w:textAlignment w:val="center"/>
                    <w:rPr>
                      <w:rFonts w:hint="default" w:ascii="Times New Roman" w:hAnsi="Times New Roman" w:eastAsia="宋体" w:cs="Times New Roman"/>
                      <w:b/>
                      <w:bCs/>
                      <w:i w:val="0"/>
                      <w:iCs w:val="0"/>
                      <w:strike w:val="0"/>
                      <w:dstrike w:val="0"/>
                      <w:color w:val="000000"/>
                      <w:sz w:val="21"/>
                      <w:szCs w:val="21"/>
                      <w:highlight w:val="none"/>
                      <w:u w:val="none"/>
                    </w:rPr>
                  </w:pPr>
                  <w:r>
                    <w:rPr>
                      <w:rFonts w:hint="default" w:ascii="Times New Roman" w:hAnsi="Times New Roman" w:eastAsia="宋体" w:cs="Times New Roman"/>
                      <w:b/>
                      <w:bCs/>
                      <w:i w:val="0"/>
                      <w:iCs w:val="0"/>
                      <w:strike w:val="0"/>
                      <w:dstrike w:val="0"/>
                      <w:color w:val="000000"/>
                      <w:spacing w:val="-2"/>
                      <w:kern w:val="0"/>
                      <w:sz w:val="21"/>
                      <w:szCs w:val="21"/>
                      <w:highlight w:val="none"/>
                      <w:u w:val="none"/>
                      <w:lang w:val="en-US" w:eastAsia="zh-CN" w:bidi="ar"/>
                    </w:rPr>
                    <w:t>检测项目</w:t>
                  </w:r>
                </w:p>
              </w:tc>
              <w:tc>
                <w:tcPr>
                  <w:tcW w:w="1243" w:type="pct"/>
                  <w:tcBorders>
                    <w:top w:val="single" w:color="auto" w:sz="4" w:space="0"/>
                    <w:left w:val="single" w:color="auto" w:sz="4" w:space="0"/>
                    <w:bottom w:val="single" w:color="auto" w:sz="4" w:space="0"/>
                    <w:right w:val="single" w:color="auto" w:sz="4" w:space="0"/>
                  </w:tcBorders>
                  <w:shd w:val="clear" w:color="auto" w:fill="auto"/>
                  <w:vAlign w:val="center"/>
                </w:tcPr>
                <w:p w14:paraId="02BA8EFD">
                  <w:pPr>
                    <w:keepNext w:val="0"/>
                    <w:keepLines w:val="0"/>
                    <w:widowControl/>
                    <w:suppressLineNumbers w:val="0"/>
                    <w:jc w:val="center"/>
                    <w:textAlignment w:val="center"/>
                    <w:rPr>
                      <w:rFonts w:hint="default" w:ascii="Times New Roman" w:hAnsi="Times New Roman" w:eastAsia="宋体" w:cs="Times New Roman"/>
                      <w:b/>
                      <w:bCs/>
                      <w:i w:val="0"/>
                      <w:iCs w:val="0"/>
                      <w:strike w:val="0"/>
                      <w:dstrike w:val="0"/>
                      <w:color w:val="000000"/>
                      <w:sz w:val="21"/>
                      <w:szCs w:val="21"/>
                      <w:highlight w:val="none"/>
                      <w:u w:val="none"/>
                    </w:rPr>
                  </w:pPr>
                  <w:r>
                    <w:rPr>
                      <w:rFonts w:hint="default" w:ascii="Times New Roman" w:hAnsi="Times New Roman" w:eastAsia="宋体" w:cs="Times New Roman"/>
                      <w:b/>
                      <w:bCs/>
                      <w:i w:val="0"/>
                      <w:iCs w:val="0"/>
                      <w:strike w:val="0"/>
                      <w:dstrike w:val="0"/>
                      <w:color w:val="000000"/>
                      <w:spacing w:val="-2"/>
                      <w:kern w:val="0"/>
                      <w:sz w:val="21"/>
                      <w:szCs w:val="21"/>
                      <w:highlight w:val="none"/>
                      <w:u w:val="none"/>
                      <w:lang w:val="en-US" w:eastAsia="zh-CN" w:bidi="ar"/>
                    </w:rPr>
                    <w:t>结果</w:t>
                  </w:r>
                </w:p>
              </w:tc>
              <w:tc>
                <w:tcPr>
                  <w:tcW w:w="1247" w:type="pct"/>
                  <w:tcBorders>
                    <w:top w:val="single" w:color="auto" w:sz="4" w:space="0"/>
                    <w:left w:val="single" w:color="auto" w:sz="4" w:space="0"/>
                    <w:bottom w:val="single" w:color="auto" w:sz="4" w:space="0"/>
                    <w:right w:val="single" w:color="auto" w:sz="4" w:space="0"/>
                  </w:tcBorders>
                  <w:shd w:val="clear" w:color="auto" w:fill="auto"/>
                  <w:vAlign w:val="center"/>
                </w:tcPr>
                <w:p w14:paraId="6D39FDD7">
                  <w:pPr>
                    <w:keepNext w:val="0"/>
                    <w:keepLines w:val="0"/>
                    <w:widowControl/>
                    <w:suppressLineNumbers w:val="0"/>
                    <w:jc w:val="center"/>
                    <w:textAlignment w:val="center"/>
                    <w:rPr>
                      <w:rFonts w:hint="default" w:ascii="Times New Roman" w:hAnsi="Times New Roman" w:eastAsia="宋体" w:cs="Times New Roman"/>
                      <w:b/>
                      <w:bCs/>
                      <w:i w:val="0"/>
                      <w:iCs w:val="0"/>
                      <w:strike w:val="0"/>
                      <w:dstrike w:val="0"/>
                      <w:color w:val="000000"/>
                      <w:sz w:val="21"/>
                      <w:szCs w:val="21"/>
                      <w:highlight w:val="none"/>
                      <w:u w:val="none"/>
                    </w:rPr>
                  </w:pPr>
                  <w:r>
                    <w:rPr>
                      <w:rFonts w:hint="default" w:ascii="Times New Roman" w:hAnsi="Times New Roman" w:eastAsia="宋体" w:cs="Times New Roman"/>
                      <w:b/>
                      <w:bCs/>
                      <w:i w:val="0"/>
                      <w:iCs w:val="0"/>
                      <w:strike w:val="0"/>
                      <w:dstrike w:val="0"/>
                      <w:color w:val="000000"/>
                      <w:spacing w:val="-2"/>
                      <w:kern w:val="0"/>
                      <w:sz w:val="21"/>
                      <w:szCs w:val="21"/>
                      <w:highlight w:val="none"/>
                      <w:u w:val="none"/>
                      <w:lang w:val="en-US" w:eastAsia="zh-CN" w:bidi="ar"/>
                    </w:rPr>
                    <w:t>单位</w:t>
                  </w:r>
                </w:p>
              </w:tc>
            </w:tr>
            <w:tr w14:paraId="43FCFC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103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BDAF5A4">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z w:val="21"/>
                      <w:szCs w:val="21"/>
                      <w:highlight w:val="none"/>
                      <w:u w:val="none"/>
                    </w:rPr>
                  </w:pPr>
                  <w:r>
                    <w:rPr>
                      <w:rFonts w:hint="default" w:ascii="Times New Roman" w:hAnsi="Times New Roman" w:eastAsia="宋体" w:cs="Times New Roman"/>
                      <w:i w:val="0"/>
                      <w:iCs w:val="0"/>
                      <w:strike w:val="0"/>
                      <w:dstrike w:val="0"/>
                      <w:color w:val="000000"/>
                      <w:sz w:val="21"/>
                      <w:szCs w:val="21"/>
                      <w:highlight w:val="none"/>
                      <w:u w:val="none"/>
                    </w:rPr>
                    <w:t>软水制备废</w:t>
                  </w:r>
                </w:p>
                <w:p w14:paraId="4300AA9D">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z w:val="21"/>
                      <w:szCs w:val="21"/>
                      <w:highlight w:val="none"/>
                      <w:u w:val="none"/>
                    </w:rPr>
                  </w:pPr>
                  <w:r>
                    <w:rPr>
                      <w:rFonts w:hint="default" w:ascii="Times New Roman" w:hAnsi="Times New Roman" w:eastAsia="宋体" w:cs="Times New Roman"/>
                      <w:i w:val="0"/>
                      <w:iCs w:val="0"/>
                      <w:strike w:val="0"/>
                      <w:dstrike w:val="0"/>
                      <w:color w:val="000000"/>
                      <w:sz w:val="21"/>
                      <w:szCs w:val="21"/>
                      <w:highlight w:val="none"/>
                      <w:u w:val="none"/>
                    </w:rPr>
                    <w:t>水排放处</w:t>
                  </w:r>
                </w:p>
              </w:tc>
              <w:tc>
                <w:tcPr>
                  <w:tcW w:w="1471" w:type="pct"/>
                  <w:tcBorders>
                    <w:top w:val="single" w:color="auto" w:sz="4" w:space="0"/>
                    <w:left w:val="single" w:color="auto" w:sz="4" w:space="0"/>
                    <w:bottom w:val="single" w:color="auto" w:sz="4" w:space="0"/>
                    <w:right w:val="single" w:color="auto" w:sz="4" w:space="0"/>
                  </w:tcBorders>
                  <w:shd w:val="clear" w:color="auto" w:fill="auto"/>
                  <w:vAlign w:val="center"/>
                </w:tcPr>
                <w:p w14:paraId="4D5BC5D7">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z w:val="21"/>
                      <w:szCs w:val="21"/>
                      <w:highlight w:val="none"/>
                      <w:u w:val="none"/>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pH</w:t>
                  </w:r>
                </w:p>
              </w:tc>
              <w:tc>
                <w:tcPr>
                  <w:tcW w:w="1243" w:type="pct"/>
                  <w:tcBorders>
                    <w:top w:val="single" w:color="auto" w:sz="4" w:space="0"/>
                    <w:left w:val="single" w:color="auto" w:sz="4" w:space="0"/>
                    <w:bottom w:val="single" w:color="auto" w:sz="4" w:space="0"/>
                    <w:right w:val="single" w:color="auto" w:sz="4" w:space="0"/>
                  </w:tcBorders>
                  <w:shd w:val="clear" w:color="auto" w:fill="auto"/>
                  <w:vAlign w:val="center"/>
                </w:tcPr>
                <w:p w14:paraId="3A78B652">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z w:val="21"/>
                      <w:szCs w:val="21"/>
                      <w:highlight w:val="none"/>
                      <w:u w:val="none"/>
                      <w:lang w:val="en-US"/>
                    </w:rPr>
                  </w:pPr>
                  <w:r>
                    <w:rPr>
                      <w:rFonts w:hint="eastAsia" w:cs="Times New Roman"/>
                      <w:i w:val="0"/>
                      <w:iCs w:val="0"/>
                      <w:strike w:val="0"/>
                      <w:dstrike w:val="0"/>
                      <w:color w:val="000000"/>
                      <w:spacing w:val="-2"/>
                      <w:kern w:val="0"/>
                      <w:sz w:val="21"/>
                      <w:szCs w:val="21"/>
                      <w:highlight w:val="none"/>
                      <w:u w:val="none"/>
                      <w:lang w:val="en-US" w:eastAsia="zh-CN" w:bidi="ar"/>
                    </w:rPr>
                    <w:t>7.2</w:t>
                  </w:r>
                </w:p>
              </w:tc>
              <w:tc>
                <w:tcPr>
                  <w:tcW w:w="1247" w:type="pct"/>
                  <w:tcBorders>
                    <w:top w:val="single" w:color="auto" w:sz="4" w:space="0"/>
                    <w:left w:val="single" w:color="auto" w:sz="4" w:space="0"/>
                    <w:bottom w:val="single" w:color="auto" w:sz="4" w:space="0"/>
                    <w:right w:val="single" w:color="auto" w:sz="4" w:space="0"/>
                  </w:tcBorders>
                  <w:shd w:val="clear" w:color="auto" w:fill="auto"/>
                  <w:vAlign w:val="center"/>
                </w:tcPr>
                <w:p w14:paraId="6EC20353">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z w:val="21"/>
                      <w:szCs w:val="21"/>
                      <w:highlight w:val="none"/>
                      <w:u w:val="none"/>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无量纲</w:t>
                  </w:r>
                </w:p>
              </w:tc>
            </w:tr>
            <w:tr w14:paraId="2D751D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2" w:hRule="atLeast"/>
                <w:jc w:val="center"/>
              </w:trPr>
              <w:tc>
                <w:tcPr>
                  <w:tcW w:w="103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31D71EC">
                  <w:pPr>
                    <w:jc w:val="center"/>
                    <w:rPr>
                      <w:rFonts w:hint="default" w:ascii="Times New Roman" w:hAnsi="Times New Roman" w:eastAsia="宋体" w:cs="Times New Roman"/>
                      <w:i w:val="0"/>
                      <w:iCs w:val="0"/>
                      <w:strike w:val="0"/>
                      <w:dstrike w:val="0"/>
                      <w:color w:val="000000"/>
                      <w:sz w:val="21"/>
                      <w:szCs w:val="21"/>
                      <w:highlight w:val="none"/>
                      <w:u w:val="none"/>
                    </w:rPr>
                  </w:pPr>
                </w:p>
              </w:tc>
              <w:tc>
                <w:tcPr>
                  <w:tcW w:w="1471" w:type="pct"/>
                  <w:tcBorders>
                    <w:top w:val="single" w:color="auto" w:sz="4" w:space="0"/>
                    <w:left w:val="single" w:color="auto" w:sz="4" w:space="0"/>
                    <w:bottom w:val="single" w:color="auto" w:sz="4" w:space="0"/>
                    <w:right w:val="single" w:color="auto" w:sz="4" w:space="0"/>
                  </w:tcBorders>
                  <w:shd w:val="clear" w:color="auto" w:fill="auto"/>
                  <w:vAlign w:val="center"/>
                </w:tcPr>
                <w:p w14:paraId="38DE6539">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z w:val="21"/>
                      <w:szCs w:val="21"/>
                      <w:highlight w:val="none"/>
                      <w:u w:val="none"/>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CODcr</w:t>
                  </w:r>
                </w:p>
              </w:tc>
              <w:tc>
                <w:tcPr>
                  <w:tcW w:w="1243" w:type="pct"/>
                  <w:tcBorders>
                    <w:top w:val="single" w:color="auto" w:sz="4" w:space="0"/>
                    <w:left w:val="single" w:color="auto" w:sz="4" w:space="0"/>
                    <w:bottom w:val="single" w:color="auto" w:sz="4" w:space="0"/>
                    <w:right w:val="single" w:color="auto" w:sz="4" w:space="0"/>
                  </w:tcBorders>
                  <w:shd w:val="clear" w:color="auto" w:fill="auto"/>
                  <w:vAlign w:val="center"/>
                </w:tcPr>
                <w:p w14:paraId="5E192A6F">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z w:val="21"/>
                      <w:szCs w:val="21"/>
                      <w:highlight w:val="none"/>
                      <w:u w:val="none"/>
                      <w:lang w:val="en-US"/>
                    </w:rPr>
                  </w:pPr>
                  <w:r>
                    <w:rPr>
                      <w:rFonts w:hint="eastAsia" w:cs="Times New Roman"/>
                      <w:i w:val="0"/>
                      <w:iCs w:val="0"/>
                      <w:strike w:val="0"/>
                      <w:dstrike w:val="0"/>
                      <w:color w:val="000000"/>
                      <w:spacing w:val="-2"/>
                      <w:kern w:val="0"/>
                      <w:sz w:val="21"/>
                      <w:szCs w:val="21"/>
                      <w:highlight w:val="none"/>
                      <w:u w:val="none"/>
                      <w:lang w:val="en-US" w:eastAsia="zh-CN" w:bidi="ar"/>
                    </w:rPr>
                    <w:t>-</w:t>
                  </w:r>
                </w:p>
              </w:tc>
              <w:tc>
                <w:tcPr>
                  <w:tcW w:w="1247" w:type="pct"/>
                  <w:tcBorders>
                    <w:top w:val="single" w:color="auto" w:sz="4" w:space="0"/>
                    <w:left w:val="single" w:color="auto" w:sz="4" w:space="0"/>
                    <w:bottom w:val="single" w:color="auto" w:sz="4" w:space="0"/>
                    <w:right w:val="single" w:color="auto" w:sz="4" w:space="0"/>
                  </w:tcBorders>
                  <w:shd w:val="clear" w:color="auto" w:fill="auto"/>
                  <w:vAlign w:val="center"/>
                </w:tcPr>
                <w:p w14:paraId="54D6522B">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z w:val="21"/>
                      <w:szCs w:val="21"/>
                      <w:highlight w:val="none"/>
                      <w:u w:val="none"/>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mg/L</w:t>
                  </w:r>
                </w:p>
              </w:tc>
            </w:tr>
            <w:tr w14:paraId="55E380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2" w:hRule="atLeast"/>
                <w:jc w:val="center"/>
              </w:trPr>
              <w:tc>
                <w:tcPr>
                  <w:tcW w:w="103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6D62B1E">
                  <w:pPr>
                    <w:jc w:val="center"/>
                    <w:rPr>
                      <w:rFonts w:hint="default" w:ascii="Times New Roman" w:hAnsi="Times New Roman" w:eastAsia="宋体" w:cs="Times New Roman"/>
                      <w:i w:val="0"/>
                      <w:iCs w:val="0"/>
                      <w:strike w:val="0"/>
                      <w:dstrike w:val="0"/>
                      <w:color w:val="000000"/>
                      <w:sz w:val="21"/>
                      <w:szCs w:val="21"/>
                      <w:highlight w:val="none"/>
                      <w:u w:val="none"/>
                    </w:rPr>
                  </w:pPr>
                </w:p>
              </w:tc>
              <w:tc>
                <w:tcPr>
                  <w:tcW w:w="1471" w:type="pct"/>
                  <w:tcBorders>
                    <w:top w:val="single" w:color="auto" w:sz="4" w:space="0"/>
                    <w:left w:val="single" w:color="auto" w:sz="4" w:space="0"/>
                    <w:bottom w:val="single" w:color="auto" w:sz="4" w:space="0"/>
                    <w:right w:val="single" w:color="auto" w:sz="4" w:space="0"/>
                  </w:tcBorders>
                  <w:shd w:val="clear" w:color="auto" w:fill="auto"/>
                  <w:vAlign w:val="center"/>
                </w:tcPr>
                <w:p w14:paraId="7E98B021">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z w:val="21"/>
                      <w:szCs w:val="21"/>
                      <w:highlight w:val="none"/>
                      <w:u w:val="none"/>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BOD</w:t>
                  </w:r>
                  <w:r>
                    <w:rPr>
                      <w:rFonts w:hint="default" w:ascii="Times New Roman" w:hAnsi="Times New Roman" w:eastAsia="宋体" w:cs="Times New Roman"/>
                      <w:i w:val="0"/>
                      <w:iCs w:val="0"/>
                      <w:strike w:val="0"/>
                      <w:dstrike w:val="0"/>
                      <w:color w:val="000000"/>
                      <w:spacing w:val="-2"/>
                      <w:kern w:val="0"/>
                      <w:sz w:val="21"/>
                      <w:szCs w:val="21"/>
                      <w:highlight w:val="none"/>
                      <w:u w:val="none"/>
                      <w:vertAlign w:val="subscript"/>
                      <w:lang w:val="en-US" w:eastAsia="zh-CN" w:bidi="ar"/>
                    </w:rPr>
                    <w:t>5</w:t>
                  </w:r>
                </w:p>
              </w:tc>
              <w:tc>
                <w:tcPr>
                  <w:tcW w:w="1243" w:type="pct"/>
                  <w:tcBorders>
                    <w:top w:val="single" w:color="auto" w:sz="4" w:space="0"/>
                    <w:left w:val="single" w:color="auto" w:sz="4" w:space="0"/>
                    <w:bottom w:val="single" w:color="auto" w:sz="4" w:space="0"/>
                    <w:right w:val="single" w:color="auto" w:sz="4" w:space="0"/>
                  </w:tcBorders>
                  <w:shd w:val="clear" w:color="auto" w:fill="auto"/>
                  <w:vAlign w:val="center"/>
                </w:tcPr>
                <w:p w14:paraId="5067EC8C">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z w:val="21"/>
                      <w:szCs w:val="21"/>
                      <w:highlight w:val="none"/>
                      <w:u w:val="none"/>
                      <w:lang w:val="en-US"/>
                    </w:rPr>
                  </w:pPr>
                  <w:r>
                    <w:rPr>
                      <w:rFonts w:hint="eastAsia" w:cs="Times New Roman"/>
                      <w:i w:val="0"/>
                      <w:iCs w:val="0"/>
                      <w:strike w:val="0"/>
                      <w:dstrike w:val="0"/>
                      <w:color w:val="000000"/>
                      <w:spacing w:val="-2"/>
                      <w:kern w:val="0"/>
                      <w:sz w:val="21"/>
                      <w:szCs w:val="21"/>
                      <w:highlight w:val="none"/>
                      <w:u w:val="none"/>
                      <w:lang w:val="en-US" w:eastAsia="zh-CN" w:bidi="ar"/>
                    </w:rPr>
                    <w:t>7.25</w:t>
                  </w:r>
                </w:p>
              </w:tc>
              <w:tc>
                <w:tcPr>
                  <w:tcW w:w="1247" w:type="pct"/>
                  <w:tcBorders>
                    <w:top w:val="single" w:color="auto" w:sz="4" w:space="0"/>
                    <w:left w:val="single" w:color="auto" w:sz="4" w:space="0"/>
                    <w:bottom w:val="single" w:color="auto" w:sz="4" w:space="0"/>
                    <w:right w:val="single" w:color="auto" w:sz="4" w:space="0"/>
                  </w:tcBorders>
                  <w:shd w:val="clear" w:color="auto" w:fill="auto"/>
                  <w:vAlign w:val="center"/>
                </w:tcPr>
                <w:p w14:paraId="3D3FB1F7">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z w:val="21"/>
                      <w:szCs w:val="21"/>
                      <w:highlight w:val="none"/>
                      <w:u w:val="none"/>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mg/L</w:t>
                  </w:r>
                </w:p>
              </w:tc>
            </w:tr>
            <w:tr w14:paraId="78B870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2" w:hRule="atLeast"/>
                <w:jc w:val="center"/>
              </w:trPr>
              <w:tc>
                <w:tcPr>
                  <w:tcW w:w="103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9706916">
                  <w:pPr>
                    <w:jc w:val="center"/>
                    <w:rPr>
                      <w:rFonts w:hint="default" w:ascii="Times New Roman" w:hAnsi="Times New Roman" w:eastAsia="宋体" w:cs="Times New Roman"/>
                      <w:i w:val="0"/>
                      <w:iCs w:val="0"/>
                      <w:strike w:val="0"/>
                      <w:dstrike w:val="0"/>
                      <w:color w:val="000000"/>
                      <w:sz w:val="21"/>
                      <w:szCs w:val="21"/>
                      <w:highlight w:val="none"/>
                      <w:u w:val="none"/>
                    </w:rPr>
                  </w:pPr>
                </w:p>
              </w:tc>
              <w:tc>
                <w:tcPr>
                  <w:tcW w:w="1471" w:type="pct"/>
                  <w:tcBorders>
                    <w:top w:val="single" w:color="auto" w:sz="4" w:space="0"/>
                    <w:left w:val="single" w:color="auto" w:sz="4" w:space="0"/>
                    <w:bottom w:val="single" w:color="auto" w:sz="4" w:space="0"/>
                    <w:right w:val="single" w:color="auto" w:sz="4" w:space="0"/>
                  </w:tcBorders>
                  <w:shd w:val="clear" w:color="auto" w:fill="auto"/>
                  <w:vAlign w:val="center"/>
                </w:tcPr>
                <w:p w14:paraId="6E6527FF">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z w:val="21"/>
                      <w:szCs w:val="21"/>
                      <w:highlight w:val="none"/>
                      <w:u w:val="none"/>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SS</w:t>
                  </w:r>
                </w:p>
              </w:tc>
              <w:tc>
                <w:tcPr>
                  <w:tcW w:w="1243" w:type="pct"/>
                  <w:tcBorders>
                    <w:top w:val="single" w:color="auto" w:sz="4" w:space="0"/>
                    <w:left w:val="single" w:color="auto" w:sz="4" w:space="0"/>
                    <w:bottom w:val="single" w:color="auto" w:sz="4" w:space="0"/>
                    <w:right w:val="single" w:color="auto" w:sz="4" w:space="0"/>
                  </w:tcBorders>
                  <w:shd w:val="clear" w:color="auto" w:fill="auto"/>
                  <w:vAlign w:val="center"/>
                </w:tcPr>
                <w:p w14:paraId="24FD3EB4">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z w:val="21"/>
                      <w:szCs w:val="21"/>
                      <w:highlight w:val="none"/>
                      <w:u w:val="none"/>
                      <w:lang w:val="en-US"/>
                    </w:rPr>
                  </w:pPr>
                  <w:r>
                    <w:rPr>
                      <w:rFonts w:hint="eastAsia" w:cs="Times New Roman"/>
                      <w:i w:val="0"/>
                      <w:iCs w:val="0"/>
                      <w:strike w:val="0"/>
                      <w:dstrike w:val="0"/>
                      <w:color w:val="000000"/>
                      <w:spacing w:val="-2"/>
                      <w:kern w:val="0"/>
                      <w:sz w:val="21"/>
                      <w:szCs w:val="21"/>
                      <w:highlight w:val="none"/>
                      <w:u w:val="none"/>
                      <w:lang w:val="en-US" w:eastAsia="zh-CN" w:bidi="ar"/>
                    </w:rPr>
                    <w:t>-</w:t>
                  </w:r>
                </w:p>
              </w:tc>
              <w:tc>
                <w:tcPr>
                  <w:tcW w:w="1247" w:type="pct"/>
                  <w:tcBorders>
                    <w:top w:val="single" w:color="auto" w:sz="4" w:space="0"/>
                    <w:left w:val="single" w:color="auto" w:sz="4" w:space="0"/>
                    <w:bottom w:val="single" w:color="auto" w:sz="4" w:space="0"/>
                    <w:right w:val="single" w:color="auto" w:sz="4" w:space="0"/>
                  </w:tcBorders>
                  <w:shd w:val="clear" w:color="auto" w:fill="auto"/>
                  <w:vAlign w:val="center"/>
                </w:tcPr>
                <w:p w14:paraId="09595349">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z w:val="21"/>
                      <w:szCs w:val="21"/>
                      <w:highlight w:val="none"/>
                      <w:u w:val="none"/>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mg/L</w:t>
                  </w:r>
                </w:p>
              </w:tc>
            </w:tr>
            <w:tr w14:paraId="3F41B4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103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5BFE13B">
                  <w:pPr>
                    <w:jc w:val="center"/>
                    <w:rPr>
                      <w:rFonts w:hint="default" w:ascii="Times New Roman" w:hAnsi="Times New Roman" w:eastAsia="宋体" w:cs="Times New Roman"/>
                      <w:i w:val="0"/>
                      <w:iCs w:val="0"/>
                      <w:strike w:val="0"/>
                      <w:dstrike w:val="0"/>
                      <w:color w:val="000000"/>
                      <w:sz w:val="21"/>
                      <w:szCs w:val="21"/>
                      <w:highlight w:val="none"/>
                      <w:u w:val="none"/>
                    </w:rPr>
                  </w:pPr>
                </w:p>
              </w:tc>
              <w:tc>
                <w:tcPr>
                  <w:tcW w:w="1471" w:type="pct"/>
                  <w:tcBorders>
                    <w:top w:val="single" w:color="auto" w:sz="4" w:space="0"/>
                    <w:left w:val="single" w:color="auto" w:sz="4" w:space="0"/>
                    <w:bottom w:val="single" w:color="auto" w:sz="4" w:space="0"/>
                    <w:right w:val="single" w:color="auto" w:sz="4" w:space="0"/>
                  </w:tcBorders>
                  <w:shd w:val="clear" w:color="auto" w:fill="auto"/>
                  <w:vAlign w:val="center"/>
                </w:tcPr>
                <w:p w14:paraId="43DA3958">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pPr>
                  <w:r>
                    <w:rPr>
                      <w:rFonts w:hint="eastAsia" w:cs="Times New Roman"/>
                      <w:i w:val="0"/>
                      <w:iCs w:val="0"/>
                      <w:strike w:val="0"/>
                      <w:dstrike w:val="0"/>
                      <w:color w:val="000000"/>
                      <w:spacing w:val="-2"/>
                      <w:kern w:val="0"/>
                      <w:sz w:val="21"/>
                      <w:szCs w:val="21"/>
                      <w:highlight w:val="none"/>
                      <w:u w:val="none"/>
                      <w:lang w:val="en-US" w:eastAsia="zh-CN" w:bidi="ar"/>
                    </w:rPr>
                    <w:t>氨氮</w:t>
                  </w:r>
                </w:p>
              </w:tc>
              <w:tc>
                <w:tcPr>
                  <w:tcW w:w="1243" w:type="pct"/>
                  <w:tcBorders>
                    <w:top w:val="single" w:color="auto" w:sz="4" w:space="0"/>
                    <w:left w:val="single" w:color="auto" w:sz="4" w:space="0"/>
                    <w:bottom w:val="single" w:color="auto" w:sz="4" w:space="0"/>
                    <w:right w:val="single" w:color="auto" w:sz="4" w:space="0"/>
                  </w:tcBorders>
                  <w:shd w:val="clear" w:color="auto" w:fill="auto"/>
                  <w:vAlign w:val="center"/>
                </w:tcPr>
                <w:p w14:paraId="4A21F684">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pPr>
                  <w:r>
                    <w:rPr>
                      <w:rFonts w:hint="eastAsia" w:cs="Times New Roman"/>
                      <w:i w:val="0"/>
                      <w:iCs w:val="0"/>
                      <w:strike w:val="0"/>
                      <w:dstrike w:val="0"/>
                      <w:color w:val="000000"/>
                      <w:spacing w:val="-2"/>
                      <w:kern w:val="0"/>
                      <w:sz w:val="21"/>
                      <w:szCs w:val="21"/>
                      <w:highlight w:val="none"/>
                      <w:u w:val="none"/>
                      <w:lang w:val="en-US" w:eastAsia="zh-CN" w:bidi="ar"/>
                    </w:rPr>
                    <w:t>0.0825</w:t>
                  </w:r>
                </w:p>
              </w:tc>
              <w:tc>
                <w:tcPr>
                  <w:tcW w:w="1247" w:type="pct"/>
                  <w:tcBorders>
                    <w:top w:val="single" w:color="auto" w:sz="4" w:space="0"/>
                    <w:left w:val="single" w:color="auto" w:sz="4" w:space="0"/>
                    <w:bottom w:val="single" w:color="auto" w:sz="4" w:space="0"/>
                    <w:right w:val="single" w:color="auto" w:sz="4" w:space="0"/>
                  </w:tcBorders>
                  <w:shd w:val="clear" w:color="auto" w:fill="auto"/>
                  <w:vAlign w:val="center"/>
                </w:tcPr>
                <w:p w14:paraId="25BE8343">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mg/L</w:t>
                  </w:r>
                </w:p>
              </w:tc>
            </w:tr>
            <w:tr w14:paraId="706D10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103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4E28F9D">
                  <w:pPr>
                    <w:jc w:val="center"/>
                    <w:rPr>
                      <w:rFonts w:hint="default" w:ascii="Times New Roman" w:hAnsi="Times New Roman" w:eastAsia="宋体" w:cs="Times New Roman"/>
                      <w:i w:val="0"/>
                      <w:iCs w:val="0"/>
                      <w:strike w:val="0"/>
                      <w:dstrike w:val="0"/>
                      <w:color w:val="000000"/>
                      <w:sz w:val="21"/>
                      <w:szCs w:val="21"/>
                      <w:highlight w:val="none"/>
                      <w:u w:val="none"/>
                    </w:rPr>
                  </w:pPr>
                </w:p>
              </w:tc>
              <w:tc>
                <w:tcPr>
                  <w:tcW w:w="1471" w:type="pct"/>
                  <w:tcBorders>
                    <w:top w:val="single" w:color="auto" w:sz="4" w:space="0"/>
                    <w:left w:val="single" w:color="auto" w:sz="4" w:space="0"/>
                    <w:bottom w:val="single" w:color="auto" w:sz="4" w:space="0"/>
                    <w:right w:val="single" w:color="auto" w:sz="4" w:space="0"/>
                  </w:tcBorders>
                  <w:shd w:val="clear" w:color="auto" w:fill="auto"/>
                  <w:vAlign w:val="center"/>
                </w:tcPr>
                <w:p w14:paraId="478A5EB9">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z w:val="21"/>
                      <w:szCs w:val="21"/>
                      <w:highlight w:val="none"/>
                      <w:u w:val="none"/>
                      <w:lang w:val="en-US"/>
                    </w:rPr>
                  </w:pPr>
                  <w:r>
                    <w:rPr>
                      <w:rFonts w:hint="eastAsia" w:cs="Times New Roman"/>
                      <w:i w:val="0"/>
                      <w:iCs w:val="0"/>
                      <w:strike w:val="0"/>
                      <w:dstrike w:val="0"/>
                      <w:color w:val="000000"/>
                      <w:spacing w:val="-2"/>
                      <w:kern w:val="0"/>
                      <w:sz w:val="21"/>
                      <w:szCs w:val="21"/>
                      <w:highlight w:val="none"/>
                      <w:u w:val="none"/>
                      <w:lang w:val="en-US" w:eastAsia="zh-CN" w:bidi="ar"/>
                    </w:rPr>
                    <w:t>溶解性总固体</w:t>
                  </w:r>
                </w:p>
              </w:tc>
              <w:tc>
                <w:tcPr>
                  <w:tcW w:w="1243" w:type="pct"/>
                  <w:tcBorders>
                    <w:top w:val="single" w:color="auto" w:sz="4" w:space="0"/>
                    <w:left w:val="single" w:color="auto" w:sz="4" w:space="0"/>
                    <w:bottom w:val="single" w:color="auto" w:sz="4" w:space="0"/>
                    <w:right w:val="single" w:color="auto" w:sz="4" w:space="0"/>
                  </w:tcBorders>
                  <w:shd w:val="clear" w:color="auto" w:fill="auto"/>
                  <w:vAlign w:val="center"/>
                </w:tcPr>
                <w:p w14:paraId="5E8BD8D7">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z w:val="21"/>
                      <w:szCs w:val="21"/>
                      <w:highlight w:val="none"/>
                      <w:u w:val="none"/>
                      <w:lang w:val="en-US"/>
                    </w:rPr>
                  </w:pPr>
                  <w:r>
                    <w:rPr>
                      <w:rFonts w:hint="eastAsia" w:cs="Times New Roman"/>
                      <w:i w:val="0"/>
                      <w:iCs w:val="0"/>
                      <w:strike w:val="0"/>
                      <w:dstrike w:val="0"/>
                      <w:color w:val="000000"/>
                      <w:spacing w:val="-2"/>
                      <w:kern w:val="0"/>
                      <w:sz w:val="21"/>
                      <w:szCs w:val="21"/>
                      <w:highlight w:val="none"/>
                      <w:u w:val="none"/>
                      <w:lang w:val="en-US" w:eastAsia="zh-CN" w:bidi="ar"/>
                    </w:rPr>
                    <w:t>502</w:t>
                  </w:r>
                </w:p>
              </w:tc>
              <w:tc>
                <w:tcPr>
                  <w:tcW w:w="1247" w:type="pct"/>
                  <w:tcBorders>
                    <w:top w:val="single" w:color="auto" w:sz="4" w:space="0"/>
                    <w:left w:val="single" w:color="auto" w:sz="4" w:space="0"/>
                    <w:bottom w:val="single" w:color="auto" w:sz="4" w:space="0"/>
                    <w:right w:val="single" w:color="auto" w:sz="4" w:space="0"/>
                  </w:tcBorders>
                  <w:shd w:val="clear" w:color="auto" w:fill="auto"/>
                  <w:vAlign w:val="center"/>
                </w:tcPr>
                <w:p w14:paraId="39D3FDD3">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z w:val="21"/>
                      <w:szCs w:val="21"/>
                      <w:highlight w:val="none"/>
                      <w:u w:val="none"/>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mg/L</w:t>
                  </w:r>
                </w:p>
              </w:tc>
            </w:tr>
            <w:tr w14:paraId="55E4C5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103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849FC43">
                  <w:pPr>
                    <w:jc w:val="center"/>
                    <w:rPr>
                      <w:rFonts w:hint="default" w:ascii="Times New Roman" w:hAnsi="Times New Roman" w:eastAsia="宋体" w:cs="Times New Roman"/>
                      <w:i w:val="0"/>
                      <w:iCs w:val="0"/>
                      <w:strike w:val="0"/>
                      <w:dstrike w:val="0"/>
                      <w:color w:val="000000"/>
                      <w:sz w:val="21"/>
                      <w:szCs w:val="21"/>
                      <w:highlight w:val="none"/>
                      <w:u w:val="none"/>
                    </w:rPr>
                  </w:pPr>
                  <w:r>
                    <w:rPr>
                      <w:rFonts w:hint="default" w:ascii="Times New Roman" w:hAnsi="Times New Roman" w:eastAsia="宋体" w:cs="Times New Roman"/>
                      <w:i w:val="0"/>
                      <w:iCs w:val="0"/>
                      <w:strike w:val="0"/>
                      <w:dstrike w:val="0"/>
                      <w:color w:val="000000"/>
                      <w:sz w:val="21"/>
                      <w:szCs w:val="21"/>
                      <w:highlight w:val="none"/>
                      <w:u w:val="none"/>
                    </w:rPr>
                    <w:t>锅炉排污水</w:t>
                  </w:r>
                </w:p>
                <w:p w14:paraId="6BB82EEE">
                  <w:pPr>
                    <w:jc w:val="center"/>
                    <w:rPr>
                      <w:rFonts w:hint="default" w:ascii="Times New Roman" w:hAnsi="Times New Roman" w:eastAsia="宋体" w:cs="Times New Roman"/>
                      <w:i w:val="0"/>
                      <w:iCs w:val="0"/>
                      <w:strike w:val="0"/>
                      <w:dstrike w:val="0"/>
                      <w:color w:val="000000"/>
                      <w:sz w:val="21"/>
                      <w:szCs w:val="21"/>
                      <w:highlight w:val="none"/>
                      <w:u w:val="none"/>
                    </w:rPr>
                  </w:pPr>
                  <w:r>
                    <w:rPr>
                      <w:rFonts w:hint="default" w:ascii="Times New Roman" w:hAnsi="Times New Roman" w:eastAsia="宋体" w:cs="Times New Roman"/>
                      <w:i w:val="0"/>
                      <w:iCs w:val="0"/>
                      <w:strike w:val="0"/>
                      <w:dstrike w:val="0"/>
                      <w:color w:val="000000"/>
                      <w:sz w:val="21"/>
                      <w:szCs w:val="21"/>
                      <w:highlight w:val="none"/>
                      <w:u w:val="none"/>
                    </w:rPr>
                    <w:t>排放处</w:t>
                  </w:r>
                </w:p>
              </w:tc>
              <w:tc>
                <w:tcPr>
                  <w:tcW w:w="1471" w:type="pct"/>
                  <w:tcBorders>
                    <w:top w:val="single" w:color="auto" w:sz="4" w:space="0"/>
                    <w:left w:val="single" w:color="auto" w:sz="4" w:space="0"/>
                    <w:bottom w:val="single" w:color="auto" w:sz="4" w:space="0"/>
                    <w:right w:val="single" w:color="auto" w:sz="4" w:space="0"/>
                  </w:tcBorders>
                  <w:shd w:val="clear" w:color="auto" w:fill="auto"/>
                  <w:vAlign w:val="center"/>
                </w:tcPr>
                <w:p w14:paraId="6E62FA65">
                  <w:pPr>
                    <w:keepNext w:val="0"/>
                    <w:keepLines w:val="0"/>
                    <w:widowControl/>
                    <w:suppressLineNumbers w:val="0"/>
                    <w:jc w:val="center"/>
                    <w:textAlignment w:val="center"/>
                    <w:rPr>
                      <w:rFonts w:hint="eastAsia"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pH</w:t>
                  </w:r>
                </w:p>
              </w:tc>
              <w:tc>
                <w:tcPr>
                  <w:tcW w:w="1243" w:type="pct"/>
                  <w:tcBorders>
                    <w:top w:val="single" w:color="auto" w:sz="4" w:space="0"/>
                    <w:left w:val="single" w:color="auto" w:sz="4" w:space="0"/>
                    <w:bottom w:val="single" w:color="auto" w:sz="4" w:space="0"/>
                    <w:right w:val="single" w:color="auto" w:sz="4" w:space="0"/>
                  </w:tcBorders>
                  <w:shd w:val="clear" w:color="auto" w:fill="auto"/>
                  <w:vAlign w:val="center"/>
                </w:tcPr>
                <w:p w14:paraId="59952256">
                  <w:pPr>
                    <w:keepNext w:val="0"/>
                    <w:keepLines w:val="0"/>
                    <w:widowControl/>
                    <w:suppressLineNumbers w:val="0"/>
                    <w:jc w:val="center"/>
                    <w:textAlignment w:val="center"/>
                    <w:rPr>
                      <w:rFonts w:hint="default" w:cs="Times New Roman"/>
                      <w:i w:val="0"/>
                      <w:iCs w:val="0"/>
                      <w:strike w:val="0"/>
                      <w:dstrike w:val="0"/>
                      <w:color w:val="000000"/>
                      <w:spacing w:val="-2"/>
                      <w:kern w:val="0"/>
                      <w:sz w:val="21"/>
                      <w:szCs w:val="21"/>
                      <w:highlight w:val="none"/>
                      <w:u w:val="none"/>
                      <w:lang w:val="en-US" w:eastAsia="zh-CN" w:bidi="ar"/>
                    </w:rPr>
                  </w:pPr>
                  <w:r>
                    <w:rPr>
                      <w:rFonts w:hint="eastAsia" w:cs="Times New Roman"/>
                      <w:i w:val="0"/>
                      <w:iCs w:val="0"/>
                      <w:strike w:val="0"/>
                      <w:dstrike w:val="0"/>
                      <w:color w:val="000000"/>
                      <w:spacing w:val="-2"/>
                      <w:kern w:val="0"/>
                      <w:sz w:val="21"/>
                      <w:szCs w:val="21"/>
                      <w:highlight w:val="none"/>
                      <w:u w:val="none"/>
                      <w:lang w:val="en-US" w:eastAsia="zh-CN" w:bidi="ar"/>
                    </w:rPr>
                    <w:t>7.3</w:t>
                  </w:r>
                </w:p>
              </w:tc>
              <w:tc>
                <w:tcPr>
                  <w:tcW w:w="1247" w:type="pct"/>
                  <w:tcBorders>
                    <w:top w:val="single" w:color="auto" w:sz="4" w:space="0"/>
                    <w:left w:val="single" w:color="auto" w:sz="4" w:space="0"/>
                    <w:bottom w:val="single" w:color="auto" w:sz="4" w:space="0"/>
                    <w:right w:val="single" w:color="auto" w:sz="4" w:space="0"/>
                  </w:tcBorders>
                  <w:shd w:val="clear" w:color="auto" w:fill="auto"/>
                  <w:vAlign w:val="center"/>
                </w:tcPr>
                <w:p w14:paraId="3473EF93">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无量纲</w:t>
                  </w:r>
                </w:p>
              </w:tc>
            </w:tr>
            <w:tr w14:paraId="71D664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2" w:hRule="atLeast"/>
                <w:jc w:val="center"/>
              </w:trPr>
              <w:tc>
                <w:tcPr>
                  <w:tcW w:w="103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08B632B">
                  <w:pPr>
                    <w:jc w:val="center"/>
                    <w:rPr>
                      <w:rFonts w:hint="default" w:ascii="Times New Roman" w:hAnsi="Times New Roman" w:eastAsia="宋体" w:cs="Times New Roman"/>
                      <w:i w:val="0"/>
                      <w:iCs w:val="0"/>
                      <w:strike w:val="0"/>
                      <w:dstrike w:val="0"/>
                      <w:color w:val="000000"/>
                      <w:sz w:val="21"/>
                      <w:szCs w:val="21"/>
                      <w:highlight w:val="none"/>
                      <w:u w:val="none"/>
                    </w:rPr>
                  </w:pPr>
                </w:p>
              </w:tc>
              <w:tc>
                <w:tcPr>
                  <w:tcW w:w="1471" w:type="pct"/>
                  <w:tcBorders>
                    <w:top w:val="single" w:color="auto" w:sz="4" w:space="0"/>
                    <w:left w:val="single" w:color="auto" w:sz="4" w:space="0"/>
                    <w:bottom w:val="single" w:color="auto" w:sz="4" w:space="0"/>
                    <w:right w:val="single" w:color="auto" w:sz="4" w:space="0"/>
                  </w:tcBorders>
                  <w:shd w:val="clear" w:color="auto" w:fill="auto"/>
                  <w:vAlign w:val="center"/>
                </w:tcPr>
                <w:p w14:paraId="34B41165">
                  <w:pPr>
                    <w:keepNext w:val="0"/>
                    <w:keepLines w:val="0"/>
                    <w:widowControl/>
                    <w:suppressLineNumbers w:val="0"/>
                    <w:jc w:val="center"/>
                    <w:textAlignment w:val="center"/>
                    <w:rPr>
                      <w:rFonts w:hint="eastAsia"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CODcr</w:t>
                  </w:r>
                </w:p>
              </w:tc>
              <w:tc>
                <w:tcPr>
                  <w:tcW w:w="1243" w:type="pct"/>
                  <w:tcBorders>
                    <w:top w:val="single" w:color="auto" w:sz="4" w:space="0"/>
                    <w:left w:val="single" w:color="auto" w:sz="4" w:space="0"/>
                    <w:bottom w:val="single" w:color="auto" w:sz="4" w:space="0"/>
                    <w:right w:val="single" w:color="auto" w:sz="4" w:space="0"/>
                  </w:tcBorders>
                  <w:shd w:val="clear" w:color="auto" w:fill="auto"/>
                  <w:vAlign w:val="center"/>
                </w:tcPr>
                <w:p w14:paraId="18EACFE4">
                  <w:pPr>
                    <w:keepNext w:val="0"/>
                    <w:keepLines w:val="0"/>
                    <w:widowControl/>
                    <w:suppressLineNumbers w:val="0"/>
                    <w:jc w:val="center"/>
                    <w:textAlignment w:val="center"/>
                    <w:rPr>
                      <w:rFonts w:hint="eastAsia" w:cs="Times New Roman"/>
                      <w:i w:val="0"/>
                      <w:iCs w:val="0"/>
                      <w:strike w:val="0"/>
                      <w:dstrike w:val="0"/>
                      <w:color w:val="000000"/>
                      <w:spacing w:val="-2"/>
                      <w:kern w:val="0"/>
                      <w:sz w:val="21"/>
                      <w:szCs w:val="21"/>
                      <w:highlight w:val="none"/>
                      <w:u w:val="none"/>
                      <w:lang w:val="en-US" w:eastAsia="zh-CN" w:bidi="ar"/>
                    </w:rPr>
                  </w:pPr>
                  <w:r>
                    <w:rPr>
                      <w:rFonts w:hint="eastAsia" w:cs="Times New Roman"/>
                      <w:i w:val="0"/>
                      <w:iCs w:val="0"/>
                      <w:strike w:val="0"/>
                      <w:dstrike w:val="0"/>
                      <w:color w:val="000000"/>
                      <w:spacing w:val="-2"/>
                      <w:kern w:val="0"/>
                      <w:sz w:val="21"/>
                      <w:szCs w:val="21"/>
                      <w:highlight w:val="none"/>
                      <w:u w:val="none"/>
                      <w:lang w:val="en-US" w:eastAsia="zh-CN" w:bidi="ar"/>
                    </w:rPr>
                    <w:t>-</w:t>
                  </w:r>
                </w:p>
              </w:tc>
              <w:tc>
                <w:tcPr>
                  <w:tcW w:w="1247" w:type="pct"/>
                  <w:tcBorders>
                    <w:top w:val="single" w:color="auto" w:sz="4" w:space="0"/>
                    <w:left w:val="single" w:color="auto" w:sz="4" w:space="0"/>
                    <w:bottom w:val="single" w:color="auto" w:sz="4" w:space="0"/>
                    <w:right w:val="single" w:color="auto" w:sz="4" w:space="0"/>
                  </w:tcBorders>
                  <w:shd w:val="clear" w:color="auto" w:fill="auto"/>
                  <w:vAlign w:val="center"/>
                </w:tcPr>
                <w:p w14:paraId="5F05C08E">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mg/L</w:t>
                  </w:r>
                </w:p>
              </w:tc>
            </w:tr>
            <w:tr w14:paraId="6D21D9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2" w:hRule="atLeast"/>
                <w:jc w:val="center"/>
              </w:trPr>
              <w:tc>
                <w:tcPr>
                  <w:tcW w:w="103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B8BF3AA">
                  <w:pPr>
                    <w:jc w:val="center"/>
                    <w:rPr>
                      <w:rFonts w:hint="default" w:ascii="Times New Roman" w:hAnsi="Times New Roman" w:eastAsia="宋体" w:cs="Times New Roman"/>
                      <w:i w:val="0"/>
                      <w:iCs w:val="0"/>
                      <w:strike w:val="0"/>
                      <w:dstrike w:val="0"/>
                      <w:color w:val="000000"/>
                      <w:sz w:val="21"/>
                      <w:szCs w:val="21"/>
                      <w:highlight w:val="none"/>
                      <w:u w:val="none"/>
                    </w:rPr>
                  </w:pPr>
                </w:p>
              </w:tc>
              <w:tc>
                <w:tcPr>
                  <w:tcW w:w="1471" w:type="pct"/>
                  <w:tcBorders>
                    <w:top w:val="single" w:color="auto" w:sz="4" w:space="0"/>
                    <w:left w:val="single" w:color="auto" w:sz="4" w:space="0"/>
                    <w:bottom w:val="single" w:color="auto" w:sz="4" w:space="0"/>
                    <w:right w:val="single" w:color="auto" w:sz="4" w:space="0"/>
                  </w:tcBorders>
                  <w:shd w:val="clear" w:color="auto" w:fill="auto"/>
                  <w:vAlign w:val="center"/>
                </w:tcPr>
                <w:p w14:paraId="79C671EB">
                  <w:pPr>
                    <w:keepNext w:val="0"/>
                    <w:keepLines w:val="0"/>
                    <w:widowControl/>
                    <w:suppressLineNumbers w:val="0"/>
                    <w:jc w:val="center"/>
                    <w:textAlignment w:val="center"/>
                    <w:rPr>
                      <w:rFonts w:hint="eastAsia"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BOD</w:t>
                  </w:r>
                  <w:r>
                    <w:rPr>
                      <w:rFonts w:hint="default" w:ascii="Times New Roman" w:hAnsi="Times New Roman" w:eastAsia="宋体" w:cs="Times New Roman"/>
                      <w:i w:val="0"/>
                      <w:iCs w:val="0"/>
                      <w:strike w:val="0"/>
                      <w:dstrike w:val="0"/>
                      <w:color w:val="000000"/>
                      <w:spacing w:val="-2"/>
                      <w:kern w:val="0"/>
                      <w:sz w:val="21"/>
                      <w:szCs w:val="21"/>
                      <w:highlight w:val="none"/>
                      <w:u w:val="none"/>
                      <w:vertAlign w:val="subscript"/>
                      <w:lang w:val="en-US" w:eastAsia="zh-CN" w:bidi="ar"/>
                    </w:rPr>
                    <w:t>5</w:t>
                  </w:r>
                </w:p>
              </w:tc>
              <w:tc>
                <w:tcPr>
                  <w:tcW w:w="1243" w:type="pct"/>
                  <w:tcBorders>
                    <w:top w:val="single" w:color="auto" w:sz="4" w:space="0"/>
                    <w:left w:val="single" w:color="auto" w:sz="4" w:space="0"/>
                    <w:bottom w:val="single" w:color="auto" w:sz="4" w:space="0"/>
                    <w:right w:val="single" w:color="auto" w:sz="4" w:space="0"/>
                  </w:tcBorders>
                  <w:shd w:val="clear" w:color="auto" w:fill="auto"/>
                  <w:vAlign w:val="center"/>
                </w:tcPr>
                <w:p w14:paraId="36471968">
                  <w:pPr>
                    <w:keepNext w:val="0"/>
                    <w:keepLines w:val="0"/>
                    <w:widowControl/>
                    <w:suppressLineNumbers w:val="0"/>
                    <w:jc w:val="center"/>
                    <w:textAlignment w:val="center"/>
                    <w:rPr>
                      <w:rFonts w:hint="default" w:cs="Times New Roman"/>
                      <w:i w:val="0"/>
                      <w:iCs w:val="0"/>
                      <w:strike w:val="0"/>
                      <w:dstrike w:val="0"/>
                      <w:color w:val="000000"/>
                      <w:spacing w:val="-2"/>
                      <w:kern w:val="0"/>
                      <w:sz w:val="21"/>
                      <w:szCs w:val="21"/>
                      <w:highlight w:val="none"/>
                      <w:u w:val="none"/>
                      <w:lang w:val="en-US" w:eastAsia="zh-CN" w:bidi="ar"/>
                    </w:rPr>
                  </w:pPr>
                  <w:r>
                    <w:rPr>
                      <w:rFonts w:hint="eastAsia" w:cs="Times New Roman"/>
                      <w:i w:val="0"/>
                      <w:iCs w:val="0"/>
                      <w:strike w:val="0"/>
                      <w:dstrike w:val="0"/>
                      <w:color w:val="000000"/>
                      <w:spacing w:val="-2"/>
                      <w:kern w:val="0"/>
                      <w:sz w:val="21"/>
                      <w:szCs w:val="21"/>
                      <w:highlight w:val="none"/>
                      <w:u w:val="none"/>
                      <w:lang w:val="en-US" w:eastAsia="zh-CN" w:bidi="ar"/>
                    </w:rPr>
                    <w:t>7</w:t>
                  </w:r>
                </w:p>
              </w:tc>
              <w:tc>
                <w:tcPr>
                  <w:tcW w:w="1247" w:type="pct"/>
                  <w:tcBorders>
                    <w:top w:val="single" w:color="auto" w:sz="4" w:space="0"/>
                    <w:left w:val="single" w:color="auto" w:sz="4" w:space="0"/>
                    <w:bottom w:val="single" w:color="auto" w:sz="4" w:space="0"/>
                    <w:right w:val="single" w:color="auto" w:sz="4" w:space="0"/>
                  </w:tcBorders>
                  <w:shd w:val="clear" w:color="auto" w:fill="auto"/>
                  <w:vAlign w:val="center"/>
                </w:tcPr>
                <w:p w14:paraId="16D44E99">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mg/L</w:t>
                  </w:r>
                </w:p>
              </w:tc>
            </w:tr>
            <w:tr w14:paraId="67550F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3" w:hRule="atLeast"/>
                <w:jc w:val="center"/>
              </w:trPr>
              <w:tc>
                <w:tcPr>
                  <w:tcW w:w="103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6E3B5AE">
                  <w:pPr>
                    <w:jc w:val="center"/>
                    <w:rPr>
                      <w:rFonts w:hint="default" w:ascii="Times New Roman" w:hAnsi="Times New Roman" w:eastAsia="宋体" w:cs="Times New Roman"/>
                      <w:i w:val="0"/>
                      <w:iCs w:val="0"/>
                      <w:strike w:val="0"/>
                      <w:dstrike w:val="0"/>
                      <w:color w:val="000000"/>
                      <w:sz w:val="21"/>
                      <w:szCs w:val="21"/>
                      <w:highlight w:val="none"/>
                      <w:u w:val="none"/>
                    </w:rPr>
                  </w:pPr>
                </w:p>
              </w:tc>
              <w:tc>
                <w:tcPr>
                  <w:tcW w:w="1471" w:type="pct"/>
                  <w:tcBorders>
                    <w:top w:val="single" w:color="auto" w:sz="4" w:space="0"/>
                    <w:left w:val="single" w:color="auto" w:sz="4" w:space="0"/>
                    <w:bottom w:val="single" w:color="auto" w:sz="4" w:space="0"/>
                    <w:right w:val="single" w:color="auto" w:sz="4" w:space="0"/>
                  </w:tcBorders>
                  <w:shd w:val="clear" w:color="auto" w:fill="auto"/>
                  <w:vAlign w:val="center"/>
                </w:tcPr>
                <w:p w14:paraId="5C400E96">
                  <w:pPr>
                    <w:keepNext w:val="0"/>
                    <w:keepLines w:val="0"/>
                    <w:widowControl/>
                    <w:suppressLineNumbers w:val="0"/>
                    <w:jc w:val="center"/>
                    <w:textAlignment w:val="center"/>
                    <w:rPr>
                      <w:rFonts w:hint="eastAsia"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SS</w:t>
                  </w:r>
                </w:p>
              </w:tc>
              <w:tc>
                <w:tcPr>
                  <w:tcW w:w="1243" w:type="pct"/>
                  <w:tcBorders>
                    <w:top w:val="single" w:color="auto" w:sz="4" w:space="0"/>
                    <w:left w:val="single" w:color="auto" w:sz="4" w:space="0"/>
                    <w:bottom w:val="single" w:color="auto" w:sz="4" w:space="0"/>
                    <w:right w:val="single" w:color="auto" w:sz="4" w:space="0"/>
                  </w:tcBorders>
                  <w:shd w:val="clear" w:color="auto" w:fill="auto"/>
                  <w:vAlign w:val="center"/>
                </w:tcPr>
                <w:p w14:paraId="329B34C7">
                  <w:pPr>
                    <w:keepNext w:val="0"/>
                    <w:keepLines w:val="0"/>
                    <w:widowControl/>
                    <w:suppressLineNumbers w:val="0"/>
                    <w:jc w:val="center"/>
                    <w:textAlignment w:val="center"/>
                    <w:rPr>
                      <w:rFonts w:hint="eastAsia" w:cs="Times New Roman"/>
                      <w:i w:val="0"/>
                      <w:iCs w:val="0"/>
                      <w:strike w:val="0"/>
                      <w:dstrike w:val="0"/>
                      <w:color w:val="000000"/>
                      <w:spacing w:val="-2"/>
                      <w:kern w:val="0"/>
                      <w:sz w:val="21"/>
                      <w:szCs w:val="21"/>
                      <w:highlight w:val="none"/>
                      <w:u w:val="none"/>
                      <w:lang w:val="en-US" w:eastAsia="zh-CN" w:bidi="ar"/>
                    </w:rPr>
                  </w:pPr>
                  <w:r>
                    <w:rPr>
                      <w:rFonts w:hint="eastAsia" w:cs="Times New Roman"/>
                      <w:i w:val="0"/>
                      <w:iCs w:val="0"/>
                      <w:strike w:val="0"/>
                      <w:dstrike w:val="0"/>
                      <w:color w:val="000000"/>
                      <w:spacing w:val="-2"/>
                      <w:kern w:val="0"/>
                      <w:sz w:val="21"/>
                      <w:szCs w:val="21"/>
                      <w:highlight w:val="none"/>
                      <w:u w:val="none"/>
                      <w:lang w:val="en-US" w:eastAsia="zh-CN" w:bidi="ar"/>
                    </w:rPr>
                    <w:t>-</w:t>
                  </w:r>
                </w:p>
              </w:tc>
              <w:tc>
                <w:tcPr>
                  <w:tcW w:w="1247" w:type="pct"/>
                  <w:tcBorders>
                    <w:top w:val="single" w:color="auto" w:sz="4" w:space="0"/>
                    <w:left w:val="single" w:color="auto" w:sz="4" w:space="0"/>
                    <w:bottom w:val="single" w:color="auto" w:sz="4" w:space="0"/>
                    <w:right w:val="single" w:color="auto" w:sz="4" w:space="0"/>
                  </w:tcBorders>
                  <w:shd w:val="clear" w:color="auto" w:fill="auto"/>
                  <w:vAlign w:val="center"/>
                </w:tcPr>
                <w:p w14:paraId="47568F35">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mg/L</w:t>
                  </w:r>
                </w:p>
              </w:tc>
            </w:tr>
            <w:tr w14:paraId="2DAF40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103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C02FFE4">
                  <w:pPr>
                    <w:jc w:val="center"/>
                    <w:rPr>
                      <w:rFonts w:hint="default" w:ascii="Times New Roman" w:hAnsi="Times New Roman" w:eastAsia="宋体" w:cs="Times New Roman"/>
                      <w:i w:val="0"/>
                      <w:iCs w:val="0"/>
                      <w:strike w:val="0"/>
                      <w:dstrike w:val="0"/>
                      <w:color w:val="000000"/>
                      <w:sz w:val="21"/>
                      <w:szCs w:val="21"/>
                      <w:highlight w:val="none"/>
                      <w:u w:val="none"/>
                    </w:rPr>
                  </w:pPr>
                </w:p>
              </w:tc>
              <w:tc>
                <w:tcPr>
                  <w:tcW w:w="1471" w:type="pct"/>
                  <w:tcBorders>
                    <w:top w:val="single" w:color="auto" w:sz="4" w:space="0"/>
                    <w:left w:val="single" w:color="auto" w:sz="4" w:space="0"/>
                    <w:bottom w:val="single" w:color="auto" w:sz="4" w:space="0"/>
                    <w:right w:val="single" w:color="auto" w:sz="4" w:space="0"/>
                  </w:tcBorders>
                  <w:shd w:val="clear" w:color="auto" w:fill="auto"/>
                  <w:vAlign w:val="center"/>
                </w:tcPr>
                <w:p w14:paraId="13C2799F">
                  <w:pPr>
                    <w:keepNext w:val="0"/>
                    <w:keepLines w:val="0"/>
                    <w:widowControl/>
                    <w:suppressLineNumbers w:val="0"/>
                    <w:jc w:val="center"/>
                    <w:textAlignment w:val="center"/>
                    <w:rPr>
                      <w:rFonts w:hint="eastAsia" w:cs="Times New Roman"/>
                      <w:i w:val="0"/>
                      <w:iCs w:val="0"/>
                      <w:strike w:val="0"/>
                      <w:dstrike w:val="0"/>
                      <w:color w:val="000000"/>
                      <w:spacing w:val="-2"/>
                      <w:kern w:val="0"/>
                      <w:sz w:val="21"/>
                      <w:szCs w:val="21"/>
                      <w:highlight w:val="none"/>
                      <w:u w:val="none"/>
                      <w:lang w:val="en-US" w:eastAsia="zh-CN" w:bidi="ar"/>
                    </w:rPr>
                  </w:pPr>
                  <w:r>
                    <w:rPr>
                      <w:rFonts w:hint="eastAsia" w:cs="Times New Roman"/>
                      <w:i w:val="0"/>
                      <w:iCs w:val="0"/>
                      <w:strike w:val="0"/>
                      <w:dstrike w:val="0"/>
                      <w:color w:val="000000"/>
                      <w:spacing w:val="-2"/>
                      <w:kern w:val="0"/>
                      <w:sz w:val="21"/>
                      <w:szCs w:val="21"/>
                      <w:highlight w:val="none"/>
                      <w:u w:val="none"/>
                      <w:lang w:val="en-US" w:eastAsia="zh-CN" w:bidi="ar"/>
                    </w:rPr>
                    <w:t>氨氮</w:t>
                  </w:r>
                </w:p>
              </w:tc>
              <w:tc>
                <w:tcPr>
                  <w:tcW w:w="1243" w:type="pct"/>
                  <w:tcBorders>
                    <w:top w:val="single" w:color="auto" w:sz="4" w:space="0"/>
                    <w:left w:val="single" w:color="auto" w:sz="4" w:space="0"/>
                    <w:bottom w:val="single" w:color="auto" w:sz="4" w:space="0"/>
                    <w:right w:val="single" w:color="auto" w:sz="4" w:space="0"/>
                  </w:tcBorders>
                  <w:shd w:val="clear" w:color="auto" w:fill="auto"/>
                  <w:vAlign w:val="center"/>
                </w:tcPr>
                <w:p w14:paraId="7277508F">
                  <w:pPr>
                    <w:keepNext w:val="0"/>
                    <w:keepLines w:val="0"/>
                    <w:widowControl/>
                    <w:suppressLineNumbers w:val="0"/>
                    <w:jc w:val="center"/>
                    <w:textAlignment w:val="center"/>
                    <w:rPr>
                      <w:rFonts w:hint="default" w:cs="Times New Roman"/>
                      <w:i w:val="0"/>
                      <w:iCs w:val="0"/>
                      <w:strike w:val="0"/>
                      <w:dstrike w:val="0"/>
                      <w:color w:val="000000"/>
                      <w:spacing w:val="-2"/>
                      <w:kern w:val="0"/>
                      <w:sz w:val="21"/>
                      <w:szCs w:val="21"/>
                      <w:highlight w:val="none"/>
                      <w:u w:val="none"/>
                      <w:lang w:val="en-US" w:eastAsia="zh-CN" w:bidi="ar"/>
                    </w:rPr>
                  </w:pPr>
                  <w:r>
                    <w:rPr>
                      <w:rFonts w:hint="eastAsia" w:cs="Times New Roman"/>
                      <w:i w:val="0"/>
                      <w:iCs w:val="0"/>
                      <w:strike w:val="0"/>
                      <w:dstrike w:val="0"/>
                      <w:color w:val="000000"/>
                      <w:spacing w:val="-2"/>
                      <w:kern w:val="0"/>
                      <w:sz w:val="21"/>
                      <w:szCs w:val="21"/>
                      <w:highlight w:val="none"/>
                      <w:u w:val="none"/>
                      <w:lang w:val="en-US" w:eastAsia="zh-CN" w:bidi="ar"/>
                    </w:rPr>
                    <w:t>0.1525</w:t>
                  </w:r>
                </w:p>
              </w:tc>
              <w:tc>
                <w:tcPr>
                  <w:tcW w:w="1247" w:type="pct"/>
                  <w:tcBorders>
                    <w:top w:val="single" w:color="auto" w:sz="4" w:space="0"/>
                    <w:left w:val="single" w:color="auto" w:sz="4" w:space="0"/>
                    <w:bottom w:val="single" w:color="auto" w:sz="4" w:space="0"/>
                    <w:right w:val="single" w:color="auto" w:sz="4" w:space="0"/>
                  </w:tcBorders>
                  <w:shd w:val="clear" w:color="auto" w:fill="auto"/>
                  <w:vAlign w:val="center"/>
                </w:tcPr>
                <w:p w14:paraId="0AFFBADA">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mg/L</w:t>
                  </w:r>
                </w:p>
              </w:tc>
            </w:tr>
            <w:tr w14:paraId="1A72A4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103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1AFD10F">
                  <w:pPr>
                    <w:jc w:val="center"/>
                    <w:rPr>
                      <w:rFonts w:hint="default" w:ascii="Times New Roman" w:hAnsi="Times New Roman" w:eastAsia="宋体" w:cs="Times New Roman"/>
                      <w:i w:val="0"/>
                      <w:iCs w:val="0"/>
                      <w:strike w:val="0"/>
                      <w:dstrike w:val="0"/>
                      <w:color w:val="000000"/>
                      <w:sz w:val="21"/>
                      <w:szCs w:val="21"/>
                      <w:highlight w:val="none"/>
                      <w:u w:val="none"/>
                    </w:rPr>
                  </w:pPr>
                </w:p>
              </w:tc>
              <w:tc>
                <w:tcPr>
                  <w:tcW w:w="1471" w:type="pct"/>
                  <w:tcBorders>
                    <w:top w:val="single" w:color="auto" w:sz="4" w:space="0"/>
                    <w:left w:val="single" w:color="auto" w:sz="4" w:space="0"/>
                    <w:bottom w:val="single" w:color="auto" w:sz="4" w:space="0"/>
                    <w:right w:val="single" w:color="auto" w:sz="4" w:space="0"/>
                  </w:tcBorders>
                  <w:shd w:val="clear" w:color="auto" w:fill="auto"/>
                  <w:vAlign w:val="center"/>
                </w:tcPr>
                <w:p w14:paraId="7A2BF4B0">
                  <w:pPr>
                    <w:keepNext w:val="0"/>
                    <w:keepLines w:val="0"/>
                    <w:widowControl/>
                    <w:suppressLineNumbers w:val="0"/>
                    <w:jc w:val="center"/>
                    <w:textAlignment w:val="center"/>
                    <w:rPr>
                      <w:rFonts w:hint="eastAsia" w:cs="Times New Roman"/>
                      <w:i w:val="0"/>
                      <w:iCs w:val="0"/>
                      <w:strike w:val="0"/>
                      <w:dstrike w:val="0"/>
                      <w:color w:val="000000"/>
                      <w:spacing w:val="-2"/>
                      <w:kern w:val="0"/>
                      <w:sz w:val="21"/>
                      <w:szCs w:val="21"/>
                      <w:highlight w:val="none"/>
                      <w:u w:val="none"/>
                      <w:lang w:val="en-US" w:eastAsia="zh-CN" w:bidi="ar"/>
                    </w:rPr>
                  </w:pPr>
                  <w:r>
                    <w:rPr>
                      <w:rFonts w:hint="eastAsia" w:cs="Times New Roman"/>
                      <w:i w:val="0"/>
                      <w:iCs w:val="0"/>
                      <w:strike w:val="0"/>
                      <w:dstrike w:val="0"/>
                      <w:color w:val="000000"/>
                      <w:spacing w:val="-2"/>
                      <w:kern w:val="0"/>
                      <w:sz w:val="21"/>
                      <w:szCs w:val="21"/>
                      <w:highlight w:val="none"/>
                      <w:u w:val="none"/>
                      <w:lang w:val="en-US" w:eastAsia="zh-CN" w:bidi="ar"/>
                    </w:rPr>
                    <w:t>溶解性总固体</w:t>
                  </w:r>
                </w:p>
              </w:tc>
              <w:tc>
                <w:tcPr>
                  <w:tcW w:w="1243" w:type="pct"/>
                  <w:tcBorders>
                    <w:top w:val="single" w:color="auto" w:sz="4" w:space="0"/>
                    <w:left w:val="single" w:color="auto" w:sz="4" w:space="0"/>
                    <w:bottom w:val="single" w:color="auto" w:sz="4" w:space="0"/>
                    <w:right w:val="single" w:color="auto" w:sz="4" w:space="0"/>
                  </w:tcBorders>
                  <w:shd w:val="clear" w:color="auto" w:fill="auto"/>
                  <w:vAlign w:val="center"/>
                </w:tcPr>
                <w:p w14:paraId="5CD18921">
                  <w:pPr>
                    <w:keepNext w:val="0"/>
                    <w:keepLines w:val="0"/>
                    <w:widowControl/>
                    <w:suppressLineNumbers w:val="0"/>
                    <w:jc w:val="center"/>
                    <w:textAlignment w:val="center"/>
                    <w:rPr>
                      <w:rFonts w:hint="default" w:cs="Times New Roman"/>
                      <w:i w:val="0"/>
                      <w:iCs w:val="0"/>
                      <w:strike w:val="0"/>
                      <w:dstrike w:val="0"/>
                      <w:color w:val="000000"/>
                      <w:spacing w:val="-2"/>
                      <w:kern w:val="0"/>
                      <w:sz w:val="21"/>
                      <w:szCs w:val="21"/>
                      <w:highlight w:val="none"/>
                      <w:u w:val="none"/>
                      <w:lang w:val="en-US" w:eastAsia="zh-CN" w:bidi="ar"/>
                    </w:rPr>
                  </w:pPr>
                  <w:r>
                    <w:rPr>
                      <w:rFonts w:hint="eastAsia" w:cs="Times New Roman"/>
                      <w:i w:val="0"/>
                      <w:iCs w:val="0"/>
                      <w:strike w:val="0"/>
                      <w:dstrike w:val="0"/>
                      <w:color w:val="000000"/>
                      <w:spacing w:val="-2"/>
                      <w:kern w:val="0"/>
                      <w:sz w:val="21"/>
                      <w:szCs w:val="21"/>
                      <w:highlight w:val="none"/>
                      <w:u w:val="none"/>
                      <w:lang w:val="en-US" w:eastAsia="zh-CN" w:bidi="ar"/>
                    </w:rPr>
                    <w:t>592.5</w:t>
                  </w:r>
                </w:p>
              </w:tc>
              <w:tc>
                <w:tcPr>
                  <w:tcW w:w="1247" w:type="pct"/>
                  <w:tcBorders>
                    <w:top w:val="single" w:color="auto" w:sz="4" w:space="0"/>
                    <w:left w:val="single" w:color="auto" w:sz="4" w:space="0"/>
                    <w:bottom w:val="single" w:color="auto" w:sz="4" w:space="0"/>
                    <w:right w:val="single" w:color="auto" w:sz="4" w:space="0"/>
                  </w:tcBorders>
                  <w:shd w:val="clear" w:color="auto" w:fill="auto"/>
                  <w:vAlign w:val="center"/>
                </w:tcPr>
                <w:p w14:paraId="7F8430C3">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mg/L</w:t>
                  </w:r>
                </w:p>
              </w:tc>
            </w:tr>
            <w:tr w14:paraId="2FF38D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9" w:hRule="atLeast"/>
                <w:jc w:val="center"/>
              </w:trPr>
              <w:tc>
                <w:tcPr>
                  <w:tcW w:w="5000"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547E9D51">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color w:val="000000"/>
                      <w:sz w:val="21"/>
                      <w:szCs w:val="21"/>
                      <w:highlight w:val="none"/>
                      <w:u w:val="none"/>
                    </w:rPr>
                    <w:t>注：上表中的排放浓度为两天检测结果的平均值。</w:t>
                  </w:r>
                </w:p>
              </w:tc>
            </w:tr>
          </w:tbl>
          <w:p w14:paraId="0757D959">
            <w:pPr>
              <w:pStyle w:val="177"/>
              <w:jc w:val="center"/>
              <w:rPr>
                <w:rFonts w:hint="default" w:ascii="Times New Roman" w:hAnsi="Times New Roman" w:eastAsia="宋体" w:cs="Times New Roman"/>
                <w:b/>
                <w:bCs/>
                <w:strike w:val="0"/>
                <w:dstrike w:val="0"/>
                <w:sz w:val="24"/>
                <w:szCs w:val="32"/>
                <w:highlight w:val="none"/>
                <w:lang w:val="en-US" w:eastAsia="zh-CN"/>
              </w:rPr>
            </w:pPr>
          </w:p>
          <w:p w14:paraId="112663DC">
            <w:pPr>
              <w:pStyle w:val="177"/>
              <w:jc w:val="center"/>
              <w:rPr>
                <w:rFonts w:hint="default" w:ascii="Times New Roman" w:hAnsi="Times New Roman" w:eastAsia="宋体" w:cs="Times New Roman"/>
                <w:b/>
                <w:bCs/>
                <w:strike w:val="0"/>
                <w:dstrike w:val="0"/>
                <w:sz w:val="24"/>
                <w:szCs w:val="32"/>
                <w:highlight w:val="none"/>
                <w:lang w:val="en-US" w:eastAsia="zh-CN"/>
              </w:rPr>
            </w:pPr>
            <w:r>
              <w:rPr>
                <w:rFonts w:hint="default" w:ascii="Times New Roman" w:hAnsi="Times New Roman" w:eastAsia="宋体" w:cs="Times New Roman"/>
                <w:b/>
                <w:bCs/>
                <w:strike w:val="0"/>
                <w:dstrike w:val="0"/>
                <w:sz w:val="24"/>
                <w:szCs w:val="32"/>
                <w:highlight w:val="none"/>
                <w:lang w:val="en-US" w:eastAsia="zh-CN"/>
              </w:rPr>
              <w:t>表</w:t>
            </w:r>
            <w:r>
              <w:rPr>
                <w:rFonts w:hint="eastAsia" w:ascii="Times New Roman" w:hAnsi="Times New Roman" w:eastAsia="宋体" w:cs="Times New Roman"/>
                <w:b/>
                <w:bCs/>
                <w:strike w:val="0"/>
                <w:dstrike w:val="0"/>
                <w:sz w:val="24"/>
                <w:szCs w:val="32"/>
                <w:highlight w:val="none"/>
                <w:lang w:val="en-US" w:eastAsia="zh-CN"/>
              </w:rPr>
              <w:t>4</w:t>
            </w:r>
            <w:r>
              <w:rPr>
                <w:rFonts w:hint="default" w:ascii="Times New Roman" w:hAnsi="Times New Roman" w:eastAsia="宋体" w:cs="Times New Roman"/>
                <w:b/>
                <w:bCs/>
                <w:strike w:val="0"/>
                <w:dstrike w:val="0"/>
                <w:sz w:val="24"/>
                <w:szCs w:val="32"/>
                <w:highlight w:val="none"/>
                <w:lang w:val="en-US" w:eastAsia="zh-CN"/>
              </w:rPr>
              <w:t>-</w:t>
            </w:r>
            <w:r>
              <w:rPr>
                <w:rFonts w:hint="eastAsia" w:ascii="Times New Roman" w:hAnsi="Times New Roman" w:eastAsia="宋体" w:cs="Times New Roman"/>
                <w:b/>
                <w:bCs/>
                <w:strike w:val="0"/>
                <w:dstrike w:val="0"/>
                <w:sz w:val="24"/>
                <w:szCs w:val="32"/>
                <w:highlight w:val="none"/>
                <w:lang w:val="en-US" w:eastAsia="zh-CN"/>
              </w:rPr>
              <w:t>6（c）</w:t>
            </w:r>
            <w:r>
              <w:rPr>
                <w:rFonts w:hint="default" w:ascii="Times New Roman" w:hAnsi="Times New Roman" w:eastAsia="宋体" w:cs="Times New Roman"/>
                <w:b/>
                <w:bCs/>
                <w:strike w:val="0"/>
                <w:dstrike w:val="0"/>
                <w:sz w:val="24"/>
                <w:szCs w:val="32"/>
                <w:highlight w:val="none"/>
                <w:lang w:val="en-US" w:eastAsia="zh-CN"/>
              </w:rPr>
              <w:t xml:space="preserve">  《东辽县安石镇集中供热清洁化改造项目竣工环境保护验收监测报告表》废水</w:t>
            </w:r>
            <w:r>
              <w:rPr>
                <w:rFonts w:hint="eastAsia" w:ascii="Times New Roman" w:hAnsi="Times New Roman" w:eastAsia="宋体" w:cs="Times New Roman"/>
                <w:b/>
                <w:bCs/>
                <w:strike w:val="0"/>
                <w:dstrike w:val="0"/>
                <w:sz w:val="24"/>
                <w:szCs w:val="32"/>
                <w:highlight w:val="none"/>
                <w:lang w:val="en-US" w:eastAsia="zh-CN"/>
              </w:rPr>
              <w:t>排放</w:t>
            </w:r>
            <w:r>
              <w:rPr>
                <w:rFonts w:hint="default" w:ascii="Times New Roman" w:hAnsi="Times New Roman" w:eastAsia="宋体" w:cs="Times New Roman"/>
                <w:b/>
                <w:bCs/>
                <w:strike w:val="0"/>
                <w:dstrike w:val="0"/>
                <w:sz w:val="24"/>
                <w:szCs w:val="32"/>
                <w:highlight w:val="none"/>
                <w:lang w:val="en-US" w:eastAsia="zh-CN"/>
              </w:rPr>
              <w:t>浓度监测数据</w:t>
            </w:r>
            <w:r>
              <w:rPr>
                <w:rFonts w:hint="eastAsia" w:ascii="Times New Roman" w:hAnsi="Times New Roman" w:eastAsia="宋体" w:cs="Times New Roman"/>
                <w:b/>
                <w:bCs/>
                <w:strike w:val="0"/>
                <w:dstrike w:val="0"/>
                <w:sz w:val="24"/>
                <w:szCs w:val="32"/>
                <w:highlight w:val="none"/>
                <w:lang w:val="en-US" w:eastAsia="zh-CN"/>
              </w:rPr>
              <w:t>（2024年11月8日~2024年11月9日）</w:t>
            </w:r>
          </w:p>
          <w:tbl>
            <w:tblPr>
              <w:tblStyle w:val="31"/>
              <w:tblW w:w="4927"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191"/>
              <w:gridCol w:w="2192"/>
              <w:gridCol w:w="1851"/>
              <w:gridCol w:w="1856"/>
            </w:tblGrid>
            <w:tr w14:paraId="7C909A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1354" w:type="pct"/>
                  <w:tcBorders>
                    <w:top w:val="single" w:color="auto" w:sz="4" w:space="0"/>
                    <w:left w:val="single" w:color="000000" w:sz="4" w:space="0"/>
                    <w:bottom w:val="single" w:color="auto" w:sz="4" w:space="0"/>
                    <w:right w:val="single" w:color="auto" w:sz="4" w:space="0"/>
                  </w:tcBorders>
                  <w:shd w:val="clear" w:color="auto" w:fill="auto"/>
                  <w:vAlign w:val="center"/>
                </w:tcPr>
                <w:p w14:paraId="7BB5A825">
                  <w:pPr>
                    <w:keepNext w:val="0"/>
                    <w:keepLines w:val="0"/>
                    <w:widowControl/>
                    <w:suppressLineNumbers w:val="0"/>
                    <w:jc w:val="center"/>
                    <w:textAlignment w:val="center"/>
                    <w:rPr>
                      <w:rFonts w:hint="default" w:ascii="Times New Roman" w:hAnsi="Times New Roman" w:eastAsia="宋体" w:cs="Times New Roman"/>
                      <w:b/>
                      <w:bCs/>
                      <w:i w:val="0"/>
                      <w:iCs w:val="0"/>
                      <w:strike w:val="0"/>
                      <w:dstrike w:val="0"/>
                      <w:color w:val="000000"/>
                      <w:sz w:val="21"/>
                      <w:szCs w:val="21"/>
                      <w:highlight w:val="none"/>
                      <w:u w:val="none"/>
                    </w:rPr>
                  </w:pPr>
                  <w:r>
                    <w:rPr>
                      <w:rFonts w:hint="default" w:ascii="Times New Roman" w:hAnsi="Times New Roman" w:eastAsia="宋体" w:cs="Times New Roman"/>
                      <w:b/>
                      <w:bCs/>
                      <w:i w:val="0"/>
                      <w:iCs w:val="0"/>
                      <w:strike w:val="0"/>
                      <w:dstrike w:val="0"/>
                      <w:color w:val="000000"/>
                      <w:spacing w:val="-2"/>
                      <w:kern w:val="0"/>
                      <w:sz w:val="21"/>
                      <w:szCs w:val="21"/>
                      <w:highlight w:val="none"/>
                      <w:u w:val="none"/>
                      <w:lang w:val="en-US" w:eastAsia="zh-CN" w:bidi="ar"/>
                    </w:rPr>
                    <w:t>废水种类</w:t>
                  </w:r>
                </w:p>
              </w:tc>
              <w:tc>
                <w:tcPr>
                  <w:tcW w:w="1355" w:type="pct"/>
                  <w:tcBorders>
                    <w:top w:val="single" w:color="auto" w:sz="4" w:space="0"/>
                    <w:left w:val="single" w:color="auto" w:sz="4" w:space="0"/>
                    <w:bottom w:val="single" w:color="auto" w:sz="4" w:space="0"/>
                    <w:right w:val="single" w:color="auto" w:sz="4" w:space="0"/>
                  </w:tcBorders>
                  <w:shd w:val="clear" w:color="auto" w:fill="auto"/>
                  <w:vAlign w:val="center"/>
                </w:tcPr>
                <w:p w14:paraId="4E8B941F">
                  <w:pPr>
                    <w:keepNext w:val="0"/>
                    <w:keepLines w:val="0"/>
                    <w:widowControl/>
                    <w:suppressLineNumbers w:val="0"/>
                    <w:jc w:val="center"/>
                    <w:textAlignment w:val="center"/>
                    <w:rPr>
                      <w:rFonts w:hint="default" w:ascii="Times New Roman" w:hAnsi="Times New Roman" w:eastAsia="宋体" w:cs="Times New Roman"/>
                      <w:b/>
                      <w:bCs/>
                      <w:i w:val="0"/>
                      <w:iCs w:val="0"/>
                      <w:strike w:val="0"/>
                      <w:dstrike w:val="0"/>
                      <w:color w:val="000000"/>
                      <w:sz w:val="21"/>
                      <w:szCs w:val="21"/>
                      <w:highlight w:val="none"/>
                      <w:u w:val="none"/>
                    </w:rPr>
                  </w:pPr>
                  <w:r>
                    <w:rPr>
                      <w:rFonts w:hint="default" w:ascii="Times New Roman" w:hAnsi="Times New Roman" w:eastAsia="宋体" w:cs="Times New Roman"/>
                      <w:b/>
                      <w:bCs/>
                      <w:i w:val="0"/>
                      <w:iCs w:val="0"/>
                      <w:strike w:val="0"/>
                      <w:dstrike w:val="0"/>
                      <w:color w:val="000000"/>
                      <w:spacing w:val="-2"/>
                      <w:kern w:val="0"/>
                      <w:sz w:val="21"/>
                      <w:szCs w:val="21"/>
                      <w:highlight w:val="none"/>
                      <w:u w:val="none"/>
                      <w:lang w:val="en-US" w:eastAsia="zh-CN" w:bidi="ar"/>
                    </w:rPr>
                    <w:t>检测项目</w:t>
                  </w:r>
                </w:p>
              </w:tc>
              <w:tc>
                <w:tcPr>
                  <w:tcW w:w="1144" w:type="pct"/>
                  <w:tcBorders>
                    <w:top w:val="single" w:color="auto" w:sz="4" w:space="0"/>
                    <w:left w:val="single" w:color="auto" w:sz="4" w:space="0"/>
                    <w:bottom w:val="single" w:color="auto" w:sz="4" w:space="0"/>
                    <w:right w:val="single" w:color="auto" w:sz="4" w:space="0"/>
                  </w:tcBorders>
                  <w:shd w:val="clear" w:color="auto" w:fill="auto"/>
                  <w:vAlign w:val="center"/>
                </w:tcPr>
                <w:p w14:paraId="5ED4313F">
                  <w:pPr>
                    <w:keepNext w:val="0"/>
                    <w:keepLines w:val="0"/>
                    <w:widowControl/>
                    <w:suppressLineNumbers w:val="0"/>
                    <w:jc w:val="center"/>
                    <w:textAlignment w:val="center"/>
                    <w:rPr>
                      <w:rFonts w:hint="default" w:ascii="Times New Roman" w:hAnsi="Times New Roman" w:eastAsia="宋体" w:cs="Times New Roman"/>
                      <w:b/>
                      <w:bCs/>
                      <w:i w:val="0"/>
                      <w:iCs w:val="0"/>
                      <w:strike w:val="0"/>
                      <w:dstrike w:val="0"/>
                      <w:color w:val="000000"/>
                      <w:sz w:val="21"/>
                      <w:szCs w:val="21"/>
                      <w:highlight w:val="none"/>
                      <w:u w:val="none"/>
                    </w:rPr>
                  </w:pPr>
                  <w:r>
                    <w:rPr>
                      <w:rFonts w:hint="default" w:ascii="Times New Roman" w:hAnsi="Times New Roman" w:eastAsia="宋体" w:cs="Times New Roman"/>
                      <w:b/>
                      <w:bCs/>
                      <w:i w:val="0"/>
                      <w:iCs w:val="0"/>
                      <w:strike w:val="0"/>
                      <w:dstrike w:val="0"/>
                      <w:color w:val="000000"/>
                      <w:spacing w:val="-2"/>
                      <w:kern w:val="0"/>
                      <w:sz w:val="21"/>
                      <w:szCs w:val="21"/>
                      <w:highlight w:val="none"/>
                      <w:u w:val="none"/>
                      <w:lang w:val="en-US" w:eastAsia="zh-CN" w:bidi="ar"/>
                    </w:rPr>
                    <w:t>结果</w:t>
                  </w:r>
                </w:p>
              </w:tc>
              <w:tc>
                <w:tcPr>
                  <w:tcW w:w="1144" w:type="pct"/>
                  <w:tcBorders>
                    <w:top w:val="single" w:color="auto" w:sz="4" w:space="0"/>
                    <w:left w:val="single" w:color="auto" w:sz="4" w:space="0"/>
                    <w:bottom w:val="single" w:color="auto" w:sz="4" w:space="0"/>
                    <w:right w:val="single" w:color="auto" w:sz="4" w:space="0"/>
                  </w:tcBorders>
                  <w:shd w:val="clear" w:color="auto" w:fill="auto"/>
                  <w:vAlign w:val="center"/>
                </w:tcPr>
                <w:p w14:paraId="49C3B645">
                  <w:pPr>
                    <w:keepNext w:val="0"/>
                    <w:keepLines w:val="0"/>
                    <w:widowControl/>
                    <w:suppressLineNumbers w:val="0"/>
                    <w:jc w:val="center"/>
                    <w:textAlignment w:val="center"/>
                    <w:rPr>
                      <w:rFonts w:hint="default" w:ascii="Times New Roman" w:hAnsi="Times New Roman" w:eastAsia="宋体" w:cs="Times New Roman"/>
                      <w:b/>
                      <w:bCs/>
                      <w:i w:val="0"/>
                      <w:iCs w:val="0"/>
                      <w:strike w:val="0"/>
                      <w:dstrike w:val="0"/>
                      <w:color w:val="000000"/>
                      <w:sz w:val="21"/>
                      <w:szCs w:val="21"/>
                      <w:highlight w:val="none"/>
                      <w:u w:val="none"/>
                    </w:rPr>
                  </w:pPr>
                  <w:r>
                    <w:rPr>
                      <w:rFonts w:hint="default" w:ascii="Times New Roman" w:hAnsi="Times New Roman" w:eastAsia="宋体" w:cs="Times New Roman"/>
                      <w:b/>
                      <w:bCs/>
                      <w:i w:val="0"/>
                      <w:iCs w:val="0"/>
                      <w:strike w:val="0"/>
                      <w:dstrike w:val="0"/>
                      <w:color w:val="000000"/>
                      <w:spacing w:val="-2"/>
                      <w:kern w:val="0"/>
                      <w:sz w:val="21"/>
                      <w:szCs w:val="21"/>
                      <w:highlight w:val="none"/>
                      <w:u w:val="none"/>
                      <w:lang w:val="en-US" w:eastAsia="zh-CN" w:bidi="ar"/>
                    </w:rPr>
                    <w:t>单位</w:t>
                  </w:r>
                </w:p>
              </w:tc>
            </w:tr>
            <w:tr w14:paraId="20BE84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1354" w:type="pct"/>
                  <w:vMerge w:val="restart"/>
                  <w:tcBorders>
                    <w:top w:val="single" w:color="auto" w:sz="4" w:space="0"/>
                    <w:left w:val="single" w:color="auto" w:sz="4" w:space="0"/>
                    <w:right w:val="single" w:color="auto" w:sz="4" w:space="0"/>
                  </w:tcBorders>
                  <w:shd w:val="clear" w:color="auto" w:fill="auto"/>
                  <w:vAlign w:val="center"/>
                </w:tcPr>
                <w:p w14:paraId="711908CA">
                  <w:pPr>
                    <w:jc w:val="center"/>
                    <w:rPr>
                      <w:rFonts w:hint="default" w:ascii="Times New Roman" w:hAnsi="Times New Roman" w:eastAsia="宋体" w:cs="Times New Roman"/>
                      <w:i w:val="0"/>
                      <w:iCs w:val="0"/>
                      <w:strike w:val="0"/>
                      <w:dstrike w:val="0"/>
                      <w:color w:val="000000"/>
                      <w:sz w:val="21"/>
                      <w:szCs w:val="21"/>
                      <w:highlight w:val="none"/>
                      <w:u w:val="none"/>
                    </w:rPr>
                  </w:pPr>
                  <w:r>
                    <w:rPr>
                      <w:rFonts w:hint="default" w:ascii="Times New Roman" w:hAnsi="Times New Roman" w:eastAsia="宋体" w:cs="Times New Roman"/>
                      <w:i w:val="0"/>
                      <w:iCs w:val="0"/>
                      <w:strike w:val="0"/>
                      <w:dstrike w:val="0"/>
                      <w:color w:val="000000"/>
                      <w:sz w:val="21"/>
                      <w:szCs w:val="21"/>
                      <w:highlight w:val="none"/>
                      <w:u w:val="none"/>
                    </w:rPr>
                    <w:t>锅炉软水制备</w:t>
                  </w:r>
                </w:p>
                <w:p w14:paraId="6E8C25A6">
                  <w:pPr>
                    <w:jc w:val="center"/>
                    <w:rPr>
                      <w:rFonts w:hint="default" w:ascii="Times New Roman" w:hAnsi="Times New Roman" w:eastAsia="宋体" w:cs="Times New Roman"/>
                      <w:i w:val="0"/>
                      <w:iCs w:val="0"/>
                      <w:strike w:val="0"/>
                      <w:dstrike w:val="0"/>
                      <w:color w:val="000000"/>
                      <w:sz w:val="21"/>
                      <w:szCs w:val="21"/>
                      <w:highlight w:val="none"/>
                      <w:u w:val="none"/>
                    </w:rPr>
                  </w:pPr>
                  <w:r>
                    <w:rPr>
                      <w:rFonts w:hint="default" w:ascii="Times New Roman" w:hAnsi="Times New Roman" w:eastAsia="宋体" w:cs="Times New Roman"/>
                      <w:i w:val="0"/>
                      <w:iCs w:val="0"/>
                      <w:strike w:val="0"/>
                      <w:dstrike w:val="0"/>
                      <w:color w:val="000000"/>
                      <w:sz w:val="21"/>
                      <w:szCs w:val="21"/>
                      <w:highlight w:val="none"/>
                      <w:u w:val="none"/>
                    </w:rPr>
                    <w:t>设施排污水、锅炉定期排污水</w:t>
                  </w:r>
                </w:p>
              </w:tc>
              <w:tc>
                <w:tcPr>
                  <w:tcW w:w="1355" w:type="pct"/>
                  <w:tcBorders>
                    <w:top w:val="single" w:color="auto" w:sz="4" w:space="0"/>
                    <w:left w:val="single" w:color="auto" w:sz="4" w:space="0"/>
                    <w:bottom w:val="single" w:color="auto" w:sz="4" w:space="0"/>
                    <w:right w:val="single" w:color="auto" w:sz="4" w:space="0"/>
                  </w:tcBorders>
                  <w:shd w:val="clear" w:color="auto" w:fill="auto"/>
                  <w:vAlign w:val="center"/>
                </w:tcPr>
                <w:p w14:paraId="599D8AAE">
                  <w:pPr>
                    <w:keepNext w:val="0"/>
                    <w:keepLines w:val="0"/>
                    <w:widowControl/>
                    <w:suppressLineNumbers w:val="0"/>
                    <w:jc w:val="center"/>
                    <w:textAlignment w:val="center"/>
                    <w:rPr>
                      <w:rFonts w:hint="eastAsia"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CODcr</w:t>
                  </w:r>
                </w:p>
              </w:tc>
              <w:tc>
                <w:tcPr>
                  <w:tcW w:w="1144" w:type="pct"/>
                  <w:tcBorders>
                    <w:top w:val="single" w:color="auto" w:sz="4" w:space="0"/>
                    <w:left w:val="single" w:color="auto" w:sz="4" w:space="0"/>
                    <w:bottom w:val="single" w:color="auto" w:sz="4" w:space="0"/>
                    <w:right w:val="single" w:color="auto" w:sz="4" w:space="0"/>
                  </w:tcBorders>
                  <w:shd w:val="clear" w:color="auto" w:fill="auto"/>
                  <w:vAlign w:val="center"/>
                </w:tcPr>
                <w:p w14:paraId="4FD846C6">
                  <w:pPr>
                    <w:keepNext w:val="0"/>
                    <w:keepLines w:val="0"/>
                    <w:widowControl/>
                    <w:suppressLineNumbers w:val="0"/>
                    <w:jc w:val="center"/>
                    <w:textAlignment w:val="center"/>
                    <w:rPr>
                      <w:rFonts w:hint="default" w:cs="Times New Roman"/>
                      <w:i w:val="0"/>
                      <w:iCs w:val="0"/>
                      <w:strike w:val="0"/>
                      <w:dstrike w:val="0"/>
                      <w:color w:val="000000"/>
                      <w:spacing w:val="-2"/>
                      <w:kern w:val="0"/>
                      <w:sz w:val="21"/>
                      <w:szCs w:val="21"/>
                      <w:highlight w:val="none"/>
                      <w:u w:val="none"/>
                      <w:lang w:val="en-US" w:eastAsia="zh-CN" w:bidi="ar"/>
                    </w:rPr>
                  </w:pPr>
                  <w:r>
                    <w:rPr>
                      <w:rFonts w:hint="eastAsia" w:cs="Times New Roman"/>
                      <w:i w:val="0"/>
                      <w:iCs w:val="0"/>
                      <w:strike w:val="0"/>
                      <w:dstrike w:val="0"/>
                      <w:color w:val="000000"/>
                      <w:spacing w:val="-2"/>
                      <w:kern w:val="0"/>
                      <w:sz w:val="21"/>
                      <w:szCs w:val="21"/>
                      <w:highlight w:val="none"/>
                      <w:u w:val="none"/>
                      <w:lang w:val="en-US" w:eastAsia="zh-CN" w:bidi="ar"/>
                    </w:rPr>
                    <w:t>68.38</w:t>
                  </w:r>
                </w:p>
              </w:tc>
              <w:tc>
                <w:tcPr>
                  <w:tcW w:w="1144" w:type="pct"/>
                  <w:tcBorders>
                    <w:top w:val="single" w:color="auto" w:sz="4" w:space="0"/>
                    <w:left w:val="single" w:color="auto" w:sz="4" w:space="0"/>
                    <w:bottom w:val="single" w:color="auto" w:sz="4" w:space="0"/>
                    <w:right w:val="single" w:color="auto" w:sz="4" w:space="0"/>
                  </w:tcBorders>
                  <w:shd w:val="clear" w:color="auto" w:fill="auto"/>
                  <w:vAlign w:val="center"/>
                </w:tcPr>
                <w:p w14:paraId="5E6F41C0">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mg/L</w:t>
                  </w:r>
                </w:p>
              </w:tc>
            </w:tr>
            <w:tr w14:paraId="0A9FA0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354"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E41928B">
                  <w:pPr>
                    <w:jc w:val="center"/>
                    <w:rPr>
                      <w:rFonts w:hint="default" w:ascii="Times New Roman" w:hAnsi="Times New Roman" w:eastAsia="宋体" w:cs="Times New Roman"/>
                      <w:i w:val="0"/>
                      <w:iCs w:val="0"/>
                      <w:strike w:val="0"/>
                      <w:dstrike w:val="0"/>
                      <w:color w:val="000000"/>
                      <w:sz w:val="21"/>
                      <w:szCs w:val="21"/>
                      <w:highlight w:val="none"/>
                      <w:u w:val="none"/>
                    </w:rPr>
                  </w:pPr>
                </w:p>
              </w:tc>
              <w:tc>
                <w:tcPr>
                  <w:tcW w:w="1355" w:type="pct"/>
                  <w:tcBorders>
                    <w:top w:val="single" w:color="auto" w:sz="4" w:space="0"/>
                    <w:left w:val="single" w:color="auto" w:sz="4" w:space="0"/>
                    <w:bottom w:val="single" w:color="auto" w:sz="4" w:space="0"/>
                    <w:right w:val="single" w:color="auto" w:sz="4" w:space="0"/>
                  </w:tcBorders>
                  <w:shd w:val="clear" w:color="auto" w:fill="auto"/>
                  <w:vAlign w:val="center"/>
                </w:tcPr>
                <w:p w14:paraId="65140FD8">
                  <w:pPr>
                    <w:keepNext w:val="0"/>
                    <w:keepLines w:val="0"/>
                    <w:widowControl/>
                    <w:suppressLineNumbers w:val="0"/>
                    <w:jc w:val="center"/>
                    <w:textAlignment w:val="center"/>
                    <w:rPr>
                      <w:rFonts w:hint="eastAsia"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SS</w:t>
                  </w:r>
                </w:p>
              </w:tc>
              <w:tc>
                <w:tcPr>
                  <w:tcW w:w="1144" w:type="pct"/>
                  <w:tcBorders>
                    <w:top w:val="single" w:color="auto" w:sz="4" w:space="0"/>
                    <w:left w:val="single" w:color="auto" w:sz="4" w:space="0"/>
                    <w:bottom w:val="single" w:color="auto" w:sz="4" w:space="0"/>
                    <w:right w:val="single" w:color="auto" w:sz="4" w:space="0"/>
                  </w:tcBorders>
                  <w:shd w:val="clear" w:color="auto" w:fill="auto"/>
                  <w:vAlign w:val="center"/>
                </w:tcPr>
                <w:p w14:paraId="05AD4E8C">
                  <w:pPr>
                    <w:keepNext w:val="0"/>
                    <w:keepLines w:val="0"/>
                    <w:widowControl/>
                    <w:suppressLineNumbers w:val="0"/>
                    <w:jc w:val="center"/>
                    <w:textAlignment w:val="center"/>
                    <w:rPr>
                      <w:rFonts w:hint="default" w:cs="Times New Roman"/>
                      <w:i w:val="0"/>
                      <w:iCs w:val="0"/>
                      <w:strike w:val="0"/>
                      <w:dstrike w:val="0"/>
                      <w:color w:val="000000"/>
                      <w:spacing w:val="-2"/>
                      <w:kern w:val="0"/>
                      <w:sz w:val="21"/>
                      <w:szCs w:val="21"/>
                      <w:highlight w:val="none"/>
                      <w:u w:val="none"/>
                      <w:lang w:val="en-US" w:eastAsia="zh-CN" w:bidi="ar"/>
                    </w:rPr>
                  </w:pPr>
                  <w:r>
                    <w:rPr>
                      <w:rFonts w:hint="eastAsia" w:cs="Times New Roman"/>
                      <w:i w:val="0"/>
                      <w:iCs w:val="0"/>
                      <w:strike w:val="0"/>
                      <w:dstrike w:val="0"/>
                      <w:color w:val="000000"/>
                      <w:spacing w:val="-2"/>
                      <w:kern w:val="0"/>
                      <w:sz w:val="21"/>
                      <w:szCs w:val="21"/>
                      <w:highlight w:val="none"/>
                      <w:u w:val="none"/>
                      <w:lang w:val="en-US" w:eastAsia="zh-CN" w:bidi="ar"/>
                    </w:rPr>
                    <w:t>14.5</w:t>
                  </w:r>
                </w:p>
              </w:tc>
              <w:tc>
                <w:tcPr>
                  <w:tcW w:w="1144" w:type="pct"/>
                  <w:tcBorders>
                    <w:top w:val="single" w:color="auto" w:sz="4" w:space="0"/>
                    <w:left w:val="single" w:color="auto" w:sz="4" w:space="0"/>
                    <w:bottom w:val="single" w:color="auto" w:sz="4" w:space="0"/>
                    <w:right w:val="single" w:color="auto" w:sz="4" w:space="0"/>
                  </w:tcBorders>
                  <w:shd w:val="clear" w:color="auto" w:fill="auto"/>
                  <w:vAlign w:val="center"/>
                </w:tcPr>
                <w:p w14:paraId="7EF1FC51">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mg/L</w:t>
                  </w:r>
                </w:p>
              </w:tc>
            </w:tr>
            <w:tr w14:paraId="537355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5000"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47816D97">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color w:val="000000"/>
                      <w:sz w:val="21"/>
                      <w:szCs w:val="21"/>
                      <w:highlight w:val="none"/>
                      <w:u w:val="none"/>
                    </w:rPr>
                    <w:t>注：上表中的排放浓度为两天检测结果的平均值。</w:t>
                  </w:r>
                </w:p>
              </w:tc>
            </w:tr>
          </w:tbl>
          <w:p w14:paraId="77901AA9">
            <w:pPr>
              <w:tabs>
                <w:tab w:val="left" w:pos="484"/>
              </w:tabs>
              <w:snapToGrid w:val="0"/>
              <w:spacing w:line="360" w:lineRule="auto"/>
              <w:ind w:firstLine="480" w:firstLineChars="200"/>
              <w:rPr>
                <w:rFonts w:hint="eastAsia" w:cs="Times New Roman"/>
                <w:snapToGrid w:val="0"/>
                <w:color w:val="auto"/>
                <w:kern w:val="0"/>
                <w:sz w:val="24"/>
                <w:highlight w:val="none"/>
                <w:lang w:val="en-US" w:eastAsia="zh-CN"/>
              </w:rPr>
            </w:pPr>
          </w:p>
          <w:p w14:paraId="3E02DE1A">
            <w:pPr>
              <w:pStyle w:val="177"/>
              <w:jc w:val="center"/>
              <w:rPr>
                <w:rFonts w:hint="default" w:ascii="Times New Roman" w:hAnsi="Times New Roman" w:eastAsia="宋体" w:cs="Times New Roman"/>
                <w:b/>
                <w:bCs/>
                <w:strike w:val="0"/>
                <w:dstrike w:val="0"/>
                <w:sz w:val="24"/>
                <w:szCs w:val="32"/>
                <w:highlight w:val="none"/>
                <w:lang w:val="en-US" w:eastAsia="zh-CN"/>
              </w:rPr>
            </w:pPr>
            <w:r>
              <w:rPr>
                <w:rFonts w:hint="default" w:ascii="Times New Roman" w:hAnsi="Times New Roman" w:eastAsia="宋体" w:cs="Times New Roman"/>
                <w:b/>
                <w:bCs/>
                <w:strike w:val="0"/>
                <w:dstrike w:val="0"/>
                <w:sz w:val="24"/>
                <w:szCs w:val="32"/>
                <w:highlight w:val="none"/>
                <w:lang w:val="en-US" w:eastAsia="zh-CN"/>
              </w:rPr>
              <w:t>表</w:t>
            </w:r>
            <w:r>
              <w:rPr>
                <w:rFonts w:hint="eastAsia" w:ascii="Times New Roman" w:hAnsi="Times New Roman" w:eastAsia="宋体" w:cs="Times New Roman"/>
                <w:b/>
                <w:bCs/>
                <w:strike w:val="0"/>
                <w:dstrike w:val="0"/>
                <w:sz w:val="24"/>
                <w:szCs w:val="32"/>
                <w:highlight w:val="none"/>
                <w:lang w:val="en-US" w:eastAsia="zh-CN"/>
              </w:rPr>
              <w:t>4</w:t>
            </w:r>
            <w:r>
              <w:rPr>
                <w:rFonts w:hint="default" w:ascii="Times New Roman" w:hAnsi="Times New Roman" w:eastAsia="宋体" w:cs="Times New Roman"/>
                <w:b/>
                <w:bCs/>
                <w:strike w:val="0"/>
                <w:dstrike w:val="0"/>
                <w:sz w:val="24"/>
                <w:szCs w:val="32"/>
                <w:highlight w:val="none"/>
                <w:lang w:val="en-US" w:eastAsia="zh-CN"/>
              </w:rPr>
              <w:t>-</w:t>
            </w:r>
            <w:r>
              <w:rPr>
                <w:rFonts w:hint="eastAsia" w:ascii="Times New Roman" w:hAnsi="Times New Roman" w:eastAsia="宋体" w:cs="Times New Roman"/>
                <w:b/>
                <w:bCs/>
                <w:strike w:val="0"/>
                <w:dstrike w:val="0"/>
                <w:sz w:val="24"/>
                <w:szCs w:val="32"/>
                <w:highlight w:val="none"/>
                <w:lang w:val="en-US" w:eastAsia="zh-CN"/>
              </w:rPr>
              <w:t>6（d）</w:t>
            </w:r>
            <w:r>
              <w:rPr>
                <w:rFonts w:hint="default" w:ascii="Times New Roman" w:hAnsi="Times New Roman" w:eastAsia="宋体" w:cs="Times New Roman"/>
                <w:b/>
                <w:bCs/>
                <w:strike w:val="0"/>
                <w:dstrike w:val="0"/>
                <w:sz w:val="24"/>
                <w:szCs w:val="32"/>
                <w:highlight w:val="none"/>
                <w:lang w:val="en-US" w:eastAsia="zh-CN"/>
              </w:rPr>
              <w:t xml:space="preserve">  《肇源县博茹物业管理服务有限责任公司燃煤改生物质锅炉供暖项目竣工环境保护验收监测报告表》废水</w:t>
            </w:r>
            <w:r>
              <w:rPr>
                <w:rFonts w:hint="eastAsia" w:ascii="Times New Roman" w:hAnsi="Times New Roman" w:eastAsia="宋体" w:cs="Times New Roman"/>
                <w:b/>
                <w:bCs/>
                <w:strike w:val="0"/>
                <w:dstrike w:val="0"/>
                <w:sz w:val="24"/>
                <w:szCs w:val="32"/>
                <w:highlight w:val="none"/>
                <w:lang w:val="en-US" w:eastAsia="zh-CN"/>
              </w:rPr>
              <w:t>排放</w:t>
            </w:r>
            <w:r>
              <w:rPr>
                <w:rFonts w:hint="default" w:ascii="Times New Roman" w:hAnsi="Times New Roman" w:eastAsia="宋体" w:cs="Times New Roman"/>
                <w:b/>
                <w:bCs/>
                <w:strike w:val="0"/>
                <w:dstrike w:val="0"/>
                <w:sz w:val="24"/>
                <w:szCs w:val="32"/>
                <w:highlight w:val="none"/>
                <w:lang w:val="en-US" w:eastAsia="zh-CN"/>
              </w:rPr>
              <w:t>浓度监测数据</w:t>
            </w:r>
            <w:r>
              <w:rPr>
                <w:rFonts w:hint="eastAsia" w:ascii="Times New Roman" w:hAnsi="Times New Roman" w:eastAsia="宋体" w:cs="Times New Roman"/>
                <w:b/>
                <w:bCs/>
                <w:strike w:val="0"/>
                <w:dstrike w:val="0"/>
                <w:sz w:val="24"/>
                <w:szCs w:val="32"/>
                <w:highlight w:val="none"/>
                <w:lang w:val="en-US" w:eastAsia="zh-CN"/>
              </w:rPr>
              <w:t>（2023年4月16日~2023年4月17日）</w:t>
            </w:r>
          </w:p>
          <w:tbl>
            <w:tblPr>
              <w:tblStyle w:val="31"/>
              <w:tblW w:w="4926"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190"/>
              <w:gridCol w:w="2192"/>
              <w:gridCol w:w="1851"/>
              <w:gridCol w:w="1855"/>
            </w:tblGrid>
            <w:tr w14:paraId="5FC24A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354" w:type="pct"/>
                  <w:tcBorders>
                    <w:top w:val="single" w:color="auto" w:sz="4" w:space="0"/>
                    <w:left w:val="single" w:color="000000" w:sz="4" w:space="0"/>
                    <w:bottom w:val="single" w:color="auto" w:sz="4" w:space="0"/>
                    <w:right w:val="single" w:color="auto" w:sz="4" w:space="0"/>
                  </w:tcBorders>
                  <w:shd w:val="clear" w:color="auto" w:fill="auto"/>
                  <w:vAlign w:val="center"/>
                </w:tcPr>
                <w:p w14:paraId="0F2471A4">
                  <w:pPr>
                    <w:keepNext w:val="0"/>
                    <w:keepLines w:val="0"/>
                    <w:widowControl/>
                    <w:suppressLineNumbers w:val="0"/>
                    <w:jc w:val="center"/>
                    <w:textAlignment w:val="center"/>
                    <w:rPr>
                      <w:rFonts w:hint="default" w:ascii="Times New Roman" w:hAnsi="Times New Roman" w:eastAsia="宋体" w:cs="Times New Roman"/>
                      <w:b/>
                      <w:bCs/>
                      <w:i w:val="0"/>
                      <w:iCs w:val="0"/>
                      <w:strike w:val="0"/>
                      <w:dstrike w:val="0"/>
                      <w:color w:val="000000"/>
                      <w:sz w:val="21"/>
                      <w:szCs w:val="21"/>
                      <w:highlight w:val="none"/>
                      <w:u w:val="none"/>
                    </w:rPr>
                  </w:pPr>
                  <w:r>
                    <w:rPr>
                      <w:rFonts w:hint="default" w:ascii="Times New Roman" w:hAnsi="Times New Roman" w:eastAsia="宋体" w:cs="Times New Roman"/>
                      <w:b/>
                      <w:bCs/>
                      <w:i w:val="0"/>
                      <w:iCs w:val="0"/>
                      <w:strike w:val="0"/>
                      <w:dstrike w:val="0"/>
                      <w:color w:val="000000"/>
                      <w:spacing w:val="-2"/>
                      <w:kern w:val="0"/>
                      <w:sz w:val="21"/>
                      <w:szCs w:val="21"/>
                      <w:highlight w:val="none"/>
                      <w:u w:val="none"/>
                      <w:lang w:val="en-US" w:eastAsia="zh-CN" w:bidi="ar"/>
                    </w:rPr>
                    <w:t>废水种类</w:t>
                  </w:r>
                </w:p>
              </w:tc>
              <w:tc>
                <w:tcPr>
                  <w:tcW w:w="1355" w:type="pct"/>
                  <w:tcBorders>
                    <w:top w:val="single" w:color="auto" w:sz="4" w:space="0"/>
                    <w:left w:val="single" w:color="auto" w:sz="4" w:space="0"/>
                    <w:bottom w:val="single" w:color="auto" w:sz="4" w:space="0"/>
                    <w:right w:val="single" w:color="auto" w:sz="4" w:space="0"/>
                  </w:tcBorders>
                  <w:shd w:val="clear" w:color="auto" w:fill="auto"/>
                  <w:vAlign w:val="center"/>
                </w:tcPr>
                <w:p w14:paraId="4EE2A8F3">
                  <w:pPr>
                    <w:keepNext w:val="0"/>
                    <w:keepLines w:val="0"/>
                    <w:widowControl/>
                    <w:suppressLineNumbers w:val="0"/>
                    <w:jc w:val="center"/>
                    <w:textAlignment w:val="center"/>
                    <w:rPr>
                      <w:rFonts w:hint="default" w:ascii="Times New Roman" w:hAnsi="Times New Roman" w:eastAsia="宋体" w:cs="Times New Roman"/>
                      <w:b/>
                      <w:bCs/>
                      <w:i w:val="0"/>
                      <w:iCs w:val="0"/>
                      <w:strike w:val="0"/>
                      <w:dstrike w:val="0"/>
                      <w:color w:val="000000"/>
                      <w:sz w:val="21"/>
                      <w:szCs w:val="21"/>
                      <w:highlight w:val="none"/>
                      <w:u w:val="none"/>
                    </w:rPr>
                  </w:pPr>
                  <w:r>
                    <w:rPr>
                      <w:rFonts w:hint="default" w:ascii="Times New Roman" w:hAnsi="Times New Roman" w:eastAsia="宋体" w:cs="Times New Roman"/>
                      <w:b/>
                      <w:bCs/>
                      <w:i w:val="0"/>
                      <w:iCs w:val="0"/>
                      <w:strike w:val="0"/>
                      <w:dstrike w:val="0"/>
                      <w:color w:val="000000"/>
                      <w:spacing w:val="-2"/>
                      <w:kern w:val="0"/>
                      <w:sz w:val="21"/>
                      <w:szCs w:val="21"/>
                      <w:highlight w:val="none"/>
                      <w:u w:val="none"/>
                      <w:lang w:val="en-US" w:eastAsia="zh-CN" w:bidi="ar"/>
                    </w:rPr>
                    <w:t>检测项目</w:t>
                  </w:r>
                </w:p>
              </w:tc>
              <w:tc>
                <w:tcPr>
                  <w:tcW w:w="1144" w:type="pct"/>
                  <w:tcBorders>
                    <w:top w:val="single" w:color="auto" w:sz="4" w:space="0"/>
                    <w:left w:val="single" w:color="auto" w:sz="4" w:space="0"/>
                    <w:bottom w:val="single" w:color="auto" w:sz="4" w:space="0"/>
                    <w:right w:val="single" w:color="auto" w:sz="4" w:space="0"/>
                  </w:tcBorders>
                  <w:shd w:val="clear" w:color="auto" w:fill="auto"/>
                  <w:vAlign w:val="center"/>
                </w:tcPr>
                <w:p w14:paraId="4297D8E9">
                  <w:pPr>
                    <w:keepNext w:val="0"/>
                    <w:keepLines w:val="0"/>
                    <w:widowControl/>
                    <w:suppressLineNumbers w:val="0"/>
                    <w:jc w:val="center"/>
                    <w:textAlignment w:val="center"/>
                    <w:rPr>
                      <w:rFonts w:hint="default" w:ascii="Times New Roman" w:hAnsi="Times New Roman" w:eastAsia="宋体" w:cs="Times New Roman"/>
                      <w:b/>
                      <w:bCs/>
                      <w:i w:val="0"/>
                      <w:iCs w:val="0"/>
                      <w:strike w:val="0"/>
                      <w:dstrike w:val="0"/>
                      <w:color w:val="000000"/>
                      <w:sz w:val="21"/>
                      <w:szCs w:val="21"/>
                      <w:highlight w:val="none"/>
                      <w:u w:val="none"/>
                    </w:rPr>
                  </w:pPr>
                  <w:r>
                    <w:rPr>
                      <w:rFonts w:hint="default" w:ascii="Times New Roman" w:hAnsi="Times New Roman" w:eastAsia="宋体" w:cs="Times New Roman"/>
                      <w:b/>
                      <w:bCs/>
                      <w:i w:val="0"/>
                      <w:iCs w:val="0"/>
                      <w:strike w:val="0"/>
                      <w:dstrike w:val="0"/>
                      <w:color w:val="000000"/>
                      <w:spacing w:val="-2"/>
                      <w:kern w:val="0"/>
                      <w:sz w:val="21"/>
                      <w:szCs w:val="21"/>
                      <w:highlight w:val="none"/>
                      <w:u w:val="none"/>
                      <w:lang w:val="en-US" w:eastAsia="zh-CN" w:bidi="ar"/>
                    </w:rPr>
                    <w:t>结果</w:t>
                  </w:r>
                </w:p>
              </w:tc>
              <w:tc>
                <w:tcPr>
                  <w:tcW w:w="1144" w:type="pct"/>
                  <w:tcBorders>
                    <w:top w:val="single" w:color="auto" w:sz="4" w:space="0"/>
                    <w:left w:val="single" w:color="auto" w:sz="4" w:space="0"/>
                    <w:bottom w:val="single" w:color="auto" w:sz="4" w:space="0"/>
                    <w:right w:val="single" w:color="auto" w:sz="4" w:space="0"/>
                  </w:tcBorders>
                  <w:shd w:val="clear" w:color="auto" w:fill="auto"/>
                  <w:vAlign w:val="center"/>
                </w:tcPr>
                <w:p w14:paraId="5135A9BF">
                  <w:pPr>
                    <w:keepNext w:val="0"/>
                    <w:keepLines w:val="0"/>
                    <w:widowControl/>
                    <w:suppressLineNumbers w:val="0"/>
                    <w:jc w:val="center"/>
                    <w:textAlignment w:val="center"/>
                    <w:rPr>
                      <w:rFonts w:hint="default" w:ascii="Times New Roman" w:hAnsi="Times New Roman" w:eastAsia="宋体" w:cs="Times New Roman"/>
                      <w:b/>
                      <w:bCs/>
                      <w:i w:val="0"/>
                      <w:iCs w:val="0"/>
                      <w:strike w:val="0"/>
                      <w:dstrike w:val="0"/>
                      <w:color w:val="000000"/>
                      <w:sz w:val="21"/>
                      <w:szCs w:val="21"/>
                      <w:highlight w:val="none"/>
                      <w:u w:val="none"/>
                    </w:rPr>
                  </w:pPr>
                  <w:r>
                    <w:rPr>
                      <w:rFonts w:hint="default" w:ascii="Times New Roman" w:hAnsi="Times New Roman" w:eastAsia="宋体" w:cs="Times New Roman"/>
                      <w:b/>
                      <w:bCs/>
                      <w:i w:val="0"/>
                      <w:iCs w:val="0"/>
                      <w:strike w:val="0"/>
                      <w:dstrike w:val="0"/>
                      <w:color w:val="000000"/>
                      <w:spacing w:val="-2"/>
                      <w:kern w:val="0"/>
                      <w:sz w:val="21"/>
                      <w:szCs w:val="21"/>
                      <w:highlight w:val="none"/>
                      <w:u w:val="none"/>
                      <w:lang w:val="en-US" w:eastAsia="zh-CN" w:bidi="ar"/>
                    </w:rPr>
                    <w:t>单位</w:t>
                  </w:r>
                </w:p>
              </w:tc>
            </w:tr>
            <w:tr w14:paraId="76763B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1354" w:type="pct"/>
                  <w:vMerge w:val="restart"/>
                  <w:tcBorders>
                    <w:top w:val="single" w:color="auto" w:sz="4" w:space="0"/>
                    <w:left w:val="single" w:color="auto" w:sz="4" w:space="0"/>
                    <w:right w:val="single" w:color="auto" w:sz="4" w:space="0"/>
                  </w:tcBorders>
                  <w:shd w:val="clear" w:color="auto" w:fill="auto"/>
                  <w:vAlign w:val="center"/>
                </w:tcPr>
                <w:p w14:paraId="5BA2556F">
                  <w:pPr>
                    <w:jc w:val="center"/>
                    <w:rPr>
                      <w:rFonts w:hint="default" w:ascii="Times New Roman" w:hAnsi="Times New Roman" w:eastAsia="宋体" w:cs="Times New Roman"/>
                      <w:i w:val="0"/>
                      <w:iCs w:val="0"/>
                      <w:strike w:val="0"/>
                      <w:dstrike w:val="0"/>
                      <w:color w:val="000000"/>
                      <w:sz w:val="21"/>
                      <w:szCs w:val="21"/>
                      <w:highlight w:val="none"/>
                      <w:u w:val="none"/>
                    </w:rPr>
                  </w:pPr>
                  <w:r>
                    <w:rPr>
                      <w:rFonts w:hint="default" w:ascii="Times New Roman" w:hAnsi="Times New Roman" w:eastAsia="宋体" w:cs="Times New Roman"/>
                      <w:i w:val="0"/>
                      <w:iCs w:val="0"/>
                      <w:strike w:val="0"/>
                      <w:dstrike w:val="0"/>
                      <w:color w:val="000000"/>
                      <w:sz w:val="21"/>
                      <w:szCs w:val="21"/>
                      <w:highlight w:val="none"/>
                      <w:u w:val="none"/>
                    </w:rPr>
                    <w:t>锅炉排污水</w:t>
                  </w:r>
                </w:p>
                <w:p w14:paraId="39290481">
                  <w:pPr>
                    <w:jc w:val="center"/>
                    <w:rPr>
                      <w:rFonts w:hint="default" w:ascii="Times New Roman" w:hAnsi="Times New Roman" w:eastAsia="宋体" w:cs="Times New Roman"/>
                      <w:i w:val="0"/>
                      <w:iCs w:val="0"/>
                      <w:strike w:val="0"/>
                      <w:dstrike w:val="0"/>
                      <w:color w:val="000000"/>
                      <w:sz w:val="21"/>
                      <w:szCs w:val="21"/>
                      <w:highlight w:val="none"/>
                      <w:u w:val="none"/>
                    </w:rPr>
                  </w:pPr>
                  <w:r>
                    <w:rPr>
                      <w:rFonts w:hint="default" w:ascii="Times New Roman" w:hAnsi="Times New Roman" w:eastAsia="宋体" w:cs="Times New Roman"/>
                      <w:i w:val="0"/>
                      <w:iCs w:val="0"/>
                      <w:strike w:val="0"/>
                      <w:dstrike w:val="0"/>
                      <w:color w:val="000000"/>
                      <w:sz w:val="21"/>
                      <w:szCs w:val="21"/>
                      <w:highlight w:val="none"/>
                      <w:u w:val="none"/>
                    </w:rPr>
                    <w:t>排放处</w:t>
                  </w:r>
                </w:p>
              </w:tc>
              <w:tc>
                <w:tcPr>
                  <w:tcW w:w="1355" w:type="pct"/>
                  <w:tcBorders>
                    <w:top w:val="single" w:color="auto" w:sz="4" w:space="0"/>
                    <w:left w:val="single" w:color="auto" w:sz="4" w:space="0"/>
                    <w:bottom w:val="single" w:color="auto" w:sz="4" w:space="0"/>
                    <w:right w:val="single" w:color="auto" w:sz="4" w:space="0"/>
                  </w:tcBorders>
                  <w:shd w:val="clear" w:color="auto" w:fill="auto"/>
                  <w:vAlign w:val="center"/>
                </w:tcPr>
                <w:p w14:paraId="4FABC89E">
                  <w:pPr>
                    <w:keepNext w:val="0"/>
                    <w:keepLines w:val="0"/>
                    <w:widowControl/>
                    <w:suppressLineNumbers w:val="0"/>
                    <w:jc w:val="center"/>
                    <w:textAlignment w:val="center"/>
                    <w:rPr>
                      <w:rFonts w:hint="eastAsia"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CODcr</w:t>
                  </w:r>
                </w:p>
              </w:tc>
              <w:tc>
                <w:tcPr>
                  <w:tcW w:w="1144" w:type="pct"/>
                  <w:tcBorders>
                    <w:top w:val="single" w:color="auto" w:sz="4" w:space="0"/>
                    <w:left w:val="single" w:color="auto" w:sz="4" w:space="0"/>
                    <w:bottom w:val="single" w:color="auto" w:sz="4" w:space="0"/>
                    <w:right w:val="single" w:color="auto" w:sz="4" w:space="0"/>
                  </w:tcBorders>
                  <w:shd w:val="clear" w:color="auto" w:fill="auto"/>
                  <w:vAlign w:val="center"/>
                </w:tcPr>
                <w:p w14:paraId="09B08468">
                  <w:pPr>
                    <w:keepNext w:val="0"/>
                    <w:keepLines w:val="0"/>
                    <w:widowControl/>
                    <w:suppressLineNumbers w:val="0"/>
                    <w:jc w:val="center"/>
                    <w:textAlignment w:val="center"/>
                    <w:rPr>
                      <w:rFonts w:hint="default" w:cs="Times New Roman"/>
                      <w:i w:val="0"/>
                      <w:iCs w:val="0"/>
                      <w:strike w:val="0"/>
                      <w:dstrike w:val="0"/>
                      <w:color w:val="000000"/>
                      <w:spacing w:val="-2"/>
                      <w:kern w:val="0"/>
                      <w:sz w:val="21"/>
                      <w:szCs w:val="21"/>
                      <w:highlight w:val="none"/>
                      <w:u w:val="none"/>
                      <w:lang w:val="en-US" w:eastAsia="zh-CN" w:bidi="ar"/>
                    </w:rPr>
                  </w:pPr>
                  <w:r>
                    <w:rPr>
                      <w:rFonts w:hint="eastAsia" w:cs="Times New Roman"/>
                      <w:i w:val="0"/>
                      <w:iCs w:val="0"/>
                      <w:strike w:val="0"/>
                      <w:dstrike w:val="0"/>
                      <w:color w:val="000000"/>
                      <w:spacing w:val="-2"/>
                      <w:kern w:val="0"/>
                      <w:sz w:val="21"/>
                      <w:szCs w:val="21"/>
                      <w:highlight w:val="none"/>
                      <w:u w:val="none"/>
                      <w:lang w:val="en-US" w:eastAsia="zh-CN" w:bidi="ar"/>
                    </w:rPr>
                    <w:t>64.5</w:t>
                  </w:r>
                </w:p>
              </w:tc>
              <w:tc>
                <w:tcPr>
                  <w:tcW w:w="1144" w:type="pct"/>
                  <w:tcBorders>
                    <w:top w:val="single" w:color="auto" w:sz="4" w:space="0"/>
                    <w:left w:val="single" w:color="auto" w:sz="4" w:space="0"/>
                    <w:bottom w:val="single" w:color="auto" w:sz="4" w:space="0"/>
                    <w:right w:val="single" w:color="auto" w:sz="4" w:space="0"/>
                  </w:tcBorders>
                  <w:shd w:val="clear" w:color="auto" w:fill="auto"/>
                  <w:vAlign w:val="center"/>
                </w:tcPr>
                <w:p w14:paraId="033022A1">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mg/L</w:t>
                  </w:r>
                </w:p>
              </w:tc>
            </w:tr>
            <w:tr w14:paraId="192A5F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5" w:hRule="atLeast"/>
                <w:jc w:val="center"/>
              </w:trPr>
              <w:tc>
                <w:tcPr>
                  <w:tcW w:w="1354"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EA50D4C">
                  <w:pPr>
                    <w:jc w:val="center"/>
                    <w:rPr>
                      <w:rFonts w:hint="default" w:ascii="Times New Roman" w:hAnsi="Times New Roman" w:eastAsia="宋体" w:cs="Times New Roman"/>
                      <w:i w:val="0"/>
                      <w:iCs w:val="0"/>
                      <w:strike w:val="0"/>
                      <w:dstrike w:val="0"/>
                      <w:color w:val="000000"/>
                      <w:sz w:val="21"/>
                      <w:szCs w:val="21"/>
                      <w:highlight w:val="none"/>
                      <w:u w:val="none"/>
                    </w:rPr>
                  </w:pPr>
                </w:p>
              </w:tc>
              <w:tc>
                <w:tcPr>
                  <w:tcW w:w="1355" w:type="pct"/>
                  <w:tcBorders>
                    <w:top w:val="single" w:color="auto" w:sz="4" w:space="0"/>
                    <w:left w:val="single" w:color="auto" w:sz="4" w:space="0"/>
                    <w:bottom w:val="single" w:color="auto" w:sz="4" w:space="0"/>
                    <w:right w:val="single" w:color="auto" w:sz="4" w:space="0"/>
                  </w:tcBorders>
                  <w:shd w:val="clear" w:color="auto" w:fill="auto"/>
                  <w:vAlign w:val="center"/>
                </w:tcPr>
                <w:p w14:paraId="53516131">
                  <w:pPr>
                    <w:keepNext w:val="0"/>
                    <w:keepLines w:val="0"/>
                    <w:widowControl/>
                    <w:suppressLineNumbers w:val="0"/>
                    <w:jc w:val="center"/>
                    <w:textAlignment w:val="center"/>
                    <w:rPr>
                      <w:rFonts w:hint="eastAsia" w:cs="Times New Roman"/>
                      <w:i w:val="0"/>
                      <w:iCs w:val="0"/>
                      <w:strike w:val="0"/>
                      <w:dstrike w:val="0"/>
                      <w:color w:val="000000"/>
                      <w:spacing w:val="-2"/>
                      <w:kern w:val="0"/>
                      <w:sz w:val="21"/>
                      <w:szCs w:val="21"/>
                      <w:highlight w:val="none"/>
                      <w:u w:val="none"/>
                      <w:lang w:val="en-US" w:eastAsia="zh-CN" w:bidi="ar"/>
                    </w:rPr>
                  </w:pPr>
                  <w:r>
                    <w:rPr>
                      <w:rFonts w:hint="eastAsia" w:cs="Times New Roman"/>
                      <w:i w:val="0"/>
                      <w:iCs w:val="0"/>
                      <w:strike w:val="0"/>
                      <w:dstrike w:val="0"/>
                      <w:color w:val="000000"/>
                      <w:spacing w:val="-2"/>
                      <w:kern w:val="0"/>
                      <w:sz w:val="21"/>
                      <w:szCs w:val="21"/>
                      <w:highlight w:val="none"/>
                      <w:u w:val="none"/>
                      <w:lang w:val="en-US" w:eastAsia="zh-CN" w:bidi="ar"/>
                    </w:rPr>
                    <w:t>溶解性总固体</w:t>
                  </w:r>
                </w:p>
              </w:tc>
              <w:tc>
                <w:tcPr>
                  <w:tcW w:w="1144" w:type="pct"/>
                  <w:tcBorders>
                    <w:top w:val="single" w:color="auto" w:sz="4" w:space="0"/>
                    <w:left w:val="single" w:color="auto" w:sz="4" w:space="0"/>
                    <w:bottom w:val="single" w:color="auto" w:sz="4" w:space="0"/>
                    <w:right w:val="single" w:color="auto" w:sz="4" w:space="0"/>
                  </w:tcBorders>
                  <w:shd w:val="clear" w:color="auto" w:fill="auto"/>
                  <w:vAlign w:val="center"/>
                </w:tcPr>
                <w:p w14:paraId="4EA75137">
                  <w:pPr>
                    <w:keepNext w:val="0"/>
                    <w:keepLines w:val="0"/>
                    <w:widowControl/>
                    <w:suppressLineNumbers w:val="0"/>
                    <w:jc w:val="center"/>
                    <w:textAlignment w:val="center"/>
                    <w:rPr>
                      <w:rFonts w:hint="default" w:cs="Times New Roman"/>
                      <w:i w:val="0"/>
                      <w:iCs w:val="0"/>
                      <w:strike w:val="0"/>
                      <w:dstrike w:val="0"/>
                      <w:color w:val="000000"/>
                      <w:spacing w:val="-2"/>
                      <w:kern w:val="0"/>
                      <w:sz w:val="21"/>
                      <w:szCs w:val="21"/>
                      <w:highlight w:val="none"/>
                      <w:u w:val="none"/>
                      <w:lang w:val="en-US" w:eastAsia="zh-CN" w:bidi="ar"/>
                    </w:rPr>
                  </w:pPr>
                  <w:r>
                    <w:rPr>
                      <w:rFonts w:hint="eastAsia" w:cs="Times New Roman"/>
                      <w:i w:val="0"/>
                      <w:iCs w:val="0"/>
                      <w:strike w:val="0"/>
                      <w:dstrike w:val="0"/>
                      <w:color w:val="000000"/>
                      <w:spacing w:val="-2"/>
                      <w:kern w:val="0"/>
                      <w:sz w:val="21"/>
                      <w:szCs w:val="21"/>
                      <w:highlight w:val="none"/>
                      <w:u w:val="none"/>
                      <w:lang w:val="en-US" w:eastAsia="zh-CN" w:bidi="ar"/>
                    </w:rPr>
                    <w:t>454.125</w:t>
                  </w:r>
                </w:p>
              </w:tc>
              <w:tc>
                <w:tcPr>
                  <w:tcW w:w="1144" w:type="pct"/>
                  <w:tcBorders>
                    <w:top w:val="single" w:color="auto" w:sz="4" w:space="0"/>
                    <w:left w:val="single" w:color="auto" w:sz="4" w:space="0"/>
                    <w:bottom w:val="single" w:color="auto" w:sz="4" w:space="0"/>
                    <w:right w:val="single" w:color="auto" w:sz="4" w:space="0"/>
                  </w:tcBorders>
                  <w:shd w:val="clear" w:color="auto" w:fill="auto"/>
                  <w:vAlign w:val="center"/>
                </w:tcPr>
                <w:p w14:paraId="3DDB6688">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t>mg/L</w:t>
                  </w:r>
                </w:p>
              </w:tc>
            </w:tr>
            <w:tr w14:paraId="5A212C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5" w:hRule="atLeast"/>
                <w:jc w:val="center"/>
              </w:trPr>
              <w:tc>
                <w:tcPr>
                  <w:tcW w:w="5000"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1E40D331">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000000"/>
                      <w:spacing w:val="-2"/>
                      <w:kern w:val="0"/>
                      <w:sz w:val="21"/>
                      <w:szCs w:val="21"/>
                      <w:highlight w:val="none"/>
                      <w:u w:val="none"/>
                      <w:lang w:val="en-US" w:eastAsia="zh-CN" w:bidi="ar"/>
                    </w:rPr>
                  </w:pPr>
                  <w:r>
                    <w:rPr>
                      <w:rFonts w:hint="default" w:ascii="Times New Roman" w:hAnsi="Times New Roman" w:eastAsia="宋体" w:cs="Times New Roman"/>
                      <w:i w:val="0"/>
                      <w:iCs w:val="0"/>
                      <w:color w:val="000000"/>
                      <w:sz w:val="21"/>
                      <w:szCs w:val="21"/>
                      <w:highlight w:val="none"/>
                      <w:u w:val="none"/>
                    </w:rPr>
                    <w:t>注：上表中的排放浓度为两天检测结果的平均值</w:t>
                  </w:r>
                </w:p>
              </w:tc>
            </w:tr>
          </w:tbl>
          <w:p w14:paraId="601D2AED">
            <w:pPr>
              <w:keepNext w:val="0"/>
              <w:keepLines w:val="0"/>
              <w:pageBreakBefore w:val="0"/>
              <w:widowControl w:val="0"/>
              <w:tabs>
                <w:tab w:val="left" w:pos="484"/>
              </w:tabs>
              <w:kinsoku/>
              <w:wordWrap/>
              <w:overflowPunct/>
              <w:topLinePunct w:val="0"/>
              <w:autoSpaceDE/>
              <w:autoSpaceDN/>
              <w:bidi w:val="0"/>
              <w:adjustRightInd/>
              <w:snapToGrid w:val="0"/>
              <w:spacing w:before="157" w:beforeLines="50" w:line="360" w:lineRule="auto"/>
              <w:ind w:firstLine="480" w:firstLineChars="200"/>
              <w:textAlignment w:val="auto"/>
              <w:rPr>
                <w:rFonts w:hint="default" w:ascii="Times New Roman" w:hAnsi="Times New Roman" w:cs="Times New Roman"/>
                <w:snapToGrid w:val="0"/>
                <w:color w:val="auto"/>
                <w:kern w:val="0"/>
                <w:sz w:val="24"/>
                <w:highlight w:val="none"/>
                <w:lang w:val="en-US"/>
              </w:rPr>
            </w:pPr>
            <w:r>
              <w:rPr>
                <w:rFonts w:hint="eastAsia" w:cs="Times New Roman"/>
                <w:snapToGrid w:val="0"/>
                <w:color w:val="auto"/>
                <w:kern w:val="0"/>
                <w:sz w:val="24"/>
                <w:highlight w:val="none"/>
                <w:lang w:val="en-US" w:eastAsia="zh-CN"/>
              </w:rPr>
              <w:t>③</w:t>
            </w:r>
            <w:r>
              <w:rPr>
                <w:rFonts w:hint="default" w:ascii="Times New Roman" w:hAnsi="Times New Roman" w:cs="Times New Roman"/>
                <w:snapToGrid w:val="0"/>
                <w:color w:val="auto"/>
                <w:kern w:val="0"/>
                <w:sz w:val="24"/>
                <w:highlight w:val="none"/>
                <w:lang w:val="en-US" w:eastAsia="zh-CN"/>
              </w:rPr>
              <w:t>废气处理系统补水</w:t>
            </w:r>
          </w:p>
          <w:p w14:paraId="15B2C7F1">
            <w:pPr>
              <w:tabs>
                <w:tab w:val="left" w:pos="484"/>
              </w:tabs>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本项目烟气脱硝处理</w:t>
            </w:r>
            <w:r>
              <w:rPr>
                <w:rFonts w:hint="eastAsia" w:cs="Times New Roman"/>
                <w:color w:val="auto"/>
                <w:sz w:val="24"/>
                <w:highlight w:val="none"/>
                <w:lang w:val="en-US" w:eastAsia="zh-CN"/>
              </w:rPr>
              <w:t>需用水</w:t>
            </w:r>
            <w:r>
              <w:rPr>
                <w:rFonts w:hint="default" w:ascii="Times New Roman" w:hAnsi="Times New Roman" w:cs="Times New Roman"/>
                <w:color w:val="auto"/>
                <w:sz w:val="24"/>
                <w:highlight w:val="none"/>
                <w:lang w:val="en-US" w:eastAsia="zh-CN"/>
              </w:rPr>
              <w:t>配置尿素溶液</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val="en-US" w:eastAsia="zh-CN"/>
              </w:rPr>
              <w:t>此部分</w:t>
            </w:r>
            <w:r>
              <w:rPr>
                <w:rFonts w:hint="default" w:ascii="Times New Roman" w:hAnsi="Times New Roman" w:cs="Times New Roman"/>
                <w:color w:val="auto"/>
                <w:sz w:val="24"/>
                <w:highlight w:val="none"/>
              </w:rPr>
              <w:t>烟气处理用水量</w:t>
            </w:r>
            <w:r>
              <w:rPr>
                <w:rFonts w:hint="eastAsia" w:cs="Times New Roman"/>
                <w:color w:val="auto"/>
                <w:sz w:val="24"/>
                <w:highlight w:val="none"/>
                <w:lang w:val="en-US" w:eastAsia="zh-CN"/>
              </w:rPr>
              <w:t>在使用时蒸发，不外排，补水量</w:t>
            </w:r>
            <w:r>
              <w:rPr>
                <w:rFonts w:hint="default" w:ascii="Times New Roman" w:hAnsi="Times New Roman" w:cs="Times New Roman"/>
                <w:color w:val="auto"/>
                <w:sz w:val="24"/>
                <w:highlight w:val="none"/>
              </w:rPr>
              <w:t>为</w:t>
            </w:r>
            <w:r>
              <w:rPr>
                <w:rFonts w:hint="default" w:ascii="Times New Roman" w:hAnsi="Times New Roman" w:cs="Times New Roman"/>
                <w:color w:val="auto"/>
                <w:sz w:val="24"/>
                <w:highlight w:val="none"/>
                <w:lang w:val="en-US" w:eastAsia="zh-CN"/>
              </w:rPr>
              <w:t>42.32</w:t>
            </w:r>
            <w:r>
              <w:rPr>
                <w:rFonts w:hint="default" w:ascii="Times New Roman" w:hAnsi="Times New Roman" w:cs="Times New Roman"/>
                <w:color w:val="auto"/>
                <w:sz w:val="24"/>
                <w:highlight w:val="none"/>
              </w:rPr>
              <w:t>m³/a</w:t>
            </w:r>
            <w:r>
              <w:rPr>
                <w:rFonts w:hint="default" w:ascii="Times New Roman" w:hAnsi="Times New Roman" w:eastAsia="宋体" w:cs="Times New Roman"/>
                <w:color w:val="auto"/>
                <w:sz w:val="24"/>
                <w:highlight w:val="none"/>
                <w:lang w:eastAsia="zh-CN"/>
              </w:rPr>
              <w:t>，</w:t>
            </w:r>
            <w:r>
              <w:rPr>
                <w:rFonts w:hint="default" w:ascii="Times New Roman" w:hAnsi="Times New Roman" w:cs="Times New Roman"/>
                <w:color w:val="auto"/>
                <w:sz w:val="24"/>
                <w:highlight w:val="none"/>
                <w:lang w:val="en-US" w:eastAsia="zh-CN"/>
              </w:rPr>
              <w:t>0.21</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cs="Times New Roman"/>
                <w:color w:val="auto"/>
                <w:sz w:val="24"/>
                <w:highlight w:val="none"/>
              </w:rPr>
              <w:t>。</w:t>
            </w:r>
          </w:p>
          <w:p w14:paraId="6F82589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highlight w:val="none"/>
              </w:rPr>
            </w:pPr>
            <w:r>
              <w:rPr>
                <w:rFonts w:hint="eastAsia"/>
                <w:color w:val="auto"/>
                <w:sz w:val="24"/>
                <w:szCs w:val="24"/>
                <w:highlight w:val="none"/>
              </w:rPr>
              <w:t>综上所述，本项目废水</w:t>
            </w:r>
            <w:r>
              <w:rPr>
                <w:rFonts w:hint="eastAsia"/>
                <w:color w:val="auto"/>
                <w:sz w:val="24"/>
                <w:szCs w:val="24"/>
                <w:highlight w:val="none"/>
                <w:lang w:val="en-US" w:eastAsia="zh-CN"/>
              </w:rPr>
              <w:t>总排放</w:t>
            </w:r>
            <w:r>
              <w:rPr>
                <w:rFonts w:hint="eastAsia"/>
                <w:color w:val="auto"/>
                <w:sz w:val="24"/>
                <w:szCs w:val="24"/>
                <w:highlight w:val="none"/>
              </w:rPr>
              <w:t>量为</w:t>
            </w:r>
            <w:r>
              <w:rPr>
                <w:rFonts w:hint="eastAsia"/>
                <w:color w:val="auto"/>
                <w:sz w:val="24"/>
                <w:szCs w:val="24"/>
                <w:highlight w:val="none"/>
                <w:lang w:val="en-US" w:eastAsia="zh-CN"/>
              </w:rPr>
              <w:t>3600</w:t>
            </w:r>
            <w:r>
              <w:rPr>
                <w:rFonts w:hint="eastAsia"/>
                <w:color w:val="auto"/>
                <w:sz w:val="24"/>
                <w:szCs w:val="24"/>
                <w:highlight w:val="none"/>
              </w:rPr>
              <w:t>m</w:t>
            </w:r>
            <w:r>
              <w:rPr>
                <w:rFonts w:hint="eastAsia"/>
                <w:color w:val="auto"/>
                <w:sz w:val="24"/>
                <w:szCs w:val="24"/>
                <w:highlight w:val="none"/>
                <w:vertAlign w:val="superscript"/>
              </w:rPr>
              <w:t>3</w:t>
            </w:r>
            <w:r>
              <w:rPr>
                <w:rFonts w:hint="eastAsia"/>
                <w:color w:val="auto"/>
                <w:sz w:val="24"/>
                <w:szCs w:val="24"/>
                <w:highlight w:val="none"/>
              </w:rPr>
              <w:t>/a，</w:t>
            </w:r>
            <w:r>
              <w:rPr>
                <w:rFonts w:hint="eastAsia"/>
                <w:color w:val="auto"/>
                <w:sz w:val="24"/>
                <w:szCs w:val="24"/>
                <w:highlight w:val="none"/>
                <w:lang w:val="en-US" w:eastAsia="zh-CN"/>
              </w:rPr>
              <w:t>18</w:t>
            </w:r>
            <w:r>
              <w:rPr>
                <w:rFonts w:hint="eastAsia"/>
                <w:color w:val="auto"/>
                <w:sz w:val="24"/>
                <w:szCs w:val="24"/>
                <w:highlight w:val="none"/>
              </w:rPr>
              <w:t>m</w:t>
            </w:r>
            <w:r>
              <w:rPr>
                <w:rFonts w:hint="eastAsia"/>
                <w:color w:val="auto"/>
                <w:sz w:val="24"/>
                <w:szCs w:val="24"/>
                <w:highlight w:val="none"/>
                <w:vertAlign w:val="superscript"/>
              </w:rPr>
              <w:t>3</w:t>
            </w:r>
            <w:r>
              <w:rPr>
                <w:rFonts w:hint="eastAsia"/>
                <w:color w:val="auto"/>
                <w:sz w:val="24"/>
                <w:szCs w:val="24"/>
                <w:highlight w:val="none"/>
              </w:rPr>
              <w:t>/d。项目</w:t>
            </w:r>
            <w:r>
              <w:rPr>
                <w:rFonts w:hint="eastAsia" w:ascii="Times New Roman" w:hAnsi="宋体" w:eastAsia="宋体"/>
                <w:color w:val="auto"/>
                <w:sz w:val="24"/>
                <w:szCs w:val="24"/>
                <w:highlight w:val="none"/>
              </w:rPr>
              <w:t>锅炉排污水</w:t>
            </w:r>
            <w:r>
              <w:rPr>
                <w:rFonts w:hint="eastAsia" w:ascii="Times New Roman" w:hAnsi="宋体" w:eastAsia="宋体"/>
                <w:color w:val="auto"/>
                <w:sz w:val="24"/>
                <w:szCs w:val="24"/>
                <w:highlight w:val="none"/>
                <w:lang w:val="en-US" w:eastAsia="zh-CN"/>
              </w:rPr>
              <w:t>、</w:t>
            </w:r>
            <w:r>
              <w:rPr>
                <w:rFonts w:hint="eastAsia" w:ascii="Times New Roman" w:hAnsi="宋体" w:eastAsia="宋体"/>
                <w:color w:val="auto"/>
                <w:sz w:val="24"/>
                <w:szCs w:val="24"/>
                <w:highlight w:val="none"/>
              </w:rPr>
              <w:t>软化处理废水</w:t>
            </w:r>
            <w:r>
              <w:rPr>
                <w:rFonts w:hint="eastAsia" w:ascii="Times New Roman" w:hAnsi="宋体" w:eastAsia="宋体"/>
                <w:color w:val="auto"/>
                <w:sz w:val="24"/>
                <w:szCs w:val="24"/>
                <w:highlight w:val="none"/>
                <w:lang w:val="en-US" w:eastAsia="zh-CN"/>
              </w:rPr>
              <w:t>经降温、沉淀处理后</w:t>
            </w:r>
            <w:r>
              <w:rPr>
                <w:rFonts w:hint="eastAsia"/>
                <w:color w:val="auto"/>
                <w:sz w:val="24"/>
                <w:szCs w:val="24"/>
                <w:highlight w:val="none"/>
              </w:rPr>
              <w:t>一并</w:t>
            </w:r>
            <w:r>
              <w:rPr>
                <w:color w:val="auto"/>
                <w:sz w:val="24"/>
                <w:szCs w:val="24"/>
                <w:highlight w:val="none"/>
              </w:rPr>
              <w:t>进行处理</w:t>
            </w:r>
            <w:r>
              <w:rPr>
                <w:rFonts w:hint="eastAsia"/>
                <w:color w:val="auto"/>
                <w:sz w:val="24"/>
                <w:szCs w:val="24"/>
                <w:highlight w:val="none"/>
              </w:rPr>
              <w:t>达到</w:t>
            </w:r>
            <w:r>
              <w:rPr>
                <w:rFonts w:hint="default" w:ascii="Times New Roman" w:hAnsi="Times New Roman" w:eastAsia="宋体" w:cs="Times New Roman"/>
                <w:color w:val="auto"/>
                <w:sz w:val="24"/>
                <w:szCs w:val="24"/>
                <w:highlight w:val="none"/>
              </w:rPr>
              <w:t>广东省《水污染物排放限值》（DB44/26-2001）第二时段一级标准</w:t>
            </w:r>
            <w:r>
              <w:rPr>
                <w:color w:val="auto"/>
                <w:sz w:val="24"/>
                <w:szCs w:val="24"/>
                <w:highlight w:val="none"/>
              </w:rPr>
              <w:t>后</w:t>
            </w:r>
            <w:r>
              <w:rPr>
                <w:rFonts w:hint="eastAsia"/>
                <w:color w:val="auto"/>
                <w:sz w:val="24"/>
                <w:szCs w:val="24"/>
                <w:highlight w:val="none"/>
              </w:rPr>
              <w:t>经自建尾水排放管</w:t>
            </w:r>
            <w:r>
              <w:rPr>
                <w:color w:val="auto"/>
                <w:sz w:val="24"/>
                <w:szCs w:val="24"/>
                <w:highlight w:val="none"/>
              </w:rPr>
              <w:t>排入</w:t>
            </w:r>
            <w:r>
              <w:rPr>
                <w:rFonts w:hint="eastAsia" w:ascii="Times New Roman" w:hAnsi="Times New Roman" w:cs="Times New Roman"/>
                <w:color w:val="auto"/>
                <w:spacing w:val="8"/>
                <w:sz w:val="24"/>
                <w:szCs w:val="24"/>
                <w:highlight w:val="none"/>
                <w:lang w:val="en-US" w:eastAsia="zh-CN"/>
              </w:rPr>
              <w:t>武江</w:t>
            </w:r>
            <w:r>
              <w:rPr>
                <w:rFonts w:hint="eastAsia"/>
                <w:color w:val="auto"/>
                <w:sz w:val="24"/>
                <w:szCs w:val="24"/>
                <w:highlight w:val="none"/>
              </w:rPr>
              <w:t>。</w:t>
            </w:r>
          </w:p>
          <w:p w14:paraId="4B5A4E98">
            <w:pPr>
              <w:pStyle w:val="18"/>
              <w:spacing w:after="0" w:line="360" w:lineRule="auto"/>
              <w:ind w:left="0" w:leftChars="0" w:firstLine="480" w:firstLineChars="200"/>
              <w:rPr>
                <w:rFonts w:hAnsi="宋体"/>
                <w:color w:val="auto"/>
                <w:sz w:val="24"/>
                <w:highlight w:val="none"/>
              </w:rPr>
            </w:pPr>
            <w:r>
              <w:rPr>
                <w:rFonts w:hint="eastAsia" w:hAnsi="宋体"/>
                <w:color w:val="auto"/>
                <w:sz w:val="24"/>
                <w:highlight w:val="none"/>
              </w:rPr>
              <w:t>本项目建成后污水产排情况见表</w:t>
            </w:r>
            <w:r>
              <w:rPr>
                <w:rFonts w:hint="eastAsia" w:hAnsi="宋体"/>
                <w:color w:val="auto"/>
                <w:sz w:val="24"/>
                <w:highlight w:val="none"/>
                <w:lang w:val="en-US" w:eastAsia="zh-CN"/>
              </w:rPr>
              <w:t>4-7</w:t>
            </w:r>
            <w:r>
              <w:rPr>
                <w:rFonts w:hint="eastAsia" w:hAnsi="宋体"/>
                <w:color w:val="auto"/>
                <w:sz w:val="24"/>
                <w:highlight w:val="none"/>
              </w:rPr>
              <w:t>。</w:t>
            </w:r>
          </w:p>
          <w:p w14:paraId="597453CC">
            <w:pPr>
              <w:autoSpaceDE w:val="0"/>
              <w:autoSpaceDN w:val="0"/>
              <w:adjustRightInd w:val="0"/>
              <w:jc w:val="center"/>
              <w:rPr>
                <w:b/>
                <w:color w:val="auto"/>
                <w:sz w:val="24"/>
                <w:highlight w:val="none"/>
                <w:lang w:val="zh-CN"/>
              </w:rPr>
            </w:pPr>
            <w:r>
              <w:rPr>
                <w:b/>
                <w:color w:val="auto"/>
                <w:sz w:val="24"/>
                <w:highlight w:val="none"/>
                <w:lang w:val="zh-CN"/>
              </w:rPr>
              <w:t>表</w:t>
            </w:r>
            <w:r>
              <w:rPr>
                <w:rFonts w:hint="eastAsia" w:cs="Times New Roman"/>
                <w:b/>
                <w:bCs/>
                <w:color w:val="auto"/>
                <w:kern w:val="2"/>
                <w:sz w:val="24"/>
                <w:szCs w:val="24"/>
                <w:highlight w:val="none"/>
                <w:lang w:val="en-US" w:eastAsia="zh-CN" w:bidi="ar-SA"/>
              </w:rPr>
              <w:t>4.7（a）</w:t>
            </w:r>
            <w:r>
              <w:rPr>
                <w:rFonts w:hint="eastAsia"/>
                <w:b/>
                <w:color w:val="auto"/>
                <w:sz w:val="24"/>
                <w:highlight w:val="none"/>
                <w:lang w:val="en-US" w:eastAsia="zh-CN"/>
              </w:rPr>
              <w:t xml:space="preserve"> </w:t>
            </w:r>
            <w:r>
              <w:rPr>
                <w:rFonts w:hint="eastAsia"/>
                <w:b/>
                <w:color w:val="auto"/>
                <w:sz w:val="24"/>
                <w:highlight w:val="none"/>
                <w:lang w:val="zh-CN"/>
              </w:rPr>
              <w:t>本项目</w:t>
            </w:r>
            <w:r>
              <w:rPr>
                <w:rFonts w:hint="eastAsia"/>
                <w:b/>
                <w:color w:val="auto"/>
                <w:sz w:val="24"/>
                <w:highlight w:val="none"/>
                <w:lang w:val="en-US" w:eastAsia="zh-CN"/>
              </w:rPr>
              <w:t>生活污水</w:t>
            </w:r>
            <w:r>
              <w:rPr>
                <w:b/>
                <w:color w:val="auto"/>
                <w:sz w:val="24"/>
                <w:highlight w:val="none"/>
                <w:lang w:val="zh-CN"/>
              </w:rPr>
              <w:t>产排情况</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5"/>
              <w:gridCol w:w="1280"/>
              <w:gridCol w:w="1383"/>
              <w:gridCol w:w="1193"/>
              <w:gridCol w:w="1122"/>
              <w:gridCol w:w="689"/>
              <w:gridCol w:w="838"/>
            </w:tblGrid>
            <w:tr w14:paraId="0A979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1814" w:type="pct"/>
                  <w:gridSpan w:val="2"/>
                  <w:noWrap/>
                  <w:vAlign w:val="center"/>
                </w:tcPr>
                <w:p w14:paraId="39D0073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b/>
                      <w:bCs/>
                      <w:i w:val="0"/>
                      <w:iCs w:val="0"/>
                      <w:color w:val="000000"/>
                      <w:spacing w:val="0"/>
                      <w:kern w:val="0"/>
                      <w:sz w:val="21"/>
                      <w:szCs w:val="21"/>
                      <w:highlight w:val="none"/>
                      <w:u w:val="none"/>
                      <w:lang w:val="en-US" w:eastAsia="zh-CN" w:bidi="ar"/>
                    </w:rPr>
                    <w:t>名称</w:t>
                  </w:r>
                </w:p>
              </w:tc>
              <w:tc>
                <w:tcPr>
                  <w:tcW w:w="843" w:type="pct"/>
                  <w:noWrap/>
                  <w:vAlign w:val="center"/>
                </w:tcPr>
                <w:p w14:paraId="259902A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b/>
                      <w:bCs/>
                      <w:i w:val="0"/>
                      <w:iCs w:val="0"/>
                      <w:color w:val="000000"/>
                      <w:spacing w:val="0"/>
                      <w:kern w:val="0"/>
                      <w:sz w:val="21"/>
                      <w:szCs w:val="21"/>
                      <w:highlight w:val="none"/>
                      <w:u w:val="none"/>
                      <w:lang w:val="en-US" w:eastAsia="zh-CN" w:bidi="ar"/>
                    </w:rPr>
                    <w:t>COD</w:t>
                  </w:r>
                  <w:r>
                    <w:rPr>
                      <w:rFonts w:hint="eastAsia" w:ascii="Times New Roman" w:hAnsi="Times New Roman" w:eastAsia="宋体" w:cs="Times New Roman"/>
                      <w:b/>
                      <w:bCs/>
                      <w:i w:val="0"/>
                      <w:iCs w:val="0"/>
                      <w:color w:val="000000"/>
                      <w:spacing w:val="0"/>
                      <w:kern w:val="0"/>
                      <w:sz w:val="21"/>
                      <w:szCs w:val="21"/>
                      <w:highlight w:val="none"/>
                      <w:u w:val="none"/>
                      <w:vertAlign w:val="subscript"/>
                      <w:lang w:val="en-US" w:eastAsia="zh-CN" w:bidi="ar"/>
                    </w:rPr>
                    <w:t>c</w:t>
                  </w:r>
                  <w:r>
                    <w:rPr>
                      <w:rFonts w:hint="default" w:ascii="Times New Roman" w:hAnsi="Times New Roman" w:eastAsia="宋体" w:cs="Times New Roman"/>
                      <w:b/>
                      <w:bCs/>
                      <w:i w:val="0"/>
                      <w:iCs w:val="0"/>
                      <w:color w:val="000000"/>
                      <w:spacing w:val="0"/>
                      <w:kern w:val="0"/>
                      <w:sz w:val="21"/>
                      <w:szCs w:val="21"/>
                      <w:highlight w:val="none"/>
                      <w:u w:val="none"/>
                      <w:vertAlign w:val="subscript"/>
                      <w:lang w:val="en-US" w:eastAsia="zh-CN" w:bidi="ar"/>
                    </w:rPr>
                    <w:t>r</w:t>
                  </w:r>
                </w:p>
              </w:tc>
              <w:tc>
                <w:tcPr>
                  <w:tcW w:w="727" w:type="pct"/>
                  <w:noWrap/>
                  <w:vAlign w:val="center"/>
                </w:tcPr>
                <w:p w14:paraId="70DC51C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b/>
                      <w:bCs/>
                      <w:i w:val="0"/>
                      <w:iCs w:val="0"/>
                      <w:color w:val="000000"/>
                      <w:spacing w:val="0"/>
                      <w:kern w:val="0"/>
                      <w:sz w:val="21"/>
                      <w:szCs w:val="21"/>
                      <w:highlight w:val="none"/>
                      <w:u w:val="none"/>
                      <w:lang w:val="en-US" w:eastAsia="zh-CN" w:bidi="ar"/>
                    </w:rPr>
                    <w:t>BOD</w:t>
                  </w:r>
                  <w:r>
                    <w:rPr>
                      <w:rFonts w:hint="default" w:ascii="Times New Roman" w:hAnsi="Times New Roman" w:eastAsia="宋体" w:cs="Times New Roman"/>
                      <w:b/>
                      <w:bCs/>
                      <w:i w:val="0"/>
                      <w:iCs w:val="0"/>
                      <w:color w:val="000000"/>
                      <w:spacing w:val="0"/>
                      <w:kern w:val="0"/>
                      <w:sz w:val="21"/>
                      <w:szCs w:val="21"/>
                      <w:highlight w:val="none"/>
                      <w:u w:val="none"/>
                      <w:vertAlign w:val="subscript"/>
                      <w:lang w:val="en-US" w:eastAsia="zh-CN" w:bidi="ar"/>
                    </w:rPr>
                    <w:t>5</w:t>
                  </w:r>
                </w:p>
              </w:tc>
              <w:tc>
                <w:tcPr>
                  <w:tcW w:w="684" w:type="pct"/>
                  <w:noWrap/>
                  <w:vAlign w:val="center"/>
                </w:tcPr>
                <w:p w14:paraId="4604C5A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b/>
                      <w:bCs/>
                      <w:i w:val="0"/>
                      <w:iCs w:val="0"/>
                      <w:color w:val="000000"/>
                      <w:spacing w:val="0"/>
                      <w:kern w:val="0"/>
                      <w:sz w:val="21"/>
                      <w:szCs w:val="21"/>
                      <w:highlight w:val="none"/>
                      <w:u w:val="none"/>
                      <w:lang w:val="en-US" w:eastAsia="zh-CN" w:bidi="ar"/>
                    </w:rPr>
                    <w:t>NH</w:t>
                  </w:r>
                  <w:r>
                    <w:rPr>
                      <w:rFonts w:hint="default" w:ascii="Times New Roman" w:hAnsi="Times New Roman" w:eastAsia="宋体" w:cs="Times New Roman"/>
                      <w:b/>
                      <w:bCs/>
                      <w:i w:val="0"/>
                      <w:iCs w:val="0"/>
                      <w:color w:val="000000"/>
                      <w:spacing w:val="0"/>
                      <w:kern w:val="0"/>
                      <w:sz w:val="21"/>
                      <w:szCs w:val="21"/>
                      <w:highlight w:val="none"/>
                      <w:u w:val="none"/>
                      <w:vertAlign w:val="subscript"/>
                      <w:lang w:val="en-US" w:eastAsia="zh-CN" w:bidi="ar"/>
                    </w:rPr>
                    <w:t>3</w:t>
                  </w:r>
                  <w:r>
                    <w:rPr>
                      <w:rFonts w:hint="default" w:ascii="Times New Roman" w:hAnsi="Times New Roman" w:eastAsia="宋体" w:cs="Times New Roman"/>
                      <w:b/>
                      <w:bCs/>
                      <w:i w:val="0"/>
                      <w:iCs w:val="0"/>
                      <w:color w:val="000000"/>
                      <w:spacing w:val="0"/>
                      <w:kern w:val="0"/>
                      <w:sz w:val="21"/>
                      <w:szCs w:val="21"/>
                      <w:highlight w:val="none"/>
                      <w:u w:val="none"/>
                      <w:lang w:val="en-US" w:eastAsia="zh-CN" w:bidi="ar"/>
                    </w:rPr>
                    <w:t>-N</w:t>
                  </w:r>
                </w:p>
              </w:tc>
              <w:tc>
                <w:tcPr>
                  <w:tcW w:w="420" w:type="pct"/>
                  <w:noWrap/>
                  <w:vAlign w:val="center"/>
                </w:tcPr>
                <w:p w14:paraId="3E780F0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b/>
                      <w:bCs/>
                      <w:i w:val="0"/>
                      <w:iCs w:val="0"/>
                      <w:color w:val="000000"/>
                      <w:spacing w:val="0"/>
                      <w:kern w:val="0"/>
                      <w:sz w:val="21"/>
                      <w:szCs w:val="21"/>
                      <w:highlight w:val="none"/>
                      <w:u w:val="none"/>
                      <w:lang w:val="en-US" w:eastAsia="zh-CN" w:bidi="ar"/>
                    </w:rPr>
                    <w:t>SS</w:t>
                  </w:r>
                </w:p>
              </w:tc>
              <w:tc>
                <w:tcPr>
                  <w:tcW w:w="509" w:type="pct"/>
                  <w:noWrap/>
                  <w:vAlign w:val="center"/>
                </w:tcPr>
                <w:p w14:paraId="16F8FF5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b/>
                      <w:bCs/>
                      <w:i w:val="0"/>
                      <w:iCs w:val="0"/>
                      <w:color w:val="000000"/>
                      <w:spacing w:val="0"/>
                      <w:kern w:val="0"/>
                      <w:sz w:val="21"/>
                      <w:szCs w:val="21"/>
                      <w:highlight w:val="none"/>
                      <w:u w:val="none"/>
                      <w:lang w:val="en-US" w:eastAsia="zh-CN" w:bidi="ar"/>
                    </w:rPr>
                    <w:t>全盐量</w:t>
                  </w:r>
                </w:p>
              </w:tc>
            </w:tr>
            <w:tr w14:paraId="1F37B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34" w:type="pct"/>
                  <w:vMerge w:val="restart"/>
                  <w:noWrap/>
                  <w:vAlign w:val="center"/>
                </w:tcPr>
                <w:p w14:paraId="10ED4F8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0"/>
                      <w:sz w:val="21"/>
                      <w:szCs w:val="21"/>
                      <w:highlight w:val="none"/>
                      <w:u w:val="none"/>
                      <w:lang w:val="en-US" w:eastAsia="zh-CN" w:bidi="ar"/>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生活污水</w:t>
                  </w:r>
                </w:p>
                <w:p w14:paraId="3B45552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ascii="Times New Roman" w:hAnsi="Times New Roman" w:eastAsia="宋体" w:cs="Times New Roman"/>
                      <w:i w:val="0"/>
                      <w:iCs w:val="0"/>
                      <w:color w:val="000000"/>
                      <w:spacing w:val="0"/>
                      <w:kern w:val="2"/>
                      <w:sz w:val="21"/>
                      <w:szCs w:val="21"/>
                      <w:highlight w:val="none"/>
                      <w:u w:val="none"/>
                      <w:lang w:val="en-US" w:eastAsia="zh-CN" w:bidi="ar-SA"/>
                    </w:rPr>
                    <w:t>(0.35m</w:t>
                  </w:r>
                  <w:r>
                    <w:rPr>
                      <w:rFonts w:hint="eastAsia" w:ascii="Times New Roman" w:hAnsi="Times New Roman" w:eastAsia="宋体" w:cs="Times New Roman"/>
                      <w:i w:val="0"/>
                      <w:iCs w:val="0"/>
                      <w:color w:val="000000"/>
                      <w:spacing w:val="0"/>
                      <w:kern w:val="2"/>
                      <w:sz w:val="21"/>
                      <w:szCs w:val="21"/>
                      <w:highlight w:val="none"/>
                      <w:u w:val="none"/>
                      <w:vertAlign w:val="superscript"/>
                      <w:lang w:val="en-US" w:eastAsia="zh-CN" w:bidi="ar-SA"/>
                    </w:rPr>
                    <w:t>3</w:t>
                  </w:r>
                  <w:r>
                    <w:rPr>
                      <w:rFonts w:hint="eastAsia" w:ascii="Times New Roman" w:hAnsi="Times New Roman" w:eastAsia="宋体" w:cs="Times New Roman"/>
                      <w:i w:val="0"/>
                      <w:iCs w:val="0"/>
                      <w:color w:val="000000"/>
                      <w:spacing w:val="0"/>
                      <w:kern w:val="2"/>
                      <w:sz w:val="21"/>
                      <w:szCs w:val="21"/>
                      <w:highlight w:val="none"/>
                      <w:u w:val="none"/>
                      <w:lang w:val="en-US" w:eastAsia="zh-CN" w:bidi="ar-SA"/>
                    </w:rPr>
                    <w:t>/d，70.56m</w:t>
                  </w:r>
                  <w:r>
                    <w:rPr>
                      <w:rFonts w:hint="eastAsia" w:ascii="Times New Roman" w:hAnsi="Times New Roman" w:eastAsia="宋体" w:cs="Times New Roman"/>
                      <w:i w:val="0"/>
                      <w:iCs w:val="0"/>
                      <w:color w:val="000000"/>
                      <w:spacing w:val="0"/>
                      <w:kern w:val="2"/>
                      <w:sz w:val="21"/>
                      <w:szCs w:val="21"/>
                      <w:highlight w:val="none"/>
                      <w:u w:val="none"/>
                      <w:vertAlign w:val="superscript"/>
                      <w:lang w:val="en-US" w:eastAsia="zh-CN" w:bidi="ar-SA"/>
                    </w:rPr>
                    <w:t>3</w:t>
                  </w:r>
                  <w:r>
                    <w:rPr>
                      <w:rFonts w:hint="eastAsia" w:ascii="Times New Roman" w:hAnsi="Times New Roman" w:eastAsia="宋体" w:cs="Times New Roman"/>
                      <w:i w:val="0"/>
                      <w:iCs w:val="0"/>
                      <w:color w:val="000000"/>
                      <w:spacing w:val="0"/>
                      <w:kern w:val="2"/>
                      <w:sz w:val="21"/>
                      <w:szCs w:val="21"/>
                      <w:highlight w:val="none"/>
                      <w:u w:val="none"/>
                      <w:lang w:val="en-US" w:eastAsia="zh-CN" w:bidi="ar-SA"/>
                    </w:rPr>
                    <w:t>/a）</w:t>
                  </w:r>
                </w:p>
              </w:tc>
              <w:tc>
                <w:tcPr>
                  <w:tcW w:w="780" w:type="pct"/>
                  <w:noWrap/>
                  <w:vAlign w:val="center"/>
                </w:tcPr>
                <w:p w14:paraId="1D1F15E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产生浓度mg/L</w:t>
                  </w:r>
                </w:p>
              </w:tc>
              <w:tc>
                <w:tcPr>
                  <w:tcW w:w="843" w:type="pct"/>
                  <w:noWrap/>
                  <w:vAlign w:val="center"/>
                </w:tcPr>
                <w:p w14:paraId="701A89A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250</w:t>
                  </w:r>
                </w:p>
              </w:tc>
              <w:tc>
                <w:tcPr>
                  <w:tcW w:w="727" w:type="pct"/>
                  <w:noWrap/>
                  <w:vAlign w:val="center"/>
                </w:tcPr>
                <w:p w14:paraId="46E5C39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150</w:t>
                  </w:r>
                </w:p>
              </w:tc>
              <w:tc>
                <w:tcPr>
                  <w:tcW w:w="684" w:type="pct"/>
                  <w:noWrap/>
                  <w:vAlign w:val="center"/>
                </w:tcPr>
                <w:p w14:paraId="7C32691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30</w:t>
                  </w:r>
                </w:p>
              </w:tc>
              <w:tc>
                <w:tcPr>
                  <w:tcW w:w="420" w:type="pct"/>
                  <w:noWrap/>
                  <w:vAlign w:val="center"/>
                </w:tcPr>
                <w:p w14:paraId="3DCCB9B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200</w:t>
                  </w:r>
                </w:p>
              </w:tc>
              <w:tc>
                <w:tcPr>
                  <w:tcW w:w="509" w:type="pct"/>
                  <w:noWrap/>
                  <w:vAlign w:val="center"/>
                </w:tcPr>
                <w:p w14:paraId="51FEE44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w:t>
                  </w:r>
                </w:p>
              </w:tc>
            </w:tr>
            <w:tr w14:paraId="3C05F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1034" w:type="pct"/>
                  <w:vMerge w:val="continue"/>
                  <w:noWrap/>
                  <w:vAlign w:val="center"/>
                </w:tcPr>
                <w:p w14:paraId="2F503B2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p>
              </w:tc>
              <w:tc>
                <w:tcPr>
                  <w:tcW w:w="780" w:type="pct"/>
                  <w:noWrap/>
                  <w:vAlign w:val="center"/>
                </w:tcPr>
                <w:p w14:paraId="13F448A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产生量t/a</w:t>
                  </w:r>
                </w:p>
              </w:tc>
              <w:tc>
                <w:tcPr>
                  <w:tcW w:w="843" w:type="pct"/>
                  <w:noWrap/>
                  <w:vAlign w:val="center"/>
                </w:tcPr>
                <w:p w14:paraId="25974C3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0.01</w:t>
                  </w:r>
                  <w:r>
                    <w:rPr>
                      <w:rFonts w:hint="eastAsia" w:ascii="Times New Roman" w:hAnsi="Times New Roman" w:eastAsia="宋体" w:cs="Times New Roman"/>
                      <w:i w:val="0"/>
                      <w:iCs w:val="0"/>
                      <w:color w:val="000000"/>
                      <w:spacing w:val="0"/>
                      <w:kern w:val="0"/>
                      <w:sz w:val="21"/>
                      <w:szCs w:val="21"/>
                      <w:highlight w:val="none"/>
                      <w:u w:val="none"/>
                      <w:lang w:val="en-US" w:eastAsia="zh-CN" w:bidi="ar"/>
                    </w:rPr>
                    <w:t>8</w:t>
                  </w:r>
                </w:p>
              </w:tc>
              <w:tc>
                <w:tcPr>
                  <w:tcW w:w="727" w:type="pct"/>
                  <w:noWrap/>
                  <w:vAlign w:val="center"/>
                </w:tcPr>
                <w:p w14:paraId="5835DA4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0.01</w:t>
                  </w:r>
                  <w:r>
                    <w:rPr>
                      <w:rFonts w:hint="eastAsia" w:ascii="Times New Roman" w:hAnsi="Times New Roman" w:eastAsia="宋体" w:cs="Times New Roman"/>
                      <w:i w:val="0"/>
                      <w:iCs w:val="0"/>
                      <w:color w:val="000000"/>
                      <w:spacing w:val="0"/>
                      <w:kern w:val="0"/>
                      <w:sz w:val="21"/>
                      <w:szCs w:val="21"/>
                      <w:highlight w:val="none"/>
                      <w:u w:val="none"/>
                      <w:lang w:val="en-US" w:eastAsia="zh-CN" w:bidi="ar"/>
                    </w:rPr>
                    <w:t>1</w:t>
                  </w:r>
                </w:p>
              </w:tc>
              <w:tc>
                <w:tcPr>
                  <w:tcW w:w="684" w:type="pct"/>
                  <w:noWrap/>
                  <w:vAlign w:val="center"/>
                </w:tcPr>
                <w:p w14:paraId="1F350A0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0.002</w:t>
                  </w:r>
                </w:p>
              </w:tc>
              <w:tc>
                <w:tcPr>
                  <w:tcW w:w="420" w:type="pct"/>
                  <w:noWrap/>
                  <w:vAlign w:val="center"/>
                </w:tcPr>
                <w:p w14:paraId="7E367AC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0.014</w:t>
                  </w:r>
                </w:p>
              </w:tc>
              <w:tc>
                <w:tcPr>
                  <w:tcW w:w="509" w:type="pct"/>
                  <w:noWrap/>
                  <w:vAlign w:val="center"/>
                </w:tcPr>
                <w:p w14:paraId="0BECDFE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w:t>
                  </w:r>
                </w:p>
              </w:tc>
            </w:tr>
            <w:tr w14:paraId="0C652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34" w:type="pct"/>
                  <w:noWrap/>
                  <w:vAlign w:val="center"/>
                </w:tcPr>
                <w:p w14:paraId="4F28EB51">
                  <w:pPr>
                    <w:spacing w:line="240" w:lineRule="auto"/>
                    <w:ind w:firstLine="0" w:firstLineChars="0"/>
                    <w:jc w:val="center"/>
                    <w:rPr>
                      <w:rFonts w:hint="default" w:ascii="Times New Roman" w:hAnsi="Times New Roman" w:eastAsia="宋体" w:cs="Times New Roman"/>
                      <w:i w:val="0"/>
                      <w:iCs w:val="0"/>
                      <w:color w:val="000000"/>
                      <w:spacing w:val="0"/>
                      <w:kern w:val="2"/>
                      <w:sz w:val="22"/>
                      <w:szCs w:val="22"/>
                      <w:highlight w:val="none"/>
                      <w:u w:val="none"/>
                      <w:lang w:val="en-US" w:eastAsia="zh-CN" w:bidi="ar-SA"/>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治理措施</w:t>
                  </w:r>
                </w:p>
              </w:tc>
              <w:tc>
                <w:tcPr>
                  <w:tcW w:w="3965" w:type="pct"/>
                  <w:gridSpan w:val="6"/>
                  <w:noWrap/>
                  <w:vAlign w:val="center"/>
                </w:tcPr>
                <w:p w14:paraId="77C3E30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0"/>
                      <w:sz w:val="21"/>
                      <w:szCs w:val="21"/>
                      <w:highlight w:val="none"/>
                      <w:u w:val="none"/>
                      <w:lang w:val="en-US" w:eastAsia="zh-CN" w:bidi="ar"/>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生活污水经三级化粪池</w:t>
                  </w:r>
                  <w:r>
                    <w:rPr>
                      <w:rFonts w:hint="eastAsia" w:cs="Times New Roman"/>
                      <w:i w:val="0"/>
                      <w:iCs w:val="0"/>
                      <w:color w:val="000000"/>
                      <w:spacing w:val="0"/>
                      <w:kern w:val="0"/>
                      <w:sz w:val="21"/>
                      <w:szCs w:val="21"/>
                      <w:highlight w:val="none"/>
                      <w:u w:val="none"/>
                      <w:lang w:val="en-US" w:eastAsia="zh-CN" w:bidi="ar"/>
                    </w:rPr>
                    <w:t>（0.6m</w:t>
                  </w:r>
                  <w:r>
                    <w:rPr>
                      <w:rFonts w:hint="eastAsia" w:cs="Times New Roman"/>
                      <w:i w:val="0"/>
                      <w:iCs w:val="0"/>
                      <w:color w:val="000000"/>
                      <w:spacing w:val="0"/>
                      <w:kern w:val="0"/>
                      <w:sz w:val="21"/>
                      <w:szCs w:val="21"/>
                      <w:highlight w:val="none"/>
                      <w:u w:val="none"/>
                      <w:vertAlign w:val="superscript"/>
                      <w:lang w:val="en-US" w:eastAsia="zh-CN" w:bidi="ar"/>
                    </w:rPr>
                    <w:t>3</w:t>
                  </w:r>
                  <w:r>
                    <w:rPr>
                      <w:rFonts w:hint="eastAsia" w:cs="Times New Roman"/>
                      <w:i w:val="0"/>
                      <w:iCs w:val="0"/>
                      <w:color w:val="000000"/>
                      <w:spacing w:val="0"/>
                      <w:kern w:val="0"/>
                      <w:sz w:val="21"/>
                      <w:szCs w:val="21"/>
                      <w:highlight w:val="none"/>
                      <w:u w:val="none"/>
                      <w:lang w:val="en-US" w:eastAsia="zh-CN" w:bidi="ar"/>
                    </w:rPr>
                    <w:t>）</w:t>
                  </w:r>
                  <w:r>
                    <w:rPr>
                      <w:rFonts w:hint="default" w:ascii="Times New Roman" w:hAnsi="Times New Roman" w:eastAsia="宋体" w:cs="Times New Roman"/>
                      <w:i w:val="0"/>
                      <w:iCs w:val="0"/>
                      <w:color w:val="000000"/>
                      <w:spacing w:val="0"/>
                      <w:kern w:val="0"/>
                      <w:sz w:val="21"/>
                      <w:szCs w:val="21"/>
                      <w:highlight w:val="none"/>
                      <w:u w:val="none"/>
                      <w:lang w:val="en-US" w:eastAsia="zh-CN" w:bidi="ar"/>
                    </w:rPr>
                    <w:t>处理后用于厂区周边绿化，不外排。</w:t>
                  </w:r>
                </w:p>
              </w:tc>
            </w:tr>
            <w:tr w14:paraId="39FDA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34" w:type="pct"/>
                  <w:vMerge w:val="restart"/>
                  <w:noWrap/>
                  <w:vAlign w:val="center"/>
                </w:tcPr>
                <w:p w14:paraId="31767F2E">
                  <w:pPr>
                    <w:spacing w:line="240" w:lineRule="auto"/>
                    <w:ind w:firstLine="0" w:firstLineChars="0"/>
                    <w:jc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ascii="Times New Roman" w:hAnsi="Times New Roman" w:eastAsia="宋体" w:cs="Times New Roman"/>
                      <w:i w:val="0"/>
                      <w:iCs w:val="0"/>
                      <w:color w:val="000000"/>
                      <w:spacing w:val="0"/>
                      <w:kern w:val="0"/>
                      <w:sz w:val="21"/>
                      <w:szCs w:val="21"/>
                      <w:highlight w:val="none"/>
                      <w:u w:val="none"/>
                      <w:lang w:val="en-US" w:eastAsia="zh-CN" w:bidi="ar"/>
                    </w:rPr>
                    <w:t>最终外排废水量</w:t>
                  </w:r>
                  <w:r>
                    <w:rPr>
                      <w:rFonts w:hint="eastAsia" w:ascii="Times New Roman" w:hAnsi="Times New Roman" w:eastAsia="宋体" w:cs="Times New Roman"/>
                      <w:b w:val="0"/>
                      <w:bCs w:val="0"/>
                      <w:i w:val="0"/>
                      <w:iCs w:val="0"/>
                      <w:color w:val="000000"/>
                      <w:spacing w:val="0"/>
                      <w:kern w:val="0"/>
                      <w:sz w:val="21"/>
                      <w:szCs w:val="21"/>
                      <w:highlight w:val="none"/>
                      <w:u w:val="none"/>
                      <w:lang w:val="en-US" w:eastAsia="zh-CN" w:bidi="ar"/>
                    </w:rPr>
                    <w:t>（0m</w:t>
                  </w:r>
                  <w:r>
                    <w:rPr>
                      <w:rFonts w:hint="eastAsia" w:ascii="Times New Roman" w:hAnsi="Times New Roman" w:eastAsia="宋体" w:cs="Times New Roman"/>
                      <w:b w:val="0"/>
                      <w:bCs w:val="0"/>
                      <w:i w:val="0"/>
                      <w:iCs w:val="0"/>
                      <w:color w:val="000000"/>
                      <w:spacing w:val="0"/>
                      <w:kern w:val="0"/>
                      <w:sz w:val="21"/>
                      <w:szCs w:val="21"/>
                      <w:highlight w:val="none"/>
                      <w:u w:val="none"/>
                      <w:vertAlign w:val="superscript"/>
                      <w:lang w:val="en-US" w:eastAsia="zh-CN" w:bidi="ar"/>
                    </w:rPr>
                    <w:t>3</w:t>
                  </w:r>
                  <w:r>
                    <w:rPr>
                      <w:rFonts w:hint="eastAsia" w:ascii="Times New Roman" w:hAnsi="Times New Roman" w:eastAsia="宋体" w:cs="Times New Roman"/>
                      <w:b w:val="0"/>
                      <w:bCs w:val="0"/>
                      <w:i w:val="0"/>
                      <w:iCs w:val="0"/>
                      <w:color w:val="000000"/>
                      <w:spacing w:val="0"/>
                      <w:kern w:val="0"/>
                      <w:sz w:val="21"/>
                      <w:szCs w:val="21"/>
                      <w:highlight w:val="none"/>
                      <w:u w:val="none"/>
                      <w:lang w:val="en-US" w:eastAsia="zh-CN" w:bidi="ar"/>
                    </w:rPr>
                    <w:t>/d，0</w:t>
                  </w:r>
                  <w:r>
                    <w:rPr>
                      <w:rFonts w:hint="default" w:ascii="Times New Roman" w:hAnsi="Times New Roman" w:eastAsia="宋体" w:cs="Times New Roman"/>
                      <w:b w:val="0"/>
                      <w:bCs w:val="0"/>
                      <w:i w:val="0"/>
                      <w:iCs w:val="0"/>
                      <w:color w:val="000000"/>
                      <w:spacing w:val="0"/>
                      <w:kern w:val="0"/>
                      <w:sz w:val="21"/>
                      <w:szCs w:val="21"/>
                      <w:highlight w:val="none"/>
                      <w:u w:val="none"/>
                      <w:lang w:val="en-US" w:eastAsia="zh-CN" w:bidi="ar"/>
                    </w:rPr>
                    <w:t>m</w:t>
                  </w:r>
                  <w:r>
                    <w:rPr>
                      <w:rFonts w:hint="default" w:ascii="Times New Roman" w:hAnsi="Times New Roman" w:eastAsia="宋体" w:cs="Times New Roman"/>
                      <w:b w:val="0"/>
                      <w:bCs w:val="0"/>
                      <w:i w:val="0"/>
                      <w:iCs w:val="0"/>
                      <w:color w:val="000000"/>
                      <w:spacing w:val="0"/>
                      <w:kern w:val="0"/>
                      <w:sz w:val="21"/>
                      <w:szCs w:val="21"/>
                      <w:highlight w:val="none"/>
                      <w:u w:val="none"/>
                      <w:vertAlign w:val="superscript"/>
                      <w:lang w:val="en-US" w:eastAsia="zh-CN" w:bidi="ar"/>
                    </w:rPr>
                    <w:t>3</w:t>
                  </w:r>
                  <w:r>
                    <w:rPr>
                      <w:rFonts w:hint="default" w:ascii="Times New Roman" w:hAnsi="Times New Roman" w:eastAsia="宋体" w:cs="Times New Roman"/>
                      <w:b w:val="0"/>
                      <w:bCs w:val="0"/>
                      <w:i w:val="0"/>
                      <w:iCs w:val="0"/>
                      <w:color w:val="000000"/>
                      <w:spacing w:val="0"/>
                      <w:kern w:val="0"/>
                      <w:sz w:val="21"/>
                      <w:szCs w:val="21"/>
                      <w:highlight w:val="none"/>
                      <w:u w:val="none"/>
                      <w:lang w:val="en-US" w:eastAsia="zh-CN" w:bidi="ar"/>
                    </w:rPr>
                    <w:t>/a</w:t>
                  </w:r>
                  <w:r>
                    <w:rPr>
                      <w:rFonts w:hint="eastAsia" w:ascii="Times New Roman" w:hAnsi="Times New Roman" w:eastAsia="宋体" w:cs="Times New Roman"/>
                      <w:b w:val="0"/>
                      <w:bCs w:val="0"/>
                      <w:i w:val="0"/>
                      <w:iCs w:val="0"/>
                      <w:color w:val="000000"/>
                      <w:spacing w:val="0"/>
                      <w:kern w:val="0"/>
                      <w:sz w:val="21"/>
                      <w:szCs w:val="21"/>
                      <w:highlight w:val="none"/>
                      <w:u w:val="none"/>
                      <w:lang w:val="en-US" w:eastAsia="zh-CN" w:bidi="ar"/>
                    </w:rPr>
                    <w:t>）</w:t>
                  </w:r>
                </w:p>
              </w:tc>
              <w:tc>
                <w:tcPr>
                  <w:tcW w:w="780" w:type="pct"/>
                  <w:noWrap/>
                  <w:vAlign w:val="center"/>
                </w:tcPr>
                <w:p w14:paraId="78390380">
                  <w:pPr>
                    <w:spacing w:line="240" w:lineRule="auto"/>
                    <w:ind w:firstLine="0" w:firstLineChars="0"/>
                    <w:jc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ascii="Times New Roman" w:hAnsi="Times New Roman" w:eastAsia="宋体" w:cs="Times New Roman"/>
                      <w:i w:val="0"/>
                      <w:iCs w:val="0"/>
                      <w:color w:val="000000"/>
                      <w:spacing w:val="0"/>
                      <w:kern w:val="2"/>
                      <w:sz w:val="21"/>
                      <w:szCs w:val="21"/>
                      <w:highlight w:val="none"/>
                      <w:u w:val="none"/>
                      <w:lang w:val="en-US" w:eastAsia="zh-CN" w:bidi="ar-SA"/>
                    </w:rPr>
                    <w:t>排放</w:t>
                  </w:r>
                  <w:r>
                    <w:rPr>
                      <w:rFonts w:hint="default" w:ascii="Times New Roman" w:hAnsi="Times New Roman" w:eastAsia="宋体" w:cs="Times New Roman"/>
                      <w:i w:val="0"/>
                      <w:iCs w:val="0"/>
                      <w:color w:val="000000"/>
                      <w:spacing w:val="0"/>
                      <w:kern w:val="2"/>
                      <w:sz w:val="21"/>
                      <w:szCs w:val="21"/>
                      <w:highlight w:val="none"/>
                      <w:u w:val="none"/>
                      <w:lang w:val="en-US" w:eastAsia="zh-CN" w:bidi="ar-SA"/>
                    </w:rPr>
                    <w:t>浓度</w:t>
                  </w:r>
                  <w:r>
                    <w:rPr>
                      <w:rFonts w:hint="default" w:ascii="Times New Roman" w:hAnsi="Times New Roman" w:eastAsia="宋体" w:cs="Times New Roman"/>
                      <w:i w:val="0"/>
                      <w:iCs w:val="0"/>
                      <w:color w:val="000000"/>
                      <w:spacing w:val="0"/>
                      <w:kern w:val="2"/>
                      <w:sz w:val="21"/>
                      <w:szCs w:val="21"/>
                      <w:highlight w:val="none"/>
                      <w:u w:val="none"/>
                      <w:lang w:val="zh-CN" w:eastAsia="zh-CN" w:bidi="ar-SA"/>
                    </w:rPr>
                    <w:t>（</w:t>
                  </w:r>
                  <w:r>
                    <w:rPr>
                      <w:rFonts w:hint="default" w:ascii="Times New Roman" w:hAnsi="Times New Roman" w:eastAsia="宋体" w:cs="Times New Roman"/>
                      <w:i w:val="0"/>
                      <w:iCs w:val="0"/>
                      <w:color w:val="000000"/>
                      <w:spacing w:val="0"/>
                      <w:kern w:val="2"/>
                      <w:sz w:val="21"/>
                      <w:szCs w:val="21"/>
                      <w:highlight w:val="none"/>
                      <w:u w:val="none"/>
                      <w:lang w:val="en-US" w:eastAsia="zh-CN" w:bidi="ar-SA"/>
                    </w:rPr>
                    <w:t>mg/L</w:t>
                  </w:r>
                  <w:r>
                    <w:rPr>
                      <w:rFonts w:hint="default" w:ascii="Times New Roman" w:hAnsi="Times New Roman" w:eastAsia="宋体" w:cs="Times New Roman"/>
                      <w:i w:val="0"/>
                      <w:iCs w:val="0"/>
                      <w:color w:val="000000"/>
                      <w:spacing w:val="0"/>
                      <w:kern w:val="2"/>
                      <w:sz w:val="21"/>
                      <w:szCs w:val="21"/>
                      <w:highlight w:val="none"/>
                      <w:u w:val="none"/>
                      <w:lang w:val="zh-CN" w:eastAsia="zh-CN" w:bidi="ar-SA"/>
                    </w:rPr>
                    <w:t>）</w:t>
                  </w:r>
                </w:p>
              </w:tc>
              <w:tc>
                <w:tcPr>
                  <w:tcW w:w="843" w:type="pct"/>
                  <w:noWrap/>
                  <w:vAlign w:val="center"/>
                </w:tcPr>
                <w:p w14:paraId="45161F45">
                  <w:pPr>
                    <w:spacing w:line="240" w:lineRule="auto"/>
                    <w:ind w:firstLine="0" w:firstLineChars="0"/>
                    <w:jc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ascii="Times New Roman" w:hAnsi="Times New Roman" w:eastAsia="宋体" w:cs="Times New Roman"/>
                      <w:i w:val="0"/>
                      <w:iCs w:val="0"/>
                      <w:color w:val="000000"/>
                      <w:spacing w:val="0"/>
                      <w:kern w:val="2"/>
                      <w:sz w:val="21"/>
                      <w:szCs w:val="21"/>
                      <w:highlight w:val="none"/>
                      <w:u w:val="none"/>
                      <w:lang w:val="en-US" w:eastAsia="zh-CN" w:bidi="ar-SA"/>
                    </w:rPr>
                    <w:t>/</w:t>
                  </w:r>
                </w:p>
              </w:tc>
              <w:tc>
                <w:tcPr>
                  <w:tcW w:w="727" w:type="pct"/>
                  <w:noWrap/>
                  <w:vAlign w:val="center"/>
                </w:tcPr>
                <w:p w14:paraId="097DDC3D">
                  <w:pPr>
                    <w:spacing w:line="240" w:lineRule="auto"/>
                    <w:ind w:firstLine="0" w:firstLineChars="0"/>
                    <w:jc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ascii="Times New Roman" w:hAnsi="Times New Roman" w:eastAsia="宋体" w:cs="Times New Roman"/>
                      <w:i w:val="0"/>
                      <w:iCs w:val="0"/>
                      <w:color w:val="000000"/>
                      <w:spacing w:val="0"/>
                      <w:kern w:val="2"/>
                      <w:sz w:val="21"/>
                      <w:szCs w:val="21"/>
                      <w:highlight w:val="none"/>
                      <w:u w:val="none"/>
                      <w:lang w:val="en-US" w:eastAsia="zh-CN" w:bidi="ar-SA"/>
                    </w:rPr>
                    <w:t>/</w:t>
                  </w:r>
                </w:p>
              </w:tc>
              <w:tc>
                <w:tcPr>
                  <w:tcW w:w="684" w:type="pct"/>
                  <w:noWrap/>
                  <w:vAlign w:val="center"/>
                </w:tcPr>
                <w:p w14:paraId="37986CB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ascii="Times New Roman" w:hAnsi="Times New Roman" w:eastAsia="宋体" w:cs="Times New Roman"/>
                      <w:i w:val="0"/>
                      <w:iCs w:val="0"/>
                      <w:color w:val="000000"/>
                      <w:spacing w:val="0"/>
                      <w:kern w:val="0"/>
                      <w:sz w:val="21"/>
                      <w:szCs w:val="21"/>
                      <w:highlight w:val="none"/>
                      <w:u w:val="none"/>
                      <w:lang w:val="en-US" w:eastAsia="zh-CN" w:bidi="ar"/>
                    </w:rPr>
                    <w:t>/</w:t>
                  </w:r>
                </w:p>
              </w:tc>
              <w:tc>
                <w:tcPr>
                  <w:tcW w:w="420" w:type="pct"/>
                  <w:noWrap/>
                  <w:vAlign w:val="center"/>
                </w:tcPr>
                <w:p w14:paraId="2C189490">
                  <w:pPr>
                    <w:spacing w:line="240" w:lineRule="auto"/>
                    <w:ind w:firstLine="0" w:firstLineChars="0"/>
                    <w:jc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ascii="Times New Roman" w:hAnsi="Times New Roman" w:eastAsia="宋体" w:cs="Times New Roman"/>
                      <w:i w:val="0"/>
                      <w:iCs w:val="0"/>
                      <w:color w:val="000000"/>
                      <w:spacing w:val="0"/>
                      <w:kern w:val="2"/>
                      <w:sz w:val="21"/>
                      <w:szCs w:val="21"/>
                      <w:highlight w:val="none"/>
                      <w:u w:val="none"/>
                      <w:lang w:val="en-US" w:eastAsia="zh-CN" w:bidi="ar-SA"/>
                    </w:rPr>
                    <w:t>/</w:t>
                  </w:r>
                </w:p>
              </w:tc>
              <w:tc>
                <w:tcPr>
                  <w:tcW w:w="509" w:type="pct"/>
                  <w:noWrap/>
                  <w:vAlign w:val="center"/>
                </w:tcPr>
                <w:p w14:paraId="7632CF5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ascii="Times New Roman" w:hAnsi="Times New Roman" w:eastAsia="宋体" w:cs="Times New Roman"/>
                      <w:i w:val="0"/>
                      <w:iCs w:val="0"/>
                      <w:color w:val="000000"/>
                      <w:spacing w:val="0"/>
                      <w:kern w:val="0"/>
                      <w:sz w:val="21"/>
                      <w:szCs w:val="21"/>
                      <w:highlight w:val="none"/>
                      <w:u w:val="none"/>
                      <w:lang w:val="en-US" w:eastAsia="zh-CN" w:bidi="ar"/>
                    </w:rPr>
                    <w:t>/</w:t>
                  </w:r>
                </w:p>
              </w:tc>
            </w:tr>
            <w:tr w14:paraId="40D2F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34" w:type="pct"/>
                  <w:vMerge w:val="continue"/>
                  <w:noWrap/>
                  <w:vAlign w:val="center"/>
                </w:tcPr>
                <w:p w14:paraId="27A6E0A0">
                  <w:pPr>
                    <w:spacing w:line="240" w:lineRule="auto"/>
                    <w:ind w:firstLine="0" w:firstLineChars="0"/>
                    <w:jc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p>
              </w:tc>
              <w:tc>
                <w:tcPr>
                  <w:tcW w:w="780" w:type="pct"/>
                  <w:noWrap/>
                  <w:vAlign w:val="center"/>
                </w:tcPr>
                <w:p w14:paraId="0F0EDA63">
                  <w:pPr>
                    <w:spacing w:line="240" w:lineRule="auto"/>
                    <w:ind w:firstLine="0" w:firstLineChars="0"/>
                    <w:jc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i w:val="0"/>
                      <w:iCs w:val="0"/>
                      <w:color w:val="000000"/>
                      <w:spacing w:val="0"/>
                      <w:kern w:val="2"/>
                      <w:sz w:val="21"/>
                      <w:szCs w:val="21"/>
                      <w:highlight w:val="none"/>
                      <w:u w:val="none"/>
                      <w:lang w:val="en-US" w:eastAsia="zh-CN" w:bidi="ar-SA"/>
                    </w:rPr>
                    <w:t>排放量</w:t>
                  </w:r>
                  <w:r>
                    <w:rPr>
                      <w:rFonts w:hint="default" w:ascii="Times New Roman" w:hAnsi="Times New Roman" w:eastAsia="宋体" w:cs="Times New Roman"/>
                      <w:i w:val="0"/>
                      <w:iCs w:val="0"/>
                      <w:color w:val="000000"/>
                      <w:spacing w:val="0"/>
                      <w:kern w:val="2"/>
                      <w:sz w:val="21"/>
                      <w:szCs w:val="21"/>
                      <w:highlight w:val="none"/>
                      <w:u w:val="none"/>
                      <w:lang w:val="zh-CN" w:eastAsia="zh-CN" w:bidi="ar-SA"/>
                    </w:rPr>
                    <w:t>（</w:t>
                  </w:r>
                  <w:r>
                    <w:rPr>
                      <w:rFonts w:hint="default" w:ascii="Times New Roman" w:hAnsi="Times New Roman" w:eastAsia="宋体" w:cs="Times New Roman"/>
                      <w:i w:val="0"/>
                      <w:iCs w:val="0"/>
                      <w:color w:val="000000"/>
                      <w:spacing w:val="0"/>
                      <w:kern w:val="2"/>
                      <w:sz w:val="21"/>
                      <w:szCs w:val="21"/>
                      <w:highlight w:val="none"/>
                      <w:u w:val="none"/>
                      <w:lang w:val="en-US" w:eastAsia="zh-CN" w:bidi="ar-SA"/>
                    </w:rPr>
                    <w:t>t/a</w:t>
                  </w:r>
                  <w:r>
                    <w:rPr>
                      <w:rFonts w:hint="default" w:ascii="Times New Roman" w:hAnsi="Times New Roman" w:eastAsia="宋体" w:cs="Times New Roman"/>
                      <w:i w:val="0"/>
                      <w:iCs w:val="0"/>
                      <w:color w:val="000000"/>
                      <w:spacing w:val="0"/>
                      <w:kern w:val="2"/>
                      <w:sz w:val="21"/>
                      <w:szCs w:val="21"/>
                      <w:highlight w:val="none"/>
                      <w:u w:val="none"/>
                      <w:lang w:val="zh-CN" w:eastAsia="zh-CN" w:bidi="ar-SA"/>
                    </w:rPr>
                    <w:t>）</w:t>
                  </w:r>
                </w:p>
              </w:tc>
              <w:tc>
                <w:tcPr>
                  <w:tcW w:w="843" w:type="pct"/>
                  <w:noWrap/>
                  <w:vAlign w:val="center"/>
                </w:tcPr>
                <w:p w14:paraId="1C17FFF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0"/>
                      <w:sz w:val="21"/>
                      <w:szCs w:val="21"/>
                      <w:highlight w:val="none"/>
                      <w:u w:val="none"/>
                      <w:lang w:val="en-US" w:eastAsia="zh-CN" w:bidi="ar"/>
                    </w:rPr>
                  </w:pPr>
                  <w:r>
                    <w:rPr>
                      <w:rFonts w:hint="eastAsia" w:ascii="Times New Roman" w:hAnsi="Times New Roman" w:eastAsia="宋体" w:cs="Times New Roman"/>
                      <w:i w:val="0"/>
                      <w:iCs w:val="0"/>
                      <w:color w:val="000000"/>
                      <w:spacing w:val="0"/>
                      <w:kern w:val="0"/>
                      <w:sz w:val="21"/>
                      <w:szCs w:val="21"/>
                      <w:highlight w:val="none"/>
                      <w:u w:val="none"/>
                      <w:lang w:val="en-US" w:eastAsia="zh-CN" w:bidi="ar"/>
                    </w:rPr>
                    <w:t>0</w:t>
                  </w:r>
                </w:p>
              </w:tc>
              <w:tc>
                <w:tcPr>
                  <w:tcW w:w="727" w:type="pct"/>
                  <w:noWrap/>
                  <w:vAlign w:val="center"/>
                </w:tcPr>
                <w:p w14:paraId="050506C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0"/>
                      <w:sz w:val="21"/>
                      <w:szCs w:val="21"/>
                      <w:highlight w:val="none"/>
                      <w:u w:val="none"/>
                      <w:lang w:val="en-US" w:eastAsia="zh-CN" w:bidi="ar"/>
                    </w:rPr>
                  </w:pPr>
                  <w:r>
                    <w:rPr>
                      <w:rFonts w:hint="eastAsia" w:ascii="Times New Roman" w:hAnsi="Times New Roman" w:eastAsia="宋体" w:cs="Times New Roman"/>
                      <w:i w:val="0"/>
                      <w:iCs w:val="0"/>
                      <w:color w:val="000000"/>
                      <w:spacing w:val="0"/>
                      <w:kern w:val="0"/>
                      <w:sz w:val="21"/>
                      <w:szCs w:val="21"/>
                      <w:highlight w:val="none"/>
                      <w:u w:val="none"/>
                      <w:lang w:val="en-US" w:eastAsia="zh-CN" w:bidi="ar"/>
                    </w:rPr>
                    <w:t>0</w:t>
                  </w:r>
                </w:p>
              </w:tc>
              <w:tc>
                <w:tcPr>
                  <w:tcW w:w="684" w:type="pct"/>
                  <w:noWrap/>
                  <w:vAlign w:val="center"/>
                </w:tcPr>
                <w:p w14:paraId="352A107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0"/>
                      <w:sz w:val="21"/>
                      <w:szCs w:val="21"/>
                      <w:highlight w:val="none"/>
                      <w:u w:val="none"/>
                      <w:lang w:val="en-US" w:eastAsia="zh-CN" w:bidi="ar"/>
                    </w:rPr>
                  </w:pPr>
                  <w:r>
                    <w:rPr>
                      <w:rFonts w:hint="eastAsia" w:ascii="Times New Roman" w:hAnsi="Times New Roman" w:eastAsia="宋体" w:cs="Times New Roman"/>
                      <w:i w:val="0"/>
                      <w:iCs w:val="0"/>
                      <w:color w:val="000000"/>
                      <w:spacing w:val="0"/>
                      <w:kern w:val="0"/>
                      <w:sz w:val="21"/>
                      <w:szCs w:val="21"/>
                      <w:highlight w:val="none"/>
                      <w:u w:val="none"/>
                      <w:lang w:val="en-US" w:eastAsia="zh-CN" w:bidi="ar"/>
                    </w:rPr>
                    <w:t>0</w:t>
                  </w:r>
                </w:p>
              </w:tc>
              <w:tc>
                <w:tcPr>
                  <w:tcW w:w="420" w:type="pct"/>
                  <w:noWrap/>
                  <w:vAlign w:val="center"/>
                </w:tcPr>
                <w:p w14:paraId="7E40A7E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0"/>
                      <w:sz w:val="21"/>
                      <w:szCs w:val="21"/>
                      <w:highlight w:val="none"/>
                      <w:u w:val="none"/>
                      <w:lang w:val="en-US" w:eastAsia="zh-CN" w:bidi="ar"/>
                    </w:rPr>
                  </w:pPr>
                  <w:r>
                    <w:rPr>
                      <w:rFonts w:hint="eastAsia" w:ascii="Times New Roman" w:hAnsi="Times New Roman" w:eastAsia="宋体" w:cs="Times New Roman"/>
                      <w:i w:val="0"/>
                      <w:iCs w:val="0"/>
                      <w:color w:val="000000"/>
                      <w:spacing w:val="0"/>
                      <w:kern w:val="0"/>
                      <w:sz w:val="21"/>
                      <w:szCs w:val="21"/>
                      <w:highlight w:val="none"/>
                      <w:u w:val="none"/>
                      <w:lang w:val="en-US" w:eastAsia="zh-CN" w:bidi="ar"/>
                    </w:rPr>
                    <w:t>0</w:t>
                  </w:r>
                </w:p>
              </w:tc>
              <w:tc>
                <w:tcPr>
                  <w:tcW w:w="509" w:type="pct"/>
                  <w:noWrap/>
                  <w:vAlign w:val="center"/>
                </w:tcPr>
                <w:p w14:paraId="5E93E20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0"/>
                      <w:sz w:val="21"/>
                      <w:szCs w:val="21"/>
                      <w:highlight w:val="none"/>
                      <w:u w:val="none"/>
                      <w:lang w:val="en-US" w:eastAsia="zh-CN" w:bidi="ar"/>
                    </w:rPr>
                  </w:pPr>
                  <w:r>
                    <w:rPr>
                      <w:rFonts w:hint="eastAsia" w:ascii="Times New Roman" w:hAnsi="Times New Roman" w:eastAsia="宋体" w:cs="Times New Roman"/>
                      <w:i w:val="0"/>
                      <w:iCs w:val="0"/>
                      <w:color w:val="000000"/>
                      <w:spacing w:val="0"/>
                      <w:kern w:val="0"/>
                      <w:sz w:val="21"/>
                      <w:szCs w:val="21"/>
                      <w:highlight w:val="none"/>
                      <w:u w:val="none"/>
                      <w:lang w:val="en-US" w:eastAsia="zh-CN" w:bidi="ar"/>
                    </w:rPr>
                    <w:t>0</w:t>
                  </w:r>
                </w:p>
              </w:tc>
            </w:tr>
          </w:tbl>
          <w:p w14:paraId="2765F96A">
            <w:pPr>
              <w:autoSpaceDE w:val="0"/>
              <w:autoSpaceDN w:val="0"/>
              <w:adjustRightInd w:val="0"/>
              <w:jc w:val="center"/>
              <w:rPr>
                <w:b/>
                <w:color w:val="auto"/>
                <w:sz w:val="24"/>
                <w:highlight w:val="none"/>
                <w:lang w:val="zh-CN"/>
              </w:rPr>
            </w:pPr>
            <w:r>
              <w:rPr>
                <w:b/>
                <w:color w:val="auto"/>
                <w:sz w:val="24"/>
                <w:highlight w:val="none"/>
                <w:lang w:val="zh-CN"/>
              </w:rPr>
              <w:t>表</w:t>
            </w:r>
            <w:r>
              <w:rPr>
                <w:rFonts w:hint="eastAsia" w:cs="Times New Roman"/>
                <w:b/>
                <w:bCs/>
                <w:color w:val="auto"/>
                <w:kern w:val="2"/>
                <w:sz w:val="24"/>
                <w:szCs w:val="24"/>
                <w:highlight w:val="none"/>
                <w:lang w:val="en-US" w:eastAsia="zh-CN" w:bidi="ar-SA"/>
              </w:rPr>
              <w:t>4.7（b）</w:t>
            </w:r>
            <w:r>
              <w:rPr>
                <w:rFonts w:hint="eastAsia"/>
                <w:b/>
                <w:color w:val="auto"/>
                <w:sz w:val="24"/>
                <w:highlight w:val="none"/>
                <w:lang w:val="en-US" w:eastAsia="zh-CN"/>
              </w:rPr>
              <w:t xml:space="preserve"> </w:t>
            </w:r>
            <w:r>
              <w:rPr>
                <w:rFonts w:hint="eastAsia"/>
                <w:b/>
                <w:color w:val="auto"/>
                <w:sz w:val="24"/>
                <w:highlight w:val="none"/>
                <w:lang w:val="zh-CN"/>
              </w:rPr>
              <w:t>本项目</w:t>
            </w:r>
            <w:r>
              <w:rPr>
                <w:rFonts w:hint="eastAsia"/>
                <w:b/>
                <w:color w:val="auto"/>
                <w:sz w:val="24"/>
                <w:highlight w:val="none"/>
                <w:lang w:val="en-US" w:eastAsia="zh-CN"/>
              </w:rPr>
              <w:t>生产废水</w:t>
            </w:r>
            <w:r>
              <w:rPr>
                <w:b/>
                <w:color w:val="auto"/>
                <w:sz w:val="24"/>
                <w:highlight w:val="none"/>
                <w:lang w:val="zh-CN"/>
              </w:rPr>
              <w:t>产排情况</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6"/>
              <w:gridCol w:w="1280"/>
              <w:gridCol w:w="1381"/>
              <w:gridCol w:w="999"/>
              <w:gridCol w:w="1096"/>
              <w:gridCol w:w="910"/>
              <w:gridCol w:w="838"/>
            </w:tblGrid>
            <w:tr w14:paraId="72E19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1814" w:type="pct"/>
                  <w:gridSpan w:val="2"/>
                  <w:noWrap/>
                  <w:vAlign w:val="center"/>
                </w:tcPr>
                <w:p w14:paraId="1CF5ABB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b/>
                      <w:bCs/>
                      <w:i w:val="0"/>
                      <w:iCs w:val="0"/>
                      <w:color w:val="000000"/>
                      <w:spacing w:val="0"/>
                      <w:kern w:val="0"/>
                      <w:sz w:val="21"/>
                      <w:szCs w:val="21"/>
                      <w:highlight w:val="none"/>
                      <w:u w:val="none"/>
                      <w:lang w:val="en-US" w:eastAsia="zh-CN" w:bidi="ar"/>
                    </w:rPr>
                    <w:t>名称</w:t>
                  </w:r>
                </w:p>
              </w:tc>
              <w:tc>
                <w:tcPr>
                  <w:tcW w:w="842" w:type="pct"/>
                  <w:noWrap/>
                  <w:vAlign w:val="center"/>
                </w:tcPr>
                <w:p w14:paraId="289D739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b/>
                      <w:bCs/>
                      <w:i w:val="0"/>
                      <w:iCs w:val="0"/>
                      <w:color w:val="000000"/>
                      <w:spacing w:val="0"/>
                      <w:kern w:val="0"/>
                      <w:sz w:val="21"/>
                      <w:szCs w:val="21"/>
                      <w:highlight w:val="none"/>
                      <w:u w:val="none"/>
                      <w:lang w:val="en-US" w:eastAsia="zh-CN" w:bidi="ar"/>
                    </w:rPr>
                    <w:t>COD</w:t>
                  </w:r>
                  <w:r>
                    <w:rPr>
                      <w:rFonts w:hint="eastAsia" w:ascii="Times New Roman" w:hAnsi="Times New Roman" w:eastAsia="宋体" w:cs="Times New Roman"/>
                      <w:b/>
                      <w:bCs/>
                      <w:i w:val="0"/>
                      <w:iCs w:val="0"/>
                      <w:color w:val="000000"/>
                      <w:spacing w:val="0"/>
                      <w:kern w:val="0"/>
                      <w:sz w:val="21"/>
                      <w:szCs w:val="21"/>
                      <w:highlight w:val="none"/>
                      <w:u w:val="none"/>
                      <w:vertAlign w:val="subscript"/>
                      <w:lang w:val="en-US" w:eastAsia="zh-CN" w:bidi="ar"/>
                    </w:rPr>
                    <w:t>c</w:t>
                  </w:r>
                  <w:r>
                    <w:rPr>
                      <w:rFonts w:hint="default" w:ascii="Times New Roman" w:hAnsi="Times New Roman" w:eastAsia="宋体" w:cs="Times New Roman"/>
                      <w:b/>
                      <w:bCs/>
                      <w:i w:val="0"/>
                      <w:iCs w:val="0"/>
                      <w:color w:val="000000"/>
                      <w:spacing w:val="0"/>
                      <w:kern w:val="0"/>
                      <w:sz w:val="21"/>
                      <w:szCs w:val="21"/>
                      <w:highlight w:val="none"/>
                      <w:u w:val="none"/>
                      <w:vertAlign w:val="subscript"/>
                      <w:lang w:val="en-US" w:eastAsia="zh-CN" w:bidi="ar"/>
                    </w:rPr>
                    <w:t>r</w:t>
                  </w:r>
                </w:p>
              </w:tc>
              <w:tc>
                <w:tcPr>
                  <w:tcW w:w="609" w:type="pct"/>
                  <w:noWrap/>
                  <w:vAlign w:val="center"/>
                </w:tcPr>
                <w:p w14:paraId="58D07E5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b/>
                      <w:bCs/>
                      <w:i w:val="0"/>
                      <w:iCs w:val="0"/>
                      <w:color w:val="000000"/>
                      <w:spacing w:val="0"/>
                      <w:kern w:val="0"/>
                      <w:sz w:val="21"/>
                      <w:szCs w:val="21"/>
                      <w:highlight w:val="none"/>
                      <w:u w:val="none"/>
                      <w:lang w:val="en-US" w:eastAsia="zh-CN" w:bidi="ar"/>
                    </w:rPr>
                    <w:t>BOD</w:t>
                  </w:r>
                  <w:r>
                    <w:rPr>
                      <w:rFonts w:hint="default" w:ascii="Times New Roman" w:hAnsi="Times New Roman" w:eastAsia="宋体" w:cs="Times New Roman"/>
                      <w:b/>
                      <w:bCs/>
                      <w:i w:val="0"/>
                      <w:iCs w:val="0"/>
                      <w:color w:val="000000"/>
                      <w:spacing w:val="0"/>
                      <w:kern w:val="0"/>
                      <w:sz w:val="21"/>
                      <w:szCs w:val="21"/>
                      <w:highlight w:val="none"/>
                      <w:u w:val="none"/>
                      <w:vertAlign w:val="subscript"/>
                      <w:lang w:val="en-US" w:eastAsia="zh-CN" w:bidi="ar"/>
                    </w:rPr>
                    <w:t>5</w:t>
                  </w:r>
                </w:p>
              </w:tc>
              <w:tc>
                <w:tcPr>
                  <w:tcW w:w="668" w:type="pct"/>
                  <w:noWrap/>
                  <w:vAlign w:val="center"/>
                </w:tcPr>
                <w:p w14:paraId="33CBFD0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b/>
                      <w:bCs/>
                      <w:i w:val="0"/>
                      <w:iCs w:val="0"/>
                      <w:color w:val="000000"/>
                      <w:spacing w:val="0"/>
                      <w:kern w:val="0"/>
                      <w:sz w:val="21"/>
                      <w:szCs w:val="21"/>
                      <w:highlight w:val="none"/>
                      <w:u w:val="none"/>
                      <w:lang w:val="en-US" w:eastAsia="zh-CN" w:bidi="ar"/>
                    </w:rPr>
                    <w:t>NH</w:t>
                  </w:r>
                  <w:r>
                    <w:rPr>
                      <w:rFonts w:hint="default" w:ascii="Times New Roman" w:hAnsi="Times New Roman" w:eastAsia="宋体" w:cs="Times New Roman"/>
                      <w:b/>
                      <w:bCs/>
                      <w:i w:val="0"/>
                      <w:iCs w:val="0"/>
                      <w:color w:val="000000"/>
                      <w:spacing w:val="0"/>
                      <w:kern w:val="0"/>
                      <w:sz w:val="21"/>
                      <w:szCs w:val="21"/>
                      <w:highlight w:val="none"/>
                      <w:u w:val="none"/>
                      <w:vertAlign w:val="subscript"/>
                      <w:lang w:val="en-US" w:eastAsia="zh-CN" w:bidi="ar"/>
                    </w:rPr>
                    <w:t>3</w:t>
                  </w:r>
                  <w:r>
                    <w:rPr>
                      <w:rFonts w:hint="default" w:ascii="Times New Roman" w:hAnsi="Times New Roman" w:eastAsia="宋体" w:cs="Times New Roman"/>
                      <w:b/>
                      <w:bCs/>
                      <w:i w:val="0"/>
                      <w:iCs w:val="0"/>
                      <w:color w:val="000000"/>
                      <w:spacing w:val="0"/>
                      <w:kern w:val="0"/>
                      <w:sz w:val="21"/>
                      <w:szCs w:val="21"/>
                      <w:highlight w:val="none"/>
                      <w:u w:val="none"/>
                      <w:lang w:val="en-US" w:eastAsia="zh-CN" w:bidi="ar"/>
                    </w:rPr>
                    <w:t>-N</w:t>
                  </w:r>
                </w:p>
              </w:tc>
              <w:tc>
                <w:tcPr>
                  <w:tcW w:w="555" w:type="pct"/>
                  <w:noWrap/>
                  <w:vAlign w:val="center"/>
                </w:tcPr>
                <w:p w14:paraId="598E5C3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b/>
                      <w:bCs/>
                      <w:i w:val="0"/>
                      <w:iCs w:val="0"/>
                      <w:color w:val="000000"/>
                      <w:spacing w:val="0"/>
                      <w:kern w:val="0"/>
                      <w:sz w:val="21"/>
                      <w:szCs w:val="21"/>
                      <w:highlight w:val="none"/>
                      <w:u w:val="none"/>
                      <w:lang w:val="en-US" w:eastAsia="zh-CN" w:bidi="ar"/>
                    </w:rPr>
                    <w:t>SS</w:t>
                  </w:r>
                </w:p>
              </w:tc>
              <w:tc>
                <w:tcPr>
                  <w:tcW w:w="508" w:type="pct"/>
                  <w:noWrap/>
                  <w:vAlign w:val="center"/>
                </w:tcPr>
                <w:p w14:paraId="0B00A87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b/>
                      <w:bCs/>
                      <w:i w:val="0"/>
                      <w:iCs w:val="0"/>
                      <w:color w:val="000000"/>
                      <w:spacing w:val="0"/>
                      <w:kern w:val="0"/>
                      <w:sz w:val="21"/>
                      <w:szCs w:val="21"/>
                      <w:highlight w:val="none"/>
                      <w:u w:val="none"/>
                      <w:lang w:val="en-US" w:eastAsia="zh-CN" w:bidi="ar"/>
                    </w:rPr>
                    <w:t>全盐量</w:t>
                  </w:r>
                </w:p>
              </w:tc>
            </w:tr>
            <w:tr w14:paraId="63230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34" w:type="pct"/>
                  <w:vMerge w:val="restart"/>
                  <w:noWrap w:val="0"/>
                  <w:vAlign w:val="center"/>
                </w:tcPr>
                <w:p w14:paraId="52E4794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锅炉</w:t>
                  </w:r>
                  <w:r>
                    <w:rPr>
                      <w:rFonts w:hint="eastAsia" w:ascii="Times New Roman" w:hAnsi="Times New Roman" w:eastAsia="宋体" w:cs="Times New Roman"/>
                      <w:i w:val="0"/>
                      <w:iCs w:val="0"/>
                      <w:color w:val="000000"/>
                      <w:spacing w:val="0"/>
                      <w:kern w:val="0"/>
                      <w:sz w:val="21"/>
                      <w:szCs w:val="21"/>
                      <w:highlight w:val="none"/>
                      <w:u w:val="none"/>
                      <w:lang w:val="en-US" w:eastAsia="zh-CN" w:bidi="ar"/>
                    </w:rPr>
                    <w:t>排放</w:t>
                  </w:r>
                  <w:r>
                    <w:rPr>
                      <w:rFonts w:hint="default" w:ascii="Times New Roman" w:hAnsi="Times New Roman" w:eastAsia="宋体" w:cs="Times New Roman"/>
                      <w:i w:val="0"/>
                      <w:iCs w:val="0"/>
                      <w:color w:val="000000"/>
                      <w:spacing w:val="0"/>
                      <w:kern w:val="0"/>
                      <w:sz w:val="21"/>
                      <w:szCs w:val="21"/>
                      <w:highlight w:val="none"/>
                      <w:u w:val="none"/>
                      <w:lang w:val="en-US" w:eastAsia="zh-CN" w:bidi="ar"/>
                    </w:rPr>
                    <w:t>水</w:t>
                  </w:r>
                  <w:r>
                    <w:rPr>
                      <w:rFonts w:hint="eastAsia" w:ascii="Times New Roman" w:hAnsi="Times New Roman" w:eastAsia="宋体" w:cs="Times New Roman"/>
                      <w:i w:val="0"/>
                      <w:iCs w:val="0"/>
                      <w:color w:val="000000"/>
                      <w:spacing w:val="0"/>
                      <w:kern w:val="0"/>
                      <w:sz w:val="21"/>
                      <w:szCs w:val="21"/>
                      <w:highlight w:val="none"/>
                      <w:u w:val="none"/>
                      <w:lang w:val="en-US" w:eastAsia="zh-CN" w:bidi="ar"/>
                    </w:rPr>
                    <w:t>量、</w:t>
                  </w:r>
                  <w:r>
                    <w:rPr>
                      <w:rFonts w:hint="default" w:ascii="Times New Roman" w:hAnsi="Times New Roman" w:eastAsia="宋体" w:cs="Times New Roman"/>
                      <w:i w:val="0"/>
                      <w:iCs w:val="0"/>
                      <w:color w:val="000000"/>
                      <w:spacing w:val="0"/>
                      <w:kern w:val="2"/>
                      <w:sz w:val="21"/>
                      <w:szCs w:val="21"/>
                      <w:highlight w:val="none"/>
                      <w:u w:val="none"/>
                      <w:lang w:val="en-US" w:eastAsia="zh-CN" w:bidi="ar-SA"/>
                    </w:rPr>
                    <w:t>软化处理废水</w:t>
                  </w:r>
                  <w:r>
                    <w:rPr>
                      <w:rFonts w:hint="eastAsia" w:ascii="Times New Roman" w:hAnsi="Times New Roman" w:eastAsia="宋体" w:cs="Times New Roman"/>
                      <w:b w:val="0"/>
                      <w:bCs w:val="0"/>
                      <w:i w:val="0"/>
                      <w:iCs w:val="0"/>
                      <w:color w:val="000000"/>
                      <w:spacing w:val="0"/>
                      <w:kern w:val="0"/>
                      <w:sz w:val="21"/>
                      <w:szCs w:val="21"/>
                      <w:highlight w:val="none"/>
                      <w:u w:val="none"/>
                      <w:lang w:val="en-US" w:eastAsia="zh-CN" w:bidi="ar"/>
                    </w:rPr>
                    <w:t>（18m</w:t>
                  </w:r>
                  <w:r>
                    <w:rPr>
                      <w:rFonts w:hint="eastAsia" w:ascii="Times New Roman" w:hAnsi="Times New Roman" w:eastAsia="宋体" w:cs="Times New Roman"/>
                      <w:b w:val="0"/>
                      <w:bCs w:val="0"/>
                      <w:i w:val="0"/>
                      <w:iCs w:val="0"/>
                      <w:color w:val="000000"/>
                      <w:spacing w:val="0"/>
                      <w:kern w:val="0"/>
                      <w:sz w:val="21"/>
                      <w:szCs w:val="21"/>
                      <w:highlight w:val="none"/>
                      <w:u w:val="none"/>
                      <w:vertAlign w:val="superscript"/>
                      <w:lang w:val="en-US" w:eastAsia="zh-CN" w:bidi="ar"/>
                    </w:rPr>
                    <w:t>3</w:t>
                  </w:r>
                  <w:r>
                    <w:rPr>
                      <w:rFonts w:hint="eastAsia" w:ascii="Times New Roman" w:hAnsi="Times New Roman" w:eastAsia="宋体" w:cs="Times New Roman"/>
                      <w:b w:val="0"/>
                      <w:bCs w:val="0"/>
                      <w:i w:val="0"/>
                      <w:iCs w:val="0"/>
                      <w:color w:val="000000"/>
                      <w:spacing w:val="0"/>
                      <w:kern w:val="0"/>
                      <w:sz w:val="21"/>
                      <w:szCs w:val="21"/>
                      <w:highlight w:val="none"/>
                      <w:u w:val="none"/>
                      <w:lang w:val="en-US" w:eastAsia="zh-CN" w:bidi="ar"/>
                    </w:rPr>
                    <w:t>/d，3600</w:t>
                  </w:r>
                  <w:r>
                    <w:rPr>
                      <w:rFonts w:hint="default" w:ascii="Times New Roman" w:hAnsi="Times New Roman" w:eastAsia="宋体" w:cs="Times New Roman"/>
                      <w:b w:val="0"/>
                      <w:bCs w:val="0"/>
                      <w:i w:val="0"/>
                      <w:iCs w:val="0"/>
                      <w:color w:val="000000"/>
                      <w:spacing w:val="0"/>
                      <w:kern w:val="0"/>
                      <w:sz w:val="21"/>
                      <w:szCs w:val="21"/>
                      <w:highlight w:val="none"/>
                      <w:u w:val="none"/>
                      <w:lang w:val="en-US" w:eastAsia="zh-CN" w:bidi="ar"/>
                    </w:rPr>
                    <w:t>m</w:t>
                  </w:r>
                  <w:r>
                    <w:rPr>
                      <w:rFonts w:hint="default" w:ascii="Times New Roman" w:hAnsi="Times New Roman" w:eastAsia="宋体" w:cs="Times New Roman"/>
                      <w:b w:val="0"/>
                      <w:bCs w:val="0"/>
                      <w:i w:val="0"/>
                      <w:iCs w:val="0"/>
                      <w:color w:val="000000"/>
                      <w:spacing w:val="0"/>
                      <w:kern w:val="0"/>
                      <w:sz w:val="21"/>
                      <w:szCs w:val="21"/>
                      <w:highlight w:val="none"/>
                      <w:u w:val="none"/>
                      <w:vertAlign w:val="superscript"/>
                      <w:lang w:val="en-US" w:eastAsia="zh-CN" w:bidi="ar"/>
                    </w:rPr>
                    <w:t>3</w:t>
                  </w:r>
                  <w:r>
                    <w:rPr>
                      <w:rFonts w:hint="default" w:ascii="Times New Roman" w:hAnsi="Times New Roman" w:eastAsia="宋体" w:cs="Times New Roman"/>
                      <w:b w:val="0"/>
                      <w:bCs w:val="0"/>
                      <w:i w:val="0"/>
                      <w:iCs w:val="0"/>
                      <w:color w:val="000000"/>
                      <w:spacing w:val="0"/>
                      <w:kern w:val="0"/>
                      <w:sz w:val="21"/>
                      <w:szCs w:val="21"/>
                      <w:highlight w:val="none"/>
                      <w:u w:val="none"/>
                      <w:lang w:val="en-US" w:eastAsia="zh-CN" w:bidi="ar"/>
                    </w:rPr>
                    <w:t>/a</w:t>
                  </w:r>
                  <w:r>
                    <w:rPr>
                      <w:rFonts w:hint="eastAsia" w:ascii="Times New Roman" w:hAnsi="Times New Roman" w:eastAsia="宋体" w:cs="Times New Roman"/>
                      <w:b w:val="0"/>
                      <w:bCs w:val="0"/>
                      <w:i w:val="0"/>
                      <w:iCs w:val="0"/>
                      <w:color w:val="000000"/>
                      <w:spacing w:val="0"/>
                      <w:kern w:val="0"/>
                      <w:sz w:val="21"/>
                      <w:szCs w:val="21"/>
                      <w:highlight w:val="none"/>
                      <w:u w:val="none"/>
                      <w:lang w:val="en-US" w:eastAsia="zh-CN" w:bidi="ar"/>
                    </w:rPr>
                    <w:t>）</w:t>
                  </w:r>
                </w:p>
              </w:tc>
              <w:tc>
                <w:tcPr>
                  <w:tcW w:w="780" w:type="pct"/>
                  <w:noWrap/>
                  <w:vAlign w:val="center"/>
                </w:tcPr>
                <w:p w14:paraId="74A0108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产生浓度mg/L</w:t>
                  </w:r>
                </w:p>
              </w:tc>
              <w:tc>
                <w:tcPr>
                  <w:tcW w:w="842" w:type="pct"/>
                  <w:noWrap/>
                  <w:vAlign w:val="center"/>
                </w:tcPr>
                <w:p w14:paraId="6C5DC70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70</w:t>
                  </w:r>
                </w:p>
              </w:tc>
              <w:tc>
                <w:tcPr>
                  <w:tcW w:w="609" w:type="pct"/>
                  <w:noWrap/>
                  <w:vAlign w:val="center"/>
                </w:tcPr>
                <w:p w14:paraId="0D7BC07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cs="Times New Roman"/>
                      <w:i w:val="0"/>
                      <w:iCs w:val="0"/>
                      <w:color w:val="000000"/>
                      <w:spacing w:val="0"/>
                      <w:kern w:val="2"/>
                      <w:sz w:val="21"/>
                      <w:szCs w:val="21"/>
                      <w:highlight w:val="none"/>
                      <w:u w:val="none"/>
                      <w:lang w:val="en-US" w:eastAsia="zh-CN" w:bidi="ar-SA"/>
                    </w:rPr>
                    <w:t>20</w:t>
                  </w:r>
                </w:p>
              </w:tc>
              <w:tc>
                <w:tcPr>
                  <w:tcW w:w="668" w:type="pct"/>
                  <w:noWrap/>
                  <w:vAlign w:val="center"/>
                </w:tcPr>
                <w:p w14:paraId="67DA4CE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ascii="Times New Roman" w:hAnsi="Times New Roman" w:eastAsia="宋体" w:cs="Times New Roman"/>
                      <w:i w:val="0"/>
                      <w:iCs w:val="0"/>
                      <w:color w:val="000000"/>
                      <w:spacing w:val="0"/>
                      <w:kern w:val="0"/>
                      <w:sz w:val="21"/>
                      <w:szCs w:val="21"/>
                      <w:highlight w:val="none"/>
                      <w:u w:val="none"/>
                      <w:lang w:val="en-US" w:eastAsia="zh-CN" w:bidi="ar"/>
                    </w:rPr>
                    <w:t>5</w:t>
                  </w:r>
                </w:p>
              </w:tc>
              <w:tc>
                <w:tcPr>
                  <w:tcW w:w="555" w:type="pct"/>
                  <w:noWrap/>
                  <w:vAlign w:val="center"/>
                </w:tcPr>
                <w:p w14:paraId="2F4848A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cs="Times New Roman"/>
                      <w:i w:val="0"/>
                      <w:iCs w:val="0"/>
                      <w:color w:val="000000"/>
                      <w:spacing w:val="0"/>
                      <w:kern w:val="0"/>
                      <w:sz w:val="21"/>
                      <w:szCs w:val="21"/>
                      <w:highlight w:val="none"/>
                      <w:u w:val="none"/>
                      <w:lang w:val="en-US" w:eastAsia="zh-CN" w:bidi="ar"/>
                    </w:rPr>
                    <w:t>60</w:t>
                  </w:r>
                </w:p>
              </w:tc>
              <w:tc>
                <w:tcPr>
                  <w:tcW w:w="508" w:type="pct"/>
                  <w:noWrap/>
                  <w:vAlign w:val="center"/>
                </w:tcPr>
                <w:p w14:paraId="7EA47C4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cs="Times New Roman"/>
                      <w:i w:val="0"/>
                      <w:iCs w:val="0"/>
                      <w:color w:val="000000"/>
                      <w:spacing w:val="0"/>
                      <w:kern w:val="0"/>
                      <w:sz w:val="21"/>
                      <w:szCs w:val="21"/>
                      <w:highlight w:val="none"/>
                      <w:u w:val="none"/>
                      <w:lang w:val="en-US" w:eastAsia="zh-CN" w:bidi="ar"/>
                    </w:rPr>
                    <w:t>600</w:t>
                  </w:r>
                </w:p>
              </w:tc>
            </w:tr>
            <w:tr w14:paraId="7EE33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34" w:type="pct"/>
                  <w:vMerge w:val="continue"/>
                  <w:noWrap w:val="0"/>
                  <w:vAlign w:val="center"/>
                </w:tcPr>
                <w:p w14:paraId="663BE311">
                  <w:pPr>
                    <w:spacing w:line="240" w:lineRule="auto"/>
                    <w:ind w:firstLine="0" w:firstLineChars="0"/>
                    <w:jc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p>
              </w:tc>
              <w:tc>
                <w:tcPr>
                  <w:tcW w:w="780" w:type="pct"/>
                  <w:noWrap/>
                  <w:vAlign w:val="center"/>
                </w:tcPr>
                <w:p w14:paraId="4E27B8D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产生量t/a</w:t>
                  </w:r>
                </w:p>
              </w:tc>
              <w:tc>
                <w:tcPr>
                  <w:tcW w:w="842" w:type="pct"/>
                  <w:noWrap/>
                  <w:vAlign w:val="center"/>
                </w:tcPr>
                <w:p w14:paraId="60182F8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ascii="Times New Roman" w:hAnsi="Times New Roman" w:eastAsia="宋体" w:cs="Times New Roman"/>
                      <w:i w:val="0"/>
                      <w:iCs w:val="0"/>
                      <w:color w:val="000000"/>
                      <w:spacing w:val="0"/>
                      <w:kern w:val="0"/>
                      <w:sz w:val="21"/>
                      <w:szCs w:val="21"/>
                      <w:highlight w:val="none"/>
                      <w:u w:val="none"/>
                      <w:lang w:val="en-US" w:eastAsia="zh-CN" w:bidi="ar"/>
                    </w:rPr>
                    <w:t>0.252</w:t>
                  </w:r>
                </w:p>
              </w:tc>
              <w:tc>
                <w:tcPr>
                  <w:tcW w:w="609" w:type="pct"/>
                  <w:noWrap/>
                  <w:vAlign w:val="center"/>
                </w:tcPr>
                <w:p w14:paraId="6CD77B8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cs="Times New Roman"/>
                      <w:i w:val="0"/>
                      <w:iCs w:val="0"/>
                      <w:color w:val="000000"/>
                      <w:spacing w:val="0"/>
                      <w:kern w:val="0"/>
                      <w:sz w:val="21"/>
                      <w:szCs w:val="21"/>
                      <w:highlight w:val="none"/>
                      <w:u w:val="none"/>
                      <w:lang w:val="en-US" w:eastAsia="zh-CN" w:bidi="ar"/>
                    </w:rPr>
                    <w:t>0.072</w:t>
                  </w:r>
                </w:p>
              </w:tc>
              <w:tc>
                <w:tcPr>
                  <w:tcW w:w="668" w:type="pct"/>
                  <w:noWrap/>
                  <w:vAlign w:val="center"/>
                </w:tcPr>
                <w:p w14:paraId="0E8DDDD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ascii="Times New Roman" w:hAnsi="Times New Roman" w:eastAsia="宋体" w:cs="Times New Roman"/>
                      <w:i w:val="0"/>
                      <w:iCs w:val="0"/>
                      <w:color w:val="000000"/>
                      <w:spacing w:val="0"/>
                      <w:kern w:val="0"/>
                      <w:sz w:val="21"/>
                      <w:szCs w:val="21"/>
                      <w:highlight w:val="none"/>
                      <w:u w:val="none"/>
                      <w:lang w:val="en-US" w:eastAsia="zh-CN" w:bidi="ar"/>
                    </w:rPr>
                    <w:t>0.018</w:t>
                  </w:r>
                </w:p>
              </w:tc>
              <w:tc>
                <w:tcPr>
                  <w:tcW w:w="555" w:type="pct"/>
                  <w:noWrap/>
                  <w:vAlign w:val="center"/>
                </w:tcPr>
                <w:p w14:paraId="3B58606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cs="Times New Roman"/>
                      <w:i w:val="0"/>
                      <w:iCs w:val="0"/>
                      <w:color w:val="000000"/>
                      <w:spacing w:val="0"/>
                      <w:kern w:val="0"/>
                      <w:sz w:val="21"/>
                      <w:szCs w:val="21"/>
                      <w:highlight w:val="none"/>
                      <w:u w:val="none"/>
                      <w:lang w:val="en-US" w:eastAsia="zh-CN" w:bidi="ar"/>
                    </w:rPr>
                    <w:t>0.216</w:t>
                  </w:r>
                </w:p>
              </w:tc>
              <w:tc>
                <w:tcPr>
                  <w:tcW w:w="508" w:type="pct"/>
                  <w:noWrap/>
                  <w:vAlign w:val="center"/>
                </w:tcPr>
                <w:p w14:paraId="6ACB34E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cs="Times New Roman"/>
                      <w:i w:val="0"/>
                      <w:iCs w:val="0"/>
                      <w:color w:val="000000"/>
                      <w:spacing w:val="0"/>
                      <w:kern w:val="0"/>
                      <w:sz w:val="21"/>
                      <w:szCs w:val="21"/>
                      <w:highlight w:val="none"/>
                      <w:u w:val="none"/>
                      <w:lang w:val="en-US" w:eastAsia="zh-CN" w:bidi="ar"/>
                    </w:rPr>
                    <w:t>2.16</w:t>
                  </w:r>
                </w:p>
              </w:tc>
            </w:tr>
            <w:tr w14:paraId="585E0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34" w:type="pct"/>
                  <w:noWrap/>
                  <w:vAlign w:val="center"/>
                </w:tcPr>
                <w:p w14:paraId="125CBFAB">
                  <w:pPr>
                    <w:spacing w:line="240" w:lineRule="auto"/>
                    <w:ind w:firstLine="0" w:firstLineChars="0"/>
                    <w:jc w:val="center"/>
                    <w:rPr>
                      <w:rFonts w:hint="default" w:ascii="Times New Roman" w:hAnsi="Times New Roman" w:eastAsia="宋体" w:cs="Times New Roman"/>
                      <w:i w:val="0"/>
                      <w:iCs w:val="0"/>
                      <w:color w:val="000000"/>
                      <w:spacing w:val="0"/>
                      <w:kern w:val="2"/>
                      <w:sz w:val="22"/>
                      <w:szCs w:val="22"/>
                      <w:highlight w:val="none"/>
                      <w:u w:val="none"/>
                      <w:lang w:val="en-US" w:eastAsia="zh-CN" w:bidi="ar-SA"/>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治理措施</w:t>
                  </w:r>
                </w:p>
              </w:tc>
              <w:tc>
                <w:tcPr>
                  <w:tcW w:w="3965" w:type="pct"/>
                  <w:gridSpan w:val="6"/>
                  <w:noWrap/>
                  <w:vAlign w:val="center"/>
                </w:tcPr>
                <w:p w14:paraId="37BFF48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0"/>
                      <w:sz w:val="21"/>
                      <w:szCs w:val="21"/>
                      <w:highlight w:val="none"/>
                      <w:u w:val="none"/>
                      <w:lang w:val="en-US" w:eastAsia="zh-CN" w:bidi="ar"/>
                    </w:rPr>
                  </w:pPr>
                  <w:r>
                    <w:rPr>
                      <w:rFonts w:hint="default" w:ascii="Times New Roman" w:hAnsi="Times New Roman" w:eastAsia="宋体" w:cs="Times New Roman"/>
                      <w:i w:val="0"/>
                      <w:iCs w:val="0"/>
                      <w:color w:val="000000"/>
                      <w:spacing w:val="0"/>
                      <w:kern w:val="0"/>
                      <w:sz w:val="21"/>
                      <w:szCs w:val="21"/>
                      <w:highlight w:val="none"/>
                      <w:u w:val="none"/>
                      <w:lang w:val="en-US" w:eastAsia="zh-CN" w:bidi="ar"/>
                    </w:rPr>
                    <w:t>锅炉废水</w:t>
                  </w:r>
                  <w:r>
                    <w:rPr>
                      <w:rFonts w:hint="eastAsia" w:ascii="Times New Roman" w:hAnsi="Times New Roman" w:eastAsia="宋体" w:cs="Times New Roman"/>
                      <w:i w:val="0"/>
                      <w:iCs w:val="0"/>
                      <w:color w:val="000000"/>
                      <w:spacing w:val="0"/>
                      <w:kern w:val="0"/>
                      <w:sz w:val="21"/>
                      <w:szCs w:val="21"/>
                      <w:highlight w:val="none"/>
                      <w:u w:val="none"/>
                      <w:lang w:val="en-US" w:eastAsia="zh-CN" w:bidi="ar"/>
                    </w:rPr>
                    <w:t>及软化废水降温、絮凝沉淀处理后外排至武江</w:t>
                  </w:r>
                  <w:r>
                    <w:rPr>
                      <w:rFonts w:hint="default" w:ascii="Times New Roman" w:hAnsi="Times New Roman" w:eastAsia="宋体" w:cs="Times New Roman"/>
                      <w:i w:val="0"/>
                      <w:iCs w:val="0"/>
                      <w:color w:val="000000"/>
                      <w:spacing w:val="0"/>
                      <w:kern w:val="0"/>
                      <w:sz w:val="21"/>
                      <w:szCs w:val="21"/>
                      <w:highlight w:val="none"/>
                      <w:u w:val="none"/>
                      <w:lang w:val="en-US" w:eastAsia="zh-CN" w:bidi="ar"/>
                    </w:rPr>
                    <w:t>。</w:t>
                  </w:r>
                </w:p>
              </w:tc>
            </w:tr>
            <w:tr w14:paraId="2598B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34" w:type="pct"/>
                  <w:vMerge w:val="restart"/>
                  <w:noWrap/>
                  <w:vAlign w:val="center"/>
                </w:tcPr>
                <w:p w14:paraId="09628A58">
                  <w:pPr>
                    <w:spacing w:line="240" w:lineRule="auto"/>
                    <w:ind w:firstLine="0" w:firstLineChars="0"/>
                    <w:jc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ascii="Times New Roman" w:hAnsi="Times New Roman" w:eastAsia="宋体" w:cs="Times New Roman"/>
                      <w:i w:val="0"/>
                      <w:iCs w:val="0"/>
                      <w:color w:val="000000"/>
                      <w:spacing w:val="0"/>
                      <w:kern w:val="0"/>
                      <w:sz w:val="21"/>
                      <w:szCs w:val="21"/>
                      <w:highlight w:val="none"/>
                      <w:u w:val="none"/>
                      <w:lang w:val="en-US" w:eastAsia="zh-CN" w:bidi="ar"/>
                    </w:rPr>
                    <w:t>最终外排废水量</w:t>
                  </w:r>
                  <w:r>
                    <w:rPr>
                      <w:rFonts w:hint="eastAsia" w:ascii="Times New Roman" w:hAnsi="Times New Roman" w:eastAsia="宋体" w:cs="Times New Roman"/>
                      <w:b w:val="0"/>
                      <w:bCs w:val="0"/>
                      <w:i w:val="0"/>
                      <w:iCs w:val="0"/>
                      <w:color w:val="000000"/>
                      <w:spacing w:val="0"/>
                      <w:kern w:val="0"/>
                      <w:sz w:val="21"/>
                      <w:szCs w:val="21"/>
                      <w:highlight w:val="none"/>
                      <w:u w:val="none"/>
                      <w:lang w:val="en-US" w:eastAsia="zh-CN" w:bidi="ar"/>
                    </w:rPr>
                    <w:t>（18m</w:t>
                  </w:r>
                  <w:r>
                    <w:rPr>
                      <w:rFonts w:hint="eastAsia" w:ascii="Times New Roman" w:hAnsi="Times New Roman" w:eastAsia="宋体" w:cs="Times New Roman"/>
                      <w:b w:val="0"/>
                      <w:bCs w:val="0"/>
                      <w:i w:val="0"/>
                      <w:iCs w:val="0"/>
                      <w:color w:val="000000"/>
                      <w:spacing w:val="0"/>
                      <w:kern w:val="0"/>
                      <w:sz w:val="21"/>
                      <w:szCs w:val="21"/>
                      <w:highlight w:val="none"/>
                      <w:u w:val="none"/>
                      <w:vertAlign w:val="superscript"/>
                      <w:lang w:val="en-US" w:eastAsia="zh-CN" w:bidi="ar"/>
                    </w:rPr>
                    <w:t>3</w:t>
                  </w:r>
                  <w:r>
                    <w:rPr>
                      <w:rFonts w:hint="eastAsia" w:ascii="Times New Roman" w:hAnsi="Times New Roman" w:eastAsia="宋体" w:cs="Times New Roman"/>
                      <w:b w:val="0"/>
                      <w:bCs w:val="0"/>
                      <w:i w:val="0"/>
                      <w:iCs w:val="0"/>
                      <w:color w:val="000000"/>
                      <w:spacing w:val="0"/>
                      <w:kern w:val="0"/>
                      <w:sz w:val="21"/>
                      <w:szCs w:val="21"/>
                      <w:highlight w:val="none"/>
                      <w:u w:val="none"/>
                      <w:lang w:val="en-US" w:eastAsia="zh-CN" w:bidi="ar"/>
                    </w:rPr>
                    <w:t>/d，3600</w:t>
                  </w:r>
                  <w:r>
                    <w:rPr>
                      <w:rFonts w:hint="default" w:ascii="Times New Roman" w:hAnsi="Times New Roman" w:eastAsia="宋体" w:cs="Times New Roman"/>
                      <w:b w:val="0"/>
                      <w:bCs w:val="0"/>
                      <w:i w:val="0"/>
                      <w:iCs w:val="0"/>
                      <w:color w:val="000000"/>
                      <w:spacing w:val="0"/>
                      <w:kern w:val="0"/>
                      <w:sz w:val="21"/>
                      <w:szCs w:val="21"/>
                      <w:highlight w:val="none"/>
                      <w:u w:val="none"/>
                      <w:lang w:val="en-US" w:eastAsia="zh-CN" w:bidi="ar"/>
                    </w:rPr>
                    <w:t>m</w:t>
                  </w:r>
                  <w:r>
                    <w:rPr>
                      <w:rFonts w:hint="default" w:ascii="Times New Roman" w:hAnsi="Times New Roman" w:eastAsia="宋体" w:cs="Times New Roman"/>
                      <w:b w:val="0"/>
                      <w:bCs w:val="0"/>
                      <w:i w:val="0"/>
                      <w:iCs w:val="0"/>
                      <w:color w:val="000000"/>
                      <w:spacing w:val="0"/>
                      <w:kern w:val="0"/>
                      <w:sz w:val="21"/>
                      <w:szCs w:val="21"/>
                      <w:highlight w:val="none"/>
                      <w:u w:val="none"/>
                      <w:vertAlign w:val="superscript"/>
                      <w:lang w:val="en-US" w:eastAsia="zh-CN" w:bidi="ar"/>
                    </w:rPr>
                    <w:t>3</w:t>
                  </w:r>
                  <w:r>
                    <w:rPr>
                      <w:rFonts w:hint="default" w:ascii="Times New Roman" w:hAnsi="Times New Roman" w:eastAsia="宋体" w:cs="Times New Roman"/>
                      <w:b w:val="0"/>
                      <w:bCs w:val="0"/>
                      <w:i w:val="0"/>
                      <w:iCs w:val="0"/>
                      <w:color w:val="000000"/>
                      <w:spacing w:val="0"/>
                      <w:kern w:val="0"/>
                      <w:sz w:val="21"/>
                      <w:szCs w:val="21"/>
                      <w:highlight w:val="none"/>
                      <w:u w:val="none"/>
                      <w:lang w:val="en-US" w:eastAsia="zh-CN" w:bidi="ar"/>
                    </w:rPr>
                    <w:t>/a</w:t>
                  </w:r>
                  <w:r>
                    <w:rPr>
                      <w:rFonts w:hint="eastAsia" w:ascii="Times New Roman" w:hAnsi="Times New Roman" w:eastAsia="宋体" w:cs="Times New Roman"/>
                      <w:b w:val="0"/>
                      <w:bCs w:val="0"/>
                      <w:i w:val="0"/>
                      <w:iCs w:val="0"/>
                      <w:color w:val="000000"/>
                      <w:spacing w:val="0"/>
                      <w:kern w:val="0"/>
                      <w:sz w:val="21"/>
                      <w:szCs w:val="21"/>
                      <w:highlight w:val="none"/>
                      <w:u w:val="none"/>
                      <w:lang w:val="en-US" w:eastAsia="zh-CN" w:bidi="ar"/>
                    </w:rPr>
                    <w:t>）</w:t>
                  </w:r>
                </w:p>
              </w:tc>
              <w:tc>
                <w:tcPr>
                  <w:tcW w:w="780" w:type="pct"/>
                  <w:noWrap/>
                  <w:vAlign w:val="center"/>
                </w:tcPr>
                <w:p w14:paraId="01C1F8BF">
                  <w:pPr>
                    <w:spacing w:line="240" w:lineRule="auto"/>
                    <w:ind w:firstLine="0" w:firstLineChars="0"/>
                    <w:jc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ascii="Times New Roman" w:hAnsi="Times New Roman" w:eastAsia="宋体" w:cs="Times New Roman"/>
                      <w:i w:val="0"/>
                      <w:iCs w:val="0"/>
                      <w:color w:val="000000"/>
                      <w:spacing w:val="0"/>
                      <w:kern w:val="2"/>
                      <w:sz w:val="21"/>
                      <w:szCs w:val="21"/>
                      <w:highlight w:val="none"/>
                      <w:u w:val="none"/>
                      <w:lang w:val="en-US" w:eastAsia="zh-CN" w:bidi="ar-SA"/>
                    </w:rPr>
                    <w:t>排放</w:t>
                  </w:r>
                  <w:r>
                    <w:rPr>
                      <w:rFonts w:hint="default" w:ascii="Times New Roman" w:hAnsi="Times New Roman" w:eastAsia="宋体" w:cs="Times New Roman"/>
                      <w:i w:val="0"/>
                      <w:iCs w:val="0"/>
                      <w:color w:val="000000"/>
                      <w:spacing w:val="0"/>
                      <w:kern w:val="2"/>
                      <w:sz w:val="21"/>
                      <w:szCs w:val="21"/>
                      <w:highlight w:val="none"/>
                      <w:u w:val="none"/>
                      <w:lang w:val="en-US" w:eastAsia="zh-CN" w:bidi="ar-SA"/>
                    </w:rPr>
                    <w:t>浓度</w:t>
                  </w:r>
                  <w:r>
                    <w:rPr>
                      <w:rFonts w:hint="default" w:ascii="Times New Roman" w:hAnsi="Times New Roman" w:eastAsia="宋体" w:cs="Times New Roman"/>
                      <w:i w:val="0"/>
                      <w:iCs w:val="0"/>
                      <w:color w:val="000000"/>
                      <w:spacing w:val="0"/>
                      <w:kern w:val="2"/>
                      <w:sz w:val="21"/>
                      <w:szCs w:val="21"/>
                      <w:highlight w:val="none"/>
                      <w:u w:val="none"/>
                      <w:lang w:val="zh-CN" w:eastAsia="zh-CN" w:bidi="ar-SA"/>
                    </w:rPr>
                    <w:t>（</w:t>
                  </w:r>
                  <w:r>
                    <w:rPr>
                      <w:rFonts w:hint="default" w:ascii="Times New Roman" w:hAnsi="Times New Roman" w:eastAsia="宋体" w:cs="Times New Roman"/>
                      <w:i w:val="0"/>
                      <w:iCs w:val="0"/>
                      <w:color w:val="000000"/>
                      <w:spacing w:val="0"/>
                      <w:kern w:val="2"/>
                      <w:sz w:val="21"/>
                      <w:szCs w:val="21"/>
                      <w:highlight w:val="none"/>
                      <w:u w:val="none"/>
                      <w:lang w:val="en-US" w:eastAsia="zh-CN" w:bidi="ar-SA"/>
                    </w:rPr>
                    <w:t>mg/L</w:t>
                  </w:r>
                  <w:r>
                    <w:rPr>
                      <w:rFonts w:hint="default" w:ascii="Times New Roman" w:hAnsi="Times New Roman" w:eastAsia="宋体" w:cs="Times New Roman"/>
                      <w:i w:val="0"/>
                      <w:iCs w:val="0"/>
                      <w:color w:val="000000"/>
                      <w:spacing w:val="0"/>
                      <w:kern w:val="2"/>
                      <w:sz w:val="21"/>
                      <w:szCs w:val="21"/>
                      <w:highlight w:val="none"/>
                      <w:u w:val="none"/>
                      <w:lang w:val="zh-CN" w:eastAsia="zh-CN" w:bidi="ar-SA"/>
                    </w:rPr>
                    <w:t>）</w:t>
                  </w:r>
                </w:p>
              </w:tc>
              <w:tc>
                <w:tcPr>
                  <w:tcW w:w="842" w:type="pct"/>
                  <w:noWrap/>
                  <w:vAlign w:val="center"/>
                </w:tcPr>
                <w:p w14:paraId="13F0A439">
                  <w:pPr>
                    <w:spacing w:line="240" w:lineRule="auto"/>
                    <w:ind w:firstLine="0" w:firstLineChars="0"/>
                    <w:jc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ascii="Times New Roman" w:hAnsi="Times New Roman" w:eastAsia="宋体" w:cs="Times New Roman"/>
                      <w:i w:val="0"/>
                      <w:iCs w:val="0"/>
                      <w:color w:val="000000"/>
                      <w:spacing w:val="0"/>
                      <w:kern w:val="2"/>
                      <w:sz w:val="21"/>
                      <w:szCs w:val="21"/>
                      <w:highlight w:val="none"/>
                      <w:u w:val="none"/>
                      <w:lang w:val="en-US" w:eastAsia="zh-CN" w:bidi="ar-SA"/>
                    </w:rPr>
                    <w:t>59.5</w:t>
                  </w:r>
                </w:p>
              </w:tc>
              <w:tc>
                <w:tcPr>
                  <w:tcW w:w="609" w:type="pct"/>
                  <w:noWrap/>
                  <w:vAlign w:val="center"/>
                </w:tcPr>
                <w:p w14:paraId="76E467A1">
                  <w:pPr>
                    <w:spacing w:line="240" w:lineRule="auto"/>
                    <w:ind w:firstLine="0" w:firstLineChars="0"/>
                    <w:jc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cs="Times New Roman"/>
                      <w:i w:val="0"/>
                      <w:iCs w:val="0"/>
                      <w:color w:val="000000"/>
                      <w:spacing w:val="0"/>
                      <w:kern w:val="2"/>
                      <w:sz w:val="21"/>
                      <w:szCs w:val="21"/>
                      <w:highlight w:val="none"/>
                      <w:u w:val="none"/>
                      <w:lang w:val="en-US" w:eastAsia="zh-CN" w:bidi="ar-SA"/>
                    </w:rPr>
                    <w:t>16</w:t>
                  </w:r>
                </w:p>
              </w:tc>
              <w:tc>
                <w:tcPr>
                  <w:tcW w:w="668" w:type="pct"/>
                  <w:noWrap/>
                  <w:vAlign w:val="center"/>
                </w:tcPr>
                <w:p w14:paraId="6E1265A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ascii="Times New Roman" w:hAnsi="Times New Roman" w:eastAsia="宋体" w:cs="Times New Roman"/>
                      <w:i w:val="0"/>
                      <w:iCs w:val="0"/>
                      <w:color w:val="000000"/>
                      <w:spacing w:val="0"/>
                      <w:kern w:val="0"/>
                      <w:sz w:val="21"/>
                      <w:szCs w:val="21"/>
                      <w:highlight w:val="none"/>
                      <w:u w:val="none"/>
                      <w:lang w:val="en-US" w:eastAsia="zh-CN" w:bidi="ar"/>
                    </w:rPr>
                    <w:t>5</w:t>
                  </w:r>
                </w:p>
              </w:tc>
              <w:tc>
                <w:tcPr>
                  <w:tcW w:w="555" w:type="pct"/>
                  <w:noWrap/>
                  <w:vAlign w:val="center"/>
                </w:tcPr>
                <w:p w14:paraId="345251F4">
                  <w:pPr>
                    <w:spacing w:line="240" w:lineRule="auto"/>
                    <w:ind w:firstLine="0" w:firstLineChars="0"/>
                    <w:jc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cs="Times New Roman"/>
                      <w:i w:val="0"/>
                      <w:iCs w:val="0"/>
                      <w:color w:val="000000"/>
                      <w:spacing w:val="0"/>
                      <w:kern w:val="2"/>
                      <w:sz w:val="21"/>
                      <w:szCs w:val="21"/>
                      <w:highlight w:val="none"/>
                      <w:u w:val="none"/>
                      <w:lang w:val="en-US" w:eastAsia="zh-CN" w:bidi="ar-SA"/>
                    </w:rPr>
                    <w:t>12</w:t>
                  </w:r>
                </w:p>
              </w:tc>
              <w:tc>
                <w:tcPr>
                  <w:tcW w:w="508" w:type="pct"/>
                  <w:noWrap/>
                  <w:vAlign w:val="center"/>
                </w:tcPr>
                <w:p w14:paraId="7B266D8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cs="Times New Roman"/>
                      <w:i w:val="0"/>
                      <w:iCs w:val="0"/>
                      <w:color w:val="000000"/>
                      <w:spacing w:val="0"/>
                      <w:kern w:val="0"/>
                      <w:sz w:val="21"/>
                      <w:szCs w:val="21"/>
                      <w:highlight w:val="none"/>
                      <w:u w:val="none"/>
                      <w:lang w:val="en-US" w:eastAsia="zh-CN" w:bidi="ar"/>
                    </w:rPr>
                    <w:t>600</w:t>
                  </w:r>
                </w:p>
              </w:tc>
            </w:tr>
            <w:tr w14:paraId="70C60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34" w:type="pct"/>
                  <w:vMerge w:val="continue"/>
                  <w:noWrap/>
                  <w:vAlign w:val="center"/>
                </w:tcPr>
                <w:p w14:paraId="188E6698">
                  <w:pPr>
                    <w:spacing w:line="240" w:lineRule="auto"/>
                    <w:ind w:firstLine="0" w:firstLineChars="0"/>
                    <w:jc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p>
              </w:tc>
              <w:tc>
                <w:tcPr>
                  <w:tcW w:w="780" w:type="pct"/>
                  <w:noWrap/>
                  <w:vAlign w:val="center"/>
                </w:tcPr>
                <w:p w14:paraId="259C44CB">
                  <w:pPr>
                    <w:spacing w:line="240" w:lineRule="auto"/>
                    <w:ind w:firstLine="0" w:firstLineChars="0"/>
                    <w:jc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default" w:ascii="Times New Roman" w:hAnsi="Times New Roman" w:eastAsia="宋体" w:cs="Times New Roman"/>
                      <w:i w:val="0"/>
                      <w:iCs w:val="0"/>
                      <w:color w:val="000000"/>
                      <w:spacing w:val="0"/>
                      <w:kern w:val="2"/>
                      <w:sz w:val="21"/>
                      <w:szCs w:val="21"/>
                      <w:highlight w:val="none"/>
                      <w:u w:val="none"/>
                      <w:lang w:val="en-US" w:eastAsia="zh-CN" w:bidi="ar-SA"/>
                    </w:rPr>
                    <w:t>排放量</w:t>
                  </w:r>
                  <w:r>
                    <w:rPr>
                      <w:rFonts w:hint="default" w:ascii="Times New Roman" w:hAnsi="Times New Roman" w:eastAsia="宋体" w:cs="Times New Roman"/>
                      <w:i w:val="0"/>
                      <w:iCs w:val="0"/>
                      <w:color w:val="000000"/>
                      <w:spacing w:val="0"/>
                      <w:kern w:val="2"/>
                      <w:sz w:val="21"/>
                      <w:szCs w:val="21"/>
                      <w:highlight w:val="none"/>
                      <w:u w:val="none"/>
                      <w:lang w:val="zh-CN" w:eastAsia="zh-CN" w:bidi="ar-SA"/>
                    </w:rPr>
                    <w:t>（</w:t>
                  </w:r>
                  <w:r>
                    <w:rPr>
                      <w:rFonts w:hint="default" w:ascii="Times New Roman" w:hAnsi="Times New Roman" w:eastAsia="宋体" w:cs="Times New Roman"/>
                      <w:i w:val="0"/>
                      <w:iCs w:val="0"/>
                      <w:color w:val="000000"/>
                      <w:spacing w:val="0"/>
                      <w:kern w:val="2"/>
                      <w:sz w:val="21"/>
                      <w:szCs w:val="21"/>
                      <w:highlight w:val="none"/>
                      <w:u w:val="none"/>
                      <w:lang w:val="en-US" w:eastAsia="zh-CN" w:bidi="ar-SA"/>
                    </w:rPr>
                    <w:t>t/a</w:t>
                  </w:r>
                  <w:r>
                    <w:rPr>
                      <w:rFonts w:hint="default" w:ascii="Times New Roman" w:hAnsi="Times New Roman" w:eastAsia="宋体" w:cs="Times New Roman"/>
                      <w:i w:val="0"/>
                      <w:iCs w:val="0"/>
                      <w:color w:val="000000"/>
                      <w:spacing w:val="0"/>
                      <w:kern w:val="2"/>
                      <w:sz w:val="21"/>
                      <w:szCs w:val="21"/>
                      <w:highlight w:val="none"/>
                      <w:u w:val="none"/>
                      <w:lang w:val="zh-CN" w:eastAsia="zh-CN" w:bidi="ar-SA"/>
                    </w:rPr>
                    <w:t>）</w:t>
                  </w:r>
                </w:p>
              </w:tc>
              <w:tc>
                <w:tcPr>
                  <w:tcW w:w="842" w:type="pct"/>
                  <w:noWrap/>
                  <w:vAlign w:val="center"/>
                </w:tcPr>
                <w:p w14:paraId="14E5B36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ascii="Times New Roman" w:hAnsi="Times New Roman" w:eastAsia="宋体" w:cs="Times New Roman"/>
                      <w:i w:val="0"/>
                      <w:iCs w:val="0"/>
                      <w:color w:val="000000"/>
                      <w:spacing w:val="0"/>
                      <w:kern w:val="0"/>
                      <w:sz w:val="21"/>
                      <w:szCs w:val="21"/>
                      <w:highlight w:val="none"/>
                      <w:u w:val="none"/>
                      <w:lang w:val="en-US" w:eastAsia="zh-CN" w:bidi="ar"/>
                    </w:rPr>
                    <w:t>0.214</w:t>
                  </w:r>
                </w:p>
              </w:tc>
              <w:tc>
                <w:tcPr>
                  <w:tcW w:w="609" w:type="pct"/>
                  <w:noWrap/>
                  <w:vAlign w:val="center"/>
                </w:tcPr>
                <w:p w14:paraId="369A7A4F">
                  <w:pPr>
                    <w:spacing w:line="240" w:lineRule="auto"/>
                    <w:ind w:firstLine="0" w:firstLineChars="0"/>
                    <w:jc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cs="Times New Roman"/>
                      <w:i w:val="0"/>
                      <w:iCs w:val="0"/>
                      <w:color w:val="000000"/>
                      <w:spacing w:val="0"/>
                      <w:kern w:val="2"/>
                      <w:sz w:val="21"/>
                      <w:szCs w:val="21"/>
                      <w:highlight w:val="none"/>
                      <w:u w:val="none"/>
                      <w:lang w:val="en-US" w:eastAsia="zh-CN" w:bidi="ar-SA"/>
                    </w:rPr>
                    <w:t>0.058</w:t>
                  </w:r>
                </w:p>
              </w:tc>
              <w:tc>
                <w:tcPr>
                  <w:tcW w:w="668" w:type="pct"/>
                  <w:noWrap/>
                  <w:vAlign w:val="center"/>
                </w:tcPr>
                <w:p w14:paraId="7927F2A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ascii="Times New Roman" w:hAnsi="Times New Roman" w:eastAsia="宋体" w:cs="Times New Roman"/>
                      <w:i w:val="0"/>
                      <w:iCs w:val="0"/>
                      <w:color w:val="000000"/>
                      <w:spacing w:val="0"/>
                      <w:kern w:val="0"/>
                      <w:sz w:val="21"/>
                      <w:szCs w:val="21"/>
                      <w:highlight w:val="none"/>
                      <w:u w:val="none"/>
                      <w:lang w:val="en-US" w:eastAsia="zh-CN" w:bidi="ar"/>
                    </w:rPr>
                    <w:t>0.018</w:t>
                  </w:r>
                </w:p>
              </w:tc>
              <w:tc>
                <w:tcPr>
                  <w:tcW w:w="555" w:type="pct"/>
                  <w:noWrap/>
                  <w:vAlign w:val="center"/>
                </w:tcPr>
                <w:p w14:paraId="369BD9E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cs="Times New Roman"/>
                      <w:i w:val="0"/>
                      <w:iCs w:val="0"/>
                      <w:color w:val="000000"/>
                      <w:spacing w:val="0"/>
                      <w:kern w:val="0"/>
                      <w:sz w:val="21"/>
                      <w:szCs w:val="21"/>
                      <w:highlight w:val="none"/>
                      <w:u w:val="none"/>
                      <w:lang w:val="en-US" w:eastAsia="zh-CN" w:bidi="ar"/>
                    </w:rPr>
                    <w:t>0.043</w:t>
                  </w:r>
                </w:p>
              </w:tc>
              <w:tc>
                <w:tcPr>
                  <w:tcW w:w="508" w:type="pct"/>
                  <w:noWrap/>
                  <w:vAlign w:val="center"/>
                </w:tcPr>
                <w:p w14:paraId="4654407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000000"/>
                      <w:spacing w:val="0"/>
                      <w:kern w:val="2"/>
                      <w:sz w:val="21"/>
                      <w:szCs w:val="21"/>
                      <w:highlight w:val="none"/>
                      <w:u w:val="none"/>
                      <w:lang w:val="en-US" w:eastAsia="zh-CN" w:bidi="ar-SA"/>
                    </w:rPr>
                  </w:pPr>
                  <w:r>
                    <w:rPr>
                      <w:rFonts w:hint="eastAsia" w:cs="Times New Roman"/>
                      <w:i w:val="0"/>
                      <w:iCs w:val="0"/>
                      <w:color w:val="000000"/>
                      <w:spacing w:val="0"/>
                      <w:kern w:val="2"/>
                      <w:sz w:val="21"/>
                      <w:szCs w:val="21"/>
                      <w:highlight w:val="none"/>
                      <w:u w:val="none"/>
                      <w:lang w:val="en-US" w:eastAsia="zh-CN" w:bidi="ar-SA"/>
                    </w:rPr>
                    <w:t>2.16</w:t>
                  </w:r>
                </w:p>
              </w:tc>
            </w:tr>
          </w:tbl>
          <w:p w14:paraId="0C9DC10E">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highlight w:val="none"/>
              </w:rPr>
            </w:pPr>
            <w:r>
              <w:rPr>
                <w:rFonts w:hint="default" w:ascii="Times New Roman" w:hAnsi="Times New Roman" w:cs="Times New Roman"/>
                <w:color w:val="auto"/>
                <w:sz w:val="24"/>
                <w:highlight w:val="none"/>
              </w:rPr>
              <w:t>预测</w:t>
            </w:r>
            <w:r>
              <w:rPr>
                <w:rFonts w:hint="default" w:ascii="Times New Roman" w:hAnsi="Times New Roman" w:cs="Times New Roman"/>
                <w:color w:val="auto"/>
                <w:sz w:val="24"/>
                <w:highlight w:val="none"/>
                <w:lang w:eastAsia="zh-CN"/>
              </w:rPr>
              <w:t>结果</w:t>
            </w:r>
            <w:r>
              <w:rPr>
                <w:rFonts w:hint="default" w:ascii="Times New Roman" w:hAnsi="Times New Roman" w:cs="Times New Roman"/>
                <w:color w:val="auto"/>
                <w:sz w:val="24"/>
                <w:highlight w:val="none"/>
              </w:rPr>
              <w:t>表明，</w:t>
            </w:r>
            <w:r>
              <w:rPr>
                <w:rFonts w:hint="eastAsia" w:ascii="Times New Roman" w:hAnsi="Times New Roman" w:cs="Times New Roman"/>
                <w:color w:val="auto"/>
                <w:sz w:val="24"/>
                <w:highlight w:val="none"/>
                <w:lang w:eastAsia="zh-CN"/>
              </w:rPr>
              <w:t>项目</w:t>
            </w:r>
            <w:r>
              <w:rPr>
                <w:rFonts w:hint="default" w:ascii="Times New Roman" w:hAnsi="Times New Roman" w:cs="Times New Roman"/>
                <w:color w:val="auto"/>
                <w:sz w:val="24"/>
                <w:highlight w:val="none"/>
                <w:lang w:eastAsia="zh-CN"/>
              </w:rPr>
              <w:t>废水</w:t>
            </w:r>
            <w:r>
              <w:rPr>
                <w:rFonts w:hint="default" w:ascii="Times New Roman" w:hAnsi="Times New Roman" w:cs="Times New Roman"/>
                <w:color w:val="auto"/>
                <w:sz w:val="24"/>
                <w:highlight w:val="none"/>
              </w:rPr>
              <w:t>正常排放</w:t>
            </w:r>
            <w:r>
              <w:rPr>
                <w:rFonts w:hint="default" w:ascii="Times New Roman" w:hAnsi="Times New Roman" w:cs="Times New Roman"/>
                <w:color w:val="auto"/>
                <w:sz w:val="24"/>
                <w:highlight w:val="none"/>
                <w:lang w:eastAsia="zh-CN"/>
              </w:rPr>
              <w:t>情况下</w:t>
            </w:r>
            <w:r>
              <w:rPr>
                <w:rFonts w:hint="default" w:ascii="Times New Roman" w:hAnsi="Times New Roman" w:cs="Times New Roman"/>
                <w:color w:val="auto"/>
                <w:sz w:val="24"/>
                <w:highlight w:val="none"/>
              </w:rPr>
              <w:t>不会对当地地表水环境质量造成</w:t>
            </w:r>
            <w:r>
              <w:rPr>
                <w:rFonts w:hint="default" w:ascii="Times New Roman" w:hAnsi="Times New Roman" w:cs="Times New Roman"/>
                <w:color w:val="auto"/>
                <w:sz w:val="24"/>
                <w:highlight w:val="none"/>
                <w:lang w:eastAsia="zh-CN"/>
              </w:rPr>
              <w:t>大的</w:t>
            </w:r>
            <w:r>
              <w:rPr>
                <w:rFonts w:hint="default" w:ascii="Times New Roman" w:hAnsi="Times New Roman" w:cs="Times New Roman"/>
                <w:color w:val="auto"/>
                <w:sz w:val="24"/>
                <w:highlight w:val="none"/>
              </w:rPr>
              <w:t>影响</w:t>
            </w:r>
            <w:r>
              <w:rPr>
                <w:rFonts w:hint="default" w:ascii="Times New Roman" w:hAnsi="Times New Roman" w:cs="Times New Roman"/>
                <w:color w:val="auto"/>
                <w:sz w:val="24"/>
                <w:highlight w:val="none"/>
                <w:lang w:eastAsia="zh-CN"/>
              </w:rPr>
              <w:t>，各特征污染物在</w:t>
            </w:r>
            <w:r>
              <w:rPr>
                <w:rFonts w:hint="eastAsia" w:ascii="Times New Roman" w:hAnsi="Times New Roman" w:cs="Times New Roman"/>
                <w:color w:val="auto"/>
                <w:sz w:val="24"/>
                <w:highlight w:val="none"/>
                <w:lang w:eastAsia="zh-CN"/>
              </w:rPr>
              <w:t>项目</w:t>
            </w:r>
            <w:r>
              <w:rPr>
                <w:rFonts w:hint="default" w:ascii="Times New Roman" w:hAnsi="Times New Roman" w:cs="Times New Roman"/>
                <w:color w:val="auto"/>
                <w:sz w:val="24"/>
                <w:highlight w:val="none"/>
                <w:lang w:eastAsia="zh-CN"/>
              </w:rPr>
              <w:t>废水排放口下游混合过程段和完全混合段叠加背景值后均可满足</w:t>
            </w:r>
            <w:r>
              <w:rPr>
                <w:rFonts w:hint="default" w:ascii="Times New Roman" w:hAnsi="Times New Roman" w:cs="Times New Roman"/>
                <w:color w:val="auto"/>
                <w:sz w:val="24"/>
                <w:highlight w:val="none"/>
                <w:lang w:val="en-US" w:eastAsia="zh-CN"/>
              </w:rPr>
              <w:t>地表水环境目标，其环境影响可以接受。</w:t>
            </w:r>
            <w:r>
              <w:rPr>
                <w:rFonts w:hint="eastAsia" w:ascii="Times New Roman" w:hAnsi="Times New Roman" w:cs="Times New Roman"/>
                <w:color w:val="auto"/>
                <w:sz w:val="24"/>
                <w:highlight w:val="none"/>
                <w:u w:val="none"/>
                <w:lang w:val="en-US" w:eastAsia="zh-CN"/>
              </w:rPr>
              <w:t>项目</w:t>
            </w:r>
            <w:r>
              <w:rPr>
                <w:rFonts w:hint="default" w:ascii="Times New Roman" w:hAnsi="Times New Roman" w:cs="Times New Roman"/>
                <w:color w:val="auto"/>
                <w:sz w:val="24"/>
                <w:highlight w:val="none"/>
                <w:u w:val="none"/>
                <w:lang w:val="en-US" w:eastAsia="zh-CN"/>
              </w:rPr>
              <w:t>设计规模达产后，不会改变受纳水体环境功能区划，可维持环境功能质量现状</w:t>
            </w:r>
            <w:r>
              <w:rPr>
                <w:rFonts w:hint="default" w:ascii="Times New Roman" w:hAnsi="Times New Roman" w:cs="Times New Roman"/>
                <w:color w:val="auto"/>
                <w:sz w:val="24"/>
                <w:szCs w:val="24"/>
                <w:highlight w:val="none"/>
              </w:rPr>
              <w:t>。详见地表水评价专章。</w:t>
            </w:r>
          </w:p>
        </w:tc>
      </w:tr>
    </w:tbl>
    <w:p w14:paraId="07ED307D">
      <w:pPr>
        <w:adjustRightInd w:val="0"/>
        <w:snapToGrid w:val="0"/>
        <w:spacing w:line="360" w:lineRule="auto"/>
        <w:rPr>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524E4AA6">
      <w:pPr>
        <w:spacing w:line="360" w:lineRule="auto"/>
        <w:ind w:firstLine="482"/>
        <w:jc w:val="center"/>
        <w:rPr>
          <w:rFonts w:hint="eastAsia"/>
          <w:b/>
          <w:bCs/>
          <w:color w:val="auto"/>
          <w:sz w:val="24"/>
          <w:szCs w:val="24"/>
          <w:highlight w:val="none"/>
        </w:rPr>
      </w:pPr>
    </w:p>
    <w:p w14:paraId="77BD5A84">
      <w:pPr>
        <w:pStyle w:val="177"/>
        <w:jc w:val="center"/>
        <w:rPr>
          <w:rFonts w:hint="default" w:ascii="Times New Roman" w:hAnsi="Times New Roman" w:eastAsia="宋体" w:cs="Times New Roman"/>
          <w:b/>
          <w:bCs/>
          <w:sz w:val="24"/>
          <w:szCs w:val="32"/>
          <w:highlight w:val="none"/>
          <w:lang w:val="en-US" w:eastAsia="zh-CN"/>
        </w:rPr>
      </w:pPr>
      <w:r>
        <w:rPr>
          <w:rFonts w:hint="default" w:ascii="Times New Roman" w:hAnsi="Times New Roman" w:eastAsia="宋体" w:cs="Times New Roman"/>
          <w:b/>
          <w:bCs/>
          <w:sz w:val="24"/>
          <w:szCs w:val="32"/>
          <w:highlight w:val="none"/>
          <w:lang w:val="en-US" w:eastAsia="zh-CN"/>
        </w:rPr>
        <w:t>表</w:t>
      </w:r>
      <w:r>
        <w:rPr>
          <w:rFonts w:hint="eastAsia" w:cs="Times New Roman"/>
          <w:b/>
          <w:bCs/>
          <w:sz w:val="24"/>
          <w:szCs w:val="32"/>
          <w:highlight w:val="none"/>
          <w:lang w:val="en-US" w:eastAsia="zh-CN"/>
        </w:rPr>
        <w:t>4</w:t>
      </w:r>
      <w:r>
        <w:rPr>
          <w:rFonts w:hint="default" w:ascii="Times New Roman" w:hAnsi="Times New Roman" w:eastAsia="宋体" w:cs="Times New Roman"/>
          <w:b/>
          <w:bCs/>
          <w:sz w:val="24"/>
          <w:szCs w:val="32"/>
          <w:highlight w:val="none"/>
          <w:lang w:val="en-US" w:eastAsia="zh-CN"/>
        </w:rPr>
        <w:t>-</w:t>
      </w:r>
      <w:r>
        <w:rPr>
          <w:rFonts w:hint="eastAsia" w:cs="Times New Roman"/>
          <w:b/>
          <w:bCs/>
          <w:sz w:val="24"/>
          <w:szCs w:val="32"/>
          <w:highlight w:val="none"/>
          <w:lang w:val="en-US" w:eastAsia="zh-CN"/>
        </w:rPr>
        <w:t>5</w:t>
      </w:r>
      <w:r>
        <w:rPr>
          <w:rFonts w:hint="default" w:ascii="Times New Roman" w:hAnsi="Times New Roman" w:eastAsia="宋体" w:cs="Times New Roman"/>
          <w:b/>
          <w:bCs/>
          <w:sz w:val="24"/>
          <w:szCs w:val="32"/>
          <w:highlight w:val="none"/>
          <w:lang w:val="en-US" w:eastAsia="zh-CN"/>
        </w:rPr>
        <w:t xml:space="preserve"> 本项目前处理线工艺废水与同类项目类比分析对照表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9"/>
        <w:gridCol w:w="1889"/>
        <w:gridCol w:w="1889"/>
        <w:gridCol w:w="1889"/>
        <w:gridCol w:w="1889"/>
        <w:gridCol w:w="1889"/>
        <w:gridCol w:w="1889"/>
      </w:tblGrid>
      <w:tr w14:paraId="6A2D7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714377A">
            <w:pPr>
              <w:pStyle w:val="177"/>
              <w:jc w:val="center"/>
              <w:rPr>
                <w:rFonts w:hint="default" w:ascii="Times New Roman" w:hAnsi="Times New Roman" w:eastAsia="宋体" w:cs="Times New Roman"/>
                <w:b/>
                <w:bCs/>
                <w:highlight w:val="none"/>
                <w:vertAlign w:val="baseline"/>
                <w:lang w:val="en-US" w:eastAsia="zh-CN"/>
              </w:rPr>
            </w:pPr>
            <w:r>
              <w:rPr>
                <w:rFonts w:hint="default" w:ascii="Times New Roman" w:hAnsi="Times New Roman" w:eastAsia="宋体" w:cs="Times New Roman"/>
                <w:b/>
                <w:bCs/>
                <w:highlight w:val="none"/>
                <w:vertAlign w:val="baseline"/>
                <w:lang w:val="en-US" w:eastAsia="zh-CN"/>
              </w:rPr>
              <w:t>对比项目</w:t>
            </w:r>
          </w:p>
        </w:tc>
        <w:tc>
          <w:tcPr>
            <w:tcW w:w="714" w:type="pct"/>
            <w:vAlign w:val="center"/>
          </w:tcPr>
          <w:p w14:paraId="3E1A1CBF">
            <w:pPr>
              <w:pStyle w:val="177"/>
              <w:jc w:val="center"/>
              <w:rPr>
                <w:rFonts w:hint="default" w:ascii="Times New Roman" w:hAnsi="Times New Roman" w:eastAsia="宋体" w:cs="Times New Roman"/>
                <w:b/>
                <w:bCs/>
                <w:highlight w:val="none"/>
                <w:vertAlign w:val="baseline"/>
                <w:lang w:val="en-US" w:eastAsia="zh-CN"/>
              </w:rPr>
            </w:pPr>
            <w:r>
              <w:rPr>
                <w:rFonts w:hint="eastAsia" w:cs="Times New Roman"/>
                <w:b/>
                <w:bCs/>
                <w:highlight w:val="none"/>
                <w:vertAlign w:val="baseline"/>
                <w:lang w:val="en-US" w:eastAsia="zh-CN"/>
              </w:rPr>
              <w:t>遂溪县环洋网业有限公司锅炉改扩建项目环境影响报告表（遂环建函[2025]26号）</w:t>
            </w:r>
          </w:p>
        </w:tc>
        <w:tc>
          <w:tcPr>
            <w:tcW w:w="714" w:type="pct"/>
            <w:vAlign w:val="center"/>
          </w:tcPr>
          <w:p w14:paraId="488DA368">
            <w:pPr>
              <w:pStyle w:val="177"/>
              <w:jc w:val="center"/>
              <w:rPr>
                <w:rFonts w:hint="default" w:ascii="Times New Roman" w:hAnsi="Times New Roman" w:eastAsia="宋体" w:cs="Times New Roman"/>
                <w:b/>
                <w:bCs/>
                <w:strike w:val="0"/>
                <w:dstrike w:val="0"/>
                <w:highlight w:val="none"/>
                <w:vertAlign w:val="baseline"/>
                <w:lang w:val="en-US" w:eastAsia="zh-CN"/>
              </w:rPr>
            </w:pPr>
            <w:r>
              <w:rPr>
                <w:rFonts w:hint="eastAsia" w:cs="Times New Roman"/>
                <w:b/>
                <w:bCs/>
                <w:strike w:val="0"/>
                <w:dstrike w:val="0"/>
                <w:highlight w:val="none"/>
                <w:vertAlign w:val="baseline"/>
                <w:lang w:val="en-US" w:eastAsia="zh-CN"/>
              </w:rPr>
              <w:t>沂水县鑫发农副产品有限公司锅炉项目竣工环境保护验收报告</w:t>
            </w:r>
          </w:p>
        </w:tc>
        <w:tc>
          <w:tcPr>
            <w:tcW w:w="714" w:type="pct"/>
            <w:vAlign w:val="center"/>
          </w:tcPr>
          <w:p w14:paraId="5037B2FD">
            <w:pPr>
              <w:pStyle w:val="177"/>
              <w:jc w:val="center"/>
              <w:rPr>
                <w:rFonts w:hint="default" w:ascii="Times New Roman" w:hAnsi="Times New Roman" w:eastAsia="宋体" w:cs="Times New Roman"/>
                <w:b/>
                <w:bCs/>
                <w:highlight w:val="none"/>
                <w:vertAlign w:val="baseline"/>
                <w:lang w:val="en-US" w:eastAsia="zh-CN"/>
              </w:rPr>
            </w:pPr>
            <w:r>
              <w:rPr>
                <w:rFonts w:hint="default" w:ascii="Times New Roman" w:hAnsi="Times New Roman" w:eastAsia="宋体" w:cs="Times New Roman"/>
                <w:b/>
                <w:bCs/>
                <w:highlight w:val="none"/>
                <w:vertAlign w:val="baseline"/>
                <w:lang w:val="en-US" w:eastAsia="zh-CN"/>
              </w:rPr>
              <w:t>肇源县博茹物业管理服务有限责任公司燃煤改生物质锅炉供暖项目竣工环境保护验收监测报告表</w:t>
            </w:r>
          </w:p>
        </w:tc>
        <w:tc>
          <w:tcPr>
            <w:tcW w:w="714" w:type="pct"/>
            <w:vAlign w:val="center"/>
          </w:tcPr>
          <w:p w14:paraId="45F42097">
            <w:pPr>
              <w:pStyle w:val="177"/>
              <w:jc w:val="center"/>
              <w:rPr>
                <w:rFonts w:hint="default" w:ascii="Times New Roman" w:hAnsi="Times New Roman" w:eastAsia="宋体" w:cs="Times New Roman"/>
                <w:b/>
                <w:bCs/>
                <w:highlight w:val="none"/>
                <w:vertAlign w:val="baseline"/>
                <w:lang w:val="en-US" w:eastAsia="zh-CN"/>
              </w:rPr>
            </w:pPr>
            <w:r>
              <w:rPr>
                <w:rFonts w:hint="default" w:ascii="Times New Roman" w:hAnsi="Times New Roman" w:eastAsia="宋体" w:cs="Times New Roman"/>
                <w:b/>
                <w:bCs/>
                <w:highlight w:val="none"/>
                <w:vertAlign w:val="baseline"/>
                <w:lang w:val="en-US" w:eastAsia="zh-CN"/>
              </w:rPr>
              <w:t>东辽县安石镇集中供热清洁化改造项目竣工环境保护验收监测报告表</w:t>
            </w:r>
          </w:p>
        </w:tc>
        <w:tc>
          <w:tcPr>
            <w:tcW w:w="714" w:type="pct"/>
            <w:vAlign w:val="center"/>
          </w:tcPr>
          <w:p w14:paraId="7F517617">
            <w:pPr>
              <w:pStyle w:val="177"/>
              <w:jc w:val="center"/>
              <w:rPr>
                <w:rFonts w:hint="default" w:ascii="Times New Roman" w:hAnsi="Times New Roman" w:eastAsia="宋体" w:cs="Times New Roman"/>
                <w:b/>
                <w:bCs/>
                <w:highlight w:val="none"/>
                <w:vertAlign w:val="baseline"/>
                <w:lang w:val="en-US" w:eastAsia="zh-CN"/>
              </w:rPr>
            </w:pPr>
            <w:r>
              <w:rPr>
                <w:rFonts w:hint="default" w:ascii="Times New Roman" w:hAnsi="Times New Roman" w:eastAsia="宋体" w:cs="Times New Roman"/>
                <w:b/>
                <w:bCs/>
                <w:highlight w:val="none"/>
                <w:vertAlign w:val="baseline"/>
                <w:lang w:val="en-US" w:eastAsia="zh-CN"/>
              </w:rPr>
              <w:t>本项目</w:t>
            </w:r>
          </w:p>
        </w:tc>
        <w:tc>
          <w:tcPr>
            <w:tcW w:w="714" w:type="pct"/>
            <w:vAlign w:val="center"/>
          </w:tcPr>
          <w:p w14:paraId="06FA73FD">
            <w:pPr>
              <w:pStyle w:val="177"/>
              <w:jc w:val="center"/>
              <w:rPr>
                <w:rFonts w:hint="default" w:ascii="Times New Roman" w:hAnsi="Times New Roman" w:eastAsia="宋体" w:cs="Times New Roman"/>
                <w:b/>
                <w:bCs/>
                <w:highlight w:val="none"/>
                <w:vertAlign w:val="baseline"/>
                <w:lang w:val="en-US" w:eastAsia="zh-CN"/>
              </w:rPr>
            </w:pPr>
            <w:r>
              <w:rPr>
                <w:rFonts w:hint="default" w:ascii="Times New Roman" w:hAnsi="Times New Roman" w:eastAsia="宋体" w:cs="Times New Roman"/>
                <w:b/>
                <w:bCs/>
                <w:highlight w:val="none"/>
                <w:vertAlign w:val="baseline"/>
                <w:lang w:val="en-US" w:eastAsia="zh-CN"/>
              </w:rPr>
              <w:t>类比结果</w:t>
            </w:r>
          </w:p>
        </w:tc>
      </w:tr>
      <w:tr w14:paraId="184F3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C8CD5F0">
            <w:pPr>
              <w:pStyle w:val="177"/>
              <w:jc w:val="center"/>
              <w:rPr>
                <w:rFonts w:hint="default" w:ascii="Times New Roman" w:hAnsi="Times New Roman" w:eastAsia="宋体" w:cs="Times New Roman"/>
                <w:highlight w:val="none"/>
                <w:vertAlign w:val="baseline"/>
                <w:lang w:val="en-US" w:eastAsia="zh-CN"/>
              </w:rPr>
            </w:pPr>
            <w:r>
              <w:rPr>
                <w:rFonts w:hint="eastAsia" w:cs="Times New Roman"/>
                <w:highlight w:val="none"/>
                <w:vertAlign w:val="baseline"/>
                <w:lang w:val="en-US" w:eastAsia="zh-CN"/>
              </w:rPr>
              <w:t>锅炉类型</w:t>
            </w:r>
          </w:p>
        </w:tc>
        <w:tc>
          <w:tcPr>
            <w:tcW w:w="714" w:type="pct"/>
            <w:vAlign w:val="center"/>
          </w:tcPr>
          <w:p w14:paraId="588E9F2E">
            <w:pPr>
              <w:pStyle w:val="177"/>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1 台 2t/h 的生物质锅炉和 1 台 2t/h 的燃气锅</w:t>
            </w:r>
          </w:p>
          <w:p w14:paraId="1EE497D0">
            <w:pPr>
              <w:pStyle w:val="177"/>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炉</w:t>
            </w:r>
          </w:p>
        </w:tc>
        <w:tc>
          <w:tcPr>
            <w:tcW w:w="714" w:type="pct"/>
            <w:vAlign w:val="center"/>
          </w:tcPr>
          <w:p w14:paraId="1F325497">
            <w:pPr>
              <w:pStyle w:val="177"/>
              <w:jc w:val="center"/>
              <w:rPr>
                <w:rFonts w:hint="default" w:ascii="Times New Roman" w:hAnsi="Times New Roman" w:eastAsia="宋体" w:cs="Times New Roman"/>
                <w:strike w:val="0"/>
                <w:dstrike w:val="0"/>
                <w:highlight w:val="none"/>
                <w:vertAlign w:val="baseline"/>
                <w:lang w:val="en-US" w:eastAsia="zh-CN"/>
              </w:rPr>
            </w:pPr>
            <w:r>
              <w:rPr>
                <w:rFonts w:hint="default" w:ascii="Times New Roman" w:hAnsi="Times New Roman" w:eastAsia="宋体" w:cs="Times New Roman"/>
                <w:strike w:val="0"/>
                <w:dstrike w:val="0"/>
                <w:highlight w:val="none"/>
                <w:vertAlign w:val="baseline"/>
                <w:lang w:val="en-US" w:eastAsia="zh-CN"/>
              </w:rPr>
              <w:t>为1台4t/h</w:t>
            </w:r>
          </w:p>
          <w:p w14:paraId="016CA888">
            <w:pPr>
              <w:pStyle w:val="177"/>
              <w:jc w:val="center"/>
              <w:rPr>
                <w:rFonts w:hint="default" w:ascii="Times New Roman" w:hAnsi="Times New Roman" w:eastAsia="宋体" w:cs="Times New Roman"/>
                <w:strike w:val="0"/>
                <w:dstrike w:val="0"/>
                <w:highlight w:val="none"/>
                <w:vertAlign w:val="baseline"/>
                <w:lang w:val="en-US" w:eastAsia="zh-CN"/>
              </w:rPr>
            </w:pPr>
            <w:r>
              <w:rPr>
                <w:rFonts w:hint="default" w:ascii="Times New Roman" w:hAnsi="Times New Roman" w:eastAsia="宋体" w:cs="Times New Roman"/>
                <w:strike w:val="0"/>
                <w:dstrike w:val="0"/>
                <w:highlight w:val="none"/>
                <w:vertAlign w:val="baseline"/>
                <w:lang w:val="en-US" w:eastAsia="zh-CN"/>
              </w:rPr>
              <w:t>生物质蒸汽锅炉</w:t>
            </w:r>
          </w:p>
        </w:tc>
        <w:tc>
          <w:tcPr>
            <w:tcW w:w="714" w:type="pct"/>
            <w:vAlign w:val="center"/>
          </w:tcPr>
          <w:p w14:paraId="1AE6BE9D">
            <w:pPr>
              <w:pStyle w:val="177"/>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1座4t/h生物质锅炉</w:t>
            </w:r>
          </w:p>
        </w:tc>
        <w:tc>
          <w:tcPr>
            <w:tcW w:w="714" w:type="pct"/>
            <w:vAlign w:val="center"/>
          </w:tcPr>
          <w:p w14:paraId="32A7F9C6">
            <w:pPr>
              <w:pStyle w:val="177"/>
              <w:jc w:val="center"/>
              <w:rPr>
                <w:rFonts w:hint="eastAsia" w:ascii="Times New Roman" w:hAnsi="Times New Roman" w:eastAsia="宋体" w:cs="Times New Roman"/>
                <w:highlight w:val="none"/>
                <w:vertAlign w:val="baseline"/>
                <w:lang w:val="en-US" w:eastAsia="zh-CN"/>
              </w:rPr>
            </w:pPr>
            <w:r>
              <w:rPr>
                <w:rFonts w:hint="eastAsia" w:ascii="Times New Roman" w:hAnsi="Times New Roman" w:eastAsia="宋体" w:cs="Times New Roman"/>
                <w:highlight w:val="none"/>
                <w:vertAlign w:val="baseline"/>
                <w:lang w:val="en-US" w:eastAsia="zh-CN"/>
              </w:rPr>
              <w:t>2台5.6MW生物质热水锅炉（8t/h）</w:t>
            </w:r>
          </w:p>
        </w:tc>
        <w:tc>
          <w:tcPr>
            <w:tcW w:w="714" w:type="pct"/>
            <w:vAlign w:val="center"/>
          </w:tcPr>
          <w:p w14:paraId="6B406074">
            <w:pPr>
              <w:pStyle w:val="177"/>
              <w:jc w:val="center"/>
              <w:rPr>
                <w:rFonts w:hint="default" w:ascii="Times New Roman" w:hAnsi="Times New Roman" w:eastAsia="宋体" w:cs="Times New Roman"/>
                <w:highlight w:val="none"/>
                <w:vertAlign w:val="baseline"/>
                <w:lang w:val="en-US" w:eastAsia="zh-CN"/>
              </w:rPr>
            </w:pPr>
            <w:r>
              <w:rPr>
                <w:rFonts w:hint="eastAsia" w:ascii="Times New Roman" w:hAnsi="Times New Roman" w:eastAsia="宋体" w:cs="Times New Roman"/>
                <w:highlight w:val="none"/>
                <w:vertAlign w:val="baseline"/>
                <w:lang w:val="en-US" w:eastAsia="zh-CN"/>
              </w:rPr>
              <w:t>2</w:t>
            </w:r>
            <w:r>
              <w:rPr>
                <w:rFonts w:hint="default" w:ascii="Times New Roman" w:hAnsi="Times New Roman" w:eastAsia="宋体" w:cs="Times New Roman"/>
                <w:highlight w:val="none"/>
                <w:vertAlign w:val="baseline"/>
                <w:lang w:val="en-US" w:eastAsia="zh-CN"/>
              </w:rPr>
              <w:t>台 2</w:t>
            </w:r>
            <w:r>
              <w:rPr>
                <w:rFonts w:hint="eastAsia" w:ascii="Times New Roman" w:hAnsi="Times New Roman" w:eastAsia="宋体" w:cs="Times New Roman"/>
                <w:highlight w:val="none"/>
                <w:vertAlign w:val="baseline"/>
                <w:lang w:val="en-US" w:eastAsia="zh-CN"/>
              </w:rPr>
              <w:t>5</w:t>
            </w:r>
            <w:r>
              <w:rPr>
                <w:rFonts w:hint="default" w:ascii="Times New Roman" w:hAnsi="Times New Roman" w:eastAsia="宋体" w:cs="Times New Roman"/>
                <w:highlight w:val="none"/>
                <w:vertAlign w:val="baseline"/>
                <w:lang w:val="en-US" w:eastAsia="zh-CN"/>
              </w:rPr>
              <w:t>t/h 燃生物质蒸汽锅炉</w:t>
            </w:r>
            <w:r>
              <w:rPr>
                <w:rFonts w:hint="eastAsia" w:ascii="Times New Roman" w:hAnsi="Times New Roman" w:eastAsia="宋体" w:cs="Times New Roman"/>
                <w:highlight w:val="none"/>
                <w:vertAlign w:val="baseline"/>
                <w:lang w:val="en-US" w:eastAsia="zh-CN"/>
              </w:rPr>
              <w:t>（一用一备）</w:t>
            </w:r>
          </w:p>
        </w:tc>
        <w:tc>
          <w:tcPr>
            <w:tcW w:w="714" w:type="pct"/>
            <w:vAlign w:val="center"/>
          </w:tcPr>
          <w:p w14:paraId="2BF1E77F">
            <w:pPr>
              <w:pStyle w:val="177"/>
              <w:jc w:val="center"/>
              <w:rPr>
                <w:rFonts w:hint="default" w:ascii="Times New Roman" w:hAnsi="Times New Roman" w:eastAsia="宋体" w:cs="Times New Roman"/>
                <w:highlight w:val="none"/>
                <w:vertAlign w:val="baseline"/>
                <w:lang w:val="en-US" w:eastAsia="zh-CN"/>
              </w:rPr>
            </w:pPr>
            <w:r>
              <w:rPr>
                <w:rFonts w:hint="eastAsia" w:cs="Times New Roman"/>
                <w:highlight w:val="none"/>
                <w:vertAlign w:val="baseline"/>
                <w:lang w:val="en-US" w:eastAsia="zh-CN"/>
              </w:rPr>
              <w:t>同属于生物质锅炉</w:t>
            </w:r>
          </w:p>
        </w:tc>
      </w:tr>
      <w:tr w14:paraId="260F6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4240B55">
            <w:pPr>
              <w:pStyle w:val="177"/>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原辅材料</w:t>
            </w:r>
          </w:p>
        </w:tc>
        <w:tc>
          <w:tcPr>
            <w:tcW w:w="714" w:type="pct"/>
            <w:vAlign w:val="center"/>
          </w:tcPr>
          <w:p w14:paraId="22F1EC27">
            <w:pPr>
              <w:pStyle w:val="177"/>
              <w:jc w:val="center"/>
              <w:rPr>
                <w:rFonts w:hint="default" w:ascii="Times New Roman" w:hAnsi="Times New Roman" w:eastAsia="宋体" w:cs="Times New Roman"/>
                <w:highlight w:val="none"/>
                <w:vertAlign w:val="baseline"/>
                <w:lang w:val="en-US" w:eastAsia="zh-CN"/>
              </w:rPr>
            </w:pPr>
            <w:r>
              <w:rPr>
                <w:rFonts w:hint="eastAsia" w:cs="Times New Roman"/>
                <w:highlight w:val="none"/>
                <w:lang w:val="en-US" w:eastAsia="zh-CN"/>
              </w:rPr>
              <w:t>生物质成型燃料</w:t>
            </w:r>
          </w:p>
        </w:tc>
        <w:tc>
          <w:tcPr>
            <w:tcW w:w="714" w:type="pct"/>
            <w:vAlign w:val="center"/>
          </w:tcPr>
          <w:p w14:paraId="7F46E264">
            <w:pPr>
              <w:pStyle w:val="177"/>
              <w:jc w:val="center"/>
              <w:rPr>
                <w:rFonts w:hint="default" w:cs="Times New Roman"/>
                <w:strike w:val="0"/>
                <w:dstrike w:val="0"/>
                <w:highlight w:val="none"/>
                <w:lang w:val="en-US" w:eastAsia="zh-CN"/>
              </w:rPr>
            </w:pPr>
            <w:r>
              <w:rPr>
                <w:rFonts w:hint="eastAsia" w:cs="Times New Roman"/>
                <w:strike w:val="0"/>
                <w:dstrike w:val="0"/>
                <w:highlight w:val="none"/>
                <w:lang w:val="en-US" w:eastAsia="zh-CN"/>
              </w:rPr>
              <w:t>生物质成型燃料</w:t>
            </w:r>
          </w:p>
        </w:tc>
        <w:tc>
          <w:tcPr>
            <w:tcW w:w="714" w:type="pct"/>
            <w:vAlign w:val="center"/>
          </w:tcPr>
          <w:p w14:paraId="71A3DB88">
            <w:pPr>
              <w:pStyle w:val="177"/>
              <w:jc w:val="center"/>
              <w:rPr>
                <w:rFonts w:hint="eastAsia" w:cs="Times New Roman"/>
                <w:highlight w:val="none"/>
                <w:lang w:val="en-US" w:eastAsia="zh-CN"/>
              </w:rPr>
            </w:pPr>
            <w:r>
              <w:rPr>
                <w:rFonts w:hint="eastAsia" w:cs="Times New Roman"/>
                <w:highlight w:val="none"/>
                <w:lang w:val="en-US" w:eastAsia="zh-CN"/>
              </w:rPr>
              <w:t>生物质成型燃料</w:t>
            </w:r>
          </w:p>
        </w:tc>
        <w:tc>
          <w:tcPr>
            <w:tcW w:w="714" w:type="pct"/>
            <w:vAlign w:val="center"/>
          </w:tcPr>
          <w:p w14:paraId="6E90A7C2">
            <w:pPr>
              <w:pStyle w:val="177"/>
              <w:jc w:val="center"/>
              <w:rPr>
                <w:rFonts w:hint="default" w:cs="Times New Roman"/>
                <w:highlight w:val="none"/>
                <w:lang w:val="en-US" w:eastAsia="zh-CN"/>
              </w:rPr>
            </w:pPr>
            <w:r>
              <w:rPr>
                <w:rFonts w:hint="eastAsia" w:cs="Times New Roman"/>
                <w:highlight w:val="none"/>
                <w:lang w:val="en-US" w:eastAsia="zh-CN"/>
              </w:rPr>
              <w:t>生物质燃料</w:t>
            </w:r>
          </w:p>
        </w:tc>
        <w:tc>
          <w:tcPr>
            <w:tcW w:w="714" w:type="pct"/>
            <w:vAlign w:val="center"/>
          </w:tcPr>
          <w:p w14:paraId="6BE36B7A">
            <w:pPr>
              <w:pStyle w:val="177"/>
              <w:jc w:val="center"/>
              <w:rPr>
                <w:rFonts w:hint="default" w:ascii="Times New Roman" w:hAnsi="Times New Roman" w:eastAsia="宋体" w:cs="Times New Roman"/>
                <w:highlight w:val="none"/>
                <w:vertAlign w:val="baseline"/>
                <w:lang w:val="en-US" w:eastAsia="zh-CN"/>
              </w:rPr>
            </w:pPr>
            <w:r>
              <w:rPr>
                <w:rFonts w:hint="eastAsia" w:cs="Times New Roman"/>
                <w:highlight w:val="none"/>
                <w:lang w:val="en-US" w:eastAsia="zh-CN"/>
              </w:rPr>
              <w:t>生物质成型燃料</w:t>
            </w:r>
          </w:p>
        </w:tc>
        <w:tc>
          <w:tcPr>
            <w:tcW w:w="714" w:type="pct"/>
            <w:vAlign w:val="center"/>
          </w:tcPr>
          <w:p w14:paraId="3B47EA34">
            <w:pPr>
              <w:pStyle w:val="177"/>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原料相近</w:t>
            </w:r>
          </w:p>
        </w:tc>
      </w:tr>
      <w:tr w14:paraId="6F8406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558CE57">
            <w:pPr>
              <w:pStyle w:val="177"/>
              <w:jc w:val="center"/>
              <w:rPr>
                <w:rFonts w:hint="default" w:ascii="Times New Roman" w:hAnsi="Times New Roman" w:eastAsia="宋体" w:cs="Times New Roman"/>
                <w:highlight w:val="none"/>
                <w:vertAlign w:val="baseline"/>
                <w:lang w:val="en-US" w:eastAsia="zh-CN"/>
              </w:rPr>
            </w:pPr>
            <w:r>
              <w:rPr>
                <w:rFonts w:hint="eastAsia" w:cs="Times New Roman"/>
                <w:highlight w:val="none"/>
                <w:vertAlign w:val="baseline"/>
                <w:lang w:val="en-US" w:eastAsia="zh-CN"/>
              </w:rPr>
              <w:t>废水</w:t>
            </w:r>
            <w:r>
              <w:rPr>
                <w:rFonts w:hint="default" w:ascii="Times New Roman" w:hAnsi="Times New Roman" w:eastAsia="宋体" w:cs="Times New Roman"/>
                <w:highlight w:val="none"/>
                <w:vertAlign w:val="baseline"/>
                <w:lang w:val="en-US" w:eastAsia="zh-CN"/>
              </w:rPr>
              <w:t>工艺</w:t>
            </w:r>
          </w:p>
        </w:tc>
        <w:tc>
          <w:tcPr>
            <w:tcW w:w="714" w:type="pct"/>
            <w:vAlign w:val="center"/>
          </w:tcPr>
          <w:p w14:paraId="642449C0">
            <w:pPr>
              <w:pStyle w:val="177"/>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沉淀、澄清处理</w:t>
            </w:r>
            <w:r>
              <w:rPr>
                <w:rFonts w:hint="eastAsia" w:cs="Times New Roman"/>
                <w:highlight w:val="none"/>
                <w:vertAlign w:val="baseline"/>
                <w:lang w:val="en-US" w:eastAsia="zh-CN"/>
              </w:rPr>
              <w:t>后排污污水管网</w:t>
            </w:r>
          </w:p>
        </w:tc>
        <w:tc>
          <w:tcPr>
            <w:tcW w:w="714" w:type="pct"/>
            <w:vAlign w:val="center"/>
          </w:tcPr>
          <w:p w14:paraId="516B0DAF">
            <w:pPr>
              <w:pStyle w:val="177"/>
              <w:jc w:val="center"/>
              <w:rPr>
                <w:rFonts w:hint="default" w:ascii="Times New Roman" w:hAnsi="Times New Roman" w:eastAsia="宋体" w:cs="Times New Roman"/>
                <w:strike w:val="0"/>
                <w:dstrike w:val="0"/>
                <w:highlight w:val="none"/>
                <w:vertAlign w:val="baseline"/>
                <w:lang w:val="en-US" w:eastAsia="zh-CN"/>
              </w:rPr>
            </w:pPr>
            <w:r>
              <w:rPr>
                <w:rFonts w:hint="default" w:ascii="Times New Roman" w:hAnsi="Times New Roman" w:eastAsia="宋体" w:cs="Times New Roman"/>
                <w:strike w:val="0"/>
                <w:dstrike w:val="0"/>
                <w:highlight w:val="none"/>
                <w:vertAlign w:val="baseline"/>
                <w:lang w:val="en-US" w:eastAsia="zh-CN"/>
              </w:rPr>
              <w:t>集水池</w:t>
            </w:r>
            <w:r>
              <w:rPr>
                <w:rFonts w:hint="eastAsia" w:cs="Times New Roman"/>
                <w:strike w:val="0"/>
                <w:dstrike w:val="0"/>
                <w:highlight w:val="none"/>
                <w:vertAlign w:val="baseline"/>
                <w:lang w:val="en-US" w:eastAsia="zh-CN"/>
              </w:rPr>
              <w:t>沉淀后回用，暂存后回用于厂区洒水抑尘和厂区绿化，不外排</w:t>
            </w:r>
          </w:p>
        </w:tc>
        <w:tc>
          <w:tcPr>
            <w:tcW w:w="714" w:type="pct"/>
            <w:vAlign w:val="center"/>
          </w:tcPr>
          <w:p w14:paraId="01B98F74">
            <w:pPr>
              <w:pStyle w:val="177"/>
              <w:jc w:val="center"/>
              <w:rPr>
                <w:rFonts w:hint="default" w:ascii="Times New Roman" w:hAnsi="Times New Roman" w:eastAsia="宋体" w:cs="Times New Roman"/>
                <w:highlight w:val="none"/>
                <w:vertAlign w:val="baseline"/>
                <w:lang w:val="en-US" w:eastAsia="zh-CN"/>
              </w:rPr>
            </w:pPr>
            <w:r>
              <w:rPr>
                <w:rFonts w:hint="eastAsia" w:ascii="Times New Roman" w:hAnsi="Times New Roman" w:eastAsia="宋体" w:cs="Times New Roman"/>
                <w:highlight w:val="none"/>
                <w:vertAlign w:val="baseline"/>
                <w:lang w:val="en-US" w:eastAsia="zh-CN"/>
              </w:rPr>
              <w:t>储水池沉淀后，部分用于锅炉房内洒水抑尘，其余定期拉运至茂兴镇城镇污水管网处排放</w:t>
            </w:r>
          </w:p>
        </w:tc>
        <w:tc>
          <w:tcPr>
            <w:tcW w:w="714" w:type="pct"/>
            <w:vAlign w:val="center"/>
          </w:tcPr>
          <w:p w14:paraId="4E65E969">
            <w:pPr>
              <w:pStyle w:val="177"/>
              <w:jc w:val="center"/>
              <w:rPr>
                <w:rFonts w:hint="eastAsia" w:cs="Times New Roman"/>
                <w:highlight w:val="none"/>
                <w:vertAlign w:val="baseline"/>
                <w:lang w:val="en-US" w:eastAsia="zh-CN"/>
              </w:rPr>
            </w:pPr>
            <w:r>
              <w:rPr>
                <w:rFonts w:hint="eastAsia" w:cs="Times New Roman"/>
                <w:highlight w:val="none"/>
                <w:vertAlign w:val="baseline"/>
                <w:lang w:val="en-US" w:eastAsia="zh-CN"/>
              </w:rPr>
              <w:t>排入50m</w:t>
            </w:r>
            <w:r>
              <w:rPr>
                <w:rFonts w:hint="eastAsia" w:cs="Times New Roman"/>
                <w:highlight w:val="none"/>
                <w:vertAlign w:val="superscript"/>
                <w:lang w:val="en-US" w:eastAsia="zh-CN"/>
              </w:rPr>
              <w:t>3</w:t>
            </w:r>
            <w:r>
              <w:rPr>
                <w:rFonts w:hint="eastAsia" w:cs="Times New Roman"/>
                <w:highlight w:val="none"/>
                <w:vertAlign w:val="baseline"/>
                <w:lang w:val="en-US" w:eastAsia="zh-CN"/>
              </w:rPr>
              <w:t>防渗废水储池内，定期由罐车运至东辽县</w:t>
            </w:r>
          </w:p>
          <w:p w14:paraId="64394C05">
            <w:pPr>
              <w:pStyle w:val="177"/>
              <w:jc w:val="center"/>
              <w:rPr>
                <w:rFonts w:hint="eastAsia" w:cs="Times New Roman"/>
                <w:highlight w:val="none"/>
                <w:vertAlign w:val="baseline"/>
                <w:lang w:val="en-US" w:eastAsia="zh-CN"/>
              </w:rPr>
            </w:pPr>
            <w:r>
              <w:rPr>
                <w:rFonts w:hint="eastAsia" w:cs="Times New Roman"/>
                <w:highlight w:val="none"/>
                <w:vertAlign w:val="baseline"/>
                <w:lang w:val="en-US" w:eastAsia="zh-CN"/>
              </w:rPr>
              <w:t>安石镇污水处理站进行处理</w:t>
            </w:r>
          </w:p>
        </w:tc>
        <w:tc>
          <w:tcPr>
            <w:tcW w:w="714" w:type="pct"/>
            <w:vAlign w:val="center"/>
          </w:tcPr>
          <w:p w14:paraId="6A3893C5">
            <w:pPr>
              <w:pStyle w:val="177"/>
              <w:jc w:val="center"/>
              <w:rPr>
                <w:rFonts w:hint="default" w:ascii="Times New Roman" w:hAnsi="Times New Roman" w:eastAsia="宋体" w:cs="Times New Roman"/>
                <w:highlight w:val="none"/>
                <w:vertAlign w:val="baseline"/>
                <w:lang w:val="en-US" w:eastAsia="zh-CN"/>
              </w:rPr>
            </w:pPr>
            <w:r>
              <w:rPr>
                <w:rFonts w:hint="eastAsia" w:cs="Times New Roman"/>
                <w:highlight w:val="none"/>
                <w:vertAlign w:val="baseline"/>
                <w:lang w:val="en-US" w:eastAsia="zh-CN"/>
              </w:rPr>
              <w:t>降温、絮凝沉淀</w:t>
            </w:r>
          </w:p>
        </w:tc>
        <w:tc>
          <w:tcPr>
            <w:tcW w:w="714" w:type="pct"/>
            <w:vAlign w:val="center"/>
          </w:tcPr>
          <w:p w14:paraId="0D812DCB">
            <w:pPr>
              <w:pStyle w:val="177"/>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工艺相近</w:t>
            </w:r>
          </w:p>
        </w:tc>
      </w:tr>
      <w:tr w14:paraId="3EB6B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28433EC">
            <w:pPr>
              <w:pStyle w:val="177"/>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废水类别</w:t>
            </w:r>
          </w:p>
        </w:tc>
        <w:tc>
          <w:tcPr>
            <w:tcW w:w="714" w:type="pct"/>
            <w:vAlign w:val="center"/>
          </w:tcPr>
          <w:p w14:paraId="0AF95F6C">
            <w:pPr>
              <w:pStyle w:val="177"/>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锅炉排污水和软化处理废水</w:t>
            </w:r>
          </w:p>
        </w:tc>
        <w:tc>
          <w:tcPr>
            <w:tcW w:w="714" w:type="pct"/>
            <w:vAlign w:val="center"/>
          </w:tcPr>
          <w:p w14:paraId="07B14078">
            <w:pPr>
              <w:pStyle w:val="177"/>
              <w:jc w:val="center"/>
              <w:rPr>
                <w:rFonts w:hint="default" w:ascii="Times New Roman" w:hAnsi="Times New Roman" w:eastAsia="宋体" w:cs="Times New Roman"/>
                <w:strike w:val="0"/>
                <w:dstrike w:val="0"/>
                <w:highlight w:val="none"/>
                <w:vertAlign w:val="baseline"/>
                <w:lang w:val="en-US" w:eastAsia="zh-CN"/>
              </w:rPr>
            </w:pPr>
            <w:r>
              <w:rPr>
                <w:rFonts w:hint="default" w:ascii="Times New Roman" w:hAnsi="Times New Roman" w:eastAsia="宋体" w:cs="Times New Roman"/>
                <w:strike w:val="0"/>
                <w:dstrike w:val="0"/>
                <w:highlight w:val="none"/>
                <w:vertAlign w:val="baseline"/>
                <w:lang w:val="en-US" w:eastAsia="zh-CN"/>
              </w:rPr>
              <w:t>软水制备废水和锅炉排污水</w:t>
            </w:r>
          </w:p>
        </w:tc>
        <w:tc>
          <w:tcPr>
            <w:tcW w:w="714" w:type="pct"/>
            <w:vAlign w:val="center"/>
          </w:tcPr>
          <w:p w14:paraId="649FAD21">
            <w:pPr>
              <w:pStyle w:val="177"/>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锅炉排污水和软化处理废水</w:t>
            </w:r>
          </w:p>
        </w:tc>
        <w:tc>
          <w:tcPr>
            <w:tcW w:w="714" w:type="pct"/>
            <w:vAlign w:val="center"/>
          </w:tcPr>
          <w:p w14:paraId="0C6B4643">
            <w:pPr>
              <w:pStyle w:val="177"/>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锅炉软水制备</w:t>
            </w:r>
          </w:p>
          <w:p w14:paraId="781C79B8">
            <w:pPr>
              <w:pStyle w:val="177"/>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设施排污水、锅炉定期排污水</w:t>
            </w:r>
          </w:p>
        </w:tc>
        <w:tc>
          <w:tcPr>
            <w:tcW w:w="714" w:type="pct"/>
            <w:vAlign w:val="center"/>
          </w:tcPr>
          <w:p w14:paraId="3EDCBA7E">
            <w:pPr>
              <w:pStyle w:val="177"/>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锅炉排污水和软化处理废水</w:t>
            </w:r>
          </w:p>
        </w:tc>
        <w:tc>
          <w:tcPr>
            <w:tcW w:w="714" w:type="pct"/>
            <w:vAlign w:val="center"/>
          </w:tcPr>
          <w:p w14:paraId="3A751155">
            <w:pPr>
              <w:pStyle w:val="177"/>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废水类别类似</w:t>
            </w:r>
          </w:p>
        </w:tc>
      </w:tr>
    </w:tbl>
    <w:p w14:paraId="16F73146">
      <w:pPr>
        <w:spacing w:line="360" w:lineRule="auto"/>
        <w:ind w:firstLine="482"/>
        <w:jc w:val="center"/>
        <w:rPr>
          <w:rFonts w:hint="eastAsia"/>
          <w:b/>
          <w:bCs/>
          <w:color w:val="auto"/>
          <w:sz w:val="24"/>
          <w:szCs w:val="24"/>
          <w:highlight w:val="none"/>
        </w:rPr>
      </w:pPr>
    </w:p>
    <w:p w14:paraId="3BACE4C3">
      <w:pPr>
        <w:spacing w:line="360" w:lineRule="auto"/>
        <w:ind w:firstLine="482"/>
        <w:jc w:val="center"/>
        <w:rPr>
          <w:rFonts w:hint="eastAsia"/>
          <w:b/>
          <w:bCs/>
          <w:color w:val="auto"/>
          <w:sz w:val="24"/>
          <w:szCs w:val="24"/>
          <w:highlight w:val="none"/>
        </w:rPr>
      </w:pPr>
      <w:r>
        <w:rPr>
          <w:rFonts w:hint="eastAsia"/>
          <w:b/>
          <w:bCs/>
          <w:color w:val="auto"/>
          <w:sz w:val="24"/>
          <w:szCs w:val="24"/>
          <w:highlight w:val="none"/>
        </w:rPr>
        <w:t>表</w:t>
      </w:r>
      <w:r>
        <w:rPr>
          <w:rFonts w:hint="eastAsia"/>
          <w:b/>
          <w:bCs/>
          <w:color w:val="auto"/>
          <w:sz w:val="24"/>
          <w:szCs w:val="24"/>
          <w:highlight w:val="none"/>
          <w:lang w:val="en-US" w:eastAsia="zh-CN"/>
        </w:rPr>
        <w:t xml:space="preserve">4-8  </w:t>
      </w:r>
      <w:r>
        <w:rPr>
          <w:rFonts w:hint="eastAsia"/>
          <w:b/>
          <w:bCs/>
          <w:color w:val="auto"/>
          <w:sz w:val="24"/>
          <w:szCs w:val="24"/>
          <w:highlight w:val="none"/>
        </w:rPr>
        <w:t>废水类别、污染物及治理设施信息表</w:t>
      </w:r>
    </w:p>
    <w:tbl>
      <w:tblPr>
        <w:tblStyle w:val="67"/>
        <w:tblW w:w="498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4"/>
        <w:gridCol w:w="877"/>
        <w:gridCol w:w="1927"/>
        <w:gridCol w:w="1207"/>
        <w:gridCol w:w="701"/>
        <w:gridCol w:w="1179"/>
        <w:gridCol w:w="945"/>
        <w:gridCol w:w="1101"/>
        <w:gridCol w:w="1033"/>
        <w:gridCol w:w="1392"/>
        <w:gridCol w:w="1125"/>
        <w:gridCol w:w="1280"/>
      </w:tblGrid>
      <w:tr w14:paraId="0E65D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160" w:type="pct"/>
            <w:vMerge w:val="restart"/>
            <w:tcBorders>
              <w:tl2br w:val="nil"/>
              <w:tr2bl w:val="nil"/>
            </w:tcBorders>
            <w:noWrap w:val="0"/>
            <w:vAlign w:val="center"/>
          </w:tcPr>
          <w:p w14:paraId="2D255C40">
            <w:pPr>
              <w:pStyle w:val="110"/>
              <w:ind w:left="-2"/>
              <w:rPr>
                <w:b/>
                <w:bCs/>
                <w:color w:val="auto"/>
                <w:highlight w:val="none"/>
              </w:rPr>
            </w:pPr>
            <w:r>
              <w:rPr>
                <w:rFonts w:hint="eastAsia"/>
                <w:b/>
                <w:bCs/>
                <w:color w:val="auto"/>
                <w:highlight w:val="none"/>
              </w:rPr>
              <w:t>序号</w:t>
            </w:r>
          </w:p>
        </w:tc>
        <w:tc>
          <w:tcPr>
            <w:tcW w:w="332" w:type="pct"/>
            <w:vMerge w:val="restart"/>
            <w:tcBorders>
              <w:tl2br w:val="nil"/>
              <w:tr2bl w:val="nil"/>
            </w:tcBorders>
            <w:noWrap w:val="0"/>
            <w:vAlign w:val="center"/>
          </w:tcPr>
          <w:p w14:paraId="0DAEF77F">
            <w:pPr>
              <w:pStyle w:val="110"/>
              <w:ind w:left="-2"/>
              <w:jc w:val="center"/>
              <w:rPr>
                <w:b/>
                <w:bCs/>
                <w:color w:val="auto"/>
                <w:highlight w:val="none"/>
              </w:rPr>
            </w:pPr>
            <w:r>
              <w:rPr>
                <w:rFonts w:hint="eastAsia"/>
                <w:b/>
                <w:bCs/>
                <w:color w:val="auto"/>
                <w:highlight w:val="none"/>
              </w:rPr>
              <w:t>废水</w:t>
            </w:r>
          </w:p>
          <w:p w14:paraId="7E0C4E54">
            <w:pPr>
              <w:pStyle w:val="110"/>
              <w:ind w:left="-2"/>
              <w:jc w:val="center"/>
              <w:rPr>
                <w:b/>
                <w:bCs/>
                <w:color w:val="auto"/>
                <w:highlight w:val="none"/>
              </w:rPr>
            </w:pPr>
            <w:r>
              <w:rPr>
                <w:rFonts w:hint="eastAsia"/>
                <w:b/>
                <w:bCs/>
                <w:color w:val="auto"/>
                <w:highlight w:val="none"/>
              </w:rPr>
              <w:t>类别</w:t>
            </w:r>
          </w:p>
        </w:tc>
        <w:tc>
          <w:tcPr>
            <w:tcW w:w="730" w:type="pct"/>
            <w:vMerge w:val="restart"/>
            <w:tcBorders>
              <w:tl2br w:val="nil"/>
              <w:tr2bl w:val="nil"/>
            </w:tcBorders>
            <w:noWrap w:val="0"/>
            <w:vAlign w:val="center"/>
          </w:tcPr>
          <w:p w14:paraId="1F89D92C">
            <w:pPr>
              <w:pStyle w:val="110"/>
              <w:ind w:left="-2"/>
              <w:jc w:val="center"/>
              <w:rPr>
                <w:b/>
                <w:bCs/>
                <w:color w:val="auto"/>
                <w:highlight w:val="none"/>
              </w:rPr>
            </w:pPr>
            <w:r>
              <w:rPr>
                <w:rFonts w:hint="eastAsia"/>
                <w:b/>
                <w:bCs/>
                <w:color w:val="auto"/>
                <w:highlight w:val="none"/>
              </w:rPr>
              <w:t>污染物种类</w:t>
            </w:r>
          </w:p>
        </w:tc>
        <w:tc>
          <w:tcPr>
            <w:tcW w:w="457" w:type="pct"/>
            <w:vMerge w:val="restart"/>
            <w:tcBorders>
              <w:tl2br w:val="nil"/>
              <w:tr2bl w:val="nil"/>
            </w:tcBorders>
            <w:noWrap w:val="0"/>
            <w:vAlign w:val="center"/>
          </w:tcPr>
          <w:p w14:paraId="568D458C">
            <w:pPr>
              <w:pStyle w:val="110"/>
              <w:ind w:left="-2"/>
              <w:rPr>
                <w:b/>
                <w:bCs/>
                <w:color w:val="auto"/>
                <w:highlight w:val="none"/>
              </w:rPr>
            </w:pPr>
            <w:r>
              <w:rPr>
                <w:rFonts w:hint="eastAsia"/>
                <w:b/>
                <w:bCs/>
                <w:color w:val="auto"/>
                <w:highlight w:val="none"/>
              </w:rPr>
              <w:t>排放去向</w:t>
            </w:r>
          </w:p>
        </w:tc>
        <w:tc>
          <w:tcPr>
            <w:tcW w:w="265" w:type="pct"/>
            <w:vMerge w:val="restart"/>
            <w:tcBorders>
              <w:tl2br w:val="nil"/>
              <w:tr2bl w:val="nil"/>
            </w:tcBorders>
            <w:noWrap w:val="0"/>
            <w:vAlign w:val="center"/>
          </w:tcPr>
          <w:p w14:paraId="2EE51762">
            <w:pPr>
              <w:pStyle w:val="110"/>
              <w:ind w:left="-2"/>
              <w:rPr>
                <w:b/>
                <w:bCs/>
                <w:color w:val="auto"/>
                <w:highlight w:val="none"/>
              </w:rPr>
            </w:pPr>
            <w:r>
              <w:rPr>
                <w:rFonts w:hint="eastAsia"/>
                <w:b/>
                <w:bCs/>
                <w:color w:val="auto"/>
                <w:highlight w:val="none"/>
              </w:rPr>
              <w:t>排放规律</w:t>
            </w:r>
          </w:p>
        </w:tc>
        <w:tc>
          <w:tcPr>
            <w:tcW w:w="1222" w:type="pct"/>
            <w:gridSpan w:val="3"/>
            <w:tcBorders>
              <w:tl2br w:val="nil"/>
              <w:tr2bl w:val="nil"/>
            </w:tcBorders>
            <w:noWrap w:val="0"/>
            <w:vAlign w:val="center"/>
          </w:tcPr>
          <w:p w14:paraId="6333EEF3">
            <w:pPr>
              <w:pStyle w:val="110"/>
              <w:ind w:left="-2"/>
              <w:rPr>
                <w:b/>
                <w:bCs/>
                <w:color w:val="auto"/>
                <w:highlight w:val="none"/>
              </w:rPr>
            </w:pPr>
            <w:r>
              <w:rPr>
                <w:rFonts w:hint="eastAsia"/>
                <w:b/>
                <w:bCs/>
                <w:color w:val="auto"/>
                <w:highlight w:val="none"/>
              </w:rPr>
              <w:t>污染治理设施</w:t>
            </w:r>
          </w:p>
        </w:tc>
        <w:tc>
          <w:tcPr>
            <w:tcW w:w="391" w:type="pct"/>
            <w:vMerge w:val="restart"/>
            <w:tcBorders>
              <w:tl2br w:val="nil"/>
              <w:tr2bl w:val="nil"/>
            </w:tcBorders>
            <w:noWrap w:val="0"/>
            <w:vAlign w:val="center"/>
          </w:tcPr>
          <w:p w14:paraId="0B5156F3">
            <w:pPr>
              <w:pStyle w:val="110"/>
              <w:ind w:left="-2"/>
              <w:rPr>
                <w:b/>
                <w:bCs/>
                <w:color w:val="auto"/>
                <w:highlight w:val="none"/>
              </w:rPr>
            </w:pPr>
            <w:r>
              <w:rPr>
                <w:rFonts w:hint="eastAsia"/>
                <w:b/>
                <w:bCs/>
                <w:color w:val="auto"/>
                <w:highlight w:val="none"/>
              </w:rPr>
              <w:t>排放口编号</w:t>
            </w:r>
          </w:p>
        </w:tc>
        <w:tc>
          <w:tcPr>
            <w:tcW w:w="527" w:type="pct"/>
            <w:vMerge w:val="restart"/>
            <w:tcBorders>
              <w:tl2br w:val="nil"/>
              <w:tr2bl w:val="nil"/>
            </w:tcBorders>
            <w:noWrap w:val="0"/>
            <w:vAlign w:val="center"/>
          </w:tcPr>
          <w:p w14:paraId="060F34D8">
            <w:pPr>
              <w:pStyle w:val="110"/>
              <w:ind w:left="-2"/>
              <w:rPr>
                <w:b/>
                <w:bCs/>
                <w:color w:val="auto"/>
                <w:highlight w:val="none"/>
              </w:rPr>
            </w:pPr>
            <w:r>
              <w:rPr>
                <w:rFonts w:hint="eastAsia"/>
                <w:b/>
                <w:bCs/>
                <w:color w:val="auto"/>
                <w:highlight w:val="none"/>
              </w:rPr>
              <w:t>排放口设置是否符合要求</w:t>
            </w:r>
          </w:p>
        </w:tc>
        <w:tc>
          <w:tcPr>
            <w:tcW w:w="426" w:type="pct"/>
            <w:vMerge w:val="restart"/>
            <w:tcBorders>
              <w:tl2br w:val="nil"/>
              <w:tr2bl w:val="nil"/>
            </w:tcBorders>
            <w:noWrap w:val="0"/>
            <w:vAlign w:val="center"/>
          </w:tcPr>
          <w:p w14:paraId="558C3832">
            <w:pPr>
              <w:pStyle w:val="110"/>
              <w:ind w:left="-2"/>
              <w:rPr>
                <w:b/>
                <w:bCs/>
                <w:color w:val="auto"/>
                <w:highlight w:val="none"/>
              </w:rPr>
            </w:pPr>
            <w:r>
              <w:rPr>
                <w:rFonts w:hint="eastAsia"/>
                <w:b/>
                <w:bCs/>
                <w:color w:val="auto"/>
                <w:highlight w:val="none"/>
              </w:rPr>
              <w:t>排放口类型</w:t>
            </w:r>
          </w:p>
        </w:tc>
        <w:tc>
          <w:tcPr>
            <w:tcW w:w="485" w:type="pct"/>
            <w:vMerge w:val="restart"/>
            <w:tcBorders>
              <w:tl2br w:val="nil"/>
              <w:tr2bl w:val="nil"/>
            </w:tcBorders>
            <w:noWrap w:val="0"/>
            <w:vAlign w:val="center"/>
          </w:tcPr>
          <w:p w14:paraId="4320D2E6">
            <w:pPr>
              <w:pStyle w:val="110"/>
              <w:ind w:left="-2"/>
              <w:rPr>
                <w:rFonts w:hint="default"/>
                <w:b/>
                <w:bCs/>
                <w:color w:val="auto"/>
                <w:highlight w:val="none"/>
                <w:lang w:val="en-US" w:eastAsia="zh-CN"/>
              </w:rPr>
            </w:pPr>
            <w:r>
              <w:rPr>
                <w:rFonts w:hint="eastAsia"/>
                <w:b/>
                <w:bCs/>
                <w:color w:val="auto"/>
                <w:highlight w:val="none"/>
                <w:lang w:val="en-US" w:eastAsia="zh-CN"/>
              </w:rPr>
              <w:t>其他信息</w:t>
            </w:r>
          </w:p>
        </w:tc>
      </w:tr>
      <w:tr w14:paraId="2156B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160" w:type="pct"/>
            <w:vMerge w:val="continue"/>
            <w:tcBorders>
              <w:tl2br w:val="nil"/>
              <w:tr2bl w:val="nil"/>
            </w:tcBorders>
            <w:noWrap w:val="0"/>
            <w:vAlign w:val="center"/>
          </w:tcPr>
          <w:p w14:paraId="2EACF9E6">
            <w:pPr>
              <w:widowControl/>
              <w:jc w:val="left"/>
              <w:rPr>
                <w:color w:val="auto"/>
                <w:highlight w:val="none"/>
              </w:rPr>
            </w:pPr>
          </w:p>
        </w:tc>
        <w:tc>
          <w:tcPr>
            <w:tcW w:w="332" w:type="pct"/>
            <w:vMerge w:val="continue"/>
            <w:tcBorders>
              <w:tl2br w:val="nil"/>
              <w:tr2bl w:val="nil"/>
            </w:tcBorders>
            <w:noWrap w:val="0"/>
            <w:vAlign w:val="center"/>
          </w:tcPr>
          <w:p w14:paraId="7CDA25E7">
            <w:pPr>
              <w:widowControl/>
              <w:jc w:val="left"/>
              <w:rPr>
                <w:color w:val="auto"/>
                <w:highlight w:val="none"/>
              </w:rPr>
            </w:pPr>
          </w:p>
        </w:tc>
        <w:tc>
          <w:tcPr>
            <w:tcW w:w="730" w:type="pct"/>
            <w:vMerge w:val="continue"/>
            <w:tcBorders>
              <w:tl2br w:val="nil"/>
              <w:tr2bl w:val="nil"/>
            </w:tcBorders>
            <w:noWrap w:val="0"/>
            <w:vAlign w:val="center"/>
          </w:tcPr>
          <w:p w14:paraId="7D9F6B85">
            <w:pPr>
              <w:widowControl/>
              <w:jc w:val="left"/>
              <w:rPr>
                <w:color w:val="auto"/>
                <w:highlight w:val="none"/>
              </w:rPr>
            </w:pPr>
          </w:p>
        </w:tc>
        <w:tc>
          <w:tcPr>
            <w:tcW w:w="457" w:type="pct"/>
            <w:vMerge w:val="continue"/>
            <w:tcBorders>
              <w:tl2br w:val="nil"/>
              <w:tr2bl w:val="nil"/>
            </w:tcBorders>
            <w:noWrap w:val="0"/>
            <w:vAlign w:val="center"/>
          </w:tcPr>
          <w:p w14:paraId="75A9FA13">
            <w:pPr>
              <w:widowControl/>
              <w:jc w:val="left"/>
              <w:rPr>
                <w:color w:val="auto"/>
                <w:highlight w:val="none"/>
              </w:rPr>
            </w:pPr>
          </w:p>
        </w:tc>
        <w:tc>
          <w:tcPr>
            <w:tcW w:w="265" w:type="pct"/>
            <w:vMerge w:val="continue"/>
            <w:tcBorders>
              <w:tl2br w:val="nil"/>
              <w:tr2bl w:val="nil"/>
            </w:tcBorders>
            <w:noWrap w:val="0"/>
            <w:vAlign w:val="center"/>
          </w:tcPr>
          <w:p w14:paraId="3C8FED8A">
            <w:pPr>
              <w:widowControl/>
              <w:jc w:val="left"/>
              <w:rPr>
                <w:color w:val="auto"/>
                <w:highlight w:val="none"/>
              </w:rPr>
            </w:pPr>
          </w:p>
        </w:tc>
        <w:tc>
          <w:tcPr>
            <w:tcW w:w="446" w:type="pct"/>
            <w:tcBorders>
              <w:tl2br w:val="nil"/>
              <w:tr2bl w:val="nil"/>
            </w:tcBorders>
            <w:noWrap w:val="0"/>
            <w:vAlign w:val="center"/>
          </w:tcPr>
          <w:p w14:paraId="4DCBEE01">
            <w:pPr>
              <w:pStyle w:val="110"/>
              <w:ind w:left="-2"/>
              <w:rPr>
                <w:b/>
                <w:bCs/>
                <w:color w:val="auto"/>
                <w:highlight w:val="none"/>
              </w:rPr>
            </w:pPr>
            <w:r>
              <w:rPr>
                <w:rFonts w:hint="eastAsia"/>
                <w:b/>
                <w:bCs/>
                <w:color w:val="auto"/>
                <w:highlight w:val="none"/>
              </w:rPr>
              <w:t>污染治理设施编号</w:t>
            </w:r>
          </w:p>
        </w:tc>
        <w:tc>
          <w:tcPr>
            <w:tcW w:w="358" w:type="pct"/>
            <w:tcBorders>
              <w:tl2br w:val="nil"/>
              <w:tr2bl w:val="nil"/>
            </w:tcBorders>
            <w:noWrap w:val="0"/>
            <w:vAlign w:val="center"/>
          </w:tcPr>
          <w:p w14:paraId="1B8D29C1">
            <w:pPr>
              <w:pStyle w:val="110"/>
              <w:ind w:left="-2"/>
              <w:rPr>
                <w:b/>
                <w:bCs/>
                <w:color w:val="auto"/>
                <w:highlight w:val="none"/>
              </w:rPr>
            </w:pPr>
            <w:r>
              <w:rPr>
                <w:rFonts w:hint="eastAsia"/>
                <w:b/>
                <w:bCs/>
                <w:color w:val="auto"/>
                <w:highlight w:val="none"/>
              </w:rPr>
              <w:t>污染治理设施名称</w:t>
            </w:r>
          </w:p>
        </w:tc>
        <w:tc>
          <w:tcPr>
            <w:tcW w:w="417" w:type="pct"/>
            <w:tcBorders>
              <w:tl2br w:val="nil"/>
              <w:tr2bl w:val="nil"/>
            </w:tcBorders>
            <w:noWrap w:val="0"/>
            <w:vAlign w:val="center"/>
          </w:tcPr>
          <w:p w14:paraId="7AD30D93">
            <w:pPr>
              <w:pStyle w:val="110"/>
              <w:ind w:left="-2"/>
              <w:rPr>
                <w:b/>
                <w:bCs/>
                <w:color w:val="auto"/>
                <w:highlight w:val="none"/>
              </w:rPr>
            </w:pPr>
            <w:r>
              <w:rPr>
                <w:rFonts w:hint="eastAsia"/>
                <w:b/>
                <w:bCs/>
                <w:color w:val="auto"/>
                <w:highlight w:val="none"/>
              </w:rPr>
              <w:t>污染治理设施工艺</w:t>
            </w:r>
          </w:p>
        </w:tc>
        <w:tc>
          <w:tcPr>
            <w:tcW w:w="391" w:type="pct"/>
            <w:vMerge w:val="continue"/>
            <w:tcBorders>
              <w:tl2br w:val="nil"/>
              <w:tr2bl w:val="nil"/>
            </w:tcBorders>
            <w:noWrap w:val="0"/>
            <w:vAlign w:val="center"/>
          </w:tcPr>
          <w:p w14:paraId="5DF69348">
            <w:pPr>
              <w:widowControl/>
              <w:jc w:val="left"/>
              <w:rPr>
                <w:color w:val="auto"/>
                <w:highlight w:val="none"/>
              </w:rPr>
            </w:pPr>
          </w:p>
        </w:tc>
        <w:tc>
          <w:tcPr>
            <w:tcW w:w="527" w:type="pct"/>
            <w:vMerge w:val="continue"/>
            <w:tcBorders>
              <w:tl2br w:val="nil"/>
              <w:tr2bl w:val="nil"/>
            </w:tcBorders>
            <w:noWrap w:val="0"/>
            <w:vAlign w:val="center"/>
          </w:tcPr>
          <w:p w14:paraId="648FB7BB">
            <w:pPr>
              <w:widowControl/>
              <w:jc w:val="left"/>
              <w:rPr>
                <w:color w:val="auto"/>
                <w:highlight w:val="none"/>
              </w:rPr>
            </w:pPr>
          </w:p>
        </w:tc>
        <w:tc>
          <w:tcPr>
            <w:tcW w:w="426" w:type="pct"/>
            <w:vMerge w:val="continue"/>
            <w:tcBorders>
              <w:tl2br w:val="nil"/>
              <w:tr2bl w:val="nil"/>
            </w:tcBorders>
            <w:noWrap w:val="0"/>
            <w:vAlign w:val="center"/>
          </w:tcPr>
          <w:p w14:paraId="41F7A4D5">
            <w:pPr>
              <w:widowControl/>
              <w:jc w:val="left"/>
              <w:rPr>
                <w:color w:val="auto"/>
                <w:highlight w:val="none"/>
              </w:rPr>
            </w:pPr>
          </w:p>
        </w:tc>
        <w:tc>
          <w:tcPr>
            <w:tcW w:w="485" w:type="pct"/>
            <w:vMerge w:val="continue"/>
            <w:tcBorders>
              <w:tl2br w:val="nil"/>
              <w:tr2bl w:val="nil"/>
            </w:tcBorders>
            <w:noWrap w:val="0"/>
            <w:vAlign w:val="center"/>
          </w:tcPr>
          <w:p w14:paraId="6792A75C">
            <w:pPr>
              <w:widowControl/>
              <w:jc w:val="left"/>
              <w:rPr>
                <w:color w:val="auto"/>
                <w:highlight w:val="none"/>
              </w:rPr>
            </w:pPr>
          </w:p>
        </w:tc>
      </w:tr>
      <w:tr w14:paraId="4D676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160" w:type="pct"/>
            <w:tcBorders>
              <w:tl2br w:val="nil"/>
              <w:tr2bl w:val="nil"/>
            </w:tcBorders>
            <w:noWrap w:val="0"/>
            <w:vAlign w:val="center"/>
          </w:tcPr>
          <w:p w14:paraId="1897512B">
            <w:pPr>
              <w:pStyle w:val="110"/>
              <w:ind w:left="-2"/>
              <w:rPr>
                <w:color w:val="auto"/>
                <w:highlight w:val="none"/>
              </w:rPr>
            </w:pPr>
            <w:r>
              <w:rPr>
                <w:rFonts w:hint="eastAsia"/>
                <w:color w:val="auto"/>
                <w:highlight w:val="none"/>
              </w:rPr>
              <w:t>1</w:t>
            </w:r>
          </w:p>
        </w:tc>
        <w:tc>
          <w:tcPr>
            <w:tcW w:w="332" w:type="pct"/>
            <w:tcBorders>
              <w:tl2br w:val="nil"/>
              <w:tr2bl w:val="nil"/>
            </w:tcBorders>
            <w:noWrap w:val="0"/>
            <w:vAlign w:val="center"/>
          </w:tcPr>
          <w:p w14:paraId="0F062E62">
            <w:pPr>
              <w:pStyle w:val="110"/>
              <w:ind w:left="-2"/>
              <w:rPr>
                <w:color w:val="auto"/>
                <w:highlight w:val="none"/>
              </w:rPr>
            </w:pPr>
            <w:r>
              <w:rPr>
                <w:rFonts w:hint="eastAsia"/>
                <w:color w:val="auto"/>
                <w:highlight w:val="none"/>
              </w:rPr>
              <w:t>生活污水</w:t>
            </w:r>
          </w:p>
        </w:tc>
        <w:tc>
          <w:tcPr>
            <w:tcW w:w="730" w:type="pct"/>
            <w:tcBorders>
              <w:tl2br w:val="nil"/>
              <w:tr2bl w:val="nil"/>
            </w:tcBorders>
            <w:noWrap w:val="0"/>
            <w:vAlign w:val="center"/>
          </w:tcPr>
          <w:p w14:paraId="36E7459F">
            <w:pPr>
              <w:pStyle w:val="110"/>
              <w:ind w:left="-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化学需氧量、氨氮、pH值、悬浮物、五日生化需氧量</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动植物油</w:t>
            </w:r>
          </w:p>
        </w:tc>
        <w:tc>
          <w:tcPr>
            <w:tcW w:w="457" w:type="pct"/>
            <w:tcBorders>
              <w:tl2br w:val="nil"/>
              <w:tr2bl w:val="nil"/>
            </w:tcBorders>
            <w:noWrap w:val="0"/>
            <w:vAlign w:val="center"/>
          </w:tcPr>
          <w:p w14:paraId="60A47B2F">
            <w:pPr>
              <w:pStyle w:val="110"/>
              <w:ind w:left="-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生活污水经三级化粪池处理后用于厂区周边绿化，不外排</w:t>
            </w:r>
          </w:p>
        </w:tc>
        <w:tc>
          <w:tcPr>
            <w:tcW w:w="265" w:type="pct"/>
            <w:tcBorders>
              <w:tl2br w:val="nil"/>
              <w:tr2bl w:val="nil"/>
            </w:tcBorders>
            <w:noWrap w:val="0"/>
            <w:vAlign w:val="center"/>
          </w:tcPr>
          <w:p w14:paraId="27994DA9">
            <w:pPr>
              <w:pStyle w:val="110"/>
              <w:ind w:left="-2"/>
              <w:rPr>
                <w:rFonts w:hint="eastAsia"/>
                <w:color w:val="auto"/>
                <w:highlight w:val="none"/>
                <w:lang w:eastAsia="zh-CN"/>
              </w:rPr>
            </w:pPr>
            <w:r>
              <w:rPr>
                <w:rFonts w:hint="eastAsia"/>
                <w:color w:val="auto"/>
                <w:highlight w:val="none"/>
                <w:lang w:val="en-US" w:eastAsia="zh-CN"/>
              </w:rPr>
              <w:t>/</w:t>
            </w:r>
          </w:p>
        </w:tc>
        <w:tc>
          <w:tcPr>
            <w:tcW w:w="446" w:type="pct"/>
            <w:tcBorders>
              <w:tl2br w:val="nil"/>
              <w:tr2bl w:val="nil"/>
            </w:tcBorders>
            <w:noWrap w:val="0"/>
            <w:vAlign w:val="center"/>
          </w:tcPr>
          <w:p w14:paraId="61E2197E">
            <w:pPr>
              <w:pStyle w:val="110"/>
              <w:ind w:left="-2"/>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TW00</w:t>
            </w:r>
            <w:r>
              <w:rPr>
                <w:rFonts w:hint="eastAsia" w:ascii="Times New Roman" w:hAnsi="Times New Roman" w:cs="Times New Roman"/>
                <w:color w:val="auto"/>
                <w:highlight w:val="none"/>
                <w:lang w:val="en-US" w:eastAsia="zh-CN"/>
              </w:rPr>
              <w:t>1</w:t>
            </w:r>
          </w:p>
        </w:tc>
        <w:tc>
          <w:tcPr>
            <w:tcW w:w="358" w:type="pct"/>
            <w:tcBorders>
              <w:tl2br w:val="nil"/>
              <w:tr2bl w:val="nil"/>
            </w:tcBorders>
            <w:noWrap w:val="0"/>
            <w:vAlign w:val="center"/>
          </w:tcPr>
          <w:p w14:paraId="19C3D627">
            <w:pPr>
              <w:pStyle w:val="110"/>
              <w:ind w:left="-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三级化粪池</w:t>
            </w:r>
          </w:p>
        </w:tc>
        <w:tc>
          <w:tcPr>
            <w:tcW w:w="417" w:type="pct"/>
            <w:tcBorders>
              <w:tl2br w:val="nil"/>
              <w:tr2bl w:val="nil"/>
            </w:tcBorders>
            <w:noWrap w:val="0"/>
            <w:vAlign w:val="center"/>
          </w:tcPr>
          <w:p w14:paraId="2479CA9B">
            <w:pPr>
              <w:pStyle w:val="110"/>
              <w:ind w:left="-2"/>
              <w:rPr>
                <w:rFonts w:hint="default"/>
                <w:color w:val="auto"/>
                <w:highlight w:val="none"/>
                <w:lang w:val="en-US"/>
              </w:rPr>
            </w:pPr>
            <w:r>
              <w:rPr>
                <w:rFonts w:hint="eastAsia"/>
                <w:color w:val="auto"/>
                <w:highlight w:val="none"/>
                <w:lang w:val="en-US" w:eastAsia="zh-CN"/>
              </w:rPr>
              <w:t>三级化粪池处理</w:t>
            </w:r>
          </w:p>
        </w:tc>
        <w:tc>
          <w:tcPr>
            <w:tcW w:w="391" w:type="pct"/>
            <w:tcBorders>
              <w:tl2br w:val="nil"/>
              <w:tr2bl w:val="nil"/>
            </w:tcBorders>
            <w:noWrap w:val="0"/>
            <w:vAlign w:val="center"/>
          </w:tcPr>
          <w:p w14:paraId="673475AC">
            <w:pPr>
              <w:pStyle w:val="110"/>
              <w:ind w:left="-2"/>
              <w:rPr>
                <w:rFonts w:hint="eastAsia" w:eastAsia="宋体"/>
                <w:color w:val="auto"/>
                <w:highlight w:val="none"/>
                <w:lang w:eastAsia="zh-CN"/>
              </w:rPr>
            </w:pPr>
            <w:r>
              <w:rPr>
                <w:rFonts w:hint="eastAsia"/>
                <w:color w:val="auto"/>
                <w:highlight w:val="none"/>
                <w:lang w:val="en-US" w:eastAsia="zh-CN"/>
              </w:rPr>
              <w:t>/</w:t>
            </w:r>
          </w:p>
        </w:tc>
        <w:tc>
          <w:tcPr>
            <w:tcW w:w="527" w:type="pct"/>
            <w:tcBorders>
              <w:tl2br w:val="nil"/>
              <w:tr2bl w:val="nil"/>
            </w:tcBorders>
            <w:noWrap w:val="0"/>
            <w:vAlign w:val="center"/>
          </w:tcPr>
          <w:p w14:paraId="730692D6">
            <w:pPr>
              <w:pStyle w:val="110"/>
              <w:ind w:left="-2"/>
              <w:rPr>
                <w:rFonts w:hint="default"/>
                <w:color w:val="auto"/>
                <w:highlight w:val="none"/>
                <w:lang w:val="en-US" w:eastAsia="zh-CN"/>
              </w:rPr>
            </w:pPr>
            <w:r>
              <w:rPr>
                <w:rFonts w:hint="eastAsia"/>
                <w:color w:val="auto"/>
                <w:highlight w:val="none"/>
                <w:lang w:val="en-US" w:eastAsia="zh-CN"/>
              </w:rPr>
              <w:t>/</w:t>
            </w:r>
          </w:p>
        </w:tc>
        <w:tc>
          <w:tcPr>
            <w:tcW w:w="426" w:type="pct"/>
            <w:tcBorders>
              <w:tl2br w:val="nil"/>
              <w:tr2bl w:val="nil"/>
            </w:tcBorders>
            <w:noWrap w:val="0"/>
            <w:vAlign w:val="center"/>
          </w:tcPr>
          <w:p w14:paraId="5DD003D4">
            <w:pPr>
              <w:pStyle w:val="110"/>
              <w:ind w:left="-2"/>
              <w:rPr>
                <w:rFonts w:hint="default"/>
                <w:color w:val="auto"/>
                <w:highlight w:val="none"/>
                <w:lang w:val="en-US" w:eastAsia="zh-CN"/>
              </w:rPr>
            </w:pPr>
            <w:r>
              <w:rPr>
                <w:rFonts w:hint="eastAsia"/>
                <w:color w:val="auto"/>
                <w:highlight w:val="none"/>
                <w:lang w:val="en-US" w:eastAsia="zh-CN"/>
              </w:rPr>
              <w:t>/</w:t>
            </w:r>
          </w:p>
        </w:tc>
        <w:tc>
          <w:tcPr>
            <w:tcW w:w="485" w:type="pct"/>
            <w:tcBorders>
              <w:tl2br w:val="nil"/>
              <w:tr2bl w:val="nil"/>
            </w:tcBorders>
            <w:noWrap w:val="0"/>
            <w:vAlign w:val="center"/>
          </w:tcPr>
          <w:p w14:paraId="46FAB80C">
            <w:pPr>
              <w:pStyle w:val="110"/>
              <w:ind w:left="-2"/>
              <w:rPr>
                <w:rFonts w:hint="default" w:eastAsia="宋体"/>
                <w:color w:val="auto"/>
                <w:highlight w:val="none"/>
                <w:lang w:val="en-US" w:eastAsia="zh-CN"/>
              </w:rPr>
            </w:pPr>
            <w:r>
              <w:rPr>
                <w:rFonts w:hint="eastAsia" w:eastAsia="宋体"/>
                <w:color w:val="auto"/>
                <w:highlight w:val="none"/>
                <w:lang w:val="en-US" w:eastAsia="zh-CN"/>
              </w:rPr>
              <w:t>/</w:t>
            </w:r>
          </w:p>
        </w:tc>
      </w:tr>
      <w:tr w14:paraId="1B115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160" w:type="pct"/>
            <w:tcBorders>
              <w:tl2br w:val="nil"/>
              <w:tr2bl w:val="nil"/>
            </w:tcBorders>
            <w:noWrap w:val="0"/>
            <w:vAlign w:val="center"/>
          </w:tcPr>
          <w:p w14:paraId="35C2B425">
            <w:pPr>
              <w:pStyle w:val="110"/>
              <w:ind w:left="-2"/>
              <w:rPr>
                <w:rFonts w:hint="eastAsia" w:eastAsia="宋体"/>
                <w:color w:val="auto"/>
                <w:highlight w:val="none"/>
                <w:lang w:val="en-US" w:eastAsia="zh-CN"/>
              </w:rPr>
            </w:pPr>
            <w:r>
              <w:rPr>
                <w:rFonts w:hint="eastAsia"/>
                <w:color w:val="auto"/>
                <w:highlight w:val="none"/>
                <w:lang w:val="en-US" w:eastAsia="zh-CN"/>
              </w:rPr>
              <w:t>2</w:t>
            </w:r>
          </w:p>
        </w:tc>
        <w:tc>
          <w:tcPr>
            <w:tcW w:w="332" w:type="pct"/>
            <w:tcBorders>
              <w:tl2br w:val="nil"/>
              <w:tr2bl w:val="nil"/>
            </w:tcBorders>
            <w:noWrap w:val="0"/>
            <w:vAlign w:val="center"/>
          </w:tcPr>
          <w:p w14:paraId="22BFF3DE">
            <w:pPr>
              <w:pStyle w:val="110"/>
              <w:ind w:left="-2"/>
              <w:rPr>
                <w:rFonts w:hint="default" w:eastAsia="宋体"/>
                <w:color w:val="auto"/>
                <w:highlight w:val="none"/>
                <w:lang w:val="en-US" w:eastAsia="zh-CN"/>
              </w:rPr>
            </w:pPr>
            <w:r>
              <w:rPr>
                <w:rFonts w:hint="eastAsia"/>
                <w:color w:val="auto"/>
                <w:highlight w:val="none"/>
                <w:lang w:val="en-US" w:eastAsia="zh-CN"/>
              </w:rPr>
              <w:t>锅炉定排水、软水制备系统再生废水</w:t>
            </w:r>
          </w:p>
        </w:tc>
        <w:tc>
          <w:tcPr>
            <w:tcW w:w="730" w:type="pct"/>
            <w:tcBorders>
              <w:tl2br w:val="nil"/>
              <w:tr2bl w:val="nil"/>
            </w:tcBorders>
            <w:noWrap w:val="0"/>
            <w:vAlign w:val="center"/>
          </w:tcPr>
          <w:p w14:paraId="09B10CE5">
            <w:pPr>
              <w:pStyle w:val="110"/>
              <w:ind w:left="-2"/>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化学需氧量、悬浮物、</w:t>
            </w:r>
            <w:r>
              <w:rPr>
                <w:rFonts w:hint="default" w:ascii="Times New Roman" w:hAnsi="Times New Roman" w:cs="Times New Roman"/>
                <w:color w:val="auto"/>
                <w:highlight w:val="none"/>
                <w:lang w:val="en-US" w:eastAsia="zh-CN"/>
              </w:rPr>
              <w:t>全盐量</w:t>
            </w:r>
            <w:r>
              <w:rPr>
                <w:rFonts w:hint="eastAsia" w:ascii="Times New Roman" w:hAnsi="Times New Roman" w:cs="Times New Roman"/>
                <w:color w:val="auto"/>
                <w:highlight w:val="none"/>
                <w:lang w:val="en-US" w:eastAsia="zh-CN"/>
              </w:rPr>
              <w:t>、氨氮、pH值</w:t>
            </w:r>
          </w:p>
        </w:tc>
        <w:tc>
          <w:tcPr>
            <w:tcW w:w="457" w:type="pct"/>
            <w:tcBorders>
              <w:tl2br w:val="nil"/>
              <w:tr2bl w:val="nil"/>
            </w:tcBorders>
            <w:noWrap w:val="0"/>
            <w:vAlign w:val="center"/>
          </w:tcPr>
          <w:p w14:paraId="27B324C9">
            <w:pPr>
              <w:pStyle w:val="110"/>
              <w:ind w:left="-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直接</w:t>
            </w:r>
            <w:r>
              <w:rPr>
                <w:rFonts w:hint="default" w:ascii="Times New Roman" w:hAnsi="Times New Roman" w:cs="Times New Roman"/>
                <w:color w:val="auto"/>
                <w:highlight w:val="none"/>
                <w:lang w:val="en-US" w:eastAsia="zh-CN"/>
              </w:rPr>
              <w:t>排放</w:t>
            </w:r>
          </w:p>
        </w:tc>
        <w:tc>
          <w:tcPr>
            <w:tcW w:w="265" w:type="pct"/>
            <w:tcBorders>
              <w:tl2br w:val="nil"/>
              <w:tr2bl w:val="nil"/>
            </w:tcBorders>
            <w:noWrap w:val="0"/>
            <w:vAlign w:val="center"/>
          </w:tcPr>
          <w:p w14:paraId="73A9B93E">
            <w:pPr>
              <w:pStyle w:val="110"/>
              <w:ind w:left="-2"/>
              <w:rPr>
                <w:rFonts w:hint="eastAsia"/>
                <w:color w:val="auto"/>
                <w:highlight w:val="none"/>
                <w:lang w:val="en-US" w:eastAsia="zh-CN"/>
              </w:rPr>
            </w:pPr>
            <w:r>
              <w:rPr>
                <w:rFonts w:hint="eastAsia"/>
                <w:color w:val="auto"/>
                <w:highlight w:val="none"/>
                <w:lang w:val="en-US" w:eastAsia="zh-CN"/>
              </w:rPr>
              <w:t>/</w:t>
            </w:r>
          </w:p>
        </w:tc>
        <w:tc>
          <w:tcPr>
            <w:tcW w:w="446" w:type="pct"/>
            <w:tcBorders>
              <w:tl2br w:val="nil"/>
              <w:tr2bl w:val="nil"/>
            </w:tcBorders>
            <w:noWrap w:val="0"/>
            <w:vAlign w:val="center"/>
          </w:tcPr>
          <w:p w14:paraId="2DBA0F3F">
            <w:pPr>
              <w:pStyle w:val="110"/>
              <w:ind w:left="-2"/>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TW00</w:t>
            </w:r>
            <w:r>
              <w:rPr>
                <w:rFonts w:hint="default" w:ascii="Times New Roman" w:hAnsi="Times New Roman" w:cs="Times New Roman"/>
                <w:color w:val="auto"/>
                <w:highlight w:val="none"/>
                <w:lang w:val="en-US" w:eastAsia="zh-CN"/>
              </w:rPr>
              <w:t>2</w:t>
            </w:r>
          </w:p>
        </w:tc>
        <w:tc>
          <w:tcPr>
            <w:tcW w:w="358" w:type="pct"/>
            <w:tcBorders>
              <w:tl2br w:val="nil"/>
              <w:tr2bl w:val="nil"/>
            </w:tcBorders>
            <w:noWrap w:val="0"/>
            <w:vAlign w:val="center"/>
          </w:tcPr>
          <w:p w14:paraId="2C3E9D49">
            <w:pPr>
              <w:pStyle w:val="110"/>
              <w:ind w:left="-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沉淀池</w:t>
            </w:r>
          </w:p>
        </w:tc>
        <w:tc>
          <w:tcPr>
            <w:tcW w:w="417" w:type="pct"/>
            <w:tcBorders>
              <w:tl2br w:val="nil"/>
              <w:tr2bl w:val="nil"/>
            </w:tcBorders>
            <w:noWrap w:val="0"/>
            <w:vAlign w:val="center"/>
          </w:tcPr>
          <w:p w14:paraId="7F7172F0">
            <w:pPr>
              <w:pStyle w:val="110"/>
              <w:ind w:left="-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降温、絮凝沉淀</w:t>
            </w:r>
          </w:p>
        </w:tc>
        <w:tc>
          <w:tcPr>
            <w:tcW w:w="391" w:type="pct"/>
            <w:tcBorders>
              <w:tl2br w:val="nil"/>
              <w:tr2bl w:val="nil"/>
            </w:tcBorders>
            <w:noWrap w:val="0"/>
            <w:vAlign w:val="center"/>
          </w:tcPr>
          <w:p w14:paraId="612FB2C4">
            <w:pPr>
              <w:pStyle w:val="110"/>
              <w:ind w:left="-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DW001</w:t>
            </w:r>
          </w:p>
        </w:tc>
        <w:tc>
          <w:tcPr>
            <w:tcW w:w="527" w:type="pct"/>
            <w:tcBorders>
              <w:tl2br w:val="nil"/>
              <w:tr2bl w:val="nil"/>
            </w:tcBorders>
            <w:noWrap w:val="0"/>
            <w:vAlign w:val="center"/>
          </w:tcPr>
          <w:p w14:paraId="39285D97">
            <w:pPr>
              <w:pStyle w:val="110"/>
              <w:ind w:left="-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废水排放口</w:t>
            </w:r>
          </w:p>
        </w:tc>
        <w:tc>
          <w:tcPr>
            <w:tcW w:w="426" w:type="pct"/>
            <w:tcBorders>
              <w:tl2br w:val="nil"/>
              <w:tr2bl w:val="nil"/>
            </w:tcBorders>
            <w:noWrap w:val="0"/>
            <w:vAlign w:val="center"/>
          </w:tcPr>
          <w:p w14:paraId="1A638258">
            <w:pPr>
              <w:pStyle w:val="110"/>
              <w:ind w:left="-2"/>
              <w:rPr>
                <w:rFonts w:hint="default"/>
                <w:color w:val="auto"/>
                <w:highlight w:val="none"/>
                <w:lang w:val="en-US" w:eastAsia="zh-CN"/>
              </w:rPr>
            </w:pPr>
            <w:r>
              <w:rPr>
                <w:rFonts w:hint="eastAsia"/>
                <w:color w:val="auto"/>
                <w:highlight w:val="none"/>
                <w:lang w:val="en-US" w:eastAsia="zh-CN"/>
              </w:rPr>
              <w:t>一般</w:t>
            </w:r>
            <w:r>
              <w:rPr>
                <w:rFonts w:hint="default"/>
                <w:color w:val="auto"/>
                <w:highlight w:val="none"/>
                <w:lang w:val="en-US" w:eastAsia="zh-CN"/>
              </w:rPr>
              <w:t>排放口-总排口</w:t>
            </w:r>
          </w:p>
        </w:tc>
        <w:tc>
          <w:tcPr>
            <w:tcW w:w="485" w:type="pct"/>
            <w:tcBorders>
              <w:tl2br w:val="nil"/>
              <w:tr2bl w:val="nil"/>
            </w:tcBorders>
            <w:noWrap w:val="0"/>
            <w:vAlign w:val="center"/>
          </w:tcPr>
          <w:p w14:paraId="4C489D7C">
            <w:pPr>
              <w:pStyle w:val="110"/>
              <w:ind w:left="-2"/>
              <w:rPr>
                <w:rFonts w:hint="default"/>
                <w:color w:val="auto"/>
                <w:highlight w:val="none"/>
                <w:lang w:val="en-US" w:eastAsia="zh-CN"/>
              </w:rPr>
            </w:pPr>
            <w:r>
              <w:rPr>
                <w:rFonts w:hint="eastAsia"/>
                <w:color w:val="auto"/>
                <w:highlight w:val="none"/>
                <w:lang w:val="en-US" w:eastAsia="zh-CN"/>
              </w:rPr>
              <w:t>/</w:t>
            </w:r>
          </w:p>
        </w:tc>
      </w:tr>
    </w:tbl>
    <w:p w14:paraId="7D6B4793">
      <w:pPr>
        <w:pStyle w:val="16"/>
        <w:adjustRightInd w:val="0"/>
        <w:snapToGrid w:val="0"/>
        <w:ind w:firstLine="562"/>
        <w:rPr>
          <w:color w:val="auto"/>
          <w:highlight w:val="none"/>
        </w:rPr>
      </w:pPr>
    </w:p>
    <w:p w14:paraId="6661409B">
      <w:pPr>
        <w:widowControl w:val="0"/>
        <w:spacing w:before="120" w:beforeLines="50" w:line="360" w:lineRule="auto"/>
        <w:jc w:val="center"/>
        <w:rPr>
          <w:rFonts w:hint="eastAsia" w:ascii="Calibri" w:hAnsi="Calibri"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w:t>
      </w:r>
      <w:r>
        <w:rPr>
          <w:rFonts w:hint="eastAsia" w:ascii="Times New Roman" w:hAnsi="Times New Roman" w:eastAsia="宋体" w:cs="Times New Roman"/>
          <w:b/>
          <w:color w:val="auto"/>
          <w:kern w:val="2"/>
          <w:sz w:val="24"/>
          <w:szCs w:val="24"/>
          <w:highlight w:val="none"/>
          <w:lang w:val="en-US" w:eastAsia="zh-CN" w:bidi="ar-SA"/>
        </w:rPr>
        <w:t>4-</w:t>
      </w:r>
      <w:r>
        <w:rPr>
          <w:rFonts w:hint="eastAsia" w:cs="Times New Roman"/>
          <w:b/>
          <w:color w:val="auto"/>
          <w:kern w:val="2"/>
          <w:sz w:val="24"/>
          <w:szCs w:val="24"/>
          <w:highlight w:val="none"/>
          <w:lang w:val="en-US" w:eastAsia="zh-CN" w:bidi="ar-SA"/>
        </w:rPr>
        <w:t>9</w:t>
      </w:r>
      <w:r>
        <w:rPr>
          <w:rFonts w:hint="eastAsia" w:ascii="Times New Roman" w:hAnsi="Times New Roman" w:eastAsia="宋体" w:cs="Times New Roman"/>
          <w:b/>
          <w:color w:val="auto"/>
          <w:kern w:val="2"/>
          <w:sz w:val="24"/>
          <w:szCs w:val="24"/>
          <w:highlight w:val="none"/>
          <w:lang w:val="en-US" w:eastAsia="zh-CN" w:bidi="ar-SA"/>
        </w:rPr>
        <w:t xml:space="preserve"> </w:t>
      </w:r>
      <w:r>
        <w:rPr>
          <w:rFonts w:hint="default" w:ascii="Times New Roman" w:hAnsi="Times New Roman" w:eastAsia="宋体" w:cs="Times New Roman"/>
          <w:b/>
          <w:color w:val="auto"/>
          <w:kern w:val="2"/>
          <w:sz w:val="24"/>
          <w:szCs w:val="24"/>
          <w:highlight w:val="none"/>
          <w:lang w:val="en-US" w:eastAsia="zh-CN" w:bidi="ar-SA"/>
        </w:rPr>
        <w:t xml:space="preserve"> 本项目废水</w:t>
      </w:r>
      <w:r>
        <w:rPr>
          <w:rFonts w:hint="eastAsia" w:ascii="Times New Roman" w:hAnsi="Times New Roman" w:eastAsia="宋体" w:cs="Times New Roman"/>
          <w:b/>
          <w:color w:val="auto"/>
          <w:kern w:val="2"/>
          <w:sz w:val="24"/>
          <w:szCs w:val="24"/>
          <w:highlight w:val="none"/>
          <w:lang w:val="en-US" w:eastAsia="zh-CN" w:bidi="ar-SA"/>
        </w:rPr>
        <w:t>直接</w:t>
      </w:r>
      <w:r>
        <w:rPr>
          <w:rFonts w:hint="eastAsia" w:ascii="Calibri" w:hAnsi="Calibri" w:eastAsia="宋体" w:cs="Times New Roman"/>
          <w:b/>
          <w:color w:val="auto"/>
          <w:kern w:val="2"/>
          <w:sz w:val="24"/>
          <w:szCs w:val="24"/>
          <w:highlight w:val="none"/>
          <w:lang w:val="en-US" w:eastAsia="zh-CN" w:bidi="ar-SA"/>
        </w:rPr>
        <w:t>排放口基本情况表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4"/>
        <w:gridCol w:w="979"/>
        <w:gridCol w:w="1191"/>
        <w:gridCol w:w="1086"/>
        <w:gridCol w:w="1294"/>
        <w:gridCol w:w="1333"/>
        <w:gridCol w:w="1048"/>
        <w:gridCol w:w="956"/>
        <w:gridCol w:w="887"/>
        <w:gridCol w:w="1117"/>
        <w:gridCol w:w="1202"/>
        <w:gridCol w:w="1276"/>
      </w:tblGrid>
      <w:tr w14:paraId="03CF1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23" w:type="pct"/>
            <w:vMerge w:val="restart"/>
            <w:noWrap w:val="0"/>
            <w:vAlign w:val="center"/>
          </w:tcPr>
          <w:p w14:paraId="25DC1699">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序号</w:t>
            </w:r>
          </w:p>
        </w:tc>
        <w:tc>
          <w:tcPr>
            <w:tcW w:w="370" w:type="pct"/>
            <w:vMerge w:val="restart"/>
            <w:noWrap w:val="0"/>
            <w:vAlign w:val="center"/>
          </w:tcPr>
          <w:p w14:paraId="7DBDED5C">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排放口编号</w:t>
            </w:r>
          </w:p>
        </w:tc>
        <w:tc>
          <w:tcPr>
            <w:tcW w:w="858" w:type="pct"/>
            <w:gridSpan w:val="2"/>
            <w:noWrap w:val="0"/>
            <w:vAlign w:val="center"/>
          </w:tcPr>
          <w:p w14:paraId="61240899">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排放口地理坐标</w:t>
            </w:r>
            <w:r>
              <w:rPr>
                <w:rFonts w:hint="default" w:ascii="Times New Roman" w:hAnsi="Times New Roman" w:cs="Times New Roman"/>
                <w:b/>
                <w:color w:val="auto"/>
                <w:sz w:val="21"/>
                <w:szCs w:val="21"/>
                <w:highlight w:val="none"/>
                <w:vertAlign w:val="superscript"/>
              </w:rPr>
              <w:t>a</w:t>
            </w:r>
          </w:p>
        </w:tc>
        <w:tc>
          <w:tcPr>
            <w:tcW w:w="489" w:type="pct"/>
            <w:vMerge w:val="restart"/>
            <w:noWrap w:val="0"/>
            <w:vAlign w:val="center"/>
          </w:tcPr>
          <w:p w14:paraId="5982CCFE">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废水排放量/(万t/a)</w:t>
            </w:r>
          </w:p>
        </w:tc>
        <w:tc>
          <w:tcPr>
            <w:tcW w:w="504" w:type="pct"/>
            <w:vMerge w:val="restart"/>
            <w:noWrap w:val="0"/>
            <w:vAlign w:val="center"/>
          </w:tcPr>
          <w:p w14:paraId="46A29CB8">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排放去向</w:t>
            </w:r>
          </w:p>
        </w:tc>
        <w:tc>
          <w:tcPr>
            <w:tcW w:w="396" w:type="pct"/>
            <w:vMerge w:val="restart"/>
            <w:noWrap w:val="0"/>
            <w:vAlign w:val="center"/>
          </w:tcPr>
          <w:p w14:paraId="3DE73E4C">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排放规律</w:t>
            </w:r>
          </w:p>
        </w:tc>
        <w:tc>
          <w:tcPr>
            <w:tcW w:w="361" w:type="pct"/>
            <w:vMerge w:val="restart"/>
            <w:noWrap w:val="0"/>
            <w:vAlign w:val="center"/>
          </w:tcPr>
          <w:p w14:paraId="7F66DFBF">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间歇排放时段</w:t>
            </w:r>
          </w:p>
        </w:tc>
        <w:tc>
          <w:tcPr>
            <w:tcW w:w="757" w:type="pct"/>
            <w:gridSpan w:val="2"/>
            <w:noWrap w:val="0"/>
            <w:vAlign w:val="center"/>
          </w:tcPr>
          <w:p w14:paraId="29FFD01F">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受纳自然水体信息</w:t>
            </w:r>
          </w:p>
        </w:tc>
        <w:tc>
          <w:tcPr>
            <w:tcW w:w="936" w:type="pct"/>
            <w:gridSpan w:val="2"/>
            <w:noWrap w:val="0"/>
            <w:vAlign w:val="center"/>
          </w:tcPr>
          <w:p w14:paraId="6EF56EA4">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汇入受纳自然水体地理坐标</w:t>
            </w:r>
            <w:r>
              <w:rPr>
                <w:rFonts w:hint="default" w:ascii="Times New Roman" w:hAnsi="Times New Roman" w:cs="Times New Roman"/>
                <w:b/>
                <w:color w:val="auto"/>
                <w:sz w:val="21"/>
                <w:szCs w:val="21"/>
                <w:highlight w:val="none"/>
                <w:vertAlign w:val="superscript"/>
              </w:rPr>
              <w:t>d</w:t>
            </w:r>
          </w:p>
        </w:tc>
      </w:tr>
      <w:tr w14:paraId="6ACEC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3" w:type="pct"/>
            <w:vMerge w:val="continue"/>
            <w:noWrap w:val="0"/>
            <w:vAlign w:val="center"/>
          </w:tcPr>
          <w:p w14:paraId="045F7D3C">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p>
        </w:tc>
        <w:tc>
          <w:tcPr>
            <w:tcW w:w="370" w:type="pct"/>
            <w:vMerge w:val="continue"/>
            <w:noWrap w:val="0"/>
            <w:vAlign w:val="center"/>
          </w:tcPr>
          <w:p w14:paraId="29D45AC7">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p>
        </w:tc>
        <w:tc>
          <w:tcPr>
            <w:tcW w:w="449" w:type="pct"/>
            <w:noWrap w:val="0"/>
            <w:vAlign w:val="center"/>
          </w:tcPr>
          <w:p w14:paraId="525A73D8">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经度</w:t>
            </w:r>
          </w:p>
        </w:tc>
        <w:tc>
          <w:tcPr>
            <w:tcW w:w="409" w:type="pct"/>
            <w:noWrap w:val="0"/>
            <w:vAlign w:val="center"/>
          </w:tcPr>
          <w:p w14:paraId="09C273EE">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纬度</w:t>
            </w:r>
          </w:p>
        </w:tc>
        <w:tc>
          <w:tcPr>
            <w:tcW w:w="489" w:type="pct"/>
            <w:vMerge w:val="continue"/>
            <w:noWrap w:val="0"/>
            <w:vAlign w:val="center"/>
          </w:tcPr>
          <w:p w14:paraId="0F261E5D">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p>
        </w:tc>
        <w:tc>
          <w:tcPr>
            <w:tcW w:w="504" w:type="pct"/>
            <w:vMerge w:val="continue"/>
            <w:noWrap w:val="0"/>
            <w:vAlign w:val="center"/>
          </w:tcPr>
          <w:p w14:paraId="21039643">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p>
        </w:tc>
        <w:tc>
          <w:tcPr>
            <w:tcW w:w="396" w:type="pct"/>
            <w:vMerge w:val="continue"/>
            <w:noWrap w:val="0"/>
            <w:vAlign w:val="center"/>
          </w:tcPr>
          <w:p w14:paraId="329E3C23">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p>
        </w:tc>
        <w:tc>
          <w:tcPr>
            <w:tcW w:w="361" w:type="pct"/>
            <w:vMerge w:val="continue"/>
            <w:noWrap w:val="0"/>
            <w:vAlign w:val="center"/>
          </w:tcPr>
          <w:p w14:paraId="7647A735">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p>
        </w:tc>
        <w:tc>
          <w:tcPr>
            <w:tcW w:w="335" w:type="pct"/>
            <w:noWrap w:val="0"/>
            <w:vAlign w:val="center"/>
          </w:tcPr>
          <w:p w14:paraId="420A7CA1">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名称</w:t>
            </w:r>
          </w:p>
        </w:tc>
        <w:tc>
          <w:tcPr>
            <w:tcW w:w="422" w:type="pct"/>
            <w:noWrap w:val="0"/>
            <w:vAlign w:val="center"/>
          </w:tcPr>
          <w:p w14:paraId="5DEB47E2">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受纳水体功能目标</w:t>
            </w:r>
          </w:p>
        </w:tc>
        <w:tc>
          <w:tcPr>
            <w:tcW w:w="454" w:type="pct"/>
            <w:noWrap w:val="0"/>
            <w:vAlign w:val="center"/>
          </w:tcPr>
          <w:p w14:paraId="0FA84AB0">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经度</w:t>
            </w:r>
          </w:p>
        </w:tc>
        <w:tc>
          <w:tcPr>
            <w:tcW w:w="482" w:type="pct"/>
            <w:noWrap w:val="0"/>
            <w:vAlign w:val="center"/>
          </w:tcPr>
          <w:p w14:paraId="3A805C47">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纬度</w:t>
            </w:r>
          </w:p>
        </w:tc>
      </w:tr>
      <w:tr w14:paraId="13ED8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8" w:hRule="atLeast"/>
          <w:jc w:val="center"/>
        </w:trPr>
        <w:tc>
          <w:tcPr>
            <w:tcW w:w="323" w:type="pct"/>
            <w:noWrap w:val="0"/>
            <w:vAlign w:val="center"/>
          </w:tcPr>
          <w:p w14:paraId="2166D354">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370" w:type="pct"/>
            <w:noWrap w:val="0"/>
            <w:vAlign w:val="center"/>
          </w:tcPr>
          <w:p w14:paraId="00BB7868">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DW001</w:t>
            </w:r>
          </w:p>
        </w:tc>
        <w:tc>
          <w:tcPr>
            <w:tcW w:w="449" w:type="pct"/>
            <w:noWrap w:val="0"/>
            <w:vAlign w:val="center"/>
          </w:tcPr>
          <w:p w14:paraId="54636DE3">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112.98955°</w:t>
            </w:r>
          </w:p>
        </w:tc>
        <w:tc>
          <w:tcPr>
            <w:tcW w:w="409" w:type="pct"/>
            <w:noWrap w:val="0"/>
            <w:vAlign w:val="center"/>
          </w:tcPr>
          <w:p w14:paraId="2CE0A443">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25.26003°</w:t>
            </w:r>
          </w:p>
        </w:tc>
        <w:tc>
          <w:tcPr>
            <w:tcW w:w="489" w:type="pct"/>
            <w:noWrap w:val="0"/>
            <w:vAlign w:val="center"/>
          </w:tcPr>
          <w:p w14:paraId="440CCEBF">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0"/>
                <w:sz w:val="20"/>
                <w:szCs w:val="20"/>
                <w:highlight w:val="none"/>
                <w:lang w:val="en-US" w:eastAsia="zh-CN"/>
              </w:rPr>
              <w:t>0.36</w:t>
            </w:r>
          </w:p>
        </w:tc>
        <w:tc>
          <w:tcPr>
            <w:tcW w:w="504" w:type="pct"/>
            <w:noWrap w:val="0"/>
            <w:vAlign w:val="center"/>
          </w:tcPr>
          <w:p w14:paraId="7F624001">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直接进入江河、湖、库等水环境</w:t>
            </w:r>
          </w:p>
        </w:tc>
        <w:tc>
          <w:tcPr>
            <w:tcW w:w="396" w:type="pct"/>
            <w:noWrap w:val="0"/>
            <w:vAlign w:val="center"/>
          </w:tcPr>
          <w:p w14:paraId="113A6061">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连续排放，流量稳定</w:t>
            </w:r>
          </w:p>
        </w:tc>
        <w:tc>
          <w:tcPr>
            <w:tcW w:w="361" w:type="pct"/>
            <w:noWrap w:val="0"/>
            <w:vAlign w:val="center"/>
          </w:tcPr>
          <w:p w14:paraId="5B882792">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35" w:type="pct"/>
            <w:noWrap w:val="0"/>
            <w:vAlign w:val="center"/>
          </w:tcPr>
          <w:p w14:paraId="46D5DB44">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武水</w:t>
            </w:r>
          </w:p>
        </w:tc>
        <w:tc>
          <w:tcPr>
            <w:tcW w:w="422" w:type="pct"/>
            <w:noWrap w:val="0"/>
            <w:vAlign w:val="center"/>
          </w:tcPr>
          <w:p w14:paraId="53A56FC8">
            <w:pPr>
              <w:pStyle w:val="110"/>
              <w:keepNext w:val="0"/>
              <w:keepLines w:val="0"/>
              <w:pageBreakBefore w:val="0"/>
              <w:widowControl w:val="0"/>
              <w:kinsoku/>
              <w:wordWrap/>
              <w:overflowPunct w:val="0"/>
              <w:topLinePunct w:val="0"/>
              <w:autoSpaceDE/>
              <w:autoSpaceDN/>
              <w:bidi w:val="0"/>
              <w:adjustRightInd w:val="0"/>
              <w:snapToGrid w:val="0"/>
              <w:spacing w:line="240" w:lineRule="auto"/>
              <w:ind w:lef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Ⅲ</w:t>
            </w:r>
            <w:r>
              <w:rPr>
                <w:rFonts w:hint="default" w:ascii="Times New Roman" w:hAnsi="Times New Roman" w:cs="Times New Roman"/>
                <w:color w:val="auto"/>
                <w:sz w:val="21"/>
                <w:szCs w:val="21"/>
                <w:highlight w:val="none"/>
              </w:rPr>
              <w:t>类</w:t>
            </w:r>
          </w:p>
        </w:tc>
        <w:tc>
          <w:tcPr>
            <w:tcW w:w="454" w:type="pct"/>
            <w:noWrap w:val="0"/>
            <w:vAlign w:val="center"/>
          </w:tcPr>
          <w:p w14:paraId="2792FDC4">
            <w:pPr>
              <w:pStyle w:val="110"/>
              <w:keepNext w:val="0"/>
              <w:keepLines w:val="0"/>
              <w:pageBreakBefore w:val="0"/>
              <w:widowControl w:val="0"/>
              <w:kinsoku/>
              <w:wordWrap/>
              <w:overflowPunct w:val="0"/>
              <w:topLinePunct w:val="0"/>
              <w:autoSpaceDE/>
              <w:autoSpaceDN/>
              <w:bidi w:val="0"/>
              <w:adjustRightInd w:val="0"/>
              <w:snapToGrid w:val="0"/>
              <w:spacing w:line="240" w:lineRule="auto"/>
              <w:ind w:left="-2" w:leftChars="-1"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112.99453°</w:t>
            </w:r>
          </w:p>
        </w:tc>
        <w:tc>
          <w:tcPr>
            <w:tcW w:w="482" w:type="pct"/>
            <w:noWrap w:val="0"/>
            <w:vAlign w:val="center"/>
          </w:tcPr>
          <w:p w14:paraId="5A5440FC">
            <w:pPr>
              <w:pStyle w:val="110"/>
              <w:keepNext w:val="0"/>
              <w:keepLines w:val="0"/>
              <w:pageBreakBefore w:val="0"/>
              <w:widowControl w:val="0"/>
              <w:kinsoku/>
              <w:wordWrap/>
              <w:overflowPunct w:val="0"/>
              <w:topLinePunct w:val="0"/>
              <w:autoSpaceDE/>
              <w:autoSpaceDN/>
              <w:bidi w:val="0"/>
              <w:adjustRightInd w:val="0"/>
              <w:snapToGrid w:val="0"/>
              <w:spacing w:line="240" w:lineRule="auto"/>
              <w:ind w:left="-2" w:leftChars="-1"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25.26608°</w:t>
            </w:r>
          </w:p>
        </w:tc>
      </w:tr>
    </w:tbl>
    <w:p w14:paraId="5D835A38">
      <w:pPr>
        <w:pStyle w:val="41"/>
        <w:rPr>
          <w:highlight w:val="none"/>
          <w:lang w:val="en-US" w:eastAsia="zh-CN"/>
        </w:rPr>
      </w:pPr>
    </w:p>
    <w:p w14:paraId="2444C592">
      <w:pPr>
        <w:widowControl w:val="0"/>
        <w:spacing w:before="120" w:beforeLines="50" w:line="360" w:lineRule="auto"/>
        <w:jc w:val="center"/>
        <w:rPr>
          <w:rFonts w:ascii="Calibri" w:hAnsi="Calibri"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w:t>
      </w:r>
      <w:r>
        <w:rPr>
          <w:rFonts w:hint="eastAsia" w:ascii="Times New Roman" w:hAnsi="Times New Roman" w:eastAsia="宋体" w:cs="Times New Roman"/>
          <w:b/>
          <w:color w:val="auto"/>
          <w:kern w:val="2"/>
          <w:sz w:val="24"/>
          <w:szCs w:val="24"/>
          <w:highlight w:val="none"/>
          <w:lang w:val="en-US" w:eastAsia="zh-CN" w:bidi="ar-SA"/>
        </w:rPr>
        <w:t>4-</w:t>
      </w:r>
      <w:r>
        <w:rPr>
          <w:rFonts w:hint="eastAsia" w:cs="Times New Roman"/>
          <w:b/>
          <w:color w:val="auto"/>
          <w:kern w:val="2"/>
          <w:sz w:val="24"/>
          <w:szCs w:val="24"/>
          <w:highlight w:val="none"/>
          <w:lang w:val="en-US" w:eastAsia="zh-CN" w:bidi="ar-SA"/>
        </w:rPr>
        <w:t>10</w:t>
      </w:r>
      <w:r>
        <w:rPr>
          <w:rFonts w:hint="eastAsia" w:ascii="Times New Roman" w:hAnsi="Times New Roman" w:eastAsia="宋体" w:cs="Times New Roman"/>
          <w:b/>
          <w:color w:val="auto"/>
          <w:kern w:val="2"/>
          <w:sz w:val="24"/>
          <w:szCs w:val="24"/>
          <w:highlight w:val="none"/>
          <w:lang w:val="en-US" w:eastAsia="zh-CN" w:bidi="ar-SA"/>
        </w:rPr>
        <w:t xml:space="preserve">  </w:t>
      </w:r>
      <w:r>
        <w:rPr>
          <w:rFonts w:hint="default" w:ascii="Times New Roman" w:hAnsi="Times New Roman" w:eastAsia="宋体" w:cs="Times New Roman"/>
          <w:b/>
          <w:color w:val="auto"/>
          <w:kern w:val="2"/>
          <w:sz w:val="24"/>
          <w:szCs w:val="24"/>
          <w:highlight w:val="none"/>
          <w:lang w:val="en-US" w:eastAsia="zh-CN" w:bidi="ar-SA"/>
        </w:rPr>
        <w:t xml:space="preserve"> 本项目完成后废水污染物排</w:t>
      </w:r>
      <w:r>
        <w:rPr>
          <w:rFonts w:hint="eastAsia" w:ascii="Calibri" w:hAnsi="Calibri" w:eastAsia="宋体" w:cs="Times New Roman"/>
          <w:b/>
          <w:color w:val="auto"/>
          <w:kern w:val="2"/>
          <w:sz w:val="24"/>
          <w:szCs w:val="24"/>
          <w:highlight w:val="none"/>
          <w:lang w:val="en-US" w:eastAsia="zh-CN" w:bidi="ar-SA"/>
        </w:rPr>
        <w:t>放信息表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7"/>
        <w:gridCol w:w="1325"/>
        <w:gridCol w:w="1749"/>
        <w:gridCol w:w="1945"/>
        <w:gridCol w:w="2016"/>
        <w:gridCol w:w="2085"/>
        <w:gridCol w:w="1728"/>
        <w:gridCol w:w="1743"/>
      </w:tblGrid>
      <w:tr w14:paraId="1C3B6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1" w:type="pct"/>
            <w:tcBorders>
              <w:top w:val="single" w:color="auto" w:sz="4" w:space="0"/>
              <w:left w:val="single" w:color="auto" w:sz="4" w:space="0"/>
              <w:bottom w:val="single" w:color="auto" w:sz="4" w:space="0"/>
              <w:right w:val="single" w:color="auto" w:sz="4" w:space="0"/>
            </w:tcBorders>
            <w:noWrap w:val="0"/>
            <w:vAlign w:val="center"/>
          </w:tcPr>
          <w:p w14:paraId="45BC5688">
            <w:pPr>
              <w:autoSpaceDE w:val="0"/>
              <w:adjustRightInd w:val="0"/>
              <w:snapToGrid w:val="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序号</w:t>
            </w:r>
          </w:p>
        </w:tc>
        <w:tc>
          <w:tcPr>
            <w:tcW w:w="500" w:type="pct"/>
            <w:tcBorders>
              <w:top w:val="single" w:color="auto" w:sz="4" w:space="0"/>
              <w:left w:val="single" w:color="auto" w:sz="4" w:space="0"/>
              <w:bottom w:val="single" w:color="auto" w:sz="4" w:space="0"/>
              <w:right w:val="single" w:color="auto" w:sz="4" w:space="0"/>
            </w:tcBorders>
            <w:noWrap w:val="0"/>
            <w:vAlign w:val="center"/>
          </w:tcPr>
          <w:p w14:paraId="23708657">
            <w:pPr>
              <w:autoSpaceDE w:val="0"/>
              <w:adjustRightInd w:val="0"/>
              <w:snapToGrid w:val="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排放口编号</w:t>
            </w:r>
          </w:p>
        </w:tc>
        <w:tc>
          <w:tcPr>
            <w:tcW w:w="661" w:type="pct"/>
            <w:tcBorders>
              <w:top w:val="single" w:color="auto" w:sz="4" w:space="0"/>
              <w:left w:val="single" w:color="auto" w:sz="4" w:space="0"/>
              <w:bottom w:val="single" w:color="auto" w:sz="4" w:space="0"/>
              <w:right w:val="single" w:color="auto" w:sz="4" w:space="0"/>
            </w:tcBorders>
            <w:noWrap w:val="0"/>
            <w:vAlign w:val="center"/>
          </w:tcPr>
          <w:p w14:paraId="20693427">
            <w:pPr>
              <w:autoSpaceDE w:val="0"/>
              <w:adjustRightInd w:val="0"/>
              <w:snapToGrid w:val="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污染物种类</w:t>
            </w:r>
          </w:p>
        </w:tc>
        <w:tc>
          <w:tcPr>
            <w:tcW w:w="735" w:type="pct"/>
            <w:tcBorders>
              <w:top w:val="single" w:color="auto" w:sz="4" w:space="0"/>
              <w:left w:val="single" w:color="auto" w:sz="4" w:space="0"/>
              <w:bottom w:val="single" w:color="auto" w:sz="4" w:space="0"/>
              <w:right w:val="single" w:color="auto" w:sz="4" w:space="0"/>
            </w:tcBorders>
            <w:noWrap w:val="0"/>
            <w:vAlign w:val="center"/>
          </w:tcPr>
          <w:p w14:paraId="0DB978FC">
            <w:pPr>
              <w:autoSpaceDE w:val="0"/>
              <w:adjustRightInd w:val="0"/>
              <w:snapToGrid w:val="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排放浓度/（mg/L）</w:t>
            </w:r>
          </w:p>
        </w:tc>
        <w:tc>
          <w:tcPr>
            <w:tcW w:w="762" w:type="pct"/>
            <w:tcBorders>
              <w:top w:val="single" w:color="auto" w:sz="4" w:space="0"/>
              <w:left w:val="single" w:color="auto" w:sz="4" w:space="0"/>
              <w:bottom w:val="single" w:color="auto" w:sz="4" w:space="0"/>
              <w:right w:val="single" w:color="auto" w:sz="4" w:space="0"/>
            </w:tcBorders>
            <w:noWrap w:val="0"/>
            <w:vAlign w:val="center"/>
          </w:tcPr>
          <w:p w14:paraId="28F917FC">
            <w:pPr>
              <w:autoSpaceDE w:val="0"/>
              <w:adjustRightInd w:val="0"/>
              <w:snapToGrid w:val="0"/>
              <w:jc w:val="center"/>
              <w:rPr>
                <w:rFonts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szCs w:val="21"/>
                <w:highlight w:val="none"/>
                <w:lang w:val="en-US" w:eastAsia="zh-CN"/>
              </w:rPr>
              <w:t>新增</w:t>
            </w:r>
            <w:r>
              <w:rPr>
                <w:rFonts w:ascii="Times New Roman" w:hAnsi="Times New Roman" w:eastAsia="宋体" w:cs="Times New Roman"/>
                <w:b/>
                <w:bCs/>
                <w:color w:val="auto"/>
                <w:szCs w:val="21"/>
                <w:highlight w:val="none"/>
              </w:rPr>
              <w:t>日排放量（</w:t>
            </w:r>
            <w:r>
              <w:rPr>
                <w:rFonts w:hint="eastAsia" w:ascii="Times New Roman" w:hAnsi="Times New Roman" w:eastAsia="宋体" w:cs="Times New Roman"/>
                <w:b/>
                <w:bCs/>
                <w:color w:val="auto"/>
                <w:szCs w:val="21"/>
                <w:highlight w:val="none"/>
                <w:lang w:val="en-US" w:eastAsia="zh-CN"/>
              </w:rPr>
              <w:t>t</w:t>
            </w:r>
            <w:r>
              <w:rPr>
                <w:rFonts w:ascii="Times New Roman" w:hAnsi="Times New Roman" w:eastAsia="宋体" w:cs="Times New Roman"/>
                <w:b/>
                <w:bCs/>
                <w:color w:val="auto"/>
                <w:szCs w:val="21"/>
                <w:highlight w:val="none"/>
              </w:rPr>
              <w:t>/d）</w:t>
            </w:r>
          </w:p>
        </w:tc>
        <w:tc>
          <w:tcPr>
            <w:tcW w:w="788" w:type="pct"/>
            <w:tcBorders>
              <w:top w:val="single" w:color="auto" w:sz="4" w:space="0"/>
              <w:left w:val="single" w:color="auto" w:sz="4" w:space="0"/>
              <w:bottom w:val="single" w:color="auto" w:sz="4" w:space="0"/>
              <w:right w:val="single" w:color="auto" w:sz="4" w:space="0"/>
            </w:tcBorders>
            <w:noWrap w:val="0"/>
            <w:vAlign w:val="center"/>
          </w:tcPr>
          <w:p w14:paraId="6DC4959C">
            <w:pPr>
              <w:autoSpaceDE w:val="0"/>
              <w:adjustRightInd w:val="0"/>
              <w:snapToGrid w:val="0"/>
              <w:jc w:val="center"/>
              <w:rPr>
                <w:rFonts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lang w:val="en-US" w:eastAsia="zh-CN"/>
              </w:rPr>
              <w:t>全厂</w:t>
            </w:r>
            <w:r>
              <w:rPr>
                <w:rFonts w:ascii="Times New Roman" w:hAnsi="Times New Roman" w:eastAsia="宋体" w:cs="Times New Roman"/>
                <w:b/>
                <w:bCs/>
                <w:color w:val="auto"/>
                <w:szCs w:val="21"/>
                <w:highlight w:val="none"/>
              </w:rPr>
              <w:t>日排放量（</w:t>
            </w:r>
            <w:r>
              <w:rPr>
                <w:rFonts w:hint="eastAsia" w:ascii="Times New Roman" w:hAnsi="Times New Roman" w:eastAsia="宋体" w:cs="Times New Roman"/>
                <w:b/>
                <w:bCs/>
                <w:color w:val="auto"/>
                <w:szCs w:val="21"/>
                <w:highlight w:val="none"/>
                <w:lang w:val="en-US" w:eastAsia="zh-CN"/>
              </w:rPr>
              <w:t>t</w:t>
            </w:r>
            <w:r>
              <w:rPr>
                <w:rFonts w:ascii="Times New Roman" w:hAnsi="Times New Roman" w:eastAsia="宋体" w:cs="Times New Roman"/>
                <w:b/>
                <w:bCs/>
                <w:color w:val="auto"/>
                <w:szCs w:val="21"/>
                <w:highlight w:val="none"/>
              </w:rPr>
              <w:t>/d）</w:t>
            </w:r>
          </w:p>
        </w:tc>
        <w:tc>
          <w:tcPr>
            <w:tcW w:w="653" w:type="pct"/>
            <w:tcBorders>
              <w:top w:val="single" w:color="auto" w:sz="4" w:space="0"/>
              <w:left w:val="single" w:color="auto" w:sz="4" w:space="0"/>
              <w:bottom w:val="single" w:color="auto" w:sz="4" w:space="0"/>
              <w:right w:val="single" w:color="auto" w:sz="4" w:space="0"/>
            </w:tcBorders>
            <w:noWrap w:val="0"/>
            <w:vAlign w:val="center"/>
          </w:tcPr>
          <w:p w14:paraId="50E191FE">
            <w:pPr>
              <w:autoSpaceDE w:val="0"/>
              <w:adjustRightInd w:val="0"/>
              <w:snapToGrid w:val="0"/>
              <w:jc w:val="center"/>
              <w:rPr>
                <w:rFonts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lang w:val="en-US" w:eastAsia="zh-CN"/>
              </w:rPr>
              <w:t>新增</w:t>
            </w:r>
            <w:r>
              <w:rPr>
                <w:rFonts w:ascii="Times New Roman" w:hAnsi="Times New Roman" w:eastAsia="宋体" w:cs="Times New Roman"/>
                <w:b/>
                <w:bCs/>
                <w:color w:val="auto"/>
                <w:szCs w:val="21"/>
                <w:highlight w:val="none"/>
              </w:rPr>
              <w:t>年排放量（t/a）</w:t>
            </w:r>
          </w:p>
        </w:tc>
        <w:tc>
          <w:tcPr>
            <w:tcW w:w="658" w:type="pct"/>
            <w:tcBorders>
              <w:top w:val="single" w:color="auto" w:sz="4" w:space="0"/>
              <w:left w:val="single" w:color="auto" w:sz="4" w:space="0"/>
              <w:bottom w:val="single" w:color="auto" w:sz="4" w:space="0"/>
              <w:right w:val="single" w:color="auto" w:sz="4" w:space="0"/>
            </w:tcBorders>
            <w:noWrap w:val="0"/>
            <w:vAlign w:val="center"/>
          </w:tcPr>
          <w:p w14:paraId="6E8D35B2">
            <w:pPr>
              <w:autoSpaceDE w:val="0"/>
              <w:adjustRightInd w:val="0"/>
              <w:snapToGrid w:val="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全厂年排放量（t/a）</w:t>
            </w:r>
          </w:p>
        </w:tc>
      </w:tr>
      <w:tr w14:paraId="10696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241" w:type="pct"/>
            <w:vMerge w:val="restart"/>
            <w:tcBorders>
              <w:top w:val="single" w:color="auto" w:sz="4" w:space="0"/>
              <w:left w:val="single" w:color="auto" w:sz="4" w:space="0"/>
              <w:right w:val="single" w:color="auto" w:sz="4" w:space="0"/>
            </w:tcBorders>
            <w:noWrap w:val="0"/>
            <w:vAlign w:val="center"/>
          </w:tcPr>
          <w:p w14:paraId="32DF150C">
            <w:pPr>
              <w:autoSpaceDE w:val="0"/>
              <w:adjustRightInd w:val="0"/>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w:t>
            </w:r>
          </w:p>
        </w:tc>
        <w:tc>
          <w:tcPr>
            <w:tcW w:w="500" w:type="pct"/>
            <w:vMerge w:val="restart"/>
            <w:tcBorders>
              <w:top w:val="single" w:color="auto" w:sz="4" w:space="0"/>
              <w:left w:val="single" w:color="auto" w:sz="4" w:space="0"/>
              <w:right w:val="single" w:color="auto" w:sz="4" w:space="0"/>
            </w:tcBorders>
            <w:noWrap w:val="0"/>
            <w:vAlign w:val="center"/>
          </w:tcPr>
          <w:p w14:paraId="23584517">
            <w:pPr>
              <w:autoSpaceDE w:val="0"/>
              <w:adjustRightInd w:val="0"/>
              <w:snapToGrid w:val="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DW00</w:t>
            </w:r>
            <w:r>
              <w:rPr>
                <w:rFonts w:ascii="Times New Roman" w:hAnsi="Times New Roman" w:eastAsia="宋体" w:cs="Times New Roman"/>
                <w:color w:val="auto"/>
                <w:szCs w:val="21"/>
                <w:highlight w:val="none"/>
              </w:rPr>
              <w:t>1</w:t>
            </w:r>
          </w:p>
        </w:tc>
        <w:tc>
          <w:tcPr>
            <w:tcW w:w="661" w:type="pct"/>
            <w:tcBorders>
              <w:top w:val="single" w:color="auto" w:sz="4" w:space="0"/>
              <w:left w:val="single" w:color="auto" w:sz="4" w:space="0"/>
              <w:bottom w:val="single" w:color="auto" w:sz="4" w:space="0"/>
              <w:right w:val="single" w:color="auto" w:sz="4" w:space="0"/>
            </w:tcBorders>
            <w:noWrap w:val="0"/>
            <w:vAlign w:val="center"/>
          </w:tcPr>
          <w:p w14:paraId="7E393BD7">
            <w:pPr>
              <w:autoSpaceDE w:val="0"/>
              <w:adjustRightInd w:val="0"/>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COD</w:t>
            </w:r>
            <w:r>
              <w:rPr>
                <w:rFonts w:ascii="Times New Roman" w:hAnsi="Times New Roman" w:eastAsia="宋体" w:cs="Times New Roman"/>
                <w:color w:val="auto"/>
                <w:szCs w:val="21"/>
                <w:highlight w:val="none"/>
                <w:vertAlign w:val="subscript"/>
              </w:rPr>
              <w:t>Cr</w:t>
            </w:r>
          </w:p>
        </w:tc>
        <w:tc>
          <w:tcPr>
            <w:tcW w:w="735" w:type="pct"/>
            <w:tcBorders>
              <w:top w:val="single" w:color="auto" w:sz="4" w:space="0"/>
              <w:left w:val="single" w:color="auto" w:sz="4" w:space="0"/>
              <w:bottom w:val="single" w:color="auto" w:sz="4" w:space="0"/>
              <w:right w:val="single" w:color="auto" w:sz="4" w:space="0"/>
            </w:tcBorders>
            <w:noWrap w:val="0"/>
            <w:vAlign w:val="center"/>
          </w:tcPr>
          <w:p w14:paraId="2F27509E">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59.5</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p>
        </w:tc>
        <w:tc>
          <w:tcPr>
            <w:tcW w:w="762" w:type="pct"/>
            <w:tcBorders>
              <w:top w:val="single" w:color="auto" w:sz="4" w:space="0"/>
              <w:left w:val="single" w:color="auto" w:sz="4" w:space="0"/>
              <w:bottom w:val="single" w:color="auto" w:sz="4" w:space="0"/>
              <w:right w:val="single" w:color="auto" w:sz="4" w:space="0"/>
            </w:tcBorders>
            <w:noWrap w:val="0"/>
            <w:vAlign w:val="center"/>
          </w:tcPr>
          <w:p w14:paraId="6F1674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0.00</w:t>
            </w:r>
            <w:r>
              <w:rPr>
                <w:rFonts w:hint="eastAsia" w:cs="Times New Roman"/>
                <w:i w:val="0"/>
                <w:iCs w:val="0"/>
                <w:color w:val="auto"/>
                <w:kern w:val="0"/>
                <w:sz w:val="21"/>
                <w:szCs w:val="21"/>
                <w:highlight w:val="none"/>
                <w:u w:val="none"/>
                <w:lang w:val="en-US" w:eastAsia="zh-CN" w:bidi="ar"/>
              </w:rPr>
              <w:t>11</w:t>
            </w:r>
          </w:p>
        </w:tc>
        <w:tc>
          <w:tcPr>
            <w:tcW w:w="788" w:type="pct"/>
            <w:tcBorders>
              <w:top w:val="single" w:color="auto" w:sz="4" w:space="0"/>
              <w:left w:val="single" w:color="auto" w:sz="4" w:space="0"/>
              <w:bottom w:val="single" w:color="auto" w:sz="4" w:space="0"/>
              <w:right w:val="single" w:color="auto" w:sz="4" w:space="0"/>
            </w:tcBorders>
            <w:noWrap w:val="0"/>
            <w:vAlign w:val="center"/>
          </w:tcPr>
          <w:p w14:paraId="533BC3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0.0011</w:t>
            </w:r>
          </w:p>
        </w:tc>
        <w:tc>
          <w:tcPr>
            <w:tcW w:w="653" w:type="pct"/>
            <w:tcBorders>
              <w:top w:val="single" w:color="auto" w:sz="4" w:space="0"/>
              <w:left w:val="single" w:color="auto" w:sz="4" w:space="0"/>
              <w:bottom w:val="single" w:color="auto" w:sz="4" w:space="0"/>
              <w:right w:val="single" w:color="auto" w:sz="4" w:space="0"/>
            </w:tcBorders>
            <w:noWrap w:val="0"/>
            <w:vAlign w:val="center"/>
          </w:tcPr>
          <w:p w14:paraId="78CD3506">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0.214</w:t>
            </w:r>
          </w:p>
        </w:tc>
        <w:tc>
          <w:tcPr>
            <w:tcW w:w="658" w:type="pct"/>
            <w:tcBorders>
              <w:top w:val="single" w:color="auto" w:sz="4" w:space="0"/>
              <w:left w:val="single" w:color="auto" w:sz="4" w:space="0"/>
              <w:bottom w:val="single" w:color="auto" w:sz="4" w:space="0"/>
              <w:right w:val="single" w:color="auto" w:sz="4" w:space="0"/>
            </w:tcBorders>
            <w:noWrap w:val="0"/>
            <w:vAlign w:val="center"/>
          </w:tcPr>
          <w:p w14:paraId="5B5CA47A">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0.214</w:t>
            </w:r>
          </w:p>
        </w:tc>
      </w:tr>
      <w:tr w14:paraId="57BF7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1" w:type="pct"/>
            <w:vMerge w:val="continue"/>
            <w:tcBorders>
              <w:left w:val="single" w:color="auto" w:sz="4" w:space="0"/>
              <w:right w:val="single" w:color="auto" w:sz="4" w:space="0"/>
            </w:tcBorders>
            <w:noWrap w:val="0"/>
            <w:vAlign w:val="center"/>
          </w:tcPr>
          <w:p w14:paraId="05D05D4B">
            <w:pPr>
              <w:autoSpaceDE w:val="0"/>
              <w:adjustRightInd w:val="0"/>
              <w:snapToGrid w:val="0"/>
              <w:jc w:val="center"/>
              <w:rPr>
                <w:rFonts w:ascii="Times New Roman" w:hAnsi="Times New Roman" w:eastAsia="宋体" w:cs="Times New Roman"/>
                <w:color w:val="auto"/>
                <w:szCs w:val="21"/>
                <w:highlight w:val="none"/>
              </w:rPr>
            </w:pPr>
          </w:p>
        </w:tc>
        <w:tc>
          <w:tcPr>
            <w:tcW w:w="500" w:type="pct"/>
            <w:vMerge w:val="continue"/>
            <w:tcBorders>
              <w:left w:val="single" w:color="auto" w:sz="4" w:space="0"/>
              <w:right w:val="single" w:color="auto" w:sz="4" w:space="0"/>
            </w:tcBorders>
            <w:noWrap w:val="0"/>
            <w:vAlign w:val="center"/>
          </w:tcPr>
          <w:p w14:paraId="25E03065">
            <w:pPr>
              <w:autoSpaceDE w:val="0"/>
              <w:adjustRightInd w:val="0"/>
              <w:snapToGrid w:val="0"/>
              <w:jc w:val="center"/>
              <w:rPr>
                <w:rFonts w:ascii="Times New Roman" w:hAnsi="Times New Roman" w:eastAsia="宋体" w:cs="Times New Roman"/>
                <w:color w:val="auto"/>
                <w:szCs w:val="21"/>
                <w:highlight w:val="none"/>
              </w:rPr>
            </w:pPr>
          </w:p>
        </w:tc>
        <w:tc>
          <w:tcPr>
            <w:tcW w:w="661" w:type="pct"/>
            <w:tcBorders>
              <w:top w:val="single" w:color="auto" w:sz="4" w:space="0"/>
              <w:left w:val="single" w:color="auto" w:sz="4" w:space="0"/>
              <w:bottom w:val="single" w:color="auto" w:sz="4" w:space="0"/>
              <w:right w:val="single" w:color="auto" w:sz="4" w:space="0"/>
            </w:tcBorders>
            <w:noWrap w:val="0"/>
            <w:vAlign w:val="center"/>
          </w:tcPr>
          <w:p w14:paraId="3077AD3F">
            <w:pPr>
              <w:autoSpaceDE w:val="0"/>
              <w:adjustRightInd w:val="0"/>
              <w:snapToGrid w:val="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氨氮</w:t>
            </w:r>
          </w:p>
        </w:tc>
        <w:tc>
          <w:tcPr>
            <w:tcW w:w="735" w:type="pct"/>
            <w:tcBorders>
              <w:top w:val="single" w:color="auto" w:sz="4" w:space="0"/>
              <w:left w:val="single" w:color="auto" w:sz="4" w:space="0"/>
              <w:bottom w:val="single" w:color="auto" w:sz="4" w:space="0"/>
              <w:right w:val="single" w:color="auto" w:sz="4" w:space="0"/>
            </w:tcBorders>
            <w:noWrap w:val="0"/>
            <w:vAlign w:val="center"/>
          </w:tcPr>
          <w:p w14:paraId="514D4A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5</w:t>
            </w:r>
          </w:p>
        </w:tc>
        <w:tc>
          <w:tcPr>
            <w:tcW w:w="762" w:type="pct"/>
            <w:tcBorders>
              <w:top w:val="single" w:color="auto" w:sz="4" w:space="0"/>
              <w:left w:val="single" w:color="auto" w:sz="4" w:space="0"/>
              <w:bottom w:val="single" w:color="auto" w:sz="4" w:space="0"/>
              <w:right w:val="single" w:color="auto" w:sz="4" w:space="0"/>
            </w:tcBorders>
            <w:noWrap w:val="0"/>
            <w:vAlign w:val="center"/>
          </w:tcPr>
          <w:p w14:paraId="7142A68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0.000</w:t>
            </w:r>
            <w:r>
              <w:rPr>
                <w:rFonts w:hint="eastAsia" w:cs="Times New Roman"/>
                <w:i w:val="0"/>
                <w:iCs w:val="0"/>
                <w:color w:val="auto"/>
                <w:kern w:val="0"/>
                <w:sz w:val="21"/>
                <w:szCs w:val="21"/>
                <w:highlight w:val="none"/>
                <w:u w:val="none"/>
                <w:lang w:val="en-US" w:eastAsia="zh-CN" w:bidi="ar"/>
              </w:rPr>
              <w:t>09</w:t>
            </w:r>
          </w:p>
        </w:tc>
        <w:tc>
          <w:tcPr>
            <w:tcW w:w="788" w:type="pct"/>
            <w:tcBorders>
              <w:top w:val="single" w:color="auto" w:sz="4" w:space="0"/>
              <w:left w:val="single" w:color="auto" w:sz="4" w:space="0"/>
              <w:bottom w:val="single" w:color="auto" w:sz="4" w:space="0"/>
              <w:right w:val="single" w:color="auto" w:sz="4" w:space="0"/>
            </w:tcBorders>
            <w:noWrap w:val="0"/>
            <w:vAlign w:val="center"/>
          </w:tcPr>
          <w:p w14:paraId="7F51AFF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0.000</w:t>
            </w:r>
            <w:r>
              <w:rPr>
                <w:rFonts w:hint="eastAsia" w:cs="Times New Roman"/>
                <w:i w:val="0"/>
                <w:iCs w:val="0"/>
                <w:color w:val="auto"/>
                <w:kern w:val="0"/>
                <w:sz w:val="21"/>
                <w:szCs w:val="21"/>
                <w:highlight w:val="none"/>
                <w:u w:val="none"/>
                <w:lang w:val="en-US" w:eastAsia="zh-CN" w:bidi="ar"/>
              </w:rPr>
              <w:t>09</w:t>
            </w:r>
          </w:p>
        </w:tc>
        <w:tc>
          <w:tcPr>
            <w:tcW w:w="653" w:type="pct"/>
            <w:tcBorders>
              <w:top w:val="single" w:color="auto" w:sz="4" w:space="0"/>
              <w:left w:val="single" w:color="auto" w:sz="4" w:space="0"/>
              <w:bottom w:val="single" w:color="auto" w:sz="4" w:space="0"/>
              <w:right w:val="single" w:color="auto" w:sz="4" w:space="0"/>
            </w:tcBorders>
            <w:noWrap w:val="0"/>
            <w:vAlign w:val="center"/>
          </w:tcPr>
          <w:p w14:paraId="46935E1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018</w:t>
            </w:r>
          </w:p>
        </w:tc>
        <w:tc>
          <w:tcPr>
            <w:tcW w:w="658" w:type="pct"/>
            <w:tcBorders>
              <w:top w:val="single" w:color="auto" w:sz="4" w:space="0"/>
              <w:left w:val="single" w:color="auto" w:sz="4" w:space="0"/>
              <w:bottom w:val="single" w:color="auto" w:sz="4" w:space="0"/>
              <w:right w:val="single" w:color="auto" w:sz="4" w:space="0"/>
            </w:tcBorders>
            <w:noWrap w:val="0"/>
            <w:vAlign w:val="center"/>
          </w:tcPr>
          <w:p w14:paraId="1E8C159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018</w:t>
            </w:r>
          </w:p>
        </w:tc>
      </w:tr>
      <w:tr w14:paraId="0A6F0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gridSpan w:val="2"/>
            <w:vMerge w:val="restart"/>
            <w:tcBorders>
              <w:top w:val="nil"/>
              <w:left w:val="single" w:color="auto" w:sz="4" w:space="0"/>
              <w:right w:val="single" w:color="auto" w:sz="4" w:space="0"/>
            </w:tcBorders>
            <w:noWrap w:val="0"/>
            <w:vAlign w:val="center"/>
          </w:tcPr>
          <w:p w14:paraId="7CF70776">
            <w:pPr>
              <w:autoSpaceDE w:val="0"/>
              <w:adjustRightInd w:val="0"/>
              <w:snapToGrid w:val="0"/>
              <w:jc w:val="center"/>
              <w:rPr>
                <w:rFonts w:ascii="Times New Roman" w:hAnsi="Times New Roman" w:eastAsia="宋体" w:cs="Times New Roman"/>
                <w:color w:val="auto"/>
                <w:szCs w:val="21"/>
                <w:highlight w:val="none"/>
              </w:rPr>
            </w:pPr>
            <w:r>
              <w:rPr>
                <w:rFonts w:hint="eastAsia" w:ascii="宋体" w:hAnsi="宋体" w:eastAsia="宋体" w:cs="Times New Roman"/>
                <w:color w:val="auto"/>
                <w:szCs w:val="21"/>
                <w:highlight w:val="none"/>
              </w:rPr>
              <w:t>全厂</w:t>
            </w:r>
            <w:r>
              <w:rPr>
                <w:rFonts w:ascii="宋体" w:hAnsi="宋体" w:eastAsia="宋体" w:cs="Times New Roman"/>
                <w:color w:val="auto"/>
                <w:szCs w:val="21"/>
                <w:highlight w:val="none"/>
              </w:rPr>
              <w:t>排放口合计</w:t>
            </w:r>
          </w:p>
        </w:tc>
        <w:tc>
          <w:tcPr>
            <w:tcW w:w="2946" w:type="pct"/>
            <w:gridSpan w:val="4"/>
            <w:tcBorders>
              <w:top w:val="single" w:color="auto" w:sz="4" w:space="0"/>
              <w:left w:val="single" w:color="auto" w:sz="4" w:space="0"/>
              <w:bottom w:val="single" w:color="auto" w:sz="4" w:space="0"/>
              <w:right w:val="single" w:color="auto" w:sz="4" w:space="0"/>
            </w:tcBorders>
            <w:noWrap w:val="0"/>
            <w:vAlign w:val="center"/>
          </w:tcPr>
          <w:p w14:paraId="5F67C91C">
            <w:pPr>
              <w:autoSpaceDE w:val="0"/>
              <w:adjustRightInd w:val="0"/>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COD</w:t>
            </w:r>
            <w:r>
              <w:rPr>
                <w:rFonts w:ascii="Times New Roman" w:hAnsi="Times New Roman" w:eastAsia="宋体" w:cs="Times New Roman"/>
                <w:color w:val="auto"/>
                <w:szCs w:val="21"/>
                <w:highlight w:val="none"/>
                <w:vertAlign w:val="subscript"/>
              </w:rPr>
              <w:t>Cr</w:t>
            </w:r>
          </w:p>
        </w:tc>
        <w:tc>
          <w:tcPr>
            <w:tcW w:w="1728" w:type="dxa"/>
            <w:tcBorders>
              <w:top w:val="single" w:color="auto" w:sz="4" w:space="0"/>
              <w:left w:val="single" w:color="auto" w:sz="4" w:space="0"/>
              <w:bottom w:val="single" w:color="auto" w:sz="4" w:space="0"/>
              <w:right w:val="single" w:color="auto" w:sz="4" w:space="0"/>
            </w:tcBorders>
            <w:noWrap w:val="0"/>
            <w:vAlign w:val="center"/>
          </w:tcPr>
          <w:p w14:paraId="1341B5E9">
            <w:pPr>
              <w:keepNext w:val="0"/>
              <w:keepLines w:val="0"/>
              <w:widowControl/>
              <w:suppressLineNumbers w:val="0"/>
              <w:jc w:val="center"/>
              <w:textAlignment w:val="center"/>
              <w:rPr>
                <w:rFonts w:ascii="Times New Roman" w:hAnsi="Times New Roman" w:eastAsia="宋体" w:cs="Times New Roman"/>
                <w:color w:val="auto"/>
                <w:szCs w:val="21"/>
                <w:highlight w:val="none"/>
              </w:rPr>
            </w:pPr>
            <w:r>
              <w:rPr>
                <w:rFonts w:hint="eastAsia" w:cs="Times New Roman"/>
                <w:i w:val="0"/>
                <w:iCs w:val="0"/>
                <w:color w:val="auto"/>
                <w:kern w:val="0"/>
                <w:sz w:val="21"/>
                <w:szCs w:val="21"/>
                <w:highlight w:val="none"/>
                <w:u w:val="none"/>
                <w:lang w:val="en-US" w:eastAsia="zh-CN" w:bidi="ar"/>
              </w:rPr>
              <w:t>0.214</w:t>
            </w:r>
          </w:p>
        </w:tc>
        <w:tc>
          <w:tcPr>
            <w:tcW w:w="1743" w:type="dxa"/>
            <w:tcBorders>
              <w:top w:val="single" w:color="auto" w:sz="4" w:space="0"/>
              <w:left w:val="single" w:color="auto" w:sz="4" w:space="0"/>
              <w:bottom w:val="single" w:color="auto" w:sz="4" w:space="0"/>
              <w:right w:val="single" w:color="auto" w:sz="4" w:space="0"/>
            </w:tcBorders>
            <w:noWrap w:val="0"/>
            <w:vAlign w:val="center"/>
          </w:tcPr>
          <w:p w14:paraId="5665BEF1">
            <w:pPr>
              <w:keepNext w:val="0"/>
              <w:keepLines w:val="0"/>
              <w:widowControl/>
              <w:suppressLineNumbers w:val="0"/>
              <w:jc w:val="center"/>
              <w:textAlignment w:val="center"/>
              <w:rPr>
                <w:rFonts w:hint="eastAsia" w:ascii="Times New Roman" w:hAnsi="Times New Roman" w:eastAsia="等线" w:cs="Times New Roman"/>
                <w:color w:val="auto"/>
                <w:szCs w:val="21"/>
                <w:highlight w:val="none"/>
                <w:lang w:val="en-US" w:eastAsia="zh-CN"/>
              </w:rPr>
            </w:pPr>
            <w:r>
              <w:rPr>
                <w:rFonts w:hint="eastAsia" w:cs="Times New Roman"/>
                <w:i w:val="0"/>
                <w:iCs w:val="0"/>
                <w:color w:val="auto"/>
                <w:kern w:val="0"/>
                <w:sz w:val="21"/>
                <w:szCs w:val="21"/>
                <w:highlight w:val="none"/>
                <w:u w:val="none"/>
                <w:lang w:val="en-US" w:eastAsia="zh-CN" w:bidi="ar"/>
              </w:rPr>
              <w:t>0.214</w:t>
            </w:r>
          </w:p>
        </w:tc>
      </w:tr>
      <w:tr w14:paraId="52639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gridSpan w:val="2"/>
            <w:vMerge w:val="continue"/>
            <w:tcBorders>
              <w:left w:val="single" w:color="auto" w:sz="4" w:space="0"/>
              <w:right w:val="single" w:color="auto" w:sz="4" w:space="0"/>
            </w:tcBorders>
            <w:noWrap w:val="0"/>
            <w:vAlign w:val="center"/>
          </w:tcPr>
          <w:p w14:paraId="06A34874">
            <w:pPr>
              <w:widowControl/>
              <w:jc w:val="left"/>
              <w:rPr>
                <w:rFonts w:ascii="Times New Roman" w:hAnsi="Times New Roman" w:eastAsia="宋体" w:cs="Times New Roman"/>
                <w:color w:val="auto"/>
                <w:szCs w:val="21"/>
                <w:highlight w:val="none"/>
              </w:rPr>
            </w:pPr>
          </w:p>
        </w:tc>
        <w:tc>
          <w:tcPr>
            <w:tcW w:w="2946" w:type="pct"/>
            <w:gridSpan w:val="4"/>
            <w:tcBorders>
              <w:top w:val="single" w:color="auto" w:sz="4" w:space="0"/>
              <w:left w:val="single" w:color="auto" w:sz="4" w:space="0"/>
              <w:bottom w:val="single" w:color="auto" w:sz="4" w:space="0"/>
              <w:right w:val="single" w:color="auto" w:sz="4" w:space="0"/>
            </w:tcBorders>
            <w:noWrap w:val="0"/>
            <w:vAlign w:val="center"/>
          </w:tcPr>
          <w:p w14:paraId="043270EA">
            <w:pPr>
              <w:autoSpaceDE w:val="0"/>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Cs w:val="21"/>
                <w:highlight w:val="none"/>
              </w:rPr>
              <w:t>NH</w:t>
            </w:r>
            <w:r>
              <w:rPr>
                <w:rFonts w:ascii="Times New Roman" w:hAnsi="Times New Roman" w:eastAsia="宋体" w:cs="Times New Roman"/>
                <w:color w:val="auto"/>
                <w:szCs w:val="21"/>
                <w:highlight w:val="none"/>
                <w:vertAlign w:val="subscript"/>
              </w:rPr>
              <w:t>3</w:t>
            </w:r>
            <w:r>
              <w:rPr>
                <w:rFonts w:ascii="Times New Roman" w:hAnsi="Times New Roman" w:eastAsia="宋体" w:cs="Times New Roman"/>
                <w:color w:val="auto"/>
                <w:szCs w:val="21"/>
                <w:highlight w:val="none"/>
              </w:rPr>
              <w:t>-N</w:t>
            </w:r>
          </w:p>
        </w:tc>
        <w:tc>
          <w:tcPr>
            <w:tcW w:w="1728" w:type="dxa"/>
            <w:tcBorders>
              <w:top w:val="single" w:color="auto" w:sz="4" w:space="0"/>
              <w:left w:val="single" w:color="auto" w:sz="4" w:space="0"/>
              <w:bottom w:val="single" w:color="auto" w:sz="4" w:space="0"/>
              <w:right w:val="single" w:color="auto" w:sz="4" w:space="0"/>
            </w:tcBorders>
            <w:noWrap w:val="0"/>
            <w:vAlign w:val="center"/>
          </w:tcPr>
          <w:p w14:paraId="2ECD98D2">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018</w:t>
            </w:r>
          </w:p>
        </w:tc>
        <w:tc>
          <w:tcPr>
            <w:tcW w:w="1743" w:type="dxa"/>
            <w:tcBorders>
              <w:top w:val="single" w:color="auto" w:sz="4" w:space="0"/>
              <w:left w:val="single" w:color="auto" w:sz="4" w:space="0"/>
              <w:bottom w:val="single" w:color="auto" w:sz="4" w:space="0"/>
              <w:right w:val="single" w:color="auto" w:sz="4" w:space="0"/>
            </w:tcBorders>
            <w:noWrap w:val="0"/>
            <w:vAlign w:val="center"/>
          </w:tcPr>
          <w:p w14:paraId="48396FB8">
            <w:pPr>
              <w:keepNext w:val="0"/>
              <w:keepLines w:val="0"/>
              <w:widowControl/>
              <w:suppressLineNumbers w:val="0"/>
              <w:jc w:val="center"/>
              <w:textAlignment w:val="center"/>
              <w:rPr>
                <w:rFonts w:hint="eastAsia" w:ascii="Times New Roman" w:hAnsi="Times New Roman" w:eastAsia="等线" w:cs="Times New Roman"/>
                <w:color w:val="auto"/>
                <w:szCs w:val="21"/>
                <w:highlight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018</w:t>
            </w:r>
          </w:p>
        </w:tc>
      </w:tr>
      <w:tr w14:paraId="77CB8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8"/>
            <w:tcBorders>
              <w:left w:val="single" w:color="auto" w:sz="4" w:space="0"/>
              <w:right w:val="single" w:color="auto" w:sz="4" w:space="0"/>
            </w:tcBorders>
            <w:noWrap w:val="0"/>
            <w:vAlign w:val="center"/>
          </w:tcPr>
          <w:p w14:paraId="5ACCF839">
            <w:pPr>
              <w:autoSpaceDE w:val="0"/>
              <w:adjustRightInd w:val="0"/>
              <w:snapToGrid w:val="0"/>
              <w:jc w:val="both"/>
              <w:rPr>
                <w:rFonts w:hint="eastAsia" w:ascii="Times New Roman" w:hAnsi="Times New Roman" w:eastAsia="等线" w:cs="Times New Roman"/>
                <w:color w:val="auto"/>
                <w:szCs w:val="21"/>
                <w:highlight w:val="none"/>
                <w:lang w:val="en-US" w:eastAsia="zh-CN"/>
              </w:rPr>
            </w:pPr>
            <w:r>
              <w:rPr>
                <w:rFonts w:ascii="Times New Roman" w:hAnsi="Times New Roman" w:eastAsia="宋体" w:cs="Times New Roman"/>
                <w:color w:val="auto"/>
                <w:szCs w:val="21"/>
                <w:highlight w:val="none"/>
              </w:rPr>
              <w:t>注：表中排放浓度、排放量指经厂区污水排放口处的水污染物排放浓度、排放量。</w:t>
            </w:r>
          </w:p>
        </w:tc>
      </w:tr>
    </w:tbl>
    <w:p w14:paraId="5C9091A2">
      <w:pPr>
        <w:adjustRightInd w:val="0"/>
        <w:snapToGrid w:val="0"/>
        <w:spacing w:line="360" w:lineRule="auto"/>
        <w:rPr>
          <w:b/>
          <w:color w:val="auto"/>
          <w:kern w:val="0"/>
          <w:sz w:val="28"/>
          <w:szCs w:val="28"/>
          <w:highlight w:val="none"/>
        </w:rPr>
        <w:sectPr>
          <w:pgSz w:w="16840" w:h="11907" w:orient="landscape"/>
          <w:pgMar w:top="1531" w:right="1701" w:bottom="1531" w:left="2127" w:header="851" w:footer="851" w:gutter="0"/>
          <w:pgBorders>
            <w:top w:val="none" w:sz="0" w:space="0"/>
            <w:left w:val="none" w:sz="0" w:space="0"/>
            <w:bottom w:val="none" w:sz="0" w:space="0"/>
            <w:right w:val="none" w:sz="0" w:space="0"/>
          </w:pgBorders>
          <w:cols w:space="720" w:num="1"/>
          <w:docGrid w:linePitch="312" w:charSpace="0"/>
        </w:sectPr>
      </w:pPr>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8223"/>
      </w:tblGrid>
      <w:tr w14:paraId="7E9378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746" w:type="dxa"/>
            <w:tcMar>
              <w:left w:w="28" w:type="dxa"/>
              <w:right w:w="28" w:type="dxa"/>
            </w:tcMar>
            <w:vAlign w:val="center"/>
          </w:tcPr>
          <w:p w14:paraId="0FB7DA05">
            <w:pPr>
              <w:adjustRightInd w:val="0"/>
              <w:snapToGrid w:val="0"/>
              <w:jc w:val="center"/>
              <w:rPr>
                <w:bCs/>
                <w:color w:val="auto"/>
                <w:szCs w:val="21"/>
                <w:highlight w:val="none"/>
              </w:rPr>
            </w:pPr>
            <w:r>
              <w:rPr>
                <w:bCs/>
                <w:color w:val="auto"/>
                <w:sz w:val="24"/>
                <w:szCs w:val="24"/>
                <w:highlight w:val="none"/>
              </w:rPr>
              <w:t>运营期环境影响和保护措施</w:t>
            </w:r>
          </w:p>
        </w:tc>
        <w:tc>
          <w:tcPr>
            <w:tcW w:w="8162" w:type="dxa"/>
            <w:vAlign w:val="center"/>
          </w:tcPr>
          <w:p w14:paraId="63EFE0C5">
            <w:pPr>
              <w:pStyle w:val="120"/>
              <w:ind w:left="-2" w:firstLine="474"/>
              <w:rPr>
                <w:rFonts w:cs="Times New Roman"/>
                <w:color w:val="auto"/>
                <w:highlight w:val="none"/>
              </w:rPr>
            </w:pPr>
            <w:r>
              <w:rPr>
                <w:rFonts w:hint="eastAsia" w:cs="Times New Roman"/>
                <w:color w:val="auto"/>
                <w:highlight w:val="none"/>
              </w:rPr>
              <w:t>3</w:t>
            </w:r>
            <w:r>
              <w:rPr>
                <w:rFonts w:hint="eastAsia" w:cs="Times New Roman"/>
                <w:color w:val="auto"/>
                <w:highlight w:val="none"/>
                <w:lang w:eastAsia="zh-CN"/>
              </w:rPr>
              <w:t>、</w:t>
            </w:r>
            <w:r>
              <w:rPr>
                <w:rFonts w:hint="eastAsia" w:cs="Times New Roman"/>
                <w:color w:val="auto"/>
                <w:highlight w:val="none"/>
              </w:rPr>
              <w:t>噪声</w:t>
            </w:r>
          </w:p>
          <w:p w14:paraId="17B45F5D">
            <w:pPr>
              <w:pStyle w:val="120"/>
              <w:ind w:left="-2"/>
              <w:rPr>
                <w:rFonts w:cs="Times New Roman"/>
                <w:b w:val="0"/>
                <w:color w:val="auto"/>
                <w:highlight w:val="none"/>
              </w:rPr>
            </w:pPr>
            <w:r>
              <w:rPr>
                <w:rFonts w:cs="Times New Roman"/>
                <w:b w:val="0"/>
                <w:color w:val="auto"/>
                <w:highlight w:val="none"/>
              </w:rPr>
              <w:t>本项目主要噪声源为</w:t>
            </w:r>
            <w:r>
              <w:rPr>
                <w:rFonts w:cs="Times New Roman"/>
                <w:b w:val="0"/>
                <w:bCs/>
                <w:color w:val="auto"/>
                <w:highlight w:val="none"/>
              </w:rPr>
              <w:t>机器设备运行时产生的噪声</w:t>
            </w:r>
            <w:r>
              <w:rPr>
                <w:rFonts w:cs="Times New Roman"/>
                <w:b w:val="0"/>
                <w:color w:val="auto"/>
                <w:highlight w:val="none"/>
              </w:rPr>
              <w:t>，</w:t>
            </w:r>
            <w:r>
              <w:rPr>
                <w:rFonts w:hint="eastAsia" w:cs="Times New Roman"/>
                <w:b w:val="0"/>
                <w:color w:val="auto"/>
                <w:highlight w:val="none"/>
              </w:rPr>
              <w:t>噪声强度约为</w:t>
            </w:r>
            <w:r>
              <w:rPr>
                <w:rFonts w:hint="eastAsia" w:cs="Times New Roman"/>
                <w:b w:val="0"/>
                <w:color w:val="auto"/>
                <w:highlight w:val="none"/>
                <w:lang w:val="en-US" w:eastAsia="zh-CN"/>
              </w:rPr>
              <w:t>85</w:t>
            </w:r>
            <w:r>
              <w:rPr>
                <w:rFonts w:hint="eastAsia" w:cs="Times New Roman"/>
                <w:b w:val="0"/>
                <w:color w:val="auto"/>
                <w:highlight w:val="none"/>
              </w:rPr>
              <w:t>~</w:t>
            </w:r>
            <w:r>
              <w:rPr>
                <w:rFonts w:hint="eastAsia" w:cs="Times New Roman"/>
                <w:b w:val="0"/>
                <w:color w:val="auto"/>
                <w:highlight w:val="none"/>
                <w:lang w:val="en-US" w:eastAsia="zh-CN"/>
              </w:rPr>
              <w:t>90</w:t>
            </w:r>
            <w:r>
              <w:rPr>
                <w:rFonts w:hint="eastAsia" w:cs="Times New Roman"/>
                <w:b w:val="0"/>
                <w:color w:val="auto"/>
                <w:highlight w:val="none"/>
              </w:rPr>
              <w:t>dB(A)</w:t>
            </w:r>
            <w:r>
              <w:rPr>
                <w:rFonts w:hint="eastAsia" w:cs="Times New Roman"/>
                <w:b w:val="0"/>
                <w:color w:val="auto"/>
                <w:highlight w:val="none"/>
                <w:lang w:eastAsia="zh-CN"/>
              </w:rPr>
              <w:t>，</w:t>
            </w:r>
            <w:r>
              <w:rPr>
                <w:rFonts w:hint="eastAsia" w:cs="Times New Roman"/>
                <w:b w:val="0"/>
                <w:color w:val="auto"/>
                <w:highlight w:val="none"/>
              </w:rPr>
              <w:t>主要生产</w:t>
            </w:r>
            <w:r>
              <w:rPr>
                <w:rFonts w:cs="Times New Roman"/>
                <w:b w:val="0"/>
                <w:color w:val="auto"/>
                <w:highlight w:val="none"/>
              </w:rPr>
              <w:t>设备的噪声源强详见表</w:t>
            </w:r>
            <w:r>
              <w:rPr>
                <w:rFonts w:hint="eastAsia" w:cs="Times New Roman"/>
                <w:b w:val="0"/>
                <w:color w:val="auto"/>
                <w:highlight w:val="none"/>
                <w:lang w:val="en-US" w:eastAsia="zh-CN"/>
              </w:rPr>
              <w:t>4-11</w:t>
            </w:r>
            <w:r>
              <w:rPr>
                <w:rFonts w:cs="Times New Roman"/>
                <w:b w:val="0"/>
                <w:color w:val="auto"/>
                <w:highlight w:val="none"/>
              </w:rPr>
              <w:t>。</w:t>
            </w:r>
          </w:p>
          <w:p w14:paraId="256CD00B">
            <w:pPr>
              <w:pStyle w:val="1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cs="Times New Roman"/>
                <w:b/>
                <w:bCs/>
                <w:color w:val="auto"/>
                <w:highlight w:val="none"/>
              </w:rPr>
            </w:pPr>
            <w:r>
              <w:rPr>
                <w:rFonts w:hint="eastAsia" w:cs="Times New Roman"/>
                <w:b/>
                <w:bCs/>
                <w:color w:val="auto"/>
                <w:highlight w:val="none"/>
              </w:rPr>
              <w:t>表</w:t>
            </w:r>
            <w:r>
              <w:rPr>
                <w:rFonts w:hint="eastAsia" w:cs="Times New Roman"/>
                <w:b/>
                <w:bCs/>
                <w:color w:val="auto"/>
                <w:highlight w:val="none"/>
                <w:lang w:val="en-US" w:eastAsia="zh-CN"/>
              </w:rPr>
              <w:t xml:space="preserve">4-11 </w:t>
            </w:r>
            <w:r>
              <w:rPr>
                <w:rFonts w:hint="eastAsia" w:cs="Times New Roman"/>
                <w:b/>
                <w:bCs/>
                <w:color w:val="auto"/>
                <w:highlight w:val="none"/>
              </w:rPr>
              <w:t>本项目主要噪声源强</w:t>
            </w:r>
          </w:p>
          <w:tbl>
            <w:tblPr>
              <w:tblStyle w:val="31"/>
              <w:tblW w:w="772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088"/>
              <w:gridCol w:w="1879"/>
              <w:gridCol w:w="1879"/>
              <w:gridCol w:w="1879"/>
            </w:tblGrid>
            <w:tr w14:paraId="7F7F72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9" w:hRule="atLeast"/>
                <w:jc w:val="center"/>
              </w:trPr>
              <w:tc>
                <w:tcPr>
                  <w:tcW w:w="2088" w:type="dxa"/>
                  <w:noWrap w:val="0"/>
                  <w:vAlign w:val="center"/>
                </w:tcPr>
                <w:p w14:paraId="1034E375">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eastAsia="宋体" w:cs="Times New Roman"/>
                      <w:b/>
                      <w:color w:val="auto"/>
                      <w:sz w:val="21"/>
                      <w:highlight w:val="none"/>
                    </w:rPr>
                  </w:pPr>
                  <w:r>
                    <w:rPr>
                      <w:rFonts w:hint="default" w:ascii="Times New Roman" w:hAnsi="Times New Roman" w:eastAsia="宋体" w:cs="Times New Roman"/>
                      <w:b/>
                      <w:color w:val="auto"/>
                      <w:sz w:val="21"/>
                      <w:highlight w:val="none"/>
                    </w:rPr>
                    <w:t>主要噪声设备</w:t>
                  </w:r>
                </w:p>
              </w:tc>
              <w:tc>
                <w:tcPr>
                  <w:tcW w:w="1879" w:type="dxa"/>
                  <w:noWrap w:val="0"/>
                  <w:vAlign w:val="center"/>
                </w:tcPr>
                <w:p w14:paraId="273C4E70">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eastAsia="宋体" w:cs="Times New Roman"/>
                      <w:b/>
                      <w:color w:val="auto"/>
                      <w:sz w:val="21"/>
                      <w:highlight w:val="none"/>
                    </w:rPr>
                  </w:pPr>
                  <w:r>
                    <w:rPr>
                      <w:rFonts w:hint="default" w:ascii="Times New Roman" w:hAnsi="Times New Roman" w:eastAsia="宋体" w:cs="Times New Roman"/>
                      <w:b/>
                      <w:color w:val="auto"/>
                      <w:sz w:val="21"/>
                      <w:highlight w:val="none"/>
                    </w:rPr>
                    <w:t>声压等级</w:t>
                  </w:r>
                  <w:r>
                    <w:rPr>
                      <w:rFonts w:hint="default" w:ascii="Times New Roman" w:hAnsi="Times New Roman" w:cs="Times New Roman"/>
                      <w:b/>
                      <w:color w:val="auto"/>
                      <w:sz w:val="21"/>
                      <w:highlight w:val="none"/>
                    </w:rPr>
                    <w:t>dB</w:t>
                  </w:r>
                  <w:r>
                    <w:rPr>
                      <w:rFonts w:hint="default" w:ascii="Times New Roman" w:hAnsi="Times New Roman" w:eastAsia="宋体" w:cs="Times New Roman"/>
                      <w:b/>
                      <w:color w:val="auto"/>
                      <w:sz w:val="21"/>
                      <w:highlight w:val="none"/>
                    </w:rPr>
                    <w:t>（</w:t>
                  </w:r>
                  <w:r>
                    <w:rPr>
                      <w:rFonts w:hint="default" w:ascii="Times New Roman" w:hAnsi="Times New Roman" w:cs="Times New Roman"/>
                      <w:b/>
                      <w:color w:val="auto"/>
                      <w:sz w:val="21"/>
                      <w:highlight w:val="none"/>
                    </w:rPr>
                    <w:t>A</w:t>
                  </w:r>
                  <w:r>
                    <w:rPr>
                      <w:rFonts w:hint="default" w:ascii="Times New Roman" w:hAnsi="Times New Roman" w:eastAsia="宋体" w:cs="Times New Roman"/>
                      <w:b/>
                      <w:color w:val="auto"/>
                      <w:sz w:val="21"/>
                      <w:highlight w:val="none"/>
                    </w:rPr>
                    <w:t>）</w:t>
                  </w:r>
                </w:p>
              </w:tc>
              <w:tc>
                <w:tcPr>
                  <w:tcW w:w="1879" w:type="dxa"/>
                  <w:noWrap w:val="0"/>
                  <w:vAlign w:val="center"/>
                </w:tcPr>
                <w:p w14:paraId="4006D012">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eastAsia="宋体" w:cs="Times New Roman"/>
                      <w:b/>
                      <w:color w:val="auto"/>
                      <w:sz w:val="21"/>
                      <w:highlight w:val="none"/>
                      <w:lang w:val="en-US" w:eastAsia="zh-CN"/>
                    </w:rPr>
                  </w:pPr>
                  <w:r>
                    <w:rPr>
                      <w:rFonts w:hint="default" w:ascii="Times New Roman" w:hAnsi="Times New Roman" w:eastAsia="宋体" w:cs="Times New Roman"/>
                      <w:b/>
                      <w:color w:val="auto"/>
                      <w:sz w:val="21"/>
                      <w:highlight w:val="none"/>
                      <w:lang w:val="en-US" w:eastAsia="zh-CN"/>
                    </w:rPr>
                    <w:t>降噪措施</w:t>
                  </w:r>
                </w:p>
              </w:tc>
              <w:tc>
                <w:tcPr>
                  <w:tcW w:w="1879" w:type="dxa"/>
                  <w:noWrap w:val="0"/>
                  <w:vAlign w:val="center"/>
                </w:tcPr>
                <w:p w14:paraId="5771FC11">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eastAsia="宋体" w:cs="Times New Roman"/>
                      <w:b/>
                      <w:color w:val="auto"/>
                      <w:sz w:val="21"/>
                      <w:highlight w:val="none"/>
                      <w:lang w:val="en-US" w:eastAsia="zh-CN"/>
                    </w:rPr>
                  </w:pPr>
                  <w:r>
                    <w:rPr>
                      <w:rFonts w:hint="default" w:ascii="Times New Roman" w:hAnsi="Times New Roman" w:eastAsia="宋体" w:cs="Times New Roman"/>
                      <w:b/>
                      <w:color w:val="auto"/>
                      <w:sz w:val="21"/>
                      <w:highlight w:val="none"/>
                      <w:lang w:val="en-US" w:eastAsia="zh-CN"/>
                    </w:rPr>
                    <w:t>降噪后</w:t>
                  </w:r>
                  <w:r>
                    <w:rPr>
                      <w:rFonts w:hint="default" w:ascii="Times New Roman" w:hAnsi="Times New Roman" w:eastAsia="宋体" w:cs="Times New Roman"/>
                      <w:b/>
                      <w:color w:val="auto"/>
                      <w:sz w:val="21"/>
                      <w:highlight w:val="none"/>
                    </w:rPr>
                    <w:t>声压等级</w:t>
                  </w:r>
                  <w:r>
                    <w:rPr>
                      <w:rFonts w:hint="default" w:ascii="Times New Roman" w:hAnsi="Times New Roman" w:cs="Times New Roman"/>
                      <w:b/>
                      <w:color w:val="auto"/>
                      <w:sz w:val="21"/>
                      <w:highlight w:val="none"/>
                    </w:rPr>
                    <w:t>dB</w:t>
                  </w:r>
                  <w:r>
                    <w:rPr>
                      <w:rFonts w:hint="default" w:ascii="Times New Roman" w:hAnsi="Times New Roman" w:eastAsia="宋体" w:cs="Times New Roman"/>
                      <w:b/>
                      <w:color w:val="auto"/>
                      <w:sz w:val="21"/>
                      <w:highlight w:val="none"/>
                    </w:rPr>
                    <w:t>（</w:t>
                  </w:r>
                  <w:r>
                    <w:rPr>
                      <w:rFonts w:hint="default" w:ascii="Times New Roman" w:hAnsi="Times New Roman" w:cs="Times New Roman"/>
                      <w:b/>
                      <w:color w:val="auto"/>
                      <w:sz w:val="21"/>
                      <w:highlight w:val="none"/>
                    </w:rPr>
                    <w:t>A</w:t>
                  </w:r>
                  <w:r>
                    <w:rPr>
                      <w:rFonts w:hint="default" w:ascii="Times New Roman" w:hAnsi="Times New Roman" w:eastAsia="宋体" w:cs="Times New Roman"/>
                      <w:b/>
                      <w:color w:val="auto"/>
                      <w:sz w:val="21"/>
                      <w:highlight w:val="none"/>
                    </w:rPr>
                    <w:t>）</w:t>
                  </w:r>
                </w:p>
              </w:tc>
            </w:tr>
            <w:tr w14:paraId="26393D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1" w:hRule="atLeast"/>
                <w:jc w:val="center"/>
              </w:trPr>
              <w:tc>
                <w:tcPr>
                  <w:tcW w:w="2088" w:type="dxa"/>
                  <w:noWrap w:val="0"/>
                  <w:vAlign w:val="center"/>
                </w:tcPr>
                <w:p w14:paraId="2C0938D0">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风机</w:t>
                  </w:r>
                </w:p>
              </w:tc>
              <w:tc>
                <w:tcPr>
                  <w:tcW w:w="1879" w:type="dxa"/>
                  <w:noWrap w:val="0"/>
                  <w:vAlign w:val="center"/>
                </w:tcPr>
                <w:p w14:paraId="0B66F899">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90</w:t>
                  </w:r>
                </w:p>
              </w:tc>
              <w:tc>
                <w:tcPr>
                  <w:tcW w:w="1879" w:type="dxa"/>
                  <w:noWrap w:val="0"/>
                  <w:vAlign w:val="center"/>
                </w:tcPr>
                <w:p w14:paraId="30479082">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基础减振+厂房隔声</w:t>
                  </w:r>
                </w:p>
              </w:tc>
              <w:tc>
                <w:tcPr>
                  <w:tcW w:w="1879" w:type="dxa"/>
                  <w:noWrap w:val="0"/>
                  <w:vAlign w:val="center"/>
                </w:tcPr>
                <w:p w14:paraId="70627D2E">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70</w:t>
                  </w:r>
                </w:p>
              </w:tc>
            </w:tr>
            <w:tr w14:paraId="3E9948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0" w:hRule="atLeast"/>
                <w:jc w:val="center"/>
              </w:trPr>
              <w:tc>
                <w:tcPr>
                  <w:tcW w:w="2088" w:type="dxa"/>
                  <w:noWrap w:val="0"/>
                  <w:vAlign w:val="center"/>
                </w:tcPr>
                <w:p w14:paraId="5BFBB8BE">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锅炉排气</w:t>
                  </w:r>
                </w:p>
              </w:tc>
              <w:tc>
                <w:tcPr>
                  <w:tcW w:w="1879" w:type="dxa"/>
                  <w:noWrap w:val="0"/>
                  <w:vAlign w:val="center"/>
                </w:tcPr>
                <w:p w14:paraId="3D42555F">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color w:val="auto"/>
                      <w:sz w:val="21"/>
                      <w:highlight w:val="none"/>
                      <w:lang w:val="en-US" w:eastAsia="zh-CN"/>
                    </w:rPr>
                    <w:t>90</w:t>
                  </w:r>
                </w:p>
              </w:tc>
              <w:tc>
                <w:tcPr>
                  <w:tcW w:w="1879" w:type="dxa"/>
                  <w:noWrap w:val="0"/>
                  <w:vAlign w:val="center"/>
                </w:tcPr>
                <w:p w14:paraId="197B5488">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消声器</w:t>
                  </w:r>
                </w:p>
              </w:tc>
              <w:tc>
                <w:tcPr>
                  <w:tcW w:w="1879" w:type="dxa"/>
                  <w:noWrap w:val="0"/>
                  <w:vAlign w:val="center"/>
                </w:tcPr>
                <w:p w14:paraId="53CE0257">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70</w:t>
                  </w:r>
                </w:p>
              </w:tc>
            </w:tr>
            <w:tr w14:paraId="0B0A91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jc w:val="center"/>
              </w:trPr>
              <w:tc>
                <w:tcPr>
                  <w:tcW w:w="2088" w:type="dxa"/>
                  <w:noWrap w:val="0"/>
                  <w:vAlign w:val="center"/>
                </w:tcPr>
                <w:p w14:paraId="4A16ADD0">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给排水泵、循环水泵、消防水泵</w:t>
                  </w:r>
                </w:p>
              </w:tc>
              <w:tc>
                <w:tcPr>
                  <w:tcW w:w="1879" w:type="dxa"/>
                  <w:noWrap w:val="0"/>
                  <w:vAlign w:val="center"/>
                </w:tcPr>
                <w:p w14:paraId="74CDD04E">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85</w:t>
                  </w:r>
                </w:p>
              </w:tc>
              <w:tc>
                <w:tcPr>
                  <w:tcW w:w="1879" w:type="dxa"/>
                  <w:noWrap w:val="0"/>
                  <w:vAlign w:val="center"/>
                </w:tcPr>
                <w:p w14:paraId="41D4798F">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auto"/>
                      <w:sz w:val="21"/>
                      <w:highlight w:val="none"/>
                    </w:rPr>
                  </w:pPr>
                  <w:r>
                    <w:rPr>
                      <w:rFonts w:hint="default" w:ascii="Times New Roman" w:hAnsi="Times New Roman" w:eastAsia="宋体" w:cs="Times New Roman"/>
                      <w:color w:val="auto"/>
                      <w:sz w:val="21"/>
                      <w:highlight w:val="none"/>
                      <w:lang w:val="en-US" w:eastAsia="zh-CN"/>
                    </w:rPr>
                    <w:t>基础减振+厂房隔声</w:t>
                  </w:r>
                </w:p>
              </w:tc>
              <w:tc>
                <w:tcPr>
                  <w:tcW w:w="1879" w:type="dxa"/>
                  <w:noWrap w:val="0"/>
                  <w:vAlign w:val="center"/>
                </w:tcPr>
                <w:p w14:paraId="02796E20">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65</w:t>
                  </w:r>
                </w:p>
              </w:tc>
            </w:tr>
            <w:tr w14:paraId="597EDD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1" w:hRule="atLeast"/>
                <w:jc w:val="center"/>
              </w:trPr>
              <w:tc>
                <w:tcPr>
                  <w:tcW w:w="2088" w:type="dxa"/>
                  <w:noWrap w:val="0"/>
                  <w:vAlign w:val="center"/>
                </w:tcPr>
                <w:p w14:paraId="3965A246">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电机</w:t>
                  </w:r>
                </w:p>
              </w:tc>
              <w:tc>
                <w:tcPr>
                  <w:tcW w:w="1879" w:type="dxa"/>
                  <w:noWrap w:val="0"/>
                  <w:vAlign w:val="center"/>
                </w:tcPr>
                <w:p w14:paraId="10434A82">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85</w:t>
                  </w:r>
                </w:p>
              </w:tc>
              <w:tc>
                <w:tcPr>
                  <w:tcW w:w="1879" w:type="dxa"/>
                  <w:noWrap w:val="0"/>
                  <w:vAlign w:val="center"/>
                </w:tcPr>
                <w:p w14:paraId="2B8EF5FF">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auto"/>
                      <w:sz w:val="21"/>
                      <w:highlight w:val="none"/>
                    </w:rPr>
                  </w:pPr>
                  <w:r>
                    <w:rPr>
                      <w:rFonts w:hint="default" w:ascii="Times New Roman" w:hAnsi="Times New Roman" w:eastAsia="宋体" w:cs="Times New Roman"/>
                      <w:color w:val="auto"/>
                      <w:sz w:val="21"/>
                      <w:highlight w:val="none"/>
                      <w:lang w:val="en-US" w:eastAsia="zh-CN"/>
                    </w:rPr>
                    <w:t>基础减振+厂房隔声</w:t>
                  </w:r>
                </w:p>
              </w:tc>
              <w:tc>
                <w:tcPr>
                  <w:tcW w:w="1879" w:type="dxa"/>
                  <w:noWrap w:val="0"/>
                  <w:vAlign w:val="center"/>
                </w:tcPr>
                <w:p w14:paraId="6AA22146">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65</w:t>
                  </w:r>
                </w:p>
              </w:tc>
            </w:tr>
            <w:tr w14:paraId="568F86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0" w:hRule="atLeast"/>
                <w:jc w:val="center"/>
              </w:trPr>
              <w:tc>
                <w:tcPr>
                  <w:tcW w:w="2088" w:type="dxa"/>
                  <w:noWrap w:val="0"/>
                  <w:vAlign w:val="center"/>
                </w:tcPr>
                <w:p w14:paraId="240E52AC">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空压机</w:t>
                  </w:r>
                </w:p>
              </w:tc>
              <w:tc>
                <w:tcPr>
                  <w:tcW w:w="1879" w:type="dxa"/>
                  <w:noWrap w:val="0"/>
                  <w:vAlign w:val="center"/>
                </w:tcPr>
                <w:p w14:paraId="368C1E3B">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90</w:t>
                  </w:r>
                </w:p>
              </w:tc>
              <w:tc>
                <w:tcPr>
                  <w:tcW w:w="1879" w:type="dxa"/>
                  <w:noWrap w:val="0"/>
                  <w:vAlign w:val="center"/>
                </w:tcPr>
                <w:p w14:paraId="4766E341">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cs="Times New Roman"/>
                      <w:color w:val="auto"/>
                      <w:sz w:val="21"/>
                      <w:highlight w:val="none"/>
                    </w:rPr>
                  </w:pPr>
                  <w:r>
                    <w:rPr>
                      <w:rFonts w:hint="default" w:ascii="Times New Roman" w:hAnsi="Times New Roman" w:eastAsia="宋体" w:cs="Times New Roman"/>
                      <w:color w:val="auto"/>
                      <w:sz w:val="21"/>
                      <w:highlight w:val="none"/>
                      <w:lang w:val="en-US" w:eastAsia="zh-CN"/>
                    </w:rPr>
                    <w:t>基础减振+厂房隔声</w:t>
                  </w:r>
                </w:p>
              </w:tc>
              <w:tc>
                <w:tcPr>
                  <w:tcW w:w="1879" w:type="dxa"/>
                  <w:noWrap w:val="0"/>
                  <w:vAlign w:val="center"/>
                </w:tcPr>
                <w:p w14:paraId="6F521309">
                  <w:pPr>
                    <w:pStyle w:val="130"/>
                    <w:keepNext w:val="0"/>
                    <w:keepLines w:val="0"/>
                    <w:pageBreakBefore w:val="0"/>
                    <w:widowControl w:val="0"/>
                    <w:kinsoku/>
                    <w:wordWrap/>
                    <w:overflowPunct/>
                    <w:topLinePunct w:val="0"/>
                    <w:autoSpaceDE/>
                    <w:autoSpaceDN/>
                    <w:bidi w:val="0"/>
                    <w:adjustRightInd/>
                    <w:snapToGrid/>
                    <w:spacing w:before="0" w:line="240" w:lineRule="auto"/>
                    <w:ind w:left="0" w:right="0"/>
                    <w:jc w:val="center"/>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70</w:t>
                  </w:r>
                </w:p>
              </w:tc>
            </w:tr>
          </w:tbl>
          <w:p w14:paraId="47247BFD">
            <w:pPr>
              <w:adjustRightInd w:val="0"/>
              <w:snapToGrid w:val="0"/>
              <w:spacing w:before="120" w:beforeLines="50" w:line="360" w:lineRule="auto"/>
              <w:ind w:firstLine="480" w:firstLineChars="200"/>
              <w:rPr>
                <w:rFonts w:hAnsi="宋体"/>
                <w:sz w:val="24"/>
                <w:highlight w:val="none"/>
              </w:rPr>
            </w:pPr>
            <w:r>
              <w:rPr>
                <w:rFonts w:hint="eastAsia"/>
                <w:bCs/>
                <w:sz w:val="24"/>
                <w:highlight w:val="none"/>
              </w:rPr>
              <w:t>为减小项目噪声对周边环境的影响，企业采取以下治理措施：</w:t>
            </w:r>
          </w:p>
          <w:p w14:paraId="10B0B57C">
            <w:pPr>
              <w:pStyle w:val="44"/>
              <w:spacing w:line="360" w:lineRule="auto"/>
              <w:ind w:firstLine="480" w:firstLineChars="200"/>
              <w:rPr>
                <w:rFonts w:ascii="Times New Roman"/>
                <w:bCs/>
                <w:color w:val="auto"/>
                <w:highlight w:val="none"/>
              </w:rPr>
            </w:pPr>
            <w:r>
              <w:rPr>
                <w:rFonts w:hint="eastAsia" w:ascii="Times New Roman"/>
                <w:bCs/>
                <w:color w:val="auto"/>
                <w:highlight w:val="none"/>
              </w:rPr>
              <w:t>①对设备进行合理布局，将高噪声设备放置在远离厂界的位置，并对其加强基础减振及支承结构措施，如采用橡胶隔振垫、软木、压缩型橡胶隔振器等。再通过墙体的阻隔作用减少噪声对周边环境的影响，这样可降低噪声级</w:t>
            </w:r>
            <w:r>
              <w:rPr>
                <w:rFonts w:ascii="Times New Roman"/>
                <w:bCs/>
                <w:color w:val="auto"/>
                <w:highlight w:val="none"/>
              </w:rPr>
              <w:t>10-15</w:t>
            </w:r>
            <w:r>
              <w:rPr>
                <w:rFonts w:hint="eastAsia" w:ascii="Times New Roman"/>
                <w:bCs/>
                <w:color w:val="auto"/>
                <w:highlight w:val="none"/>
              </w:rPr>
              <w:t>分贝。</w:t>
            </w:r>
          </w:p>
          <w:p w14:paraId="4FF3EB0E">
            <w:pPr>
              <w:pStyle w:val="44"/>
              <w:spacing w:line="360" w:lineRule="auto"/>
              <w:ind w:firstLine="480" w:firstLineChars="200"/>
              <w:rPr>
                <w:rFonts w:ascii="Times New Roman"/>
                <w:bCs/>
                <w:color w:val="auto"/>
                <w:highlight w:val="none"/>
              </w:rPr>
            </w:pPr>
            <w:r>
              <w:rPr>
                <w:rFonts w:hint="eastAsia" w:ascii="Times New Roman"/>
                <w:bCs/>
                <w:color w:val="auto"/>
                <w:highlight w:val="none"/>
              </w:rPr>
              <w:t>②</w:t>
            </w:r>
            <w:r>
              <w:rPr>
                <w:rFonts w:hint="eastAsia" w:ascii="Times New Roman"/>
                <w:bCs/>
                <w:color w:val="auto"/>
                <w:highlight w:val="none"/>
                <w:lang w:val="en-US" w:eastAsia="zh-CN"/>
              </w:rPr>
              <w:t>对噪声设备有针对性的采用声屏障措施</w:t>
            </w:r>
            <w:r>
              <w:rPr>
                <w:rFonts w:hint="eastAsia" w:ascii="Times New Roman"/>
                <w:bCs/>
                <w:color w:val="auto"/>
                <w:highlight w:val="none"/>
              </w:rPr>
              <w:t>可降低噪声级</w:t>
            </w:r>
            <w:r>
              <w:rPr>
                <w:rFonts w:ascii="Times New Roman"/>
                <w:bCs/>
                <w:color w:val="auto"/>
                <w:highlight w:val="none"/>
              </w:rPr>
              <w:t>5-10</w:t>
            </w:r>
            <w:r>
              <w:rPr>
                <w:rFonts w:hint="eastAsia" w:ascii="Times New Roman"/>
                <w:bCs/>
                <w:color w:val="auto"/>
                <w:highlight w:val="none"/>
              </w:rPr>
              <w:t>分贝。</w:t>
            </w:r>
          </w:p>
          <w:p w14:paraId="00399FD0">
            <w:pPr>
              <w:pStyle w:val="44"/>
              <w:spacing w:line="360" w:lineRule="auto"/>
              <w:ind w:firstLine="480" w:firstLineChars="200"/>
              <w:rPr>
                <w:rFonts w:ascii="Times New Roman"/>
                <w:bCs/>
                <w:color w:val="auto"/>
                <w:highlight w:val="none"/>
              </w:rPr>
            </w:pPr>
            <w:r>
              <w:rPr>
                <w:rFonts w:hint="eastAsia" w:ascii="Times New Roman"/>
                <w:bCs/>
                <w:color w:val="auto"/>
                <w:highlight w:val="none"/>
              </w:rPr>
              <w:t>③使用中要加强维修保养，使设备处于良好的运行状态，避免因不正常运行所导致的噪声增大。</w:t>
            </w:r>
          </w:p>
          <w:p w14:paraId="61B1D5D9">
            <w:pPr>
              <w:adjustRightInd w:val="0"/>
              <w:snapToGrid w:val="0"/>
              <w:spacing w:line="360" w:lineRule="auto"/>
              <w:ind w:firstLine="480" w:firstLineChars="200"/>
              <w:jc w:val="left"/>
              <w:rPr>
                <w:rFonts w:hint="eastAsia"/>
                <w:highlight w:val="none"/>
              </w:rPr>
            </w:pPr>
            <w:r>
              <w:rPr>
                <w:rFonts w:hint="eastAsia"/>
                <w:sz w:val="24"/>
                <w:highlight w:val="none"/>
              </w:rPr>
              <w:t>经以上各项减噪措施后，噪声源一般可衰减</w:t>
            </w:r>
            <w:r>
              <w:rPr>
                <w:sz w:val="24"/>
                <w:highlight w:val="none"/>
              </w:rPr>
              <w:t>15</w:t>
            </w:r>
            <w:r>
              <w:rPr>
                <w:rFonts w:hint="eastAsia"/>
                <w:sz w:val="24"/>
                <w:highlight w:val="none"/>
              </w:rPr>
              <w:t>~</w:t>
            </w:r>
            <w:r>
              <w:rPr>
                <w:sz w:val="24"/>
                <w:highlight w:val="none"/>
              </w:rPr>
              <w:t>25dB(A)</w:t>
            </w:r>
            <w:r>
              <w:rPr>
                <w:rFonts w:hint="eastAsia"/>
                <w:sz w:val="24"/>
                <w:highlight w:val="none"/>
              </w:rPr>
              <w:t>。</w:t>
            </w:r>
            <w:r>
              <w:rPr>
                <w:rFonts w:hint="eastAsia" w:hAnsi="宋体"/>
                <w:sz w:val="24"/>
                <w:highlight w:val="none"/>
                <w:lang w:val="en-US" w:eastAsia="zh-CN"/>
              </w:rPr>
              <w:t>本</w:t>
            </w:r>
            <w:r>
              <w:rPr>
                <w:rFonts w:hint="eastAsia"/>
                <w:sz w:val="24"/>
                <w:highlight w:val="none"/>
              </w:rPr>
              <w:t>项目主要设备等效综合噪声源强以</w:t>
            </w:r>
            <w:r>
              <w:rPr>
                <w:rFonts w:hint="eastAsia"/>
                <w:sz w:val="24"/>
                <w:highlight w:val="none"/>
                <w:lang w:val="en-US" w:eastAsia="zh-CN"/>
              </w:rPr>
              <w:t>75.96</w:t>
            </w:r>
            <w:r>
              <w:rPr>
                <w:sz w:val="24"/>
                <w:highlight w:val="none"/>
              </w:rPr>
              <w:t>dB(A)</w:t>
            </w:r>
            <w:r>
              <w:rPr>
                <w:rFonts w:hint="eastAsia"/>
                <w:sz w:val="24"/>
                <w:highlight w:val="none"/>
              </w:rPr>
              <w:t>计算。</w:t>
            </w:r>
            <w:r>
              <w:rPr>
                <w:rFonts w:hint="eastAsia"/>
                <w:sz w:val="24"/>
                <w:highlight w:val="none"/>
                <w:lang w:val="zh-CN"/>
              </w:rPr>
              <w:t>参照</w:t>
            </w:r>
            <w:r>
              <w:rPr>
                <w:sz w:val="24"/>
                <w:highlight w:val="none"/>
                <w:lang w:val="zh-CN"/>
              </w:rPr>
              <w:t>《环境影响评价技术导则声环境》（HJ2.4-2021）中附录A中的工业噪声预测计算模式，对项目主要噪声源在各预测点产生的A声级进行计算，计算过程如下。</w:t>
            </w:r>
          </w:p>
          <w:p w14:paraId="17DD5574">
            <w:pPr>
              <w:shd w:val="clear"/>
              <w:snapToGrid w:val="0"/>
              <w:spacing w:line="360" w:lineRule="auto"/>
              <w:ind w:firstLine="482" w:firstLineChars="200"/>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点声源在预测点产生的声级计算基本公式如下：</w:t>
            </w:r>
          </w:p>
          <w:p w14:paraId="268765D4">
            <w:pPr>
              <w:shd w:val="clea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L</w:t>
            </w:r>
            <w:r>
              <w:rPr>
                <w:color w:val="000000" w:themeColor="text1"/>
                <w:sz w:val="24"/>
                <w:highlight w:val="none"/>
                <w:vertAlign w:val="subscript"/>
                <w14:textFill>
                  <w14:solidFill>
                    <w14:schemeClr w14:val="tx1"/>
                  </w14:solidFill>
                </w14:textFill>
              </w:rPr>
              <w:t>p（r）</w:t>
            </w:r>
            <w:r>
              <w:rPr>
                <w:color w:val="000000" w:themeColor="text1"/>
                <w:sz w:val="24"/>
                <w:highlight w:val="none"/>
                <w14:textFill>
                  <w14:solidFill>
                    <w14:schemeClr w14:val="tx1"/>
                  </w14:solidFill>
                </w14:textFill>
              </w:rPr>
              <w:t>=L</w:t>
            </w:r>
            <w:r>
              <w:rPr>
                <w:color w:val="000000" w:themeColor="text1"/>
                <w:sz w:val="24"/>
                <w:highlight w:val="none"/>
                <w:vertAlign w:val="subscript"/>
                <w14:textFill>
                  <w14:solidFill>
                    <w14:schemeClr w14:val="tx1"/>
                  </w14:solidFill>
                </w14:textFill>
              </w:rPr>
              <w:t>w</w:t>
            </w:r>
            <w:r>
              <w:rPr>
                <w:color w:val="000000" w:themeColor="text1"/>
                <w:sz w:val="24"/>
                <w:highlight w:val="none"/>
                <w14:textFill>
                  <w14:solidFill>
                    <w14:schemeClr w14:val="tx1"/>
                  </w14:solidFill>
                </w14:textFill>
              </w:rPr>
              <w:t>+D</w:t>
            </w:r>
            <w:r>
              <w:rPr>
                <w:color w:val="000000" w:themeColor="text1"/>
                <w:sz w:val="24"/>
                <w:highlight w:val="none"/>
                <w:vertAlign w:val="subscript"/>
                <w14:textFill>
                  <w14:solidFill>
                    <w14:schemeClr w14:val="tx1"/>
                  </w14:solidFill>
                </w14:textFill>
              </w:rPr>
              <w:t>c</w:t>
            </w:r>
            <w:r>
              <w:rPr>
                <w:color w:val="000000" w:themeColor="text1"/>
                <w:sz w:val="24"/>
                <w:highlight w:val="none"/>
                <w14:textFill>
                  <w14:solidFill>
                    <w14:schemeClr w14:val="tx1"/>
                  </w14:solidFill>
                </w14:textFill>
              </w:rPr>
              <w:t>－A</w:t>
            </w:r>
          </w:p>
          <w:p w14:paraId="0C72A965">
            <w:pPr>
              <w:shd w:val="clear"/>
              <w:adjustRightInd w:val="0"/>
              <w:snapToGrid w:val="0"/>
              <w:spacing w:line="360" w:lineRule="auto"/>
              <w:ind w:firstLine="480" w:firstLineChars="200"/>
              <w:jc w:val="left"/>
              <w:rPr>
                <w:color w:val="000000" w:themeColor="text1"/>
                <w:sz w:val="24"/>
                <w:highlight w:val="none"/>
                <w:lang w:val="zh-CN"/>
                <w14:textFill>
                  <w14:solidFill>
                    <w14:schemeClr w14:val="tx1"/>
                  </w14:solidFill>
                </w14:textFill>
              </w:rPr>
            </w:pPr>
            <w:r>
              <w:rPr>
                <w:color w:val="000000" w:themeColor="text1"/>
                <w:sz w:val="24"/>
                <w:highlight w:val="none"/>
                <w:lang w:val="zh-CN"/>
                <w14:textFill>
                  <w14:solidFill>
                    <w14:schemeClr w14:val="tx1"/>
                  </w14:solidFill>
                </w14:textFill>
              </w:rPr>
              <w:t>式中L</w:t>
            </w:r>
            <w:r>
              <w:rPr>
                <w:color w:val="000000" w:themeColor="text1"/>
                <w:sz w:val="24"/>
                <w:highlight w:val="none"/>
                <w:vertAlign w:val="subscript"/>
                <w:lang w:val="zh-CN"/>
                <w14:textFill>
                  <w14:solidFill>
                    <w14:schemeClr w14:val="tx1"/>
                  </w14:solidFill>
                </w14:textFill>
              </w:rPr>
              <w:t>p（r）</w:t>
            </w:r>
            <w:r>
              <w:rPr>
                <w:color w:val="000000" w:themeColor="text1"/>
                <w:sz w:val="24"/>
                <w:highlight w:val="none"/>
                <w:lang w:val="zh-CN"/>
                <w14:textFill>
                  <w14:solidFill>
                    <w14:schemeClr w14:val="tx1"/>
                  </w14:solidFill>
                </w14:textFill>
              </w:rPr>
              <w:t>：预测点的声压级；</w:t>
            </w:r>
          </w:p>
          <w:p w14:paraId="5AC1C7F4">
            <w:pPr>
              <w:shd w:val="clear"/>
              <w:adjustRightInd w:val="0"/>
              <w:snapToGrid w:val="0"/>
              <w:spacing w:line="360" w:lineRule="auto"/>
              <w:ind w:firstLine="480" w:firstLineChars="200"/>
              <w:jc w:val="left"/>
              <w:rPr>
                <w:color w:val="000000" w:themeColor="text1"/>
                <w:sz w:val="24"/>
                <w:highlight w:val="none"/>
                <w:lang w:val="zh-CN"/>
                <w14:textFill>
                  <w14:solidFill>
                    <w14:schemeClr w14:val="tx1"/>
                  </w14:solidFill>
                </w14:textFill>
              </w:rPr>
            </w:pPr>
            <w:r>
              <w:rPr>
                <w:color w:val="000000" w:themeColor="text1"/>
                <w:sz w:val="24"/>
                <w:highlight w:val="none"/>
                <w:lang w:val="zh-CN"/>
                <w14:textFill>
                  <w14:solidFill>
                    <w14:schemeClr w14:val="tx1"/>
                  </w14:solidFill>
                </w14:textFill>
              </w:rPr>
              <w:t>D</w:t>
            </w:r>
            <w:r>
              <w:rPr>
                <w:color w:val="000000" w:themeColor="text1"/>
                <w:sz w:val="24"/>
                <w:highlight w:val="none"/>
                <w:vertAlign w:val="subscript"/>
                <w:lang w:val="zh-CN"/>
                <w14:textFill>
                  <w14:solidFill>
                    <w14:schemeClr w14:val="tx1"/>
                  </w14:solidFill>
                </w14:textFill>
              </w:rPr>
              <w:t>c</w:t>
            </w:r>
            <w:r>
              <w:rPr>
                <w:color w:val="000000" w:themeColor="text1"/>
                <w:sz w:val="24"/>
                <w:highlight w:val="none"/>
                <w:lang w:val="zh-CN"/>
                <w14:textFill>
                  <w14:solidFill>
                    <w14:schemeClr w14:val="tx1"/>
                  </w14:solidFill>
                </w14:textFill>
              </w:rPr>
              <w:t>：指向性校正，本评价不考虑；</w:t>
            </w:r>
          </w:p>
          <w:p w14:paraId="59FC9FB6">
            <w:pPr>
              <w:shd w:val="clear"/>
              <w:adjustRightInd w:val="0"/>
              <w:snapToGrid w:val="0"/>
              <w:spacing w:line="360" w:lineRule="auto"/>
              <w:ind w:firstLine="480" w:firstLineChars="200"/>
              <w:jc w:val="left"/>
              <w:rPr>
                <w:color w:val="000000" w:themeColor="text1"/>
                <w:sz w:val="24"/>
                <w:highlight w:val="none"/>
                <w:lang w:val="zh-CN"/>
                <w14:textFill>
                  <w14:solidFill>
                    <w14:schemeClr w14:val="tx1"/>
                  </w14:solidFill>
                </w14:textFill>
              </w:rPr>
            </w:pPr>
            <w:r>
              <w:rPr>
                <w:color w:val="000000" w:themeColor="text1"/>
                <w:sz w:val="24"/>
                <w:highlight w:val="none"/>
                <w:lang w:val="zh-CN"/>
                <w14:textFill>
                  <w14:solidFill>
                    <w14:schemeClr w14:val="tx1"/>
                  </w14:solidFill>
                </w14:textFill>
              </w:rPr>
              <w:t>A：衰减，项目所在区域</w:t>
            </w:r>
            <w:r>
              <w:rPr>
                <w:rFonts w:hint="eastAsia"/>
                <w:color w:val="000000" w:themeColor="text1"/>
                <w:sz w:val="24"/>
                <w:highlight w:val="none"/>
                <w:lang w:val="zh-CN"/>
                <w14:textFill>
                  <w14:solidFill>
                    <w14:schemeClr w14:val="tx1"/>
                  </w14:solidFill>
                </w14:textFill>
              </w:rPr>
              <w:t>地面已硬化，</w:t>
            </w:r>
            <w:r>
              <w:rPr>
                <w:color w:val="000000" w:themeColor="text1"/>
                <w:sz w:val="24"/>
                <w:highlight w:val="none"/>
                <w:lang w:val="zh-CN"/>
                <w14:textFill>
                  <w14:solidFill>
                    <w14:schemeClr w14:val="tx1"/>
                  </w14:solidFill>
                </w14:textFill>
              </w:rPr>
              <w:t>地势平坦，</w:t>
            </w:r>
            <w:r>
              <w:rPr>
                <w:rFonts w:hint="eastAsia"/>
                <w:color w:val="000000" w:themeColor="text1"/>
                <w:sz w:val="24"/>
                <w:highlight w:val="none"/>
                <w:lang w:val="zh-CN"/>
                <w14:textFill>
                  <w14:solidFill>
                    <w14:schemeClr w14:val="tx1"/>
                  </w14:solidFill>
                </w14:textFill>
              </w:rPr>
              <w:t>因此</w:t>
            </w:r>
            <w:r>
              <w:rPr>
                <w:color w:val="000000" w:themeColor="text1"/>
                <w:sz w:val="24"/>
                <w:highlight w:val="none"/>
                <w:lang w:val="zh-CN"/>
                <w14:textFill>
                  <w14:solidFill>
                    <w14:schemeClr w14:val="tx1"/>
                  </w14:solidFill>
                </w14:textFill>
              </w:rPr>
              <w:t>本评价只考虑几何发散衰减A</w:t>
            </w:r>
            <w:r>
              <w:rPr>
                <w:color w:val="000000" w:themeColor="text1"/>
                <w:sz w:val="24"/>
                <w:highlight w:val="none"/>
                <w:vertAlign w:val="subscript"/>
                <w:lang w:val="zh-CN"/>
                <w14:textFill>
                  <w14:solidFill>
                    <w14:schemeClr w14:val="tx1"/>
                  </w14:solidFill>
                </w14:textFill>
              </w:rPr>
              <w:t>div</w:t>
            </w:r>
            <w:r>
              <w:rPr>
                <w:color w:val="000000" w:themeColor="text1"/>
                <w:sz w:val="24"/>
                <w:highlight w:val="none"/>
                <w:lang w:val="zh-CN"/>
                <w14:textFill>
                  <w14:solidFill>
                    <w14:schemeClr w14:val="tx1"/>
                  </w14:solidFill>
                </w14:textFill>
              </w:rPr>
              <w:t>、大气吸收衰减A</w:t>
            </w:r>
            <w:r>
              <w:rPr>
                <w:color w:val="000000" w:themeColor="text1"/>
                <w:sz w:val="24"/>
                <w:highlight w:val="none"/>
                <w:vertAlign w:val="subscript"/>
                <w:lang w:val="zh-CN"/>
                <w14:textFill>
                  <w14:solidFill>
                    <w14:schemeClr w14:val="tx1"/>
                  </w14:solidFill>
                </w14:textFill>
              </w:rPr>
              <w:t>atm</w:t>
            </w:r>
            <w:r>
              <w:rPr>
                <w:color w:val="000000" w:themeColor="text1"/>
                <w:sz w:val="24"/>
                <w:highlight w:val="none"/>
                <w:lang w:val="zh-CN"/>
                <w14:textFill>
                  <w14:solidFill>
                    <w14:schemeClr w14:val="tx1"/>
                  </w14:solidFill>
                </w14:textFill>
              </w:rPr>
              <w:t>等。</w:t>
            </w:r>
          </w:p>
          <w:p w14:paraId="1A801C50">
            <w:pPr>
              <w:shd w:val="clear"/>
              <w:adjustRightInd w:val="0"/>
              <w:snapToGrid w:val="0"/>
              <w:spacing w:line="360" w:lineRule="auto"/>
              <w:ind w:firstLine="480" w:firstLineChars="200"/>
              <w:jc w:val="left"/>
              <w:rPr>
                <w:color w:val="000000" w:themeColor="text1"/>
                <w:sz w:val="24"/>
                <w:highlight w:val="none"/>
                <w:lang w:val="zh-CN"/>
                <w14:textFill>
                  <w14:solidFill>
                    <w14:schemeClr w14:val="tx1"/>
                  </w14:solidFill>
                </w14:textFill>
              </w:rPr>
            </w:pPr>
            <w:r>
              <w:rPr>
                <w:color w:val="000000" w:themeColor="text1"/>
                <w:sz w:val="24"/>
                <w:highlight w:val="none"/>
                <w:lang w:val="zh-CN"/>
                <w14:textFill>
                  <w14:solidFill>
                    <w14:schemeClr w14:val="tx1"/>
                  </w14:solidFill>
                </w14:textFill>
              </w:rPr>
              <w:fldChar w:fldCharType="begin"/>
            </w:r>
            <w:r>
              <w:rPr>
                <w:color w:val="000000" w:themeColor="text1"/>
                <w:sz w:val="24"/>
                <w:highlight w:val="none"/>
                <w:lang w:val="zh-CN"/>
                <w14:textFill>
                  <w14:solidFill>
                    <w14:schemeClr w14:val="tx1"/>
                  </w14:solidFill>
                </w14:textFill>
              </w:rPr>
              <w:instrText xml:space="preserve"> = 1 \* GB3 </w:instrText>
            </w:r>
            <w:r>
              <w:rPr>
                <w:color w:val="000000" w:themeColor="text1"/>
                <w:sz w:val="24"/>
                <w:highlight w:val="none"/>
                <w:lang w:val="zh-CN"/>
                <w14:textFill>
                  <w14:solidFill>
                    <w14:schemeClr w14:val="tx1"/>
                  </w14:solidFill>
                </w14:textFill>
              </w:rPr>
              <w:fldChar w:fldCharType="separate"/>
            </w:r>
            <w:r>
              <w:rPr>
                <w:rFonts w:hint="eastAsia"/>
                <w:color w:val="000000" w:themeColor="text1"/>
                <w:sz w:val="24"/>
                <w:highlight w:val="none"/>
                <w:lang w:val="zh-CN"/>
                <w14:textFill>
                  <w14:solidFill>
                    <w14:schemeClr w14:val="tx1"/>
                  </w14:solidFill>
                </w14:textFill>
              </w:rPr>
              <w:t>①</w:t>
            </w:r>
            <w:r>
              <w:rPr>
                <w:color w:val="000000" w:themeColor="text1"/>
                <w:sz w:val="24"/>
                <w:highlight w:val="none"/>
                <w:lang w:val="zh-CN"/>
                <w14:textFill>
                  <w14:solidFill>
                    <w14:schemeClr w14:val="tx1"/>
                  </w14:solidFill>
                </w14:textFill>
              </w:rPr>
              <w:fldChar w:fldCharType="end"/>
            </w:r>
            <w:r>
              <w:rPr>
                <w:color w:val="000000" w:themeColor="text1"/>
                <w:sz w:val="24"/>
                <w:highlight w:val="none"/>
                <w:lang w:val="zh-CN"/>
                <w14:textFill>
                  <w14:solidFill>
                    <w14:schemeClr w14:val="tx1"/>
                  </w14:solidFill>
                </w14:textFill>
              </w:rPr>
              <w:t>几何发散衰减</w:t>
            </w:r>
          </w:p>
          <w:p w14:paraId="44EF2354">
            <w:pPr>
              <w:shd w:val="clear"/>
              <w:adjustRightInd w:val="0"/>
              <w:snapToGrid w:val="0"/>
              <w:spacing w:line="360" w:lineRule="auto"/>
              <w:ind w:firstLine="480" w:firstLineChars="200"/>
              <w:jc w:val="left"/>
              <w:rPr>
                <w:color w:val="000000" w:themeColor="text1"/>
                <w:sz w:val="24"/>
                <w:highlight w:val="none"/>
                <w:lang w:val="zh-CN"/>
                <w14:textFill>
                  <w14:solidFill>
                    <w14:schemeClr w14:val="tx1"/>
                  </w14:solidFill>
                </w14:textFill>
              </w:rPr>
            </w:pPr>
            <w:r>
              <w:rPr>
                <w:color w:val="000000" w:themeColor="text1"/>
                <w:sz w:val="24"/>
                <w:highlight w:val="none"/>
                <w:lang w:val="zh-CN"/>
                <w14:textFill>
                  <w14:solidFill>
                    <w14:schemeClr w14:val="tx1"/>
                  </w14:solidFill>
                </w14:textFill>
              </w:rPr>
              <w:t>声源发出的噪声在空间发散传播时，存在声压级不断衰减的过程，几何发散衰减量计算公式如下：</w:t>
            </w:r>
          </w:p>
          <w:p w14:paraId="5649366F">
            <w:pPr>
              <w:shd w:val="clear"/>
              <w:adjustRightInd w:val="0"/>
              <w:snapToGrid w:val="0"/>
              <w:spacing w:line="360" w:lineRule="auto"/>
              <w:ind w:firstLine="480" w:firstLineChars="200"/>
              <w:jc w:val="left"/>
              <w:rPr>
                <w:color w:val="000000" w:themeColor="text1"/>
                <w:sz w:val="24"/>
                <w:highlight w:val="none"/>
                <w:lang w:val="zh-CN"/>
                <w14:textFill>
                  <w14:solidFill>
                    <w14:schemeClr w14:val="tx1"/>
                  </w14:solidFill>
                </w14:textFill>
              </w:rPr>
            </w:pPr>
            <w:r>
              <w:rPr>
                <w:color w:val="000000" w:themeColor="text1"/>
                <w:sz w:val="24"/>
                <w:highlight w:val="none"/>
                <w:lang w:val="zh-CN"/>
                <w14:textFill>
                  <w14:solidFill>
                    <w14:schemeClr w14:val="tx1"/>
                  </w14:solidFill>
                </w14:textFill>
              </w:rPr>
              <w:t>A</w:t>
            </w:r>
            <w:r>
              <w:rPr>
                <w:color w:val="000000" w:themeColor="text1"/>
                <w:sz w:val="24"/>
                <w:highlight w:val="none"/>
                <w:vertAlign w:val="subscript"/>
                <w:lang w:val="zh-CN"/>
                <w14:textFill>
                  <w14:solidFill>
                    <w14:schemeClr w14:val="tx1"/>
                  </w14:solidFill>
                </w14:textFill>
              </w:rPr>
              <w:t>div</w:t>
            </w:r>
            <w:r>
              <w:rPr>
                <w:color w:val="000000" w:themeColor="text1"/>
                <w:sz w:val="24"/>
                <w:highlight w:val="none"/>
                <w:lang w:val="zh-CN"/>
                <w14:textFill>
                  <w14:solidFill>
                    <w14:schemeClr w14:val="tx1"/>
                  </w14:solidFill>
                </w14:textFill>
              </w:rPr>
              <w:t>=20lg（r/r</w:t>
            </w:r>
            <w:r>
              <w:rPr>
                <w:color w:val="000000" w:themeColor="text1"/>
                <w:sz w:val="24"/>
                <w:highlight w:val="none"/>
                <w:vertAlign w:val="subscript"/>
                <w:lang w:val="zh-CN"/>
                <w14:textFill>
                  <w14:solidFill>
                    <w14:schemeClr w14:val="tx1"/>
                  </w14:solidFill>
                </w14:textFill>
              </w:rPr>
              <w:t>0</w:t>
            </w:r>
            <w:r>
              <w:rPr>
                <w:color w:val="000000" w:themeColor="text1"/>
                <w:sz w:val="24"/>
                <w:highlight w:val="none"/>
                <w:lang w:val="zh-CN"/>
                <w14:textFill>
                  <w14:solidFill>
                    <w14:schemeClr w14:val="tx1"/>
                  </w14:solidFill>
                </w14:textFill>
              </w:rPr>
              <w:t>）</w:t>
            </w:r>
          </w:p>
          <w:p w14:paraId="2D72B3EB">
            <w:pPr>
              <w:shd w:val="clear"/>
              <w:adjustRightInd w:val="0"/>
              <w:snapToGrid w:val="0"/>
              <w:spacing w:line="360" w:lineRule="auto"/>
              <w:ind w:firstLine="480" w:firstLineChars="200"/>
              <w:jc w:val="left"/>
              <w:rPr>
                <w:color w:val="000000" w:themeColor="text1"/>
                <w:sz w:val="24"/>
                <w:highlight w:val="none"/>
                <w:lang w:val="zh-CN"/>
                <w14:textFill>
                  <w14:solidFill>
                    <w14:schemeClr w14:val="tx1"/>
                  </w14:solidFill>
                </w14:textFill>
              </w:rPr>
            </w:pPr>
            <w:r>
              <w:rPr>
                <w:color w:val="000000" w:themeColor="text1"/>
                <w:sz w:val="24"/>
                <w:highlight w:val="none"/>
                <w:lang w:val="zh-CN"/>
                <w14:textFill>
                  <w14:solidFill>
                    <w14:schemeClr w14:val="tx1"/>
                  </w14:solidFill>
                </w14:textFill>
              </w:rPr>
              <w:t>式中r</w:t>
            </w:r>
            <w:r>
              <w:rPr>
                <w:color w:val="000000" w:themeColor="text1"/>
                <w:sz w:val="24"/>
                <w:highlight w:val="none"/>
                <w:vertAlign w:val="subscript"/>
                <w:lang w:val="zh-CN"/>
                <w14:textFill>
                  <w14:solidFill>
                    <w14:schemeClr w14:val="tx1"/>
                  </w14:solidFill>
                </w14:textFill>
              </w:rPr>
              <w:t>0</w:t>
            </w:r>
            <w:r>
              <w:rPr>
                <w:color w:val="000000" w:themeColor="text1"/>
                <w:sz w:val="24"/>
                <w:highlight w:val="none"/>
                <w:lang w:val="zh-CN"/>
                <w14:textFill>
                  <w14:solidFill>
                    <w14:schemeClr w14:val="tx1"/>
                  </w14:solidFill>
                </w14:textFill>
              </w:rPr>
              <w:t>：噪声源声压级测定距离，本评价取值1米；</w:t>
            </w:r>
          </w:p>
          <w:p w14:paraId="2D4E883F">
            <w:pPr>
              <w:shd w:val="clear"/>
              <w:adjustRightInd w:val="0"/>
              <w:snapToGrid w:val="0"/>
              <w:spacing w:line="360" w:lineRule="auto"/>
              <w:ind w:firstLine="480" w:firstLineChars="200"/>
              <w:jc w:val="left"/>
              <w:rPr>
                <w:color w:val="000000" w:themeColor="text1"/>
                <w:sz w:val="24"/>
                <w:highlight w:val="none"/>
                <w:lang w:val="zh-CN"/>
                <w14:textFill>
                  <w14:solidFill>
                    <w14:schemeClr w14:val="tx1"/>
                  </w14:solidFill>
                </w14:textFill>
              </w:rPr>
            </w:pPr>
            <w:r>
              <w:rPr>
                <w:color w:val="000000" w:themeColor="text1"/>
                <w:sz w:val="24"/>
                <w:highlight w:val="none"/>
                <w:lang w:val="zh-CN"/>
                <w14:textFill>
                  <w14:solidFill>
                    <w14:schemeClr w14:val="tx1"/>
                  </w14:solidFill>
                </w14:textFill>
              </w:rPr>
              <w:t>r：预测点与噪声源距离。</w:t>
            </w:r>
          </w:p>
          <w:p w14:paraId="20853F15">
            <w:pPr>
              <w:shd w:val="clear"/>
              <w:adjustRightInd w:val="0"/>
              <w:snapToGrid w:val="0"/>
              <w:spacing w:line="360" w:lineRule="auto"/>
              <w:ind w:firstLine="480" w:firstLineChars="200"/>
              <w:jc w:val="left"/>
              <w:rPr>
                <w:color w:val="000000" w:themeColor="text1"/>
                <w:sz w:val="24"/>
                <w:highlight w:val="none"/>
                <w:lang w:val="zh-CN"/>
                <w14:textFill>
                  <w14:solidFill>
                    <w14:schemeClr w14:val="tx1"/>
                  </w14:solidFill>
                </w14:textFill>
              </w:rPr>
            </w:pPr>
            <w:r>
              <w:rPr>
                <w:color w:val="000000" w:themeColor="text1"/>
                <w:sz w:val="24"/>
                <w:highlight w:val="none"/>
                <w:lang w:val="zh-CN"/>
                <w14:textFill>
                  <w14:solidFill>
                    <w14:schemeClr w14:val="tx1"/>
                  </w14:solidFill>
                </w14:textFill>
              </w:rPr>
              <w:fldChar w:fldCharType="begin"/>
            </w:r>
            <w:r>
              <w:rPr>
                <w:color w:val="000000" w:themeColor="text1"/>
                <w:sz w:val="24"/>
                <w:highlight w:val="none"/>
                <w:lang w:val="zh-CN"/>
                <w14:textFill>
                  <w14:solidFill>
                    <w14:schemeClr w14:val="tx1"/>
                  </w14:solidFill>
                </w14:textFill>
              </w:rPr>
              <w:instrText xml:space="preserve"> = 2 \* GB3 </w:instrText>
            </w:r>
            <w:r>
              <w:rPr>
                <w:color w:val="000000" w:themeColor="text1"/>
                <w:sz w:val="24"/>
                <w:highlight w:val="none"/>
                <w:lang w:val="zh-CN"/>
                <w14:textFill>
                  <w14:solidFill>
                    <w14:schemeClr w14:val="tx1"/>
                  </w14:solidFill>
                </w14:textFill>
              </w:rPr>
              <w:fldChar w:fldCharType="separate"/>
            </w:r>
            <w:r>
              <w:rPr>
                <w:rFonts w:hint="eastAsia"/>
                <w:color w:val="000000" w:themeColor="text1"/>
                <w:sz w:val="24"/>
                <w:highlight w:val="none"/>
                <w:lang w:val="zh-CN"/>
                <w14:textFill>
                  <w14:solidFill>
                    <w14:schemeClr w14:val="tx1"/>
                  </w14:solidFill>
                </w14:textFill>
              </w:rPr>
              <w:t>②</w:t>
            </w:r>
            <w:r>
              <w:rPr>
                <w:color w:val="000000" w:themeColor="text1"/>
                <w:sz w:val="24"/>
                <w:highlight w:val="none"/>
                <w:lang w:val="zh-CN"/>
                <w14:textFill>
                  <w14:solidFill>
                    <w14:schemeClr w14:val="tx1"/>
                  </w14:solidFill>
                </w14:textFill>
              </w:rPr>
              <w:fldChar w:fldCharType="end"/>
            </w:r>
            <w:r>
              <w:rPr>
                <w:color w:val="000000" w:themeColor="text1"/>
                <w:sz w:val="24"/>
                <w:highlight w:val="none"/>
                <w:lang w:val="zh-CN"/>
                <w14:textFill>
                  <w14:solidFill>
                    <w14:schemeClr w14:val="tx1"/>
                  </w14:solidFill>
                </w14:textFill>
              </w:rPr>
              <w:t>大气吸收衰减</w:t>
            </w:r>
          </w:p>
          <w:p w14:paraId="28EF849B">
            <w:pPr>
              <w:shd w:val="clear"/>
              <w:adjustRightInd w:val="0"/>
              <w:snapToGrid w:val="0"/>
              <w:spacing w:line="360" w:lineRule="auto"/>
              <w:ind w:firstLine="480" w:firstLineChars="200"/>
              <w:jc w:val="left"/>
              <w:rPr>
                <w:color w:val="000000" w:themeColor="text1"/>
                <w:sz w:val="24"/>
                <w:highlight w:val="none"/>
                <w:lang w:val="zh-CN"/>
                <w14:textFill>
                  <w14:solidFill>
                    <w14:schemeClr w14:val="tx1"/>
                  </w14:solidFill>
                </w14:textFill>
              </w:rPr>
            </w:pPr>
            <w:r>
              <w:rPr>
                <w:color w:val="000000" w:themeColor="text1"/>
                <w:sz w:val="24"/>
                <w:highlight w:val="none"/>
                <w:lang w:val="zh-CN"/>
                <w14:textFill>
                  <w14:solidFill>
                    <w14:schemeClr w14:val="tx1"/>
                  </w14:solidFill>
                </w14:textFill>
              </w:rPr>
              <w:t>由于大气湿度的影响，噪声在空气中传播过程中，会存在被空气吸收而导致声压级衰减的过程，大气吸收衰减量计算公式如下：</w:t>
            </w:r>
          </w:p>
          <w:p w14:paraId="5FE445D6">
            <w:pPr>
              <w:shd w:val="clear"/>
              <w:adjustRightInd w:val="0"/>
              <w:snapToGrid w:val="0"/>
              <w:spacing w:line="360" w:lineRule="auto"/>
              <w:ind w:firstLine="480" w:firstLineChars="200"/>
              <w:jc w:val="left"/>
              <w:rPr>
                <w:color w:val="000000" w:themeColor="text1"/>
                <w:sz w:val="24"/>
                <w:highlight w:val="none"/>
                <w:lang w:val="zh-CN"/>
                <w14:textFill>
                  <w14:solidFill>
                    <w14:schemeClr w14:val="tx1"/>
                  </w14:solidFill>
                </w14:textFill>
              </w:rPr>
            </w:pPr>
            <w:r>
              <w:rPr>
                <w:color w:val="000000" w:themeColor="text1"/>
                <w:sz w:val="24"/>
                <w:highlight w:val="none"/>
                <w:lang w:val="zh-CN"/>
                <w14:textFill>
                  <w14:solidFill>
                    <w14:schemeClr w14:val="tx1"/>
                  </w14:solidFill>
                </w14:textFill>
              </w:rPr>
              <w:object>
                <v:shape id="_x0000_i1031" o:spt="75" type="#_x0000_t75" style="height:30.75pt;width:77.25pt;" o:ole="t" filled="f" o:preferrelative="t" stroked="f" coordsize="21600,21600">
                  <v:path/>
                  <v:fill on="f" focussize="0,0"/>
                  <v:stroke on="f" joinstyle="miter"/>
                  <v:imagedata r:id="rId24" o:title=""/>
                  <o:lock v:ext="edit" aspectratio="t"/>
                  <w10:wrap type="none"/>
                  <w10:anchorlock/>
                </v:shape>
                <o:OLEObject Type="Embed" ProgID="Equation.3" ShapeID="_x0000_i1031" DrawAspect="Content" ObjectID="_1468075731" r:id="rId23">
                  <o:LockedField>false</o:LockedField>
                </o:OLEObject>
              </w:object>
            </w:r>
          </w:p>
          <w:p w14:paraId="1151920D">
            <w:pPr>
              <w:shd w:val="clear"/>
              <w:adjustRightInd w:val="0"/>
              <w:snapToGrid w:val="0"/>
              <w:spacing w:line="360" w:lineRule="auto"/>
              <w:ind w:firstLine="480" w:firstLineChars="200"/>
              <w:jc w:val="left"/>
              <w:rPr>
                <w:color w:val="000000" w:themeColor="text1"/>
                <w:sz w:val="24"/>
                <w:highlight w:val="none"/>
                <w:lang w:val="zh-CN"/>
                <w14:textFill>
                  <w14:solidFill>
                    <w14:schemeClr w14:val="tx1"/>
                  </w14:solidFill>
                </w14:textFill>
              </w:rPr>
            </w:pPr>
            <w:r>
              <w:rPr>
                <w:color w:val="000000" w:themeColor="text1"/>
                <w:sz w:val="24"/>
                <w:highlight w:val="none"/>
                <w:lang w:val="zh-CN"/>
                <w14:textFill>
                  <w14:solidFill>
                    <w14:schemeClr w14:val="tx1"/>
                  </w14:solidFill>
                </w14:textFill>
              </w:rPr>
              <w:t>式中a：大气吸收衰减系数，在通常情况的温度19.8</w:t>
            </w:r>
            <w:r>
              <w:rPr>
                <w:rFonts w:hint="eastAsia" w:ascii="宋体" w:hAnsi="宋体" w:cs="宋体"/>
                <w:color w:val="000000" w:themeColor="text1"/>
                <w:sz w:val="24"/>
                <w:highlight w:val="none"/>
                <w:lang w:val="zh-CN"/>
                <w14:textFill>
                  <w14:solidFill>
                    <w14:schemeClr w14:val="tx1"/>
                  </w14:solidFill>
                </w14:textFill>
              </w:rPr>
              <w:t>℃</w:t>
            </w:r>
            <w:r>
              <w:rPr>
                <w:color w:val="000000" w:themeColor="text1"/>
                <w:sz w:val="24"/>
                <w:highlight w:val="none"/>
                <w:lang w:val="zh-CN"/>
                <w14:textFill>
                  <w14:solidFill>
                    <w14:schemeClr w14:val="tx1"/>
                  </w14:solidFill>
                </w14:textFill>
              </w:rPr>
              <w:t>、相对湿度65%、倍频带中心频率取500Hz条件下，大气吸收衰减系数a取值2.8。</w:t>
            </w:r>
          </w:p>
          <w:p w14:paraId="2B25A239">
            <w:pPr>
              <w:widowControl w:val="0"/>
              <w:shd w:val="clear"/>
              <w:autoSpaceDE w:val="0"/>
              <w:autoSpaceDN w:val="0"/>
              <w:adjustRightInd w:val="0"/>
              <w:snapToGrid w:val="0"/>
              <w:spacing w:line="360" w:lineRule="auto"/>
              <w:ind w:firstLine="539"/>
              <w:textAlignment w:val="baseline"/>
              <w:rPr>
                <w:rFonts w:ascii="宋体" w:hAnsi="宋体" w:eastAsia="宋体" w:cs="宋体"/>
                <w:color w:val="000000" w:themeColor="text1"/>
                <w:kern w:val="0"/>
                <w:sz w:val="24"/>
                <w:szCs w:val="18"/>
                <w:highlight w:val="none"/>
                <w:lang w:val="en-US" w:eastAsia="zh-CN" w:bidi="ar-SA"/>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③</w:t>
            </w:r>
            <w:r>
              <w:rPr>
                <w:rFonts w:ascii="宋体" w:hAnsi="宋体" w:eastAsia="宋体" w:cs="宋体"/>
                <w:color w:val="000000" w:themeColor="text1"/>
                <w:kern w:val="0"/>
                <w:sz w:val="24"/>
                <w:szCs w:val="18"/>
                <w:highlight w:val="none"/>
                <w:lang w:val="en-US" w:eastAsia="zh-CN" w:bidi="ar-SA"/>
                <w14:textFill>
                  <w14:solidFill>
                    <w14:schemeClr w14:val="tx1"/>
                  </w14:solidFill>
                </w14:textFill>
              </w:rPr>
              <w:t>屏障屏蔽衰减</w:t>
            </w:r>
          </w:p>
          <w:p w14:paraId="000E26B7">
            <w:pPr>
              <w:widowControl w:val="0"/>
              <w:shd w:val="clear"/>
              <w:autoSpaceDE w:val="0"/>
              <w:autoSpaceDN w:val="0"/>
              <w:adjustRightInd w:val="0"/>
              <w:snapToGrid w:val="0"/>
              <w:spacing w:line="360" w:lineRule="auto"/>
              <w:ind w:firstLine="539"/>
              <w:textAlignment w:val="baseline"/>
              <w:rPr>
                <w:rFonts w:hint="eastAsia" w:ascii="宋体" w:hAnsi="宋体" w:eastAsia="宋体" w:cs="宋体"/>
                <w:color w:val="000000" w:themeColor="text1"/>
                <w:kern w:val="0"/>
                <w:sz w:val="24"/>
                <w:szCs w:val="18"/>
                <w:highlight w:val="none"/>
                <w:lang w:val="en-US" w:eastAsia="zh-CN" w:bidi="ar-SA"/>
                <w14:textFill>
                  <w14:solidFill>
                    <w14:schemeClr w14:val="tx1"/>
                  </w14:solidFill>
                </w14:textFill>
              </w:rPr>
            </w:pPr>
            <w:r>
              <w:rPr>
                <w:rFonts w:ascii="宋体" w:hAnsi="宋体" w:eastAsia="宋体" w:cs="宋体"/>
                <w:color w:val="000000" w:themeColor="text1"/>
                <w:kern w:val="0"/>
                <w:sz w:val="24"/>
                <w:szCs w:val="18"/>
                <w:highlight w:val="none"/>
                <w:lang w:val="en-US" w:eastAsia="zh-CN" w:bidi="ar-SA"/>
                <w14:textFill>
                  <w14:solidFill>
                    <w14:schemeClr w14:val="tx1"/>
                  </w14:solidFill>
                </w14:textFill>
              </w:rPr>
              <w:t>声源和预测点之间的实体障碍物会对噪声的传播造成一定的屏障屏蔽作用，引起声压级的衰减，屏障屏蔽衰减量计算公式</w:t>
            </w:r>
            <w:r>
              <w:rPr>
                <w:rFonts w:hint="eastAsia" w:ascii="宋体" w:hAnsi="宋体" w:eastAsia="宋体" w:cs="宋体"/>
                <w:color w:val="000000" w:themeColor="text1"/>
                <w:kern w:val="0"/>
                <w:sz w:val="24"/>
                <w:szCs w:val="18"/>
                <w:highlight w:val="none"/>
                <w:lang w:val="en-US" w:eastAsia="zh-CN" w:bidi="ar-SA"/>
                <w14:textFill>
                  <w14:solidFill>
                    <w14:schemeClr w14:val="tx1"/>
                  </w14:solidFill>
                </w14:textFill>
              </w:rPr>
              <w:t>如下：</w:t>
            </w:r>
          </w:p>
          <w:p w14:paraId="3154B9EB">
            <w:pPr>
              <w:widowControl w:val="0"/>
              <w:shd w:val="clear"/>
              <w:autoSpaceDE w:val="0"/>
              <w:autoSpaceDN w:val="0"/>
              <w:adjustRightInd w:val="0"/>
              <w:snapToGrid w:val="0"/>
              <w:spacing w:line="360" w:lineRule="auto"/>
              <w:ind w:firstLine="539"/>
              <w:textAlignment w:val="baseline"/>
              <w:rPr>
                <w:rFonts w:ascii="宋体" w:hAnsi="宋体" w:eastAsia="宋体" w:cs="宋体"/>
                <w:color w:val="000000" w:themeColor="text1"/>
                <w:kern w:val="0"/>
                <w:sz w:val="24"/>
                <w:szCs w:val="20"/>
                <w:highlight w:val="none"/>
                <w:lang w:val="en-US" w:eastAsia="zh-CN" w:bidi="ar-SA"/>
                <w14:textFill>
                  <w14:solidFill>
                    <w14:schemeClr w14:val="tx1"/>
                  </w14:solidFill>
                </w14:textFill>
              </w:rPr>
            </w:pPr>
            <w:r>
              <w:rPr>
                <w:rFonts w:ascii="宋体" w:hAnsi="宋体" w:eastAsia="宋体" w:cs="宋体"/>
                <w:color w:val="000000" w:themeColor="text1"/>
                <w:kern w:val="0"/>
                <w:position w:val="-28"/>
                <w:sz w:val="24"/>
                <w:szCs w:val="20"/>
                <w:highlight w:val="none"/>
                <w:lang w:val="en-US" w:eastAsia="zh-CN" w:bidi="ar-SA"/>
                <w14:textFill>
                  <w14:solidFill>
                    <w14:schemeClr w14:val="tx1"/>
                  </w14:solidFill>
                </w14:textFill>
              </w:rPr>
              <w:object>
                <v:shape id="_x0000_i1032" o:spt="75" type="#_x0000_t75" style="height:34pt;width:125pt;" o:ole="t" filled="f" o:preferrelative="t" stroked="f" coordsize="21600,21600">
                  <v:path/>
                  <v:fill on="f" focussize="0,0"/>
                  <v:stroke on="f"/>
                  <v:imagedata r:id="rId26" o:title=""/>
                  <o:lock v:ext="edit" aspectratio="t"/>
                  <w10:wrap type="none"/>
                  <w10:anchorlock/>
                </v:shape>
                <o:OLEObject Type="Embed" ProgID="Equation.3" ShapeID="_x0000_i1032" DrawAspect="Content" ObjectID="_1468075732" r:id="rId25">
                  <o:LockedField>false</o:LockedField>
                </o:OLEObject>
              </w:object>
            </w:r>
          </w:p>
          <w:p w14:paraId="0A3DF9F2">
            <w:pPr>
              <w:widowControl w:val="0"/>
              <w:shd w:val="clear"/>
              <w:autoSpaceDE w:val="0"/>
              <w:autoSpaceDN w:val="0"/>
              <w:adjustRightInd w:val="0"/>
              <w:snapToGrid w:val="0"/>
              <w:spacing w:line="360" w:lineRule="auto"/>
              <w:ind w:firstLine="539"/>
              <w:textAlignment w:val="baseline"/>
              <w:rPr>
                <w:rFonts w:hint="eastAsia" w:ascii="Times New Roman" w:hAnsi="宋体" w:eastAsia="宋体" w:cs="Times New Roman"/>
                <w:color w:val="000000" w:themeColor="text1"/>
                <w:kern w:val="0"/>
                <w:sz w:val="24"/>
                <w:szCs w:val="18"/>
                <w:highlight w:val="none"/>
                <w:lang w:val="en-US" w:eastAsia="zh-CN" w:bidi="ar-SA"/>
                <w14:textFill>
                  <w14:solidFill>
                    <w14:schemeClr w14:val="tx1"/>
                  </w14:solidFill>
                </w14:textFill>
              </w:rPr>
            </w:pPr>
            <w:r>
              <w:rPr>
                <w:rFonts w:ascii="Times New Roman" w:hAnsi="宋体" w:eastAsia="宋体" w:cs="Times New Roman"/>
                <w:color w:val="000000" w:themeColor="text1"/>
                <w:kern w:val="0"/>
                <w:sz w:val="24"/>
                <w:szCs w:val="18"/>
                <w:highlight w:val="none"/>
                <w:lang w:val="en-US" w:eastAsia="zh-CN" w:bidi="ar-SA"/>
                <w14:textFill>
                  <w14:solidFill>
                    <w14:schemeClr w14:val="tx1"/>
                  </w14:solidFill>
                </w14:textFill>
              </w:rPr>
              <w:t>式中</w:t>
            </w:r>
            <w:r>
              <w:rPr>
                <w:rFonts w:ascii="Times New Roman" w:hAnsi="Times New Roman" w:eastAsia="宋体" w:cs="Times New Roman"/>
                <w:color w:val="000000" w:themeColor="text1"/>
                <w:kern w:val="0"/>
                <w:sz w:val="24"/>
                <w:szCs w:val="18"/>
                <w:highlight w:val="none"/>
                <w:lang w:val="en-US" w:eastAsia="zh-CN" w:bidi="ar-SA"/>
                <w14:textFill>
                  <w14:solidFill>
                    <w14:schemeClr w14:val="tx1"/>
                  </w14:solidFill>
                </w14:textFill>
              </w:rPr>
              <w:t>N</w:t>
            </w:r>
            <w:r>
              <w:rPr>
                <w:rFonts w:ascii="Times New Roman" w:hAnsi="宋体" w:eastAsia="宋体" w:cs="Times New Roman"/>
                <w:color w:val="000000" w:themeColor="text1"/>
                <w:kern w:val="0"/>
                <w:sz w:val="24"/>
                <w:szCs w:val="18"/>
                <w:highlight w:val="none"/>
                <w:lang w:val="en-US" w:eastAsia="zh-CN" w:bidi="ar-SA"/>
                <w14:textFill>
                  <w14:solidFill>
                    <w14:schemeClr w14:val="tx1"/>
                  </w14:solidFill>
                </w14:textFill>
              </w:rPr>
              <w:t>为菲涅尔系数，本工程声屏障</w:t>
            </w:r>
            <w:r>
              <w:rPr>
                <w:rFonts w:hint="eastAsia" w:hAnsi="宋体" w:cs="Times New Roman"/>
                <w:color w:val="000000" w:themeColor="text1"/>
                <w:kern w:val="0"/>
                <w:sz w:val="24"/>
                <w:szCs w:val="18"/>
                <w:highlight w:val="none"/>
                <w:lang w:val="en-US" w:eastAsia="zh-CN" w:bidi="ar-SA"/>
                <w14:textFill>
                  <w14:solidFill>
                    <w14:schemeClr w14:val="tx1"/>
                  </w14:solidFill>
                </w14:textFill>
              </w:rPr>
              <w:t>厂区</w:t>
            </w:r>
            <w:r>
              <w:rPr>
                <w:rFonts w:hint="eastAsia" w:ascii="Times New Roman" w:hAnsi="宋体" w:eastAsia="宋体" w:cs="Times New Roman"/>
                <w:color w:val="000000" w:themeColor="text1"/>
                <w:kern w:val="0"/>
                <w:sz w:val="24"/>
                <w:szCs w:val="18"/>
                <w:highlight w:val="none"/>
                <w:lang w:val="en-US" w:eastAsia="zh-CN" w:bidi="ar-SA"/>
                <w14:textFill>
                  <w14:solidFill>
                    <w14:schemeClr w14:val="tx1"/>
                  </w14:solidFill>
                </w14:textFill>
              </w:rPr>
              <w:t>围墙</w:t>
            </w:r>
            <w:r>
              <w:rPr>
                <w:rFonts w:ascii="Times New Roman" w:hAnsi="宋体" w:eastAsia="宋体" w:cs="Times New Roman"/>
                <w:color w:val="000000" w:themeColor="text1"/>
                <w:kern w:val="0"/>
                <w:sz w:val="24"/>
                <w:szCs w:val="18"/>
                <w:highlight w:val="none"/>
                <w:lang w:val="en-US" w:eastAsia="zh-CN" w:bidi="ar-SA"/>
                <w14:textFill>
                  <w14:solidFill>
                    <w14:schemeClr w14:val="tx1"/>
                  </w14:solidFill>
                </w14:textFill>
              </w:rPr>
              <w:t>，</w:t>
            </w:r>
            <w:r>
              <w:rPr>
                <w:rFonts w:hint="eastAsia" w:ascii="Times New Roman" w:hAnsi="宋体" w:eastAsia="宋体" w:cs="Times New Roman"/>
                <w:color w:val="000000" w:themeColor="text1"/>
                <w:kern w:val="0"/>
                <w:sz w:val="24"/>
                <w:szCs w:val="18"/>
                <w:highlight w:val="none"/>
                <w:lang w:val="en-US" w:eastAsia="zh-CN" w:bidi="ar-SA"/>
                <w14:textFill>
                  <w14:solidFill>
                    <w14:schemeClr w14:val="tx1"/>
                  </w14:solidFill>
                </w14:textFill>
              </w:rPr>
              <w:t>各等效噪声源与各预测点间的</w:t>
            </w:r>
            <w:r>
              <w:rPr>
                <w:rFonts w:ascii="Times New Roman" w:hAnsi="宋体" w:eastAsia="宋体" w:cs="Times New Roman"/>
                <w:color w:val="000000" w:themeColor="text1"/>
                <w:kern w:val="0"/>
                <w:sz w:val="24"/>
                <w:szCs w:val="18"/>
                <w:highlight w:val="none"/>
                <w:lang w:val="en-US" w:eastAsia="zh-CN" w:bidi="ar-SA"/>
                <w14:textFill>
                  <w14:solidFill>
                    <w14:schemeClr w14:val="tx1"/>
                  </w14:solidFill>
                </w14:textFill>
              </w:rPr>
              <w:t>声程差</w:t>
            </w:r>
            <w:r>
              <w:rPr>
                <w:rFonts w:ascii="Times New Roman" w:hAnsi="Times New Roman" w:eastAsia="Arial Unicode MS" w:cs="Times New Roman"/>
                <w:i/>
                <w:color w:val="000000" w:themeColor="text1"/>
                <w:kern w:val="0"/>
                <w:sz w:val="24"/>
                <w:szCs w:val="18"/>
                <w:highlight w:val="none"/>
                <w:lang w:val="en-US" w:eastAsia="zh-CN" w:bidi="ar-SA"/>
                <w14:textFill>
                  <w14:solidFill>
                    <w14:schemeClr w14:val="tx1"/>
                  </w14:solidFill>
                </w14:textFill>
              </w:rPr>
              <w:t>δ</w:t>
            </w:r>
            <w:r>
              <w:rPr>
                <w:rFonts w:hint="eastAsia" w:ascii="Times New Roman" w:hAnsi="宋体" w:eastAsia="宋体" w:cs="Times New Roman"/>
                <w:color w:val="000000" w:themeColor="text1"/>
                <w:kern w:val="0"/>
                <w:sz w:val="24"/>
                <w:szCs w:val="18"/>
                <w:highlight w:val="none"/>
                <w:lang w:val="en-US" w:eastAsia="zh-CN" w:bidi="ar-SA"/>
                <w14:textFill>
                  <w14:solidFill>
                    <w14:schemeClr w14:val="tx1"/>
                  </w14:solidFill>
                </w14:textFill>
              </w:rPr>
              <w:t>均不小于1m，为了简化计算，统一取值1m。</w:t>
            </w:r>
            <w:r>
              <w:rPr>
                <w:rFonts w:ascii="Times New Roman" w:hAnsi="宋体" w:eastAsia="宋体" w:cs="Times New Roman"/>
                <w:color w:val="000000" w:themeColor="text1"/>
                <w:kern w:val="0"/>
                <w:sz w:val="24"/>
                <w:szCs w:val="18"/>
                <w:highlight w:val="none"/>
                <w:lang w:val="en-US" w:eastAsia="zh-CN" w:bidi="ar-SA"/>
                <w14:textFill>
                  <w14:solidFill>
                    <w14:schemeClr w14:val="tx1"/>
                  </w14:solidFill>
                </w14:textFill>
              </w:rPr>
              <w:t>声波频率取值</w:t>
            </w:r>
            <w:r>
              <w:rPr>
                <w:rFonts w:ascii="Times New Roman" w:hAnsi="Times New Roman" w:eastAsia="宋体" w:cs="Times New Roman"/>
                <w:color w:val="000000" w:themeColor="text1"/>
                <w:kern w:val="0"/>
                <w:sz w:val="24"/>
                <w:szCs w:val="18"/>
                <w:highlight w:val="none"/>
                <w:lang w:val="en-US" w:eastAsia="zh-CN" w:bidi="ar-SA"/>
                <w14:textFill>
                  <w14:solidFill>
                    <w14:schemeClr w14:val="tx1"/>
                  </w14:solidFill>
                </w14:textFill>
              </w:rPr>
              <w:t>500Hz</w:t>
            </w:r>
            <w:r>
              <w:rPr>
                <w:rFonts w:ascii="Times New Roman" w:hAnsi="宋体" w:eastAsia="宋体" w:cs="Times New Roman"/>
                <w:color w:val="000000" w:themeColor="text1"/>
                <w:kern w:val="0"/>
                <w:sz w:val="24"/>
                <w:szCs w:val="18"/>
                <w:highlight w:val="none"/>
                <w:lang w:val="en-US" w:eastAsia="zh-CN" w:bidi="ar-SA"/>
                <w14:textFill>
                  <w14:solidFill>
                    <w14:schemeClr w14:val="tx1"/>
                  </w14:solidFill>
                </w14:textFill>
              </w:rPr>
              <w:t>，波长</w:t>
            </w:r>
            <w:r>
              <w:rPr>
                <w:rFonts w:ascii="Times New Roman" w:hAnsi="Times New Roman" w:eastAsia="宋体" w:cs="Times New Roman"/>
                <w:color w:val="000000" w:themeColor="text1"/>
                <w:kern w:val="0"/>
                <w:sz w:val="24"/>
                <w:szCs w:val="18"/>
                <w:highlight w:val="none"/>
                <w:lang w:val="en-US" w:eastAsia="zh-CN" w:bidi="ar-SA"/>
                <w14:textFill>
                  <w14:solidFill>
                    <w14:schemeClr w14:val="tx1"/>
                  </w14:solidFill>
                </w14:textFill>
              </w:rPr>
              <w:t>λ</w:t>
            </w:r>
            <w:r>
              <w:rPr>
                <w:rFonts w:ascii="Times New Roman" w:hAnsi="宋体" w:eastAsia="宋体" w:cs="Times New Roman"/>
                <w:color w:val="000000" w:themeColor="text1"/>
                <w:kern w:val="0"/>
                <w:sz w:val="24"/>
                <w:szCs w:val="18"/>
                <w:highlight w:val="none"/>
                <w:lang w:val="en-US" w:eastAsia="zh-CN" w:bidi="ar-SA"/>
                <w14:textFill>
                  <w14:solidFill>
                    <w14:schemeClr w14:val="tx1"/>
                  </w14:solidFill>
                </w14:textFill>
              </w:rPr>
              <w:t>取值</w:t>
            </w:r>
            <w:r>
              <w:rPr>
                <w:rFonts w:ascii="Times New Roman" w:hAnsi="Times New Roman" w:eastAsia="宋体" w:cs="Times New Roman"/>
                <w:color w:val="000000" w:themeColor="text1"/>
                <w:kern w:val="0"/>
                <w:sz w:val="24"/>
                <w:szCs w:val="18"/>
                <w:highlight w:val="none"/>
                <w:lang w:val="en-US" w:eastAsia="zh-CN" w:bidi="ar-SA"/>
                <w14:textFill>
                  <w14:solidFill>
                    <w14:schemeClr w14:val="tx1"/>
                  </w14:solidFill>
                </w14:textFill>
              </w:rPr>
              <w:t>0.68</w:t>
            </w:r>
            <w:r>
              <w:rPr>
                <w:rFonts w:ascii="Times New Roman" w:hAnsi="宋体" w:eastAsia="宋体" w:cs="Times New Roman"/>
                <w:color w:val="000000" w:themeColor="text1"/>
                <w:kern w:val="0"/>
                <w:sz w:val="24"/>
                <w:szCs w:val="18"/>
                <w:highlight w:val="none"/>
                <w:lang w:val="en-US" w:eastAsia="zh-CN" w:bidi="ar-SA"/>
                <w14:textFill>
                  <w14:solidFill>
                    <w14:schemeClr w14:val="tx1"/>
                  </w14:solidFill>
                </w14:textFill>
              </w:rPr>
              <w:t>米</w:t>
            </w:r>
            <w:r>
              <w:rPr>
                <w:rFonts w:hint="eastAsia" w:ascii="Times New Roman" w:hAnsi="宋体" w:eastAsia="宋体" w:cs="Times New Roman"/>
                <w:color w:val="000000" w:themeColor="text1"/>
                <w:kern w:val="0"/>
                <w:sz w:val="24"/>
                <w:szCs w:val="18"/>
                <w:highlight w:val="none"/>
                <w:lang w:val="en-US" w:eastAsia="zh-CN" w:bidi="ar-SA"/>
                <w14:textFill>
                  <w14:solidFill>
                    <w14:schemeClr w14:val="tx1"/>
                  </w14:solidFill>
                </w14:textFill>
              </w:rPr>
              <w:t>。</w:t>
            </w:r>
          </w:p>
          <w:p w14:paraId="17F8B8DC">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本项目以</w:t>
            </w:r>
            <w:r>
              <w:rPr>
                <w:rFonts w:hint="eastAsia"/>
                <w:color w:val="000000" w:themeColor="text1"/>
                <w:sz w:val="24"/>
                <w:highlight w:val="none"/>
                <w:lang w:val="en-US" w:eastAsia="zh-CN"/>
                <w14:textFill>
                  <w14:solidFill>
                    <w14:schemeClr w14:val="tx1"/>
                  </w14:solidFill>
                </w14:textFill>
              </w:rPr>
              <w:t>车间</w:t>
            </w:r>
            <w:r>
              <w:rPr>
                <w:rFonts w:hint="eastAsia"/>
                <w:color w:val="000000" w:themeColor="text1"/>
                <w:sz w:val="24"/>
                <w:highlight w:val="none"/>
                <w14:textFill>
                  <w14:solidFill>
                    <w14:schemeClr w14:val="tx1"/>
                  </w14:solidFill>
                </w14:textFill>
              </w:rPr>
              <w:t>中心为源点，将室内设备噪声源等效为1个多源叠加的室外等效噪声源</w:t>
            </w:r>
            <w:r>
              <w:rPr>
                <w:rFonts w:hint="eastAsia"/>
                <w:color w:val="000000" w:themeColor="text1"/>
                <w:sz w:val="24"/>
                <w:szCs w:val="24"/>
                <w:highlight w:val="none"/>
                <w:u w:val="none"/>
                <w:lang w:val="en-US" w:eastAsia="zh-CN"/>
                <w14:textFill>
                  <w14:solidFill>
                    <w14:schemeClr w14:val="tx1"/>
                  </w14:solidFill>
                </w14:textFill>
              </w:rPr>
              <w:t>，等效声源为75.96dB（A），则</w:t>
            </w:r>
            <w:r>
              <w:rPr>
                <w:rFonts w:hint="eastAsia"/>
                <w:color w:val="000000" w:themeColor="text1"/>
                <w:sz w:val="24"/>
                <w:highlight w:val="none"/>
                <w14:textFill>
                  <w14:solidFill>
                    <w14:schemeClr w14:val="tx1"/>
                  </w14:solidFill>
                </w14:textFill>
              </w:rPr>
              <w:t>边界噪声</w:t>
            </w:r>
            <w:r>
              <w:rPr>
                <w:rFonts w:hint="eastAsia"/>
                <w:color w:val="000000" w:themeColor="text1"/>
                <w:sz w:val="24"/>
                <w:highlight w:val="none"/>
                <w:lang w:val="en-US" w:eastAsia="zh-CN"/>
                <w14:textFill>
                  <w14:solidFill>
                    <w14:schemeClr w14:val="tx1"/>
                  </w14:solidFill>
                </w14:textFill>
              </w:rPr>
              <w:t>贡献</w:t>
            </w:r>
            <w:r>
              <w:rPr>
                <w:rFonts w:hint="eastAsia"/>
                <w:color w:val="000000" w:themeColor="text1"/>
                <w:sz w:val="24"/>
                <w:highlight w:val="none"/>
                <w14:textFill>
                  <w14:solidFill>
                    <w14:schemeClr w14:val="tx1"/>
                  </w14:solidFill>
                </w14:textFill>
              </w:rPr>
              <w:t>值如表</w:t>
            </w:r>
            <w:r>
              <w:rPr>
                <w:rFonts w:hint="eastAsia"/>
                <w:color w:val="000000" w:themeColor="text1"/>
                <w:sz w:val="24"/>
                <w:highlight w:val="none"/>
                <w:lang w:val="en-US" w:eastAsia="zh-CN"/>
                <w14:textFill>
                  <w14:solidFill>
                    <w14:schemeClr w14:val="tx1"/>
                  </w14:solidFill>
                </w14:textFill>
              </w:rPr>
              <w:t>4-12</w:t>
            </w:r>
            <w:r>
              <w:rPr>
                <w:rFonts w:hint="eastAsia"/>
                <w:color w:val="000000" w:themeColor="text1"/>
                <w:sz w:val="24"/>
                <w:highlight w:val="none"/>
                <w14:textFill>
                  <w14:solidFill>
                    <w14:schemeClr w14:val="tx1"/>
                  </w14:solidFill>
                </w14:textFill>
              </w:rPr>
              <w:t>所示。</w:t>
            </w:r>
          </w:p>
          <w:p w14:paraId="30554168">
            <w:pPr>
              <w:autoSpaceDE w:val="0"/>
              <w:autoSpaceDN w:val="0"/>
              <w:adjustRightInd w:val="0"/>
              <w:snapToGrid w:val="0"/>
              <w:spacing w:line="240" w:lineRule="auto"/>
              <w:jc w:val="center"/>
              <w:textAlignment w:val="baseline"/>
              <w:rPr>
                <w:rFonts w:hint="eastAsia"/>
                <w:b/>
                <w:bCs/>
                <w:color w:val="000000" w:themeColor="text1"/>
                <w:kern w:val="0"/>
                <w:szCs w:val="18"/>
                <w:highlight w:val="none"/>
                <w14:textFill>
                  <w14:solidFill>
                    <w14:schemeClr w14:val="tx1"/>
                  </w14:solidFill>
                </w14:textFill>
              </w:rPr>
            </w:pPr>
            <w:r>
              <w:rPr>
                <w:b/>
                <w:color w:val="000000" w:themeColor="text1"/>
                <w:kern w:val="0"/>
                <w:sz w:val="24"/>
                <w:szCs w:val="18"/>
                <w:highlight w:val="none"/>
                <w14:textFill>
                  <w14:solidFill>
                    <w14:schemeClr w14:val="tx1"/>
                  </w14:solidFill>
                </w14:textFill>
              </w:rPr>
              <w:t>表</w:t>
            </w:r>
            <w:r>
              <w:rPr>
                <w:rFonts w:hint="eastAsia"/>
                <w:b/>
                <w:color w:val="000000" w:themeColor="text1"/>
                <w:kern w:val="0"/>
                <w:sz w:val="24"/>
                <w:highlight w:val="none"/>
                <w:lang w:val="en-US" w:eastAsia="zh-CN"/>
                <w14:textFill>
                  <w14:solidFill>
                    <w14:schemeClr w14:val="tx1"/>
                  </w14:solidFill>
                </w14:textFill>
              </w:rPr>
              <w:t xml:space="preserve">4-12 </w:t>
            </w:r>
            <w:r>
              <w:rPr>
                <w:rFonts w:hint="eastAsia"/>
                <w:b/>
                <w:color w:val="000000" w:themeColor="text1"/>
                <w:kern w:val="0"/>
                <w:sz w:val="24"/>
                <w:szCs w:val="18"/>
                <w:highlight w:val="none"/>
                <w14:textFill>
                  <w14:solidFill>
                    <w14:schemeClr w14:val="tx1"/>
                  </w14:solidFill>
                </w14:textFill>
              </w:rPr>
              <w:t>噪声预测值一览表</w:t>
            </w:r>
            <w:r>
              <w:rPr>
                <w:b/>
                <w:bCs/>
                <w:color w:val="000000" w:themeColor="text1"/>
                <w:kern w:val="0"/>
                <w:szCs w:val="18"/>
                <w:highlight w:val="none"/>
                <w14:textFill>
                  <w14:solidFill>
                    <w14:schemeClr w14:val="tx1"/>
                  </w14:solidFill>
                </w14:textFill>
              </w:rPr>
              <w:t>单位：dB</w:t>
            </w:r>
            <w:r>
              <w:rPr>
                <w:rFonts w:hint="eastAsia"/>
                <w:b/>
                <w:bCs/>
                <w:color w:val="000000" w:themeColor="text1"/>
                <w:kern w:val="0"/>
                <w:szCs w:val="18"/>
                <w:highlight w:val="none"/>
                <w14:textFill>
                  <w14:solidFill>
                    <w14:schemeClr w14:val="tx1"/>
                  </w14:solidFill>
                </w14:textFill>
              </w:rPr>
              <w:t>（A）</w:t>
            </w:r>
          </w:p>
          <w:tbl>
            <w:tblPr>
              <w:tblStyle w:val="31"/>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318"/>
              <w:gridCol w:w="1418"/>
              <w:gridCol w:w="1418"/>
              <w:gridCol w:w="1418"/>
              <w:gridCol w:w="1422"/>
            </w:tblGrid>
            <w:tr w14:paraId="5F17F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1601" w:type="pct"/>
                  <w:shd w:val="clear" w:color="auto" w:fill="auto"/>
                  <w:noWrap/>
                  <w:vAlign w:val="center"/>
                </w:tcPr>
                <w:p w14:paraId="706C01ED">
                  <w:pPr>
                    <w:keepNext w:val="0"/>
                    <w:keepLines w:val="0"/>
                    <w:widowControl/>
                    <w:suppressLineNumbers w:val="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等效声源</w:t>
                  </w:r>
                </w:p>
              </w:tc>
              <w:tc>
                <w:tcPr>
                  <w:tcW w:w="849" w:type="pct"/>
                  <w:shd w:val="clear" w:color="auto" w:fill="auto"/>
                  <w:vAlign w:val="center"/>
                </w:tcPr>
                <w:p w14:paraId="3DDA9499">
                  <w:pPr>
                    <w:keepNext w:val="0"/>
                    <w:keepLines w:val="0"/>
                    <w:widowControl/>
                    <w:suppressLineNumbers w:val="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东厂界</w:t>
                  </w:r>
                </w:p>
              </w:tc>
              <w:tc>
                <w:tcPr>
                  <w:tcW w:w="849" w:type="pct"/>
                  <w:shd w:val="clear" w:color="auto" w:fill="auto"/>
                  <w:vAlign w:val="center"/>
                </w:tcPr>
                <w:p w14:paraId="11CBA214">
                  <w:pPr>
                    <w:keepNext w:val="0"/>
                    <w:keepLines w:val="0"/>
                    <w:widowControl/>
                    <w:suppressLineNumbers w:val="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西厂界</w:t>
                  </w:r>
                  <w:r>
                    <w:rPr>
                      <w:rFonts w:hint="eastAsia" w:ascii="宋体" w:hAnsi="宋体" w:cs="宋体"/>
                      <w:b/>
                      <w:bCs/>
                      <w:i w:val="0"/>
                      <w:iCs w:val="0"/>
                      <w:color w:val="000000"/>
                      <w:kern w:val="0"/>
                      <w:sz w:val="21"/>
                      <w:szCs w:val="21"/>
                      <w:highlight w:val="none"/>
                      <w:u w:val="none"/>
                      <w:lang w:val="en-US" w:eastAsia="zh-CN" w:bidi="ar"/>
                    </w:rPr>
                    <w:t>（4类）</w:t>
                  </w:r>
                </w:p>
              </w:tc>
              <w:tc>
                <w:tcPr>
                  <w:tcW w:w="849" w:type="pct"/>
                  <w:shd w:val="clear" w:color="auto" w:fill="auto"/>
                  <w:vAlign w:val="center"/>
                </w:tcPr>
                <w:p w14:paraId="6ED49B7F">
                  <w:pPr>
                    <w:keepNext w:val="0"/>
                    <w:keepLines w:val="0"/>
                    <w:widowControl/>
                    <w:suppressLineNumbers w:val="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南厂界</w:t>
                  </w:r>
                </w:p>
              </w:tc>
              <w:tc>
                <w:tcPr>
                  <w:tcW w:w="849" w:type="pct"/>
                  <w:shd w:val="clear" w:color="auto" w:fill="auto"/>
                  <w:vAlign w:val="center"/>
                </w:tcPr>
                <w:p w14:paraId="18876AB6">
                  <w:pPr>
                    <w:keepNext w:val="0"/>
                    <w:keepLines w:val="0"/>
                    <w:widowControl/>
                    <w:suppressLineNumbers w:val="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北厂界</w:t>
                  </w:r>
                </w:p>
              </w:tc>
            </w:tr>
            <w:tr w14:paraId="2D373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1601" w:type="pct"/>
                  <w:shd w:val="clear" w:color="auto" w:fill="auto"/>
                  <w:noWrap/>
                  <w:vAlign w:val="center"/>
                </w:tcPr>
                <w:p w14:paraId="16521E5F">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等效声源与厂界的距离</w:t>
                  </w:r>
                </w:p>
              </w:tc>
              <w:tc>
                <w:tcPr>
                  <w:tcW w:w="849" w:type="pct"/>
                  <w:shd w:val="clear" w:color="auto" w:fill="auto"/>
                  <w:noWrap/>
                  <w:vAlign w:val="center"/>
                </w:tcPr>
                <w:p w14:paraId="4AFBE2F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color w:val="000000"/>
                      <w:kern w:val="0"/>
                      <w:sz w:val="21"/>
                      <w:szCs w:val="21"/>
                      <w:highlight w:val="none"/>
                      <w:u w:val="none"/>
                      <w:lang w:val="en-US" w:eastAsia="zh-CN" w:bidi="ar"/>
                    </w:rPr>
                    <w:t>46</w:t>
                  </w:r>
                </w:p>
              </w:tc>
              <w:tc>
                <w:tcPr>
                  <w:tcW w:w="849" w:type="pct"/>
                  <w:shd w:val="clear" w:color="auto" w:fill="auto"/>
                  <w:noWrap/>
                  <w:vAlign w:val="center"/>
                </w:tcPr>
                <w:p w14:paraId="366CEDC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color w:val="000000"/>
                      <w:kern w:val="0"/>
                      <w:sz w:val="21"/>
                      <w:szCs w:val="21"/>
                      <w:highlight w:val="none"/>
                      <w:u w:val="none"/>
                      <w:lang w:val="en-US" w:eastAsia="zh-CN" w:bidi="ar"/>
                    </w:rPr>
                    <w:t>46</w:t>
                  </w:r>
                </w:p>
              </w:tc>
              <w:tc>
                <w:tcPr>
                  <w:tcW w:w="849" w:type="pct"/>
                  <w:shd w:val="clear" w:color="auto" w:fill="auto"/>
                  <w:noWrap/>
                  <w:vAlign w:val="center"/>
                </w:tcPr>
                <w:p w14:paraId="1FB2815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color w:val="000000"/>
                      <w:kern w:val="0"/>
                      <w:sz w:val="21"/>
                      <w:szCs w:val="21"/>
                      <w:highlight w:val="none"/>
                      <w:u w:val="none"/>
                      <w:lang w:val="en-US" w:eastAsia="zh-CN" w:bidi="ar"/>
                    </w:rPr>
                    <w:t>61</w:t>
                  </w:r>
                </w:p>
              </w:tc>
              <w:tc>
                <w:tcPr>
                  <w:tcW w:w="849" w:type="pct"/>
                  <w:shd w:val="clear" w:color="auto" w:fill="auto"/>
                  <w:noWrap/>
                  <w:vAlign w:val="center"/>
                </w:tcPr>
                <w:p w14:paraId="563C36C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color w:val="000000"/>
                      <w:kern w:val="0"/>
                      <w:sz w:val="21"/>
                      <w:szCs w:val="21"/>
                      <w:highlight w:val="none"/>
                      <w:u w:val="none"/>
                      <w:lang w:val="en-US" w:eastAsia="zh-CN" w:bidi="ar"/>
                    </w:rPr>
                    <w:t>61</w:t>
                  </w:r>
                </w:p>
              </w:tc>
            </w:tr>
            <w:tr w14:paraId="44F81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01" w:type="pct"/>
                  <w:shd w:val="clear" w:color="auto" w:fill="auto"/>
                  <w:noWrap/>
                  <w:vAlign w:val="center"/>
                </w:tcPr>
                <w:p w14:paraId="22F9FD7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Adiv</w:t>
                  </w:r>
                </w:p>
              </w:tc>
              <w:tc>
                <w:tcPr>
                  <w:tcW w:w="1347" w:type="dxa"/>
                  <w:shd w:val="clear" w:color="auto" w:fill="auto"/>
                  <w:noWrap/>
                  <w:vAlign w:val="center"/>
                </w:tcPr>
                <w:p w14:paraId="2530F5D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33.26 </w:t>
                  </w:r>
                </w:p>
              </w:tc>
              <w:tc>
                <w:tcPr>
                  <w:tcW w:w="1347" w:type="dxa"/>
                  <w:shd w:val="clear" w:color="auto" w:fill="auto"/>
                  <w:noWrap/>
                  <w:vAlign w:val="center"/>
                </w:tcPr>
                <w:p w14:paraId="6B0ABF4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33.26 </w:t>
                  </w:r>
                </w:p>
              </w:tc>
              <w:tc>
                <w:tcPr>
                  <w:tcW w:w="1347" w:type="dxa"/>
                  <w:shd w:val="clear" w:color="auto" w:fill="auto"/>
                  <w:noWrap/>
                  <w:vAlign w:val="center"/>
                </w:tcPr>
                <w:p w14:paraId="425F15E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35.71 </w:t>
                  </w:r>
                </w:p>
              </w:tc>
              <w:tc>
                <w:tcPr>
                  <w:tcW w:w="1351" w:type="dxa"/>
                  <w:shd w:val="clear" w:color="auto" w:fill="auto"/>
                  <w:noWrap/>
                  <w:vAlign w:val="center"/>
                </w:tcPr>
                <w:p w14:paraId="63DD6E8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35.71 </w:t>
                  </w:r>
                </w:p>
              </w:tc>
            </w:tr>
            <w:tr w14:paraId="3733A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01" w:type="pct"/>
                  <w:shd w:val="clear" w:color="auto" w:fill="auto"/>
                  <w:noWrap/>
                  <w:vAlign w:val="center"/>
                </w:tcPr>
                <w:p w14:paraId="1C29FC4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Aatm</w:t>
                  </w:r>
                </w:p>
              </w:tc>
              <w:tc>
                <w:tcPr>
                  <w:tcW w:w="1347" w:type="dxa"/>
                  <w:shd w:val="clear" w:color="auto" w:fill="auto"/>
                  <w:noWrap/>
                  <w:vAlign w:val="center"/>
                </w:tcPr>
                <w:p w14:paraId="03F0BE3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0.13 </w:t>
                  </w:r>
                </w:p>
              </w:tc>
              <w:tc>
                <w:tcPr>
                  <w:tcW w:w="1347" w:type="dxa"/>
                  <w:shd w:val="clear" w:color="auto" w:fill="auto"/>
                  <w:noWrap/>
                  <w:vAlign w:val="center"/>
                </w:tcPr>
                <w:p w14:paraId="0DE198E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0.13 </w:t>
                  </w:r>
                </w:p>
              </w:tc>
              <w:tc>
                <w:tcPr>
                  <w:tcW w:w="1347" w:type="dxa"/>
                  <w:shd w:val="clear" w:color="auto" w:fill="auto"/>
                  <w:noWrap/>
                  <w:vAlign w:val="center"/>
                </w:tcPr>
                <w:p w14:paraId="4C2DFDC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0.17 </w:t>
                  </w:r>
                </w:p>
              </w:tc>
              <w:tc>
                <w:tcPr>
                  <w:tcW w:w="1351" w:type="dxa"/>
                  <w:shd w:val="clear" w:color="auto" w:fill="auto"/>
                  <w:noWrap/>
                  <w:vAlign w:val="center"/>
                </w:tcPr>
                <w:p w14:paraId="3D60A59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0.17 </w:t>
                  </w:r>
                </w:p>
              </w:tc>
            </w:tr>
            <w:tr w14:paraId="12EC8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01" w:type="pct"/>
                  <w:shd w:val="clear" w:color="auto" w:fill="auto"/>
                  <w:noWrap/>
                  <w:vAlign w:val="center"/>
                </w:tcPr>
                <w:p w14:paraId="5B82B9B5">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厂界贡献值</w:t>
                  </w:r>
                </w:p>
              </w:tc>
              <w:tc>
                <w:tcPr>
                  <w:tcW w:w="1347" w:type="dxa"/>
                  <w:shd w:val="clear" w:color="auto" w:fill="auto"/>
                  <w:noWrap/>
                  <w:vAlign w:val="center"/>
                </w:tcPr>
                <w:p w14:paraId="34BE51F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42.58 </w:t>
                  </w:r>
                </w:p>
              </w:tc>
              <w:tc>
                <w:tcPr>
                  <w:tcW w:w="1347" w:type="dxa"/>
                  <w:shd w:val="clear" w:color="auto" w:fill="auto"/>
                  <w:noWrap/>
                  <w:vAlign w:val="center"/>
                </w:tcPr>
                <w:p w14:paraId="7479104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42.58 </w:t>
                  </w:r>
                </w:p>
              </w:tc>
              <w:tc>
                <w:tcPr>
                  <w:tcW w:w="1347" w:type="dxa"/>
                  <w:shd w:val="clear" w:color="auto" w:fill="auto"/>
                  <w:noWrap/>
                  <w:vAlign w:val="center"/>
                </w:tcPr>
                <w:p w14:paraId="226342F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40.09 </w:t>
                  </w:r>
                </w:p>
              </w:tc>
              <w:tc>
                <w:tcPr>
                  <w:tcW w:w="1351" w:type="dxa"/>
                  <w:shd w:val="clear" w:color="auto" w:fill="auto"/>
                  <w:noWrap/>
                  <w:vAlign w:val="center"/>
                </w:tcPr>
                <w:p w14:paraId="4491E46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40.09 </w:t>
                  </w:r>
                </w:p>
              </w:tc>
            </w:tr>
            <w:tr w14:paraId="52A5F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01" w:type="pct"/>
                  <w:shd w:val="clear" w:color="auto" w:fill="auto"/>
                  <w:noWrap/>
                  <w:vAlign w:val="center"/>
                </w:tcPr>
                <w:p w14:paraId="40AC4232">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执行标准</w:t>
                  </w:r>
                </w:p>
              </w:tc>
              <w:tc>
                <w:tcPr>
                  <w:tcW w:w="3398" w:type="pct"/>
                  <w:gridSpan w:val="4"/>
                  <w:shd w:val="clear" w:color="auto" w:fill="auto"/>
                  <w:noWrap/>
                  <w:vAlign w:val="center"/>
                </w:tcPr>
                <w:p w14:paraId="3FAB7E2C">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2类（昼间：65  夜间：55）、4类（昼间：70 夜间：55）</w:t>
                  </w:r>
                </w:p>
              </w:tc>
            </w:tr>
            <w:tr w14:paraId="08063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01" w:type="pct"/>
                  <w:shd w:val="clear" w:color="auto" w:fill="auto"/>
                  <w:noWrap/>
                  <w:vAlign w:val="center"/>
                </w:tcPr>
                <w:p w14:paraId="1E0601DE">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昼间达标情况</w:t>
                  </w:r>
                </w:p>
              </w:tc>
              <w:tc>
                <w:tcPr>
                  <w:tcW w:w="849" w:type="pct"/>
                  <w:shd w:val="clear" w:color="auto" w:fill="auto"/>
                  <w:noWrap/>
                  <w:vAlign w:val="center"/>
                </w:tcPr>
                <w:p w14:paraId="0C368FFB">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达标</w:t>
                  </w:r>
                </w:p>
              </w:tc>
              <w:tc>
                <w:tcPr>
                  <w:tcW w:w="849" w:type="pct"/>
                  <w:shd w:val="clear" w:color="auto" w:fill="auto"/>
                  <w:noWrap/>
                  <w:vAlign w:val="center"/>
                </w:tcPr>
                <w:p w14:paraId="48D5EE3F">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达标</w:t>
                  </w:r>
                </w:p>
              </w:tc>
              <w:tc>
                <w:tcPr>
                  <w:tcW w:w="849" w:type="pct"/>
                  <w:shd w:val="clear" w:color="auto" w:fill="auto"/>
                  <w:noWrap/>
                  <w:vAlign w:val="center"/>
                </w:tcPr>
                <w:p w14:paraId="03ECFEDF">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达标</w:t>
                  </w:r>
                </w:p>
              </w:tc>
              <w:tc>
                <w:tcPr>
                  <w:tcW w:w="849" w:type="pct"/>
                  <w:shd w:val="clear" w:color="auto" w:fill="auto"/>
                  <w:noWrap/>
                  <w:vAlign w:val="center"/>
                </w:tcPr>
                <w:p w14:paraId="390A3EEB">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达标</w:t>
                  </w:r>
                </w:p>
              </w:tc>
            </w:tr>
            <w:tr w14:paraId="19409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01" w:type="pct"/>
                  <w:shd w:val="clear" w:color="auto" w:fill="auto"/>
                  <w:noWrap/>
                  <w:vAlign w:val="center"/>
                </w:tcPr>
                <w:p w14:paraId="277B00AC">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夜间达标情况</w:t>
                  </w:r>
                </w:p>
              </w:tc>
              <w:tc>
                <w:tcPr>
                  <w:tcW w:w="849" w:type="pct"/>
                  <w:shd w:val="clear" w:color="auto" w:fill="auto"/>
                  <w:noWrap/>
                  <w:vAlign w:val="center"/>
                </w:tcPr>
                <w:p w14:paraId="7785636A">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达标</w:t>
                  </w:r>
                </w:p>
              </w:tc>
              <w:tc>
                <w:tcPr>
                  <w:tcW w:w="849" w:type="pct"/>
                  <w:shd w:val="clear" w:color="auto" w:fill="auto"/>
                  <w:noWrap/>
                  <w:vAlign w:val="center"/>
                </w:tcPr>
                <w:p w14:paraId="71369481">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达标</w:t>
                  </w:r>
                </w:p>
              </w:tc>
              <w:tc>
                <w:tcPr>
                  <w:tcW w:w="849" w:type="pct"/>
                  <w:shd w:val="clear" w:color="auto" w:fill="auto"/>
                  <w:noWrap/>
                  <w:vAlign w:val="center"/>
                </w:tcPr>
                <w:p w14:paraId="1BD5E2C3">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达标</w:t>
                  </w:r>
                </w:p>
              </w:tc>
              <w:tc>
                <w:tcPr>
                  <w:tcW w:w="849" w:type="pct"/>
                  <w:shd w:val="clear" w:color="auto" w:fill="auto"/>
                  <w:noWrap/>
                  <w:vAlign w:val="center"/>
                </w:tcPr>
                <w:p w14:paraId="08840BBD">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达标</w:t>
                  </w:r>
                </w:p>
              </w:tc>
            </w:tr>
          </w:tbl>
          <w:p w14:paraId="519F1DD2">
            <w:pPr>
              <w:pStyle w:val="16"/>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eastAsia" w:ascii="Times New Roman" w:hAnsi="Times New Roman" w:cs="Times New Roman"/>
                <w:sz w:val="24"/>
                <w:szCs w:val="24"/>
                <w:highlight w:val="none"/>
              </w:rPr>
            </w:pPr>
            <w:r>
              <w:rPr>
                <w:rFonts w:hint="eastAsia" w:ascii="Times New Roman"/>
                <w:bCs/>
                <w:color w:val="000000" w:themeColor="text1"/>
                <w:sz w:val="24"/>
                <w:szCs w:val="24"/>
                <w:highlight w:val="none"/>
                <w14:textFill>
                  <w14:solidFill>
                    <w14:schemeClr w14:val="tx1"/>
                  </w14:solidFill>
                </w14:textFill>
              </w:rPr>
              <w:t>由上表可知，通过采取降噪措施后，可确保项目</w:t>
            </w:r>
            <w:r>
              <w:rPr>
                <w:rFonts w:hint="eastAsia" w:ascii="Times New Roman"/>
                <w:bCs/>
                <w:color w:val="000000" w:themeColor="text1"/>
                <w:sz w:val="24"/>
                <w:szCs w:val="24"/>
                <w:highlight w:val="none"/>
                <w:lang w:val="en-US" w:eastAsia="zh-CN"/>
                <w14:textFill>
                  <w14:solidFill>
                    <w14:schemeClr w14:val="tx1"/>
                  </w14:solidFill>
                </w14:textFill>
              </w:rPr>
              <w:t>厂区边界</w:t>
            </w:r>
            <w:r>
              <w:rPr>
                <w:rFonts w:hint="eastAsia" w:ascii="Times New Roman"/>
                <w:bCs/>
                <w:color w:val="000000" w:themeColor="text1"/>
                <w:sz w:val="24"/>
                <w:szCs w:val="24"/>
                <w:highlight w:val="none"/>
                <w14:textFill>
                  <w14:solidFill>
                    <w14:schemeClr w14:val="tx1"/>
                  </w14:solidFill>
                </w14:textFill>
              </w:rPr>
              <w:t>噪声达到《工业企业厂界环境噪声排放标准》（</w:t>
            </w:r>
            <w:r>
              <w:rPr>
                <w:rFonts w:ascii="Times New Roman"/>
                <w:bCs/>
                <w:color w:val="000000" w:themeColor="text1"/>
                <w:sz w:val="24"/>
                <w:szCs w:val="24"/>
                <w:highlight w:val="none"/>
                <w14:textFill>
                  <w14:solidFill>
                    <w14:schemeClr w14:val="tx1"/>
                  </w14:solidFill>
                </w14:textFill>
              </w:rPr>
              <w:t>GB12348</w:t>
            </w:r>
            <w:r>
              <w:rPr>
                <w:rFonts w:hint="eastAsia" w:ascii="Times New Roman"/>
                <w:bCs/>
                <w:color w:val="000000" w:themeColor="text1"/>
                <w:sz w:val="24"/>
                <w:szCs w:val="24"/>
                <w:highlight w:val="none"/>
                <w14:textFill>
                  <w14:solidFill>
                    <w14:schemeClr w14:val="tx1"/>
                  </w14:solidFill>
                </w14:textFill>
              </w:rPr>
              <w:t>－</w:t>
            </w:r>
            <w:r>
              <w:rPr>
                <w:rFonts w:ascii="Times New Roman"/>
                <w:bCs/>
                <w:color w:val="000000" w:themeColor="text1"/>
                <w:sz w:val="24"/>
                <w:szCs w:val="24"/>
                <w:highlight w:val="none"/>
                <w14:textFill>
                  <w14:solidFill>
                    <w14:schemeClr w14:val="tx1"/>
                  </w14:solidFill>
                </w14:textFill>
              </w:rPr>
              <w:t>2008</w:t>
            </w:r>
            <w:r>
              <w:rPr>
                <w:rFonts w:hint="eastAsia" w:ascii="Times New Roman"/>
                <w:bCs/>
                <w:color w:val="000000" w:themeColor="text1"/>
                <w:sz w:val="24"/>
                <w:szCs w:val="24"/>
                <w:highlight w:val="none"/>
                <w14:textFill>
                  <w14:solidFill>
                    <w14:schemeClr w14:val="tx1"/>
                  </w14:solidFill>
                </w14:textFill>
              </w:rPr>
              <w:t>）</w:t>
            </w:r>
            <w:r>
              <w:rPr>
                <w:rFonts w:hint="eastAsia" w:ascii="Times New Roman"/>
                <w:bCs/>
                <w:color w:val="000000" w:themeColor="text1"/>
                <w:sz w:val="24"/>
                <w:szCs w:val="24"/>
                <w:highlight w:val="none"/>
                <w:lang w:eastAsia="zh-CN"/>
                <w14:textFill>
                  <w14:solidFill>
                    <w14:schemeClr w14:val="tx1"/>
                  </w14:solidFill>
                </w14:textFill>
              </w:rPr>
              <w:t>的</w:t>
            </w:r>
            <w:r>
              <w:rPr>
                <w:rFonts w:hint="eastAsia" w:ascii="Times New Roman"/>
                <w:bCs/>
                <w:color w:val="000000" w:themeColor="text1"/>
                <w:sz w:val="24"/>
                <w:szCs w:val="24"/>
                <w:highlight w:val="none"/>
                <w14:textFill>
                  <w14:solidFill>
                    <w14:schemeClr w14:val="tx1"/>
                  </w14:solidFill>
                </w14:textFill>
              </w:rPr>
              <w:t>要求</w:t>
            </w:r>
            <w:r>
              <w:rPr>
                <w:rFonts w:hint="eastAsia" w:ascii="Times New Roman" w:hAnsi="Times New Roman" w:cs="Times New Roman"/>
                <w:color w:val="000000" w:themeColor="text1"/>
                <w:sz w:val="24"/>
                <w:szCs w:val="20"/>
                <w:highlight w:val="none"/>
                <w:lang w:eastAsia="zh-CN"/>
                <w14:textFill>
                  <w14:solidFill>
                    <w14:schemeClr w14:val="tx1"/>
                  </w14:solidFill>
                </w14:textFill>
              </w:rPr>
              <w:t>，</w:t>
            </w:r>
            <w:r>
              <w:rPr>
                <w:rFonts w:hint="eastAsia" w:ascii="Times New Roman" w:hAnsi="Times New Roman" w:cs="Times New Roman"/>
                <w:color w:val="000000" w:themeColor="text1"/>
                <w:sz w:val="24"/>
                <w:szCs w:val="20"/>
                <w:highlight w:val="none"/>
                <w:lang w:val="en-US" w:eastAsia="zh-CN"/>
                <w14:textFill>
                  <w14:solidFill>
                    <w14:schemeClr w14:val="tx1"/>
                  </w14:solidFill>
                </w14:textFill>
              </w:rPr>
              <w:t>50m范围内没有居民区等噪声敏感目标，</w:t>
            </w:r>
            <w:r>
              <w:rPr>
                <w:rFonts w:hint="eastAsia" w:ascii="Times New Roman"/>
                <w:bCs/>
                <w:color w:val="000000" w:themeColor="text1"/>
                <w:sz w:val="24"/>
                <w:szCs w:val="24"/>
                <w:highlight w:val="none"/>
                <w14:textFill>
                  <w14:solidFill>
                    <w14:schemeClr w14:val="tx1"/>
                  </w14:solidFill>
                </w14:textFill>
              </w:rPr>
              <w:t>故项目营运期的生产噪声对周围环境影响不大。</w:t>
            </w:r>
          </w:p>
          <w:p w14:paraId="7E8A5B04">
            <w:pPr>
              <w:adjustRightInd w:val="0"/>
              <w:snapToGrid w:val="0"/>
              <w:spacing w:line="360" w:lineRule="auto"/>
              <w:ind w:firstLine="482" w:firstLineChars="200"/>
              <w:rPr>
                <w:rFonts w:hAnsi="宋体"/>
                <w:b/>
                <w:color w:val="auto"/>
                <w:sz w:val="24"/>
                <w:highlight w:val="none"/>
              </w:rPr>
            </w:pPr>
            <w:r>
              <w:rPr>
                <w:rFonts w:hint="eastAsia" w:hAnsi="宋体"/>
                <w:b/>
                <w:color w:val="auto"/>
                <w:sz w:val="24"/>
                <w:highlight w:val="none"/>
              </w:rPr>
              <w:t>4</w:t>
            </w:r>
            <w:r>
              <w:rPr>
                <w:rFonts w:hint="eastAsia" w:hAnsi="宋体"/>
                <w:b/>
                <w:color w:val="auto"/>
                <w:sz w:val="24"/>
                <w:highlight w:val="none"/>
                <w:lang w:eastAsia="zh-CN"/>
              </w:rPr>
              <w:t>、</w:t>
            </w:r>
            <w:r>
              <w:rPr>
                <w:rFonts w:hint="eastAsia" w:hAnsi="宋体"/>
                <w:b/>
                <w:color w:val="auto"/>
                <w:sz w:val="24"/>
                <w:highlight w:val="none"/>
              </w:rPr>
              <w:t>固体废物</w:t>
            </w:r>
          </w:p>
          <w:p w14:paraId="27CBE839">
            <w:pPr>
              <w:pStyle w:val="18"/>
              <w:spacing w:after="0" w:line="360" w:lineRule="auto"/>
              <w:ind w:left="0" w:leftChars="0" w:firstLine="482" w:firstLineChars="200"/>
              <w:rPr>
                <w:rFonts w:hint="eastAsia" w:ascii="Times New Roman" w:hAnsi="宋体" w:eastAsia="宋体" w:cs="Times New Roman"/>
                <w:b w:val="0"/>
                <w:bCs/>
                <w:color w:val="auto"/>
                <w:sz w:val="24"/>
                <w:highlight w:val="none"/>
              </w:rPr>
            </w:pPr>
            <w:r>
              <w:rPr>
                <w:rFonts w:hint="eastAsia" w:ascii="Times New Roman" w:hAnsi="宋体" w:eastAsia="宋体"/>
                <w:b/>
                <w:color w:val="auto"/>
                <w:sz w:val="24"/>
                <w:highlight w:val="none"/>
              </w:rPr>
              <w:t>（</w:t>
            </w:r>
            <w:r>
              <w:rPr>
                <w:rFonts w:hint="eastAsia" w:ascii="Times New Roman" w:hAnsi="宋体" w:eastAsia="宋体" w:cs="Times New Roman"/>
                <w:b w:val="0"/>
                <w:bCs/>
                <w:color w:val="auto"/>
                <w:sz w:val="24"/>
                <w:highlight w:val="none"/>
              </w:rPr>
              <w:t>1）固体废物产生情况</w:t>
            </w:r>
          </w:p>
          <w:p w14:paraId="7B7B6138">
            <w:pPr>
              <w:pStyle w:val="18"/>
              <w:spacing w:after="0" w:line="360" w:lineRule="auto"/>
              <w:ind w:left="0" w:leftChars="0" w:firstLine="480" w:firstLineChars="200"/>
              <w:rPr>
                <w:rFonts w:hint="eastAsia" w:ascii="Times New Roman" w:eastAsia="宋体"/>
                <w:color w:val="auto"/>
                <w:sz w:val="24"/>
                <w:highlight w:val="none"/>
              </w:rPr>
            </w:pPr>
            <w:r>
              <w:rPr>
                <w:rFonts w:hint="eastAsia" w:ascii="Times New Roman" w:hAnsi="宋体" w:eastAsia="宋体" w:cs="Times New Roman"/>
                <w:b w:val="0"/>
                <w:bCs/>
                <w:color w:val="auto"/>
                <w:sz w:val="24"/>
                <w:highlight w:val="none"/>
              </w:rPr>
              <w:t>本项目固体废弃物主要为</w:t>
            </w:r>
            <w:r>
              <w:rPr>
                <w:rFonts w:hint="eastAsia" w:ascii="Times New Roman" w:hAnsi="宋体" w:eastAsia="宋体" w:cs="Times New Roman"/>
                <w:b w:val="0"/>
                <w:bCs/>
                <w:color w:val="auto"/>
                <w:sz w:val="24"/>
                <w:highlight w:val="none"/>
                <w:lang w:val="en-US" w:eastAsia="zh-CN"/>
              </w:rPr>
              <w:t>锅炉灰渣、</w:t>
            </w:r>
            <w:r>
              <w:rPr>
                <w:rFonts w:hint="eastAsia" w:hAnsi="宋体" w:cs="Times New Roman"/>
                <w:b w:val="0"/>
                <w:bCs/>
                <w:color w:val="auto"/>
                <w:sz w:val="24"/>
                <w:highlight w:val="none"/>
                <w:lang w:val="en-US" w:eastAsia="zh-CN"/>
              </w:rPr>
              <w:t>脱硫石膏、</w:t>
            </w:r>
            <w:r>
              <w:rPr>
                <w:rFonts w:hint="eastAsia" w:ascii="Times New Roman" w:hAnsi="宋体" w:eastAsia="宋体" w:cs="Times New Roman"/>
                <w:b w:val="0"/>
                <w:bCs/>
                <w:color w:val="auto"/>
                <w:sz w:val="24"/>
                <w:highlight w:val="none"/>
              </w:rPr>
              <w:t>废润滑油</w:t>
            </w:r>
            <w:r>
              <w:rPr>
                <w:rFonts w:hint="eastAsia" w:ascii="Times New Roman" w:hAnsi="宋体" w:eastAsia="宋体" w:cs="Times New Roman"/>
                <w:b w:val="0"/>
                <w:bCs/>
                <w:color w:val="auto"/>
                <w:sz w:val="24"/>
                <w:highlight w:val="none"/>
                <w:lang w:eastAsia="zh-CN"/>
              </w:rPr>
              <w:t>、</w:t>
            </w:r>
            <w:r>
              <w:rPr>
                <w:rFonts w:hint="eastAsia" w:hAnsi="宋体" w:cs="Times New Roman"/>
                <w:b w:val="0"/>
                <w:bCs/>
                <w:color w:val="auto"/>
                <w:sz w:val="24"/>
                <w:highlight w:val="none"/>
                <w:lang w:val="en-US" w:eastAsia="zh-CN"/>
              </w:rPr>
              <w:t>废催化剂、废布袋、废水处理污泥、反渗透膜和</w:t>
            </w:r>
            <w:r>
              <w:rPr>
                <w:rFonts w:hint="eastAsia" w:ascii="Times New Roman" w:hAnsi="宋体" w:eastAsia="宋体" w:cs="Times New Roman"/>
                <w:b w:val="0"/>
                <w:bCs/>
                <w:color w:val="auto"/>
                <w:sz w:val="24"/>
                <w:highlight w:val="none"/>
              </w:rPr>
              <w:t>生活垃圾等。</w:t>
            </w:r>
          </w:p>
          <w:p w14:paraId="37122166">
            <w:pPr>
              <w:keepNext w:val="0"/>
              <w:keepLines w:val="0"/>
              <w:pageBreakBefore w:val="0"/>
              <w:widowControl w:val="0"/>
              <w:kinsoku/>
              <w:wordWrap/>
              <w:overflowPunct/>
              <w:topLinePunct w:val="0"/>
              <w:bidi w:val="0"/>
              <w:snapToGrid/>
              <w:spacing w:line="360" w:lineRule="auto"/>
              <w:ind w:firstLine="480"/>
              <w:rPr>
                <w:rFonts w:hint="default" w:ascii="Times New Roman" w:hAnsi="Times New Roman" w:eastAsia="宋体" w:cs="Times New Roman"/>
                <w:b w:val="0"/>
                <w:bCs w:val="0"/>
                <w:color w:val="000000"/>
                <w:sz w:val="24"/>
                <w:highlight w:val="none"/>
              </w:rPr>
            </w:pPr>
            <w:r>
              <w:rPr>
                <w:rFonts w:hint="eastAsia" w:ascii="Times New Roman" w:hAnsi="宋体" w:eastAsia="宋体"/>
                <w:b w:val="0"/>
                <w:bCs w:val="0"/>
                <w:color w:val="auto"/>
                <w:sz w:val="24"/>
                <w:highlight w:val="none"/>
              </w:rPr>
              <w:fldChar w:fldCharType="begin"/>
            </w:r>
            <w:r>
              <w:rPr>
                <w:rFonts w:hint="eastAsia" w:ascii="Times New Roman" w:hAnsi="宋体" w:eastAsia="宋体"/>
                <w:b w:val="0"/>
                <w:bCs w:val="0"/>
                <w:color w:val="auto"/>
                <w:sz w:val="24"/>
                <w:highlight w:val="none"/>
              </w:rPr>
              <w:instrText xml:space="preserve"> = 1 \* GB3 \* MERGEFORMAT </w:instrText>
            </w:r>
            <w:r>
              <w:rPr>
                <w:rFonts w:hint="eastAsia" w:ascii="Times New Roman" w:hAnsi="宋体" w:eastAsia="宋体"/>
                <w:b w:val="0"/>
                <w:bCs w:val="0"/>
                <w:color w:val="auto"/>
                <w:sz w:val="24"/>
                <w:highlight w:val="none"/>
              </w:rPr>
              <w:fldChar w:fldCharType="separate"/>
            </w:r>
            <w:r>
              <w:rPr>
                <w:b w:val="0"/>
                <w:bCs w:val="0"/>
                <w:highlight w:val="none"/>
              </w:rPr>
              <w:t>①</w:t>
            </w:r>
            <w:r>
              <w:rPr>
                <w:rFonts w:hint="eastAsia" w:ascii="Times New Roman" w:hAnsi="宋体" w:eastAsia="宋体"/>
                <w:b w:val="0"/>
                <w:bCs w:val="0"/>
                <w:color w:val="auto"/>
                <w:sz w:val="24"/>
                <w:highlight w:val="none"/>
              </w:rPr>
              <w:fldChar w:fldCharType="end"/>
            </w:r>
            <w:r>
              <w:rPr>
                <w:rFonts w:hint="default" w:ascii="Times New Roman" w:hAnsi="Times New Roman" w:eastAsia="宋体" w:cs="Times New Roman"/>
                <w:b w:val="0"/>
                <w:bCs w:val="0"/>
                <w:color w:val="000000"/>
                <w:sz w:val="24"/>
                <w:highlight w:val="none"/>
              </w:rPr>
              <w:t>锅炉灰渣</w:t>
            </w:r>
          </w:p>
          <w:p w14:paraId="1AB6D215">
            <w:pPr>
              <w:spacing w:line="360" w:lineRule="auto"/>
              <w:ind w:firstLine="480"/>
              <w:rPr>
                <w:rFonts w:hint="default" w:ascii="Times New Roman" w:hAnsi="Times New Roman" w:eastAsia="宋体" w:cs="Times New Roman"/>
                <w:b w:val="0"/>
                <w:bCs w:val="0"/>
                <w:color w:val="000000"/>
                <w:kern w:val="2"/>
                <w:sz w:val="24"/>
                <w:szCs w:val="24"/>
                <w:highlight w:val="none"/>
                <w:lang w:val="en-US" w:eastAsia="zh-CN" w:bidi="ar-SA"/>
              </w:rPr>
            </w:pPr>
            <w:r>
              <w:rPr>
                <w:rFonts w:hint="eastAsia" w:ascii="Times New Roman" w:hAnsi="Times New Roman" w:eastAsia="宋体" w:cs="Times New Roman"/>
                <w:b w:val="0"/>
                <w:bCs w:val="0"/>
                <w:color w:val="000000"/>
                <w:sz w:val="24"/>
                <w:highlight w:val="none"/>
                <w:lang w:val="en-US" w:eastAsia="zh-CN"/>
              </w:rPr>
              <w:t>生物质燃料燃烧后产生主要两种固体残余物，一种是炉膛燃烬物称炉渣，另一种为锅炉烟道、旋风分离器及布袋除尘器分离下来的飞灰。</w:t>
            </w:r>
            <w:r>
              <w:rPr>
                <w:rFonts w:hint="eastAsia" w:cs="Times New Roman"/>
                <w:b w:val="0"/>
                <w:bCs w:val="0"/>
                <w:color w:val="000000"/>
                <w:sz w:val="24"/>
                <w:highlight w:val="none"/>
                <w:lang w:val="en-US" w:eastAsia="zh-CN"/>
              </w:rPr>
              <w:t>因此</w:t>
            </w:r>
            <w:r>
              <w:rPr>
                <w:rFonts w:hint="eastAsia" w:ascii="Times New Roman" w:hAnsi="Times New Roman" w:eastAsia="宋体" w:cs="Times New Roman"/>
                <w:b w:val="0"/>
                <w:bCs w:val="0"/>
                <w:color w:val="000000"/>
                <w:sz w:val="24"/>
                <w:highlight w:val="none"/>
                <w:lang w:val="en-US" w:eastAsia="zh-CN"/>
              </w:rPr>
              <w:t>本项目生物质锅炉产生的灰渣包括炉渣和飞灰。</w:t>
            </w:r>
          </w:p>
          <w:p w14:paraId="07AF93C4">
            <w:pPr>
              <w:pStyle w:val="1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Times New Roman" w:eastAsia="宋体"/>
                <w:color w:val="auto"/>
                <w:sz w:val="24"/>
                <w:highlight w:val="none"/>
                <w:lang w:eastAsia="zh-CN"/>
              </w:rPr>
            </w:pPr>
            <w:r>
              <w:rPr>
                <w:rFonts w:hint="default" w:ascii="Times New Roman" w:hAnsi="Times New Roman" w:eastAsia="宋体" w:cs="Times New Roman"/>
                <w:b w:val="0"/>
                <w:bCs w:val="0"/>
                <w:color w:val="000000"/>
                <w:kern w:val="2"/>
                <w:sz w:val="24"/>
                <w:szCs w:val="24"/>
                <w:highlight w:val="none"/>
                <w:lang w:val="en-US" w:eastAsia="zh-CN" w:bidi="ar-SA"/>
              </w:rPr>
              <w:t>根据</w:t>
            </w:r>
            <w:r>
              <w:rPr>
                <w:rFonts w:hint="eastAsia" w:ascii="Times New Roman" w:cs="Times New Roman"/>
                <w:b w:val="0"/>
                <w:bCs w:val="0"/>
                <w:color w:val="000000"/>
                <w:kern w:val="2"/>
                <w:sz w:val="24"/>
                <w:szCs w:val="24"/>
                <w:highlight w:val="none"/>
                <w:lang w:val="en-US" w:eastAsia="zh-CN" w:bidi="ar-SA"/>
              </w:rPr>
              <w:t>企业锅炉设备运营商提供资料，项目灰渣产生量约为燃料用量的</w:t>
            </w:r>
            <w:r>
              <w:rPr>
                <w:rFonts w:hint="eastAsia" w:cs="Times New Roman"/>
                <w:b w:val="0"/>
                <w:bCs w:val="0"/>
                <w:color w:val="000000"/>
                <w:kern w:val="2"/>
                <w:sz w:val="24"/>
                <w:szCs w:val="24"/>
                <w:highlight w:val="none"/>
                <w:lang w:val="en-US" w:eastAsia="zh-CN" w:bidi="ar-SA"/>
              </w:rPr>
              <w:t>8</w:t>
            </w:r>
            <w:r>
              <w:rPr>
                <w:rFonts w:hint="eastAsia" w:ascii="Times New Roman" w:cs="Times New Roman"/>
                <w:b w:val="0"/>
                <w:bCs w:val="0"/>
                <w:color w:val="000000"/>
                <w:kern w:val="2"/>
                <w:sz w:val="24"/>
                <w:szCs w:val="24"/>
                <w:highlight w:val="none"/>
                <w:lang w:val="en-US" w:eastAsia="zh-CN" w:bidi="ar-SA"/>
              </w:rPr>
              <w:t>%，即</w:t>
            </w:r>
            <w:r>
              <w:rPr>
                <w:rFonts w:hint="eastAsia" w:cs="Times New Roman"/>
                <w:b w:val="0"/>
                <w:bCs w:val="0"/>
                <w:color w:val="000000"/>
                <w:kern w:val="2"/>
                <w:sz w:val="24"/>
                <w:szCs w:val="24"/>
                <w:highlight w:val="none"/>
                <w:lang w:val="en-US" w:eastAsia="zh-CN" w:bidi="ar-SA"/>
              </w:rPr>
              <w:t>2000</w:t>
            </w:r>
            <w:r>
              <w:rPr>
                <w:rFonts w:hint="eastAsia" w:ascii="Times New Roman" w:cs="Times New Roman"/>
                <w:b w:val="0"/>
                <w:bCs w:val="0"/>
                <w:color w:val="000000"/>
                <w:kern w:val="2"/>
                <w:sz w:val="24"/>
                <w:szCs w:val="24"/>
                <w:highlight w:val="none"/>
                <w:lang w:val="en-US" w:eastAsia="zh-CN" w:bidi="ar-SA"/>
              </w:rPr>
              <w:t>t/a</w:t>
            </w:r>
            <w:r>
              <w:rPr>
                <w:rFonts w:hint="eastAsia" w:cs="Times New Roman"/>
                <w:b w:val="0"/>
                <w:bCs w:val="0"/>
                <w:color w:val="000000"/>
                <w:kern w:val="2"/>
                <w:sz w:val="24"/>
                <w:szCs w:val="24"/>
                <w:highlight w:val="none"/>
                <w:lang w:val="en-US" w:eastAsia="zh-CN" w:bidi="ar-SA"/>
              </w:rPr>
              <w:t>，</w:t>
            </w:r>
            <w:r>
              <w:rPr>
                <w:rFonts w:hint="eastAsia" w:ascii="Times New Roman" w:hAnsi="宋体" w:eastAsia="宋体"/>
                <w:b w:val="0"/>
                <w:bCs w:val="0"/>
                <w:color w:val="auto"/>
                <w:sz w:val="24"/>
                <w:highlight w:val="none"/>
              </w:rPr>
              <w:t>交由资源回收单位回收处理</w:t>
            </w:r>
            <w:r>
              <w:rPr>
                <w:rFonts w:hint="eastAsia" w:ascii="Times New Roman" w:hAnsi="宋体" w:eastAsia="宋体"/>
                <w:b w:val="0"/>
                <w:bCs w:val="0"/>
                <w:color w:val="auto"/>
                <w:sz w:val="24"/>
                <w:highlight w:val="none"/>
                <w:lang w:eastAsia="zh-CN"/>
              </w:rPr>
              <w:t>。</w:t>
            </w:r>
          </w:p>
          <w:p w14:paraId="443DD744">
            <w:pPr>
              <w:pStyle w:val="1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Times New Roman" w:eastAsia="宋体"/>
                <w:b w:val="0"/>
                <w:bCs w:val="0"/>
                <w:color w:val="auto"/>
                <w:sz w:val="24"/>
                <w:highlight w:val="none"/>
                <w:lang w:val="en-US" w:eastAsia="zh-CN"/>
              </w:rPr>
            </w:pPr>
            <w:r>
              <w:rPr>
                <w:rFonts w:hint="eastAsia" w:ascii="Times New Roman"/>
                <w:b w:val="0"/>
                <w:bCs w:val="0"/>
                <w:color w:val="auto"/>
                <w:sz w:val="24"/>
                <w:highlight w:val="none"/>
                <w:lang w:val="en-US" w:eastAsia="zh-CN"/>
              </w:rPr>
              <w:t>②脱硫</w:t>
            </w:r>
            <w:r>
              <w:rPr>
                <w:rFonts w:hint="eastAsia" w:ascii="Times New Roman" w:eastAsia="宋体"/>
                <w:b w:val="0"/>
                <w:bCs w:val="0"/>
                <w:color w:val="auto"/>
                <w:sz w:val="24"/>
                <w:highlight w:val="none"/>
                <w:lang w:val="en-US" w:eastAsia="zh-CN"/>
              </w:rPr>
              <w:t>渣</w:t>
            </w:r>
          </w:p>
          <w:p w14:paraId="70B79ECD">
            <w:pPr>
              <w:pStyle w:val="1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Times New Roman" w:hAnsi="Times New Roman" w:eastAsia="宋体" w:cs="Times New Roman"/>
                <w:color w:val="000000"/>
                <w:sz w:val="24"/>
                <w:highlight w:val="none"/>
                <w:lang w:eastAsia="zh-CN"/>
              </w:rPr>
            </w:pPr>
            <w:r>
              <w:rPr>
                <w:rFonts w:hint="eastAsia" w:ascii="Times New Roman" w:eastAsia="宋体"/>
                <w:color w:val="auto"/>
                <w:sz w:val="24"/>
                <w:highlight w:val="none"/>
                <w:lang w:val="en-US" w:eastAsia="zh-CN"/>
              </w:rPr>
              <w:t>脱硫渣主要由硫酸钙</w:t>
            </w:r>
            <w:r>
              <w:rPr>
                <w:rFonts w:hint="default" w:ascii="Times New Roman" w:hAnsi="Times New Roman" w:eastAsia="宋体" w:cs="Times New Roman"/>
                <w:color w:val="auto"/>
                <w:sz w:val="24"/>
                <w:highlight w:val="none"/>
                <w:lang w:val="en-US" w:eastAsia="zh-CN"/>
              </w:rPr>
              <w:t>（CaSO₄）和未反应的Ca(OH)₂</w:t>
            </w:r>
            <w:r>
              <w:rPr>
                <w:rFonts w:hint="eastAsia" w:ascii="Times New Roman" w:eastAsia="宋体"/>
                <w:color w:val="auto"/>
                <w:sz w:val="24"/>
                <w:highlight w:val="none"/>
                <w:lang w:val="en-US" w:eastAsia="zh-CN"/>
              </w:rPr>
              <w:t>组成。</w:t>
            </w:r>
            <w:r>
              <w:rPr>
                <w:rFonts w:hint="eastAsia" w:ascii="Times New Roman"/>
                <w:color w:val="auto"/>
                <w:sz w:val="24"/>
                <w:highlight w:val="none"/>
                <w:lang w:val="en-US" w:eastAsia="zh-CN"/>
              </w:rPr>
              <w:t>脱硫反应效率计80%，氢氧化钙用量为6.14t/a，</w:t>
            </w:r>
            <w:r>
              <w:rPr>
                <w:rFonts w:hint="eastAsia" w:ascii="Times New Roman" w:hAnsi="Times New Roman" w:eastAsia="宋体" w:cs="Times New Roman"/>
                <w:color w:val="000000"/>
                <w:sz w:val="24"/>
                <w:highlight w:val="none"/>
                <w:lang w:eastAsia="zh-CN"/>
              </w:rPr>
              <w:t>SO</w:t>
            </w:r>
            <w:r>
              <w:rPr>
                <w:rFonts w:hint="eastAsia" w:ascii="Times New Roman" w:hAnsi="Times New Roman" w:eastAsia="宋体" w:cs="Times New Roman"/>
                <w:color w:val="000000"/>
                <w:sz w:val="24"/>
                <w:highlight w:val="none"/>
                <w:vertAlign w:val="subscript"/>
                <w:lang w:eastAsia="zh-CN"/>
              </w:rPr>
              <w:t>2</w:t>
            </w:r>
            <w:r>
              <w:rPr>
                <w:rFonts w:hint="eastAsia" w:ascii="Times New Roman" w:hAnsi="Times New Roman" w:eastAsia="宋体" w:cs="Times New Roman"/>
                <w:color w:val="000000"/>
                <w:sz w:val="24"/>
                <w:highlight w:val="none"/>
                <w:lang w:eastAsia="zh-CN"/>
              </w:rPr>
              <w:t>削减量为</w:t>
            </w:r>
            <w:r>
              <w:rPr>
                <w:rFonts w:hint="eastAsia" w:ascii="Times New Roman" w:hAnsi="Times New Roman" w:eastAsia="宋体" w:cs="Times New Roman"/>
                <w:color w:val="000000"/>
                <w:sz w:val="24"/>
                <w:highlight w:val="none"/>
                <w:lang w:val="en-US" w:eastAsia="zh-CN"/>
              </w:rPr>
              <w:t>4.25</w:t>
            </w:r>
            <w:r>
              <w:rPr>
                <w:rFonts w:hint="eastAsia" w:ascii="Times New Roman" w:hAnsi="Times New Roman" w:eastAsia="宋体" w:cs="Times New Roman"/>
                <w:color w:val="000000"/>
                <w:sz w:val="24"/>
                <w:highlight w:val="none"/>
                <w:lang w:eastAsia="zh-CN"/>
              </w:rPr>
              <w:t>t/a，</w:t>
            </w:r>
            <w:r>
              <w:rPr>
                <w:rFonts w:hint="eastAsia" w:ascii="Times New Roman"/>
                <w:color w:val="auto"/>
                <w:sz w:val="24"/>
                <w:highlight w:val="none"/>
                <w:lang w:val="en-US" w:eastAsia="zh-CN"/>
              </w:rPr>
              <w:t>因此</w:t>
            </w:r>
            <w:r>
              <w:rPr>
                <w:rFonts w:hint="eastAsia" w:ascii="Times New Roman" w:hAnsi="Times New Roman" w:eastAsia="宋体" w:cs="Times New Roman"/>
                <w:color w:val="000000"/>
                <w:sz w:val="24"/>
                <w:highlight w:val="none"/>
                <w:lang w:eastAsia="zh-CN"/>
              </w:rPr>
              <w:t>根据物料衡算，</w:t>
            </w:r>
            <w:r>
              <w:rPr>
                <w:rFonts w:hint="eastAsia" w:ascii="Times New Roman" w:hAnsi="Times New Roman" w:eastAsia="宋体" w:cs="Times New Roman"/>
                <w:color w:val="000000"/>
                <w:sz w:val="24"/>
                <w:highlight w:val="none"/>
                <w:lang w:val="en-US" w:eastAsia="zh-CN"/>
              </w:rPr>
              <w:t>本项目</w:t>
            </w:r>
            <w:r>
              <w:rPr>
                <w:rFonts w:hint="eastAsia" w:ascii="Times New Roman" w:hAnsi="Times New Roman" w:eastAsia="宋体" w:cs="Times New Roman"/>
                <w:color w:val="000000"/>
                <w:sz w:val="24"/>
                <w:highlight w:val="none"/>
                <w:lang w:eastAsia="zh-CN"/>
              </w:rPr>
              <w:t>产生的脱硫</w:t>
            </w:r>
            <w:r>
              <w:rPr>
                <w:rFonts w:hint="eastAsia" w:ascii="Times New Roman" w:hAnsi="Times New Roman" w:eastAsia="宋体" w:cs="Times New Roman"/>
                <w:color w:val="000000"/>
                <w:sz w:val="24"/>
                <w:highlight w:val="none"/>
                <w:lang w:val="en-US" w:eastAsia="zh-CN"/>
              </w:rPr>
              <w:t>渣</w:t>
            </w:r>
            <w:r>
              <w:rPr>
                <w:rFonts w:hint="eastAsia" w:ascii="Times New Roman" w:hAnsi="Times New Roman" w:eastAsia="宋体" w:cs="Times New Roman"/>
                <w:color w:val="000000"/>
                <w:sz w:val="24"/>
                <w:highlight w:val="none"/>
                <w:lang w:eastAsia="zh-CN"/>
              </w:rPr>
              <w:t>量</w:t>
            </w:r>
            <w:r>
              <w:rPr>
                <w:rFonts w:hint="eastAsia" w:ascii="Times New Roman" w:hAnsi="Times New Roman" w:eastAsia="宋体" w:cs="Times New Roman"/>
                <w:color w:val="000000"/>
                <w:sz w:val="24"/>
                <w:highlight w:val="none"/>
                <w:lang w:val="en-US" w:eastAsia="zh-CN"/>
              </w:rPr>
              <w:t>约</w:t>
            </w:r>
            <w:r>
              <w:rPr>
                <w:rFonts w:hint="eastAsia" w:ascii="Times New Roman" w:hAnsi="Times New Roman" w:eastAsia="宋体" w:cs="Times New Roman"/>
                <w:color w:val="000000"/>
                <w:sz w:val="24"/>
                <w:highlight w:val="none"/>
                <w:lang w:eastAsia="zh-CN"/>
              </w:rPr>
              <w:t>为</w:t>
            </w:r>
            <w:r>
              <w:rPr>
                <w:rFonts w:hint="eastAsia" w:ascii="Times New Roman" w:hAnsi="Times New Roman" w:eastAsia="宋体" w:cs="Times New Roman"/>
                <w:color w:val="000000"/>
                <w:sz w:val="24"/>
                <w:highlight w:val="none"/>
                <w:lang w:val="en-US" w:eastAsia="zh-CN"/>
              </w:rPr>
              <w:t>8.45</w:t>
            </w:r>
            <w:r>
              <w:rPr>
                <w:rFonts w:hint="eastAsia" w:ascii="Times New Roman" w:hAnsi="Times New Roman" w:eastAsia="宋体" w:cs="Times New Roman"/>
                <w:color w:val="000000"/>
                <w:sz w:val="24"/>
                <w:highlight w:val="none"/>
                <w:lang w:eastAsia="zh-CN"/>
              </w:rPr>
              <w:t>t/a，交由资源回收单位回收处理。</w:t>
            </w:r>
          </w:p>
          <w:p w14:paraId="3E9AB7BC">
            <w:pPr>
              <w:pStyle w:val="18"/>
              <w:keepNext w:val="0"/>
              <w:keepLines w:val="0"/>
              <w:pageBreakBefore w:val="0"/>
              <w:widowControl w:val="0"/>
              <w:kinsoku/>
              <w:wordWrap/>
              <w:overflowPunct/>
              <w:topLinePunct w:val="0"/>
              <w:autoSpaceDE/>
              <w:autoSpaceDN/>
              <w:bidi w:val="0"/>
              <w:adjustRightInd/>
              <w:spacing w:after="0" w:line="360" w:lineRule="auto"/>
              <w:ind w:left="0" w:leftChars="0" w:firstLine="480" w:firstLineChars="200"/>
              <w:textAlignment w:val="auto"/>
              <w:rPr>
                <w:rFonts w:hint="eastAsia" w:ascii="Times New Roman" w:hAnsi="宋体" w:eastAsia="宋体" w:cs="Times New Roman"/>
                <w:b w:val="0"/>
                <w:bCs/>
                <w:color w:val="auto"/>
                <w:sz w:val="24"/>
                <w:highlight w:val="none"/>
              </w:rPr>
            </w:pPr>
            <w:r>
              <w:rPr>
                <w:rFonts w:hint="eastAsia" w:hAnsi="宋体" w:cs="Times New Roman"/>
                <w:b w:val="0"/>
                <w:bCs/>
                <w:color w:val="auto"/>
                <w:sz w:val="24"/>
                <w:highlight w:val="none"/>
                <w:lang w:val="en-US" w:eastAsia="zh-CN"/>
              </w:rPr>
              <w:t>③</w:t>
            </w:r>
            <w:r>
              <w:rPr>
                <w:rFonts w:hint="eastAsia" w:ascii="Times New Roman" w:hAnsi="宋体" w:eastAsia="宋体" w:cs="Times New Roman"/>
                <w:b w:val="0"/>
                <w:bCs/>
                <w:color w:val="auto"/>
                <w:sz w:val="24"/>
                <w:highlight w:val="none"/>
              </w:rPr>
              <w:t>废润滑油</w:t>
            </w:r>
          </w:p>
          <w:p w14:paraId="068819C2">
            <w:pPr>
              <w:pStyle w:val="18"/>
              <w:keepNext w:val="0"/>
              <w:keepLines w:val="0"/>
              <w:pageBreakBefore w:val="0"/>
              <w:widowControl w:val="0"/>
              <w:kinsoku/>
              <w:wordWrap/>
              <w:overflowPunct/>
              <w:topLinePunct w:val="0"/>
              <w:autoSpaceDE/>
              <w:autoSpaceDN/>
              <w:bidi w:val="0"/>
              <w:adjustRightInd/>
              <w:spacing w:after="0" w:line="360" w:lineRule="auto"/>
              <w:ind w:left="0" w:leftChars="0" w:firstLine="480" w:firstLineChars="200"/>
              <w:textAlignment w:val="auto"/>
              <w:rPr>
                <w:rFonts w:hint="eastAsia" w:ascii="Times New Roman" w:hAnsi="宋体" w:eastAsia="宋体" w:cs="Times New Roman"/>
                <w:b w:val="0"/>
                <w:bCs/>
                <w:color w:val="auto"/>
                <w:sz w:val="24"/>
                <w:highlight w:val="none"/>
              </w:rPr>
            </w:pPr>
            <w:r>
              <w:rPr>
                <w:rFonts w:hint="eastAsia" w:ascii="Times New Roman" w:hAnsi="宋体" w:eastAsia="宋体" w:cs="Times New Roman"/>
                <w:b w:val="0"/>
                <w:bCs/>
                <w:color w:val="auto"/>
                <w:sz w:val="24"/>
                <w:highlight w:val="none"/>
              </w:rPr>
              <w:t>企业生产过程中过使用到一定量的润滑油，会产生一定量的废润滑油（HW08，危废代码为900-249-08），产生量约为0</w:t>
            </w:r>
            <w:r>
              <w:rPr>
                <w:rFonts w:hint="eastAsia" w:ascii="Times New Roman" w:hAnsi="宋体" w:eastAsia="宋体" w:cs="Times New Roman"/>
                <w:b w:val="0"/>
                <w:bCs/>
                <w:color w:val="auto"/>
                <w:sz w:val="24"/>
                <w:highlight w:val="none"/>
                <w:lang w:val="en-US" w:eastAsia="zh-CN"/>
              </w:rPr>
              <w:t>.</w:t>
            </w:r>
            <w:r>
              <w:rPr>
                <w:rFonts w:hint="eastAsia" w:hAnsi="宋体" w:cs="Times New Roman"/>
                <w:b w:val="0"/>
                <w:bCs/>
                <w:color w:val="auto"/>
                <w:sz w:val="24"/>
                <w:highlight w:val="none"/>
                <w:lang w:val="en-US" w:eastAsia="zh-CN"/>
              </w:rPr>
              <w:t>05</w:t>
            </w:r>
            <w:r>
              <w:rPr>
                <w:rFonts w:hint="eastAsia" w:ascii="Times New Roman" w:hAnsi="宋体" w:eastAsia="宋体" w:cs="Times New Roman"/>
                <w:b w:val="0"/>
                <w:bCs/>
                <w:color w:val="auto"/>
                <w:sz w:val="24"/>
                <w:highlight w:val="none"/>
              </w:rPr>
              <w:t>t/a</w:t>
            </w:r>
            <w:r>
              <w:rPr>
                <w:rFonts w:hint="eastAsia" w:ascii="Times New Roman" w:hAnsi="宋体" w:eastAsia="宋体" w:cs="Times New Roman"/>
                <w:b w:val="0"/>
                <w:bCs/>
                <w:color w:val="auto"/>
                <w:sz w:val="24"/>
                <w:highlight w:val="none"/>
                <w:lang w:eastAsia="zh-CN"/>
              </w:rPr>
              <w:t>，</w:t>
            </w:r>
            <w:r>
              <w:rPr>
                <w:rFonts w:hint="eastAsia" w:ascii="Times New Roman" w:hAnsi="宋体" w:eastAsia="宋体" w:cs="Times New Roman"/>
                <w:b w:val="0"/>
                <w:bCs/>
                <w:color w:val="auto"/>
                <w:sz w:val="24"/>
                <w:highlight w:val="none"/>
              </w:rPr>
              <w:t>暂存在厂内危废间内，定期交由</w:t>
            </w:r>
            <w:r>
              <w:rPr>
                <w:rFonts w:hint="eastAsia" w:ascii="Times New Roman" w:hAnsi="宋体" w:eastAsia="宋体" w:cs="Times New Roman"/>
                <w:b w:val="0"/>
                <w:bCs/>
                <w:color w:val="auto"/>
                <w:sz w:val="24"/>
                <w:highlight w:val="none"/>
                <w:lang w:val="en-US" w:eastAsia="zh-CN"/>
              </w:rPr>
              <w:t>有资质单位处理</w:t>
            </w:r>
            <w:r>
              <w:rPr>
                <w:rFonts w:hint="eastAsia" w:ascii="Times New Roman" w:hAnsi="宋体" w:eastAsia="宋体" w:cs="Times New Roman"/>
                <w:b w:val="0"/>
                <w:bCs/>
                <w:color w:val="auto"/>
                <w:sz w:val="24"/>
                <w:highlight w:val="none"/>
              </w:rPr>
              <w:t>。</w:t>
            </w:r>
          </w:p>
          <w:p w14:paraId="015C75F6">
            <w:pPr>
              <w:pStyle w:val="18"/>
              <w:keepNext w:val="0"/>
              <w:keepLines w:val="0"/>
              <w:pageBreakBefore w:val="0"/>
              <w:widowControl w:val="0"/>
              <w:kinsoku/>
              <w:wordWrap/>
              <w:overflowPunct/>
              <w:topLinePunct w:val="0"/>
              <w:autoSpaceDE/>
              <w:autoSpaceDN/>
              <w:bidi w:val="0"/>
              <w:adjustRightInd/>
              <w:spacing w:after="0" w:line="360" w:lineRule="auto"/>
              <w:ind w:left="0" w:leftChars="0" w:firstLine="480" w:firstLineChars="200"/>
              <w:textAlignment w:val="auto"/>
              <w:rPr>
                <w:rFonts w:hint="eastAsia" w:hAnsi="宋体" w:cs="Times New Roman"/>
                <w:b w:val="0"/>
                <w:bCs/>
                <w:color w:val="auto"/>
                <w:sz w:val="24"/>
                <w:highlight w:val="none"/>
                <w:lang w:val="en-US" w:eastAsia="zh-CN"/>
              </w:rPr>
            </w:pPr>
            <w:r>
              <w:rPr>
                <w:rFonts w:hint="eastAsia" w:hAnsi="宋体" w:cs="Times New Roman"/>
                <w:b w:val="0"/>
                <w:bCs/>
                <w:color w:val="auto"/>
                <w:sz w:val="24"/>
                <w:highlight w:val="none"/>
                <w:lang w:val="en-US" w:eastAsia="zh-CN"/>
              </w:rPr>
              <w:t>④废布袋</w:t>
            </w:r>
          </w:p>
          <w:p w14:paraId="61046DCB">
            <w:pPr>
              <w:pStyle w:val="18"/>
              <w:keepNext w:val="0"/>
              <w:keepLines w:val="0"/>
              <w:pageBreakBefore w:val="0"/>
              <w:widowControl w:val="0"/>
              <w:kinsoku/>
              <w:wordWrap/>
              <w:overflowPunct/>
              <w:topLinePunct w:val="0"/>
              <w:autoSpaceDE/>
              <w:autoSpaceDN/>
              <w:bidi w:val="0"/>
              <w:adjustRightInd/>
              <w:spacing w:after="0" w:line="360" w:lineRule="auto"/>
              <w:ind w:left="0" w:leftChars="0" w:firstLine="480" w:firstLineChars="200"/>
              <w:textAlignment w:val="auto"/>
              <w:rPr>
                <w:rFonts w:hint="eastAsia" w:hAnsi="宋体" w:cs="Times New Roman"/>
                <w:b w:val="0"/>
                <w:bCs/>
                <w:color w:val="auto"/>
                <w:sz w:val="24"/>
                <w:highlight w:val="none"/>
                <w:lang w:val="en-US" w:eastAsia="zh-CN"/>
              </w:rPr>
            </w:pPr>
            <w:r>
              <w:rPr>
                <w:rFonts w:hint="eastAsia" w:hAnsi="宋体" w:cs="Times New Roman"/>
                <w:b w:val="0"/>
                <w:bCs/>
                <w:color w:val="auto"/>
                <w:sz w:val="24"/>
                <w:highlight w:val="none"/>
                <w:lang w:val="en-US" w:eastAsia="zh-CN"/>
              </w:rPr>
              <w:t>本项目使用布袋除尘器进行除尘处理，使用过程会导致布袋损耗，需定期更换布袋，废布袋产生量约0.1t/a，废布袋属于一般固体废物，收集后交由厂家回收进行处置。</w:t>
            </w:r>
          </w:p>
          <w:p w14:paraId="5989FD49">
            <w:pPr>
              <w:pStyle w:val="18"/>
              <w:keepNext w:val="0"/>
              <w:keepLines w:val="0"/>
              <w:pageBreakBefore w:val="0"/>
              <w:widowControl w:val="0"/>
              <w:kinsoku/>
              <w:wordWrap/>
              <w:overflowPunct/>
              <w:topLinePunct w:val="0"/>
              <w:autoSpaceDE/>
              <w:autoSpaceDN/>
              <w:bidi w:val="0"/>
              <w:adjustRightInd/>
              <w:spacing w:after="0" w:line="360" w:lineRule="auto"/>
              <w:ind w:left="0" w:leftChars="0" w:firstLine="480" w:firstLineChars="200"/>
              <w:textAlignment w:val="auto"/>
              <w:rPr>
                <w:rFonts w:hint="eastAsia" w:hAnsi="宋体" w:cs="Times New Roman"/>
                <w:b w:val="0"/>
                <w:bCs/>
                <w:color w:val="auto"/>
                <w:sz w:val="24"/>
                <w:highlight w:val="none"/>
                <w:lang w:val="en-US" w:eastAsia="zh-CN"/>
              </w:rPr>
            </w:pPr>
            <w:r>
              <w:rPr>
                <w:rFonts w:hint="eastAsia" w:hAnsi="宋体" w:cs="Times New Roman"/>
                <w:b w:val="0"/>
                <w:bCs/>
                <w:color w:val="auto"/>
                <w:sz w:val="24"/>
                <w:highlight w:val="none"/>
                <w:lang w:val="en-US" w:eastAsia="zh-CN"/>
              </w:rPr>
              <w:t>⑤废催化剂</w:t>
            </w:r>
          </w:p>
          <w:p w14:paraId="09A1196A">
            <w:pPr>
              <w:pStyle w:val="18"/>
              <w:keepNext w:val="0"/>
              <w:keepLines w:val="0"/>
              <w:pageBreakBefore w:val="0"/>
              <w:widowControl w:val="0"/>
              <w:kinsoku/>
              <w:wordWrap/>
              <w:overflowPunct/>
              <w:topLinePunct w:val="0"/>
              <w:autoSpaceDE/>
              <w:autoSpaceDN/>
              <w:bidi w:val="0"/>
              <w:adjustRightInd/>
              <w:spacing w:after="0" w:line="360" w:lineRule="auto"/>
              <w:ind w:left="0" w:leftChars="0" w:firstLine="480" w:firstLineChars="200"/>
              <w:textAlignment w:val="auto"/>
              <w:rPr>
                <w:rFonts w:hint="eastAsia"/>
                <w:highlight w:val="none"/>
                <w:lang w:val="en-US" w:eastAsia="zh-CN"/>
              </w:rPr>
            </w:pPr>
            <w:r>
              <w:rPr>
                <w:rFonts w:hint="eastAsia" w:hAnsi="宋体" w:cs="Times New Roman"/>
                <w:b w:val="0"/>
                <w:bCs/>
                <w:color w:val="auto"/>
                <w:sz w:val="24"/>
                <w:highlight w:val="none"/>
                <w:lang w:val="en-US" w:eastAsia="zh-CN"/>
              </w:rPr>
              <w:t>本项目SCR脱硝产生废烟气脱硝催化剂(钒钛系）(HW50，危废代码是772-007-50)。根据企业提供资料催化剂一次使用量约为5.4t/a，三年更换一次，则废催化剂年使用量为1.8t/a，</w:t>
            </w:r>
            <w:r>
              <w:rPr>
                <w:rFonts w:hint="eastAsia" w:ascii="Times New Roman" w:hAnsi="宋体" w:eastAsia="宋体" w:cs="Times New Roman"/>
                <w:b w:val="0"/>
                <w:bCs/>
                <w:color w:val="auto"/>
                <w:sz w:val="24"/>
                <w:highlight w:val="none"/>
              </w:rPr>
              <w:t>暂存在厂内危废间内，定期交由</w:t>
            </w:r>
            <w:r>
              <w:rPr>
                <w:rFonts w:hint="eastAsia" w:ascii="Times New Roman" w:hAnsi="宋体" w:eastAsia="宋体" w:cs="Times New Roman"/>
                <w:b w:val="0"/>
                <w:bCs/>
                <w:color w:val="auto"/>
                <w:sz w:val="24"/>
                <w:highlight w:val="none"/>
                <w:lang w:val="en-US" w:eastAsia="zh-CN"/>
              </w:rPr>
              <w:t>有资质单位处理</w:t>
            </w:r>
            <w:r>
              <w:rPr>
                <w:rFonts w:hint="eastAsia" w:hAnsi="宋体" w:cs="Times New Roman"/>
                <w:b w:val="0"/>
                <w:bCs/>
                <w:color w:val="auto"/>
                <w:sz w:val="24"/>
                <w:highlight w:val="none"/>
                <w:lang w:val="en-US" w:eastAsia="zh-CN"/>
              </w:rPr>
              <w:t>。</w:t>
            </w:r>
          </w:p>
          <w:p w14:paraId="7D64FCD3">
            <w:pPr>
              <w:pStyle w:val="18"/>
              <w:spacing w:after="0" w:line="360" w:lineRule="auto"/>
              <w:ind w:left="0" w:leftChars="0" w:firstLine="480" w:firstLineChars="200"/>
              <w:rPr>
                <w:rFonts w:hint="eastAsia" w:hAnsi="宋体" w:cs="Times New Roman"/>
                <w:b w:val="0"/>
                <w:bCs/>
                <w:color w:val="auto"/>
                <w:sz w:val="24"/>
                <w:highlight w:val="none"/>
                <w:lang w:val="en-US" w:eastAsia="zh-CN"/>
              </w:rPr>
            </w:pPr>
            <w:r>
              <w:rPr>
                <w:rFonts w:hint="eastAsia" w:hAnsi="宋体" w:cs="Times New Roman"/>
                <w:b w:val="0"/>
                <w:bCs/>
                <w:color w:val="auto"/>
                <w:sz w:val="24"/>
                <w:highlight w:val="none"/>
                <w:lang w:val="en-US" w:eastAsia="zh-CN"/>
              </w:rPr>
              <w:t>⑥废水处理污泥</w:t>
            </w:r>
          </w:p>
          <w:p w14:paraId="20F85847">
            <w:pPr>
              <w:pStyle w:val="14"/>
              <w:ind w:left="0" w:leftChars="0" w:firstLine="480" w:firstLineChars="200"/>
              <w:rPr>
                <w:rFonts w:hint="default" w:hAnsi="宋体" w:cs="Times New Roman"/>
                <w:b w:val="0"/>
                <w:bCs/>
                <w:color w:val="auto"/>
                <w:sz w:val="24"/>
                <w:highlight w:val="none"/>
                <w:lang w:val="en-US" w:eastAsia="zh-CN"/>
              </w:rPr>
            </w:pPr>
            <w:r>
              <w:rPr>
                <w:rFonts w:hint="eastAsia" w:ascii="Times New Roman" w:hAnsi="Times New Roman" w:eastAsia="宋体" w:cs="Times New Roman"/>
                <w:color w:val="auto"/>
                <w:sz w:val="24"/>
                <w:highlight w:val="none"/>
                <w:lang w:eastAsia="zh-CN"/>
              </w:rPr>
              <w:t>本项目废水处理站处理废水总量为3600m</w:t>
            </w:r>
            <w:r>
              <w:rPr>
                <w:rFonts w:hint="eastAsia" w:ascii="Times New Roman" w:hAnsi="Times New Roman" w:eastAsia="宋体" w:cs="Times New Roman"/>
                <w:color w:val="auto"/>
                <w:sz w:val="24"/>
                <w:highlight w:val="none"/>
                <w:vertAlign w:val="superscript"/>
                <w:lang w:eastAsia="zh-CN"/>
              </w:rPr>
              <w:t>3</w:t>
            </w:r>
            <w:r>
              <w:rPr>
                <w:rFonts w:hint="eastAsia" w:ascii="Times New Roman" w:hAnsi="Times New Roman" w:eastAsia="宋体" w:cs="Times New Roman"/>
                <w:color w:val="auto"/>
                <w:sz w:val="24"/>
                <w:highlight w:val="none"/>
                <w:lang w:eastAsia="zh-CN"/>
              </w:rPr>
              <w:t>/a，</w:t>
            </w:r>
            <w:r>
              <w:rPr>
                <w:rFonts w:hint="default" w:ascii="Times New Roman" w:hAnsi="Times New Roman" w:eastAsia="宋体" w:cs="Times New Roman"/>
                <w:caps w:val="0"/>
                <w:smallCaps w:val="0"/>
                <w:color w:val="auto"/>
                <w:spacing w:val="0"/>
                <w:sz w:val="24"/>
                <w:szCs w:val="24"/>
                <w:highlight w:val="none"/>
                <w:u w:val="none" w:color="auto"/>
              </w:rPr>
              <w:t>产生的污泥按水量0.</w:t>
            </w:r>
            <w:r>
              <w:rPr>
                <w:rFonts w:hint="eastAsia" w:ascii="Times New Roman" w:hAnsi="Times New Roman" w:eastAsia="宋体" w:cs="Times New Roman"/>
                <w:caps w:val="0"/>
                <w:smallCaps w:val="0"/>
                <w:color w:val="auto"/>
                <w:spacing w:val="0"/>
                <w:sz w:val="24"/>
                <w:szCs w:val="24"/>
                <w:highlight w:val="none"/>
                <w:u w:val="none" w:color="auto"/>
                <w:lang w:val="en-US" w:eastAsia="zh-CN"/>
              </w:rPr>
              <w:t>1</w:t>
            </w:r>
            <w:r>
              <w:rPr>
                <w:rFonts w:hint="default" w:ascii="Times New Roman" w:hAnsi="Times New Roman" w:eastAsia="宋体" w:cs="Times New Roman"/>
                <w:caps w:val="0"/>
                <w:smallCaps w:val="0"/>
                <w:color w:val="auto"/>
                <w:spacing w:val="0"/>
                <w:sz w:val="24"/>
                <w:szCs w:val="24"/>
                <w:highlight w:val="none"/>
                <w:u w:val="none" w:color="auto"/>
              </w:rPr>
              <w:t>%估算</w:t>
            </w:r>
            <w:r>
              <w:rPr>
                <w:rFonts w:hint="eastAsia" w:ascii="Times New Roman" w:hAnsi="Times New Roman" w:eastAsia="宋体" w:cs="Times New Roman"/>
                <w:color w:val="auto"/>
                <w:sz w:val="24"/>
                <w:highlight w:val="none"/>
                <w:lang w:eastAsia="zh-CN"/>
              </w:rPr>
              <w:t>，则本项目</w:t>
            </w:r>
            <w:r>
              <w:rPr>
                <w:rFonts w:hint="eastAsia" w:ascii="宋体" w:hAnsi="宋体" w:eastAsia="宋体" w:cs="宋体"/>
                <w:color w:val="auto"/>
                <w:sz w:val="24"/>
                <w:highlight w:val="none"/>
              </w:rPr>
              <w:t>废水处理污泥</w:t>
            </w:r>
            <w:r>
              <w:rPr>
                <w:rFonts w:hint="eastAsia" w:ascii="Times New Roman" w:hAnsi="Times New Roman" w:eastAsia="宋体" w:cs="Times New Roman"/>
                <w:color w:val="auto"/>
                <w:sz w:val="24"/>
                <w:highlight w:val="none"/>
                <w:lang w:eastAsia="zh-CN"/>
              </w:rPr>
              <w:t>的产生量约为</w:t>
            </w:r>
            <w:r>
              <w:rPr>
                <w:rFonts w:hint="eastAsia" w:ascii="Times New Roman" w:hAnsi="Times New Roman" w:eastAsia="宋体" w:cs="Times New Roman"/>
                <w:color w:val="auto"/>
                <w:sz w:val="24"/>
                <w:highlight w:val="none"/>
                <w:lang w:val="en-US" w:eastAsia="zh-CN"/>
              </w:rPr>
              <w:t>3.6</w:t>
            </w:r>
            <w:r>
              <w:rPr>
                <w:rFonts w:hint="eastAsia" w:ascii="Times New Roman" w:hAnsi="Times New Roman" w:eastAsia="宋体" w:cs="Times New Roman"/>
                <w:color w:val="auto"/>
                <w:sz w:val="24"/>
                <w:highlight w:val="none"/>
                <w:lang w:eastAsia="zh-CN"/>
              </w:rPr>
              <w:t>t/a，</w:t>
            </w:r>
            <w:r>
              <w:rPr>
                <w:rFonts w:hint="eastAsia" w:ascii="Times New Roman" w:hAnsi="Times New Roman" w:eastAsia="宋体" w:cs="Times New Roman"/>
                <w:color w:val="auto"/>
                <w:sz w:val="24"/>
                <w:highlight w:val="none"/>
                <w:lang w:val="en-US" w:eastAsia="zh-CN"/>
              </w:rPr>
              <w:t>属一般固废，委托当地</w:t>
            </w:r>
            <w:r>
              <w:rPr>
                <w:rFonts w:hint="eastAsia" w:cs="Times New Roman"/>
                <w:color w:val="auto"/>
                <w:sz w:val="24"/>
                <w:highlight w:val="none"/>
                <w:lang w:val="en-US" w:eastAsia="zh-CN"/>
              </w:rPr>
              <w:t>砖厂</w:t>
            </w:r>
            <w:r>
              <w:rPr>
                <w:rFonts w:hint="eastAsia" w:ascii="Times New Roman" w:hAnsi="Times New Roman" w:eastAsia="宋体" w:cs="Times New Roman"/>
                <w:color w:val="auto"/>
                <w:sz w:val="24"/>
                <w:highlight w:val="none"/>
                <w:lang w:val="en-US" w:eastAsia="zh-CN"/>
              </w:rPr>
              <w:t>综合利用</w:t>
            </w:r>
            <w:r>
              <w:rPr>
                <w:rFonts w:hint="eastAsia" w:ascii="Times New Roman" w:hAnsi="Times New Roman" w:eastAsia="宋体" w:cs="Times New Roman"/>
                <w:color w:val="auto"/>
                <w:sz w:val="24"/>
                <w:highlight w:val="none"/>
                <w:lang w:eastAsia="zh-CN"/>
              </w:rPr>
              <w:t>。</w:t>
            </w:r>
          </w:p>
          <w:p w14:paraId="5C1DA451">
            <w:pPr>
              <w:pStyle w:val="18"/>
              <w:spacing w:after="0" w:line="360" w:lineRule="auto"/>
              <w:ind w:left="0" w:leftChars="0" w:firstLine="480" w:firstLineChars="200"/>
              <w:rPr>
                <w:rFonts w:hint="eastAsia" w:hAnsi="宋体" w:cs="Times New Roman"/>
                <w:b w:val="0"/>
                <w:bCs/>
                <w:color w:val="auto"/>
                <w:sz w:val="24"/>
                <w:highlight w:val="none"/>
                <w:lang w:val="en-US" w:eastAsia="zh-CN"/>
              </w:rPr>
            </w:pPr>
            <w:r>
              <w:rPr>
                <w:rFonts w:hint="eastAsia" w:hAnsi="宋体" w:cs="Times New Roman"/>
                <w:b w:val="0"/>
                <w:bCs/>
                <w:color w:val="auto"/>
                <w:sz w:val="24"/>
                <w:highlight w:val="none"/>
                <w:lang w:val="en-US" w:eastAsia="zh-CN"/>
              </w:rPr>
              <w:t>⑦废反渗透膜</w:t>
            </w:r>
          </w:p>
          <w:p w14:paraId="75DC2EEB">
            <w:pPr>
              <w:pStyle w:val="18"/>
              <w:spacing w:after="0" w:line="360" w:lineRule="auto"/>
              <w:ind w:left="0" w:leftChars="0" w:firstLine="480" w:firstLineChars="200"/>
              <w:rPr>
                <w:rFonts w:hint="default" w:hAnsi="宋体" w:cs="Times New Roman"/>
                <w:b w:val="0"/>
                <w:bCs/>
                <w:color w:val="auto"/>
                <w:sz w:val="24"/>
                <w:highlight w:val="none"/>
                <w:lang w:val="en-US" w:eastAsia="zh-CN"/>
              </w:rPr>
            </w:pPr>
            <w:r>
              <w:rPr>
                <w:rFonts w:hint="default" w:hAnsi="宋体" w:cs="Times New Roman"/>
                <w:b w:val="0"/>
                <w:bCs/>
                <w:color w:val="auto"/>
                <w:sz w:val="24"/>
                <w:highlight w:val="none"/>
                <w:lang w:val="en-US" w:eastAsia="zh-CN"/>
              </w:rPr>
              <w:t>本项目渗透膜每两年定期更换一次，每次更换量为0.01t，废反渗透膜属于一般</w:t>
            </w:r>
            <w:r>
              <w:rPr>
                <w:rFonts w:hint="eastAsia" w:hAnsi="宋体" w:cs="Times New Roman"/>
                <w:b w:val="0"/>
                <w:bCs/>
                <w:color w:val="auto"/>
                <w:sz w:val="24"/>
                <w:highlight w:val="none"/>
                <w:lang w:val="en-US" w:eastAsia="zh-CN"/>
              </w:rPr>
              <w:t>固体废物</w:t>
            </w:r>
            <w:r>
              <w:rPr>
                <w:rFonts w:hint="default" w:hAnsi="宋体" w:cs="Times New Roman"/>
                <w:b w:val="0"/>
                <w:bCs/>
                <w:color w:val="auto"/>
                <w:sz w:val="24"/>
                <w:highlight w:val="none"/>
                <w:lang w:val="en-US" w:eastAsia="zh-CN"/>
              </w:rPr>
              <w:t>，交由厂家进行回收处理。</w:t>
            </w:r>
          </w:p>
          <w:p w14:paraId="50A04C7C">
            <w:pPr>
              <w:pStyle w:val="18"/>
              <w:spacing w:after="0" w:line="360" w:lineRule="auto"/>
              <w:ind w:left="0" w:leftChars="0" w:firstLine="480" w:firstLineChars="200"/>
              <w:rPr>
                <w:rFonts w:hint="eastAsia" w:ascii="Times New Roman" w:hAnsi="宋体" w:eastAsia="宋体" w:cs="Times New Roman"/>
                <w:b w:val="0"/>
                <w:bCs/>
                <w:color w:val="auto"/>
                <w:sz w:val="24"/>
                <w:highlight w:val="none"/>
              </w:rPr>
            </w:pPr>
            <w:r>
              <w:rPr>
                <w:rFonts w:hint="eastAsia" w:hAnsi="宋体" w:cs="Times New Roman"/>
                <w:b w:val="0"/>
                <w:bCs/>
                <w:color w:val="auto"/>
                <w:sz w:val="24"/>
                <w:highlight w:val="none"/>
                <w:lang w:val="en-US" w:eastAsia="zh-CN"/>
              </w:rPr>
              <w:t>⑧</w:t>
            </w:r>
            <w:r>
              <w:rPr>
                <w:rFonts w:hint="eastAsia" w:ascii="Times New Roman" w:hAnsi="宋体" w:eastAsia="宋体" w:cs="Times New Roman"/>
                <w:b w:val="0"/>
                <w:bCs/>
                <w:color w:val="auto"/>
                <w:sz w:val="24"/>
                <w:highlight w:val="none"/>
              </w:rPr>
              <w:t>生活垃圾</w:t>
            </w:r>
          </w:p>
          <w:p w14:paraId="6CCB8B53">
            <w:pPr>
              <w:pStyle w:val="18"/>
              <w:spacing w:after="0" w:line="360" w:lineRule="auto"/>
              <w:ind w:left="0" w:leftChars="0" w:firstLine="480" w:firstLineChars="200"/>
              <w:rPr>
                <w:rFonts w:hint="eastAsia" w:ascii="Times New Roman" w:hAnsi="宋体" w:eastAsia="宋体" w:cs="Times New Roman"/>
                <w:b w:val="0"/>
                <w:bCs/>
                <w:color w:val="auto"/>
                <w:sz w:val="24"/>
                <w:highlight w:val="none"/>
              </w:rPr>
            </w:pPr>
            <w:r>
              <w:rPr>
                <w:rFonts w:hint="eastAsia" w:ascii="Times New Roman" w:hAnsi="宋体" w:eastAsia="宋体" w:cs="Times New Roman"/>
                <w:b w:val="0"/>
                <w:bCs/>
                <w:color w:val="auto"/>
                <w:sz w:val="24"/>
                <w:highlight w:val="none"/>
              </w:rPr>
              <w:t>本项目共有员工</w:t>
            </w:r>
            <w:r>
              <w:rPr>
                <w:rFonts w:hint="eastAsia" w:hAnsi="宋体" w:cs="Times New Roman"/>
                <w:b w:val="0"/>
                <w:bCs/>
                <w:color w:val="auto"/>
                <w:sz w:val="24"/>
                <w:highlight w:val="none"/>
                <w:lang w:val="en-US" w:eastAsia="zh-CN"/>
              </w:rPr>
              <w:t>14</w:t>
            </w:r>
            <w:r>
              <w:rPr>
                <w:rFonts w:hint="eastAsia" w:ascii="Times New Roman" w:hAnsi="宋体" w:eastAsia="宋体" w:cs="Times New Roman"/>
                <w:b w:val="0"/>
                <w:bCs/>
                <w:color w:val="auto"/>
                <w:sz w:val="24"/>
                <w:highlight w:val="none"/>
              </w:rPr>
              <w:t>人，生活垃圾产生量按1kg/人·日计算，则员工生活垃圾产生量为</w:t>
            </w:r>
            <w:r>
              <w:rPr>
                <w:rFonts w:hint="eastAsia" w:hAnsi="宋体" w:cs="Times New Roman"/>
                <w:b w:val="0"/>
                <w:bCs/>
                <w:color w:val="auto"/>
                <w:sz w:val="24"/>
                <w:highlight w:val="none"/>
                <w:lang w:val="en-US" w:eastAsia="zh-CN"/>
              </w:rPr>
              <w:t>2.8</w:t>
            </w:r>
            <w:r>
              <w:rPr>
                <w:rFonts w:hint="eastAsia" w:ascii="Times New Roman" w:hAnsi="宋体" w:eastAsia="宋体" w:cs="Times New Roman"/>
                <w:b w:val="0"/>
                <w:bCs/>
                <w:color w:val="auto"/>
                <w:sz w:val="24"/>
                <w:highlight w:val="none"/>
              </w:rPr>
              <w:t>t/a，由环卫部门集中清运。</w:t>
            </w:r>
          </w:p>
          <w:p w14:paraId="0861E5F8">
            <w:pPr>
              <w:pStyle w:val="18"/>
              <w:spacing w:after="0" w:line="360" w:lineRule="auto"/>
              <w:ind w:left="0" w:leftChars="0" w:firstLine="482" w:firstLineChars="200"/>
              <w:rPr>
                <w:rFonts w:hint="eastAsia" w:ascii="Times New Roman" w:hAnsi="宋体" w:eastAsia="宋体" w:cs="Times New Roman"/>
                <w:b/>
                <w:bCs w:val="0"/>
                <w:color w:val="auto"/>
                <w:sz w:val="24"/>
                <w:highlight w:val="none"/>
              </w:rPr>
            </w:pPr>
            <w:r>
              <w:rPr>
                <w:rFonts w:hint="eastAsia" w:ascii="Times New Roman" w:hAnsi="宋体" w:eastAsia="宋体" w:cs="Times New Roman"/>
                <w:b/>
                <w:bCs w:val="0"/>
                <w:color w:val="auto"/>
                <w:sz w:val="24"/>
                <w:highlight w:val="none"/>
              </w:rPr>
              <w:t>（2）固体废物环境影响分析</w:t>
            </w:r>
          </w:p>
          <w:p w14:paraId="37264F1A">
            <w:pPr>
              <w:pStyle w:val="18"/>
              <w:spacing w:after="0" w:line="360" w:lineRule="auto"/>
              <w:ind w:left="0" w:leftChars="0" w:firstLine="480" w:firstLineChars="200"/>
              <w:rPr>
                <w:rFonts w:hint="eastAsia" w:ascii="Times New Roman" w:hAnsi="宋体" w:eastAsia="宋体" w:cs="Times New Roman"/>
                <w:b w:val="0"/>
                <w:bCs/>
                <w:color w:val="auto"/>
                <w:sz w:val="24"/>
                <w:highlight w:val="none"/>
              </w:rPr>
            </w:pPr>
            <w:bookmarkStart w:id="40" w:name="OLE_LINK2"/>
            <w:bookmarkStart w:id="41" w:name="OLE_LINK1"/>
            <w:r>
              <w:rPr>
                <w:rFonts w:hint="eastAsia" w:ascii="Times New Roman" w:hAnsi="宋体" w:eastAsia="宋体" w:cs="Times New Roman"/>
                <w:b w:val="0"/>
                <w:bCs/>
                <w:color w:val="auto"/>
                <w:sz w:val="24"/>
                <w:highlight w:val="none"/>
              </w:rPr>
              <w:t>本项目固体废弃物主要为</w:t>
            </w:r>
            <w:r>
              <w:rPr>
                <w:rFonts w:hint="eastAsia" w:ascii="Times New Roman" w:hAnsi="宋体" w:eastAsia="宋体" w:cs="Times New Roman"/>
                <w:b w:val="0"/>
                <w:bCs/>
                <w:color w:val="auto"/>
                <w:sz w:val="24"/>
                <w:highlight w:val="none"/>
                <w:lang w:val="en-US" w:eastAsia="zh-CN"/>
              </w:rPr>
              <w:t>锅炉灰渣、</w:t>
            </w:r>
            <w:r>
              <w:rPr>
                <w:rFonts w:hint="eastAsia" w:ascii="Times New Roman" w:hAnsi="宋体" w:eastAsia="宋体" w:cs="Times New Roman"/>
                <w:b w:val="0"/>
                <w:bCs/>
                <w:color w:val="auto"/>
                <w:sz w:val="24"/>
                <w:highlight w:val="none"/>
              </w:rPr>
              <w:t>脱硫石膏</w:t>
            </w:r>
            <w:r>
              <w:rPr>
                <w:rFonts w:hint="eastAsia" w:ascii="Times New Roman" w:hAnsi="宋体" w:eastAsia="宋体" w:cs="Times New Roman"/>
                <w:b w:val="0"/>
                <w:bCs/>
                <w:color w:val="auto"/>
                <w:sz w:val="24"/>
                <w:highlight w:val="none"/>
                <w:lang w:val="en-US" w:eastAsia="zh-CN"/>
              </w:rPr>
              <w:t>、</w:t>
            </w:r>
            <w:r>
              <w:rPr>
                <w:rFonts w:hint="eastAsia" w:ascii="Times New Roman" w:hAnsi="宋体" w:eastAsia="宋体" w:cs="Times New Roman"/>
                <w:b w:val="0"/>
                <w:bCs/>
                <w:color w:val="auto"/>
                <w:sz w:val="24"/>
                <w:highlight w:val="none"/>
              </w:rPr>
              <w:t>废润滑油</w:t>
            </w:r>
            <w:r>
              <w:rPr>
                <w:rFonts w:hint="eastAsia" w:ascii="Times New Roman" w:hAnsi="宋体" w:eastAsia="宋体" w:cs="Times New Roman"/>
                <w:b w:val="0"/>
                <w:bCs/>
                <w:color w:val="auto"/>
                <w:sz w:val="24"/>
                <w:highlight w:val="none"/>
                <w:lang w:eastAsia="zh-CN"/>
              </w:rPr>
              <w:t>、</w:t>
            </w:r>
            <w:r>
              <w:rPr>
                <w:rFonts w:hint="eastAsia" w:hAnsi="宋体" w:cs="Times New Roman"/>
                <w:b w:val="0"/>
                <w:bCs/>
                <w:color w:val="auto"/>
                <w:sz w:val="24"/>
                <w:highlight w:val="none"/>
                <w:lang w:val="en-US" w:eastAsia="zh-CN"/>
              </w:rPr>
              <w:t>废布袋、废催化剂</w:t>
            </w:r>
            <w:r>
              <w:rPr>
                <w:rFonts w:hint="eastAsia" w:ascii="Times New Roman" w:hAnsi="宋体" w:eastAsia="宋体" w:cs="Times New Roman"/>
                <w:b w:val="0"/>
                <w:bCs/>
                <w:color w:val="auto"/>
                <w:sz w:val="24"/>
                <w:highlight w:val="none"/>
                <w:lang w:val="en-US" w:eastAsia="zh-CN"/>
              </w:rPr>
              <w:t>和</w:t>
            </w:r>
            <w:r>
              <w:rPr>
                <w:rFonts w:hint="eastAsia" w:ascii="Times New Roman" w:hAnsi="宋体" w:eastAsia="宋体" w:cs="Times New Roman"/>
                <w:b w:val="0"/>
                <w:bCs/>
                <w:color w:val="auto"/>
                <w:sz w:val="24"/>
                <w:highlight w:val="none"/>
              </w:rPr>
              <w:t>生活垃圾等。其中</w:t>
            </w:r>
            <w:r>
              <w:rPr>
                <w:rFonts w:hint="eastAsia" w:ascii="Times New Roman" w:hAnsi="宋体" w:eastAsia="宋体" w:cs="Times New Roman"/>
                <w:b w:val="0"/>
                <w:bCs/>
                <w:color w:val="auto"/>
                <w:sz w:val="24"/>
                <w:highlight w:val="none"/>
                <w:lang w:val="en-US" w:eastAsia="zh-CN"/>
              </w:rPr>
              <w:t>锅炉灰渣、</w:t>
            </w:r>
            <w:r>
              <w:rPr>
                <w:rFonts w:hint="eastAsia" w:ascii="Times New Roman" w:hAnsi="宋体" w:eastAsia="宋体" w:cs="Times New Roman"/>
                <w:b w:val="0"/>
                <w:bCs/>
                <w:color w:val="auto"/>
                <w:sz w:val="24"/>
                <w:highlight w:val="none"/>
              </w:rPr>
              <w:t>脱硫石膏</w:t>
            </w:r>
            <w:r>
              <w:rPr>
                <w:rFonts w:hint="eastAsia" w:hAnsi="宋体" w:cs="Times New Roman"/>
                <w:b w:val="0"/>
                <w:bCs/>
                <w:color w:val="auto"/>
                <w:sz w:val="24"/>
                <w:highlight w:val="none"/>
                <w:lang w:eastAsia="zh-CN"/>
              </w:rPr>
              <w:t>、</w:t>
            </w:r>
            <w:r>
              <w:rPr>
                <w:rFonts w:hint="eastAsia" w:hAnsi="宋体" w:cs="Times New Roman"/>
                <w:b w:val="0"/>
                <w:bCs/>
                <w:color w:val="auto"/>
                <w:sz w:val="24"/>
                <w:highlight w:val="none"/>
                <w:lang w:val="en-US" w:eastAsia="zh-CN"/>
              </w:rPr>
              <w:t>废布袋</w:t>
            </w:r>
            <w:r>
              <w:rPr>
                <w:rFonts w:hint="eastAsia" w:ascii="Times New Roman" w:hAnsi="宋体" w:eastAsia="宋体" w:cs="Times New Roman"/>
                <w:b w:val="0"/>
                <w:bCs/>
                <w:color w:val="auto"/>
                <w:sz w:val="24"/>
                <w:highlight w:val="none"/>
              </w:rPr>
              <w:t>，属于一般固体废物，收集后交由资源回收单位回收处理；废润滑油</w:t>
            </w:r>
            <w:r>
              <w:rPr>
                <w:rFonts w:hint="eastAsia" w:hAnsi="宋体" w:cs="Times New Roman"/>
                <w:b w:val="0"/>
                <w:bCs/>
                <w:color w:val="auto"/>
                <w:sz w:val="24"/>
                <w:highlight w:val="none"/>
                <w:lang w:eastAsia="zh-CN"/>
              </w:rPr>
              <w:t>、</w:t>
            </w:r>
            <w:r>
              <w:rPr>
                <w:rFonts w:hint="eastAsia" w:hAnsi="宋体" w:cs="Times New Roman"/>
                <w:b w:val="0"/>
                <w:bCs/>
                <w:color w:val="auto"/>
                <w:sz w:val="24"/>
                <w:highlight w:val="none"/>
                <w:lang w:val="en-US" w:eastAsia="zh-CN"/>
              </w:rPr>
              <w:t>废催化剂</w:t>
            </w:r>
            <w:r>
              <w:rPr>
                <w:rFonts w:hint="eastAsia" w:ascii="Times New Roman" w:hAnsi="宋体" w:eastAsia="宋体" w:cs="Times New Roman"/>
                <w:b w:val="0"/>
                <w:bCs/>
                <w:color w:val="auto"/>
                <w:sz w:val="24"/>
                <w:highlight w:val="none"/>
              </w:rPr>
              <w:t>暂存在厂内危废间内，定期交由</w:t>
            </w:r>
            <w:r>
              <w:rPr>
                <w:rFonts w:hint="eastAsia" w:ascii="Times New Roman" w:hAnsi="宋体" w:eastAsia="宋体" w:cs="Times New Roman"/>
                <w:b w:val="0"/>
                <w:bCs/>
                <w:color w:val="auto"/>
                <w:sz w:val="24"/>
                <w:highlight w:val="none"/>
                <w:lang w:val="en-US" w:eastAsia="zh-CN"/>
              </w:rPr>
              <w:t>有资质单位处理</w:t>
            </w:r>
            <w:r>
              <w:rPr>
                <w:rFonts w:hint="eastAsia" w:ascii="Times New Roman" w:hAnsi="宋体" w:eastAsia="宋体" w:cs="Times New Roman"/>
                <w:b w:val="0"/>
                <w:bCs/>
                <w:color w:val="auto"/>
                <w:sz w:val="24"/>
                <w:highlight w:val="none"/>
                <w:lang w:eastAsia="zh-CN"/>
              </w:rPr>
              <w:t>；</w:t>
            </w:r>
            <w:r>
              <w:rPr>
                <w:rFonts w:hint="eastAsia" w:ascii="Times New Roman" w:hAnsi="宋体" w:eastAsia="宋体" w:cs="Times New Roman"/>
                <w:b w:val="0"/>
                <w:bCs/>
                <w:color w:val="auto"/>
                <w:sz w:val="24"/>
                <w:highlight w:val="none"/>
              </w:rPr>
              <w:t>生活垃圾由环卫部门集中清运。</w:t>
            </w:r>
            <w:bookmarkEnd w:id="40"/>
            <w:bookmarkEnd w:id="41"/>
          </w:p>
          <w:p w14:paraId="37E7149F">
            <w:pPr>
              <w:pStyle w:val="18"/>
              <w:spacing w:after="0" w:line="360" w:lineRule="auto"/>
              <w:ind w:left="0" w:leftChars="0" w:firstLine="480" w:firstLineChars="200"/>
              <w:rPr>
                <w:rFonts w:hint="eastAsia" w:ascii="Times New Roman" w:hAnsi="宋体" w:eastAsia="宋体" w:cs="Times New Roman"/>
                <w:b w:val="0"/>
                <w:bCs/>
                <w:color w:val="auto"/>
                <w:sz w:val="24"/>
                <w:highlight w:val="none"/>
              </w:rPr>
            </w:pPr>
            <w:r>
              <w:rPr>
                <w:rFonts w:hint="eastAsia" w:ascii="Times New Roman" w:hAnsi="宋体" w:eastAsia="宋体" w:cs="Times New Roman"/>
                <w:b w:val="0"/>
                <w:bCs/>
                <w:color w:val="auto"/>
                <w:sz w:val="24"/>
                <w:highlight w:val="none"/>
              </w:rPr>
              <w:t>可见，本项目产生的各种固体废弃物均得到妥善处理，符合减量化、资源化、无害化处理原则，其对当地环境影响较小。</w:t>
            </w:r>
          </w:p>
          <w:p w14:paraId="4944095A">
            <w:pPr>
              <w:spacing w:line="360" w:lineRule="auto"/>
              <w:ind w:firstLine="480" w:firstLineChars="200"/>
              <w:rPr>
                <w:rFonts w:ascii="Times New Roman" w:hAnsi="Times New Roman" w:eastAsia="宋体" w:cs="Times New Roman"/>
                <w:sz w:val="24"/>
                <w:szCs w:val="21"/>
                <w:highlight w:val="none"/>
              </w:rPr>
            </w:pPr>
          </w:p>
          <w:p w14:paraId="47C04B79">
            <w:pPr>
              <w:rPr>
                <w:rFonts w:ascii="Times New Roman" w:hAnsi="Times New Roman" w:eastAsia="宋体" w:cs="Times New Roman"/>
                <w:sz w:val="24"/>
                <w:szCs w:val="21"/>
                <w:highlight w:val="none"/>
              </w:rPr>
            </w:pPr>
          </w:p>
          <w:p w14:paraId="0006513A">
            <w:pPr>
              <w:rPr>
                <w:rFonts w:ascii="Times New Roman" w:hAnsi="Times New Roman" w:eastAsia="宋体" w:cs="Times New Roman"/>
                <w:sz w:val="24"/>
                <w:szCs w:val="21"/>
                <w:highlight w:val="none"/>
              </w:rPr>
            </w:pPr>
          </w:p>
          <w:p w14:paraId="2FA18248">
            <w:pPr>
              <w:rPr>
                <w:rFonts w:hint="eastAsia"/>
                <w:highlight w:val="none"/>
                <w:lang w:eastAsia="zh-CN"/>
              </w:rPr>
            </w:pPr>
          </w:p>
        </w:tc>
      </w:tr>
    </w:tbl>
    <w:p w14:paraId="13912202">
      <w:pPr>
        <w:adjustRightInd w:val="0"/>
        <w:snapToGrid w:val="0"/>
        <w:spacing w:line="360" w:lineRule="auto"/>
        <w:rPr>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96"/>
      </w:tblGrid>
      <w:tr w14:paraId="52898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5616" w:type="dxa"/>
          </w:tcPr>
          <w:p w14:paraId="1CDE5D9A">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eastAsia"/>
                <w:b/>
                <w:bCs/>
                <w:color w:val="auto"/>
                <w:sz w:val="24"/>
                <w:szCs w:val="24"/>
                <w:highlight w:val="none"/>
              </w:rPr>
            </w:pPr>
            <w:r>
              <w:rPr>
                <w:rFonts w:hint="eastAsia"/>
                <w:b/>
                <w:bCs/>
                <w:color w:val="auto"/>
                <w:sz w:val="24"/>
                <w:szCs w:val="24"/>
                <w:highlight w:val="none"/>
              </w:rPr>
              <w:t>表</w:t>
            </w:r>
            <w:r>
              <w:rPr>
                <w:rFonts w:hint="eastAsia"/>
                <w:b/>
                <w:bCs/>
                <w:color w:val="auto"/>
                <w:sz w:val="24"/>
                <w:szCs w:val="24"/>
                <w:highlight w:val="none"/>
                <w:lang w:val="en-US" w:eastAsia="zh-CN"/>
              </w:rPr>
              <w:t>4-13</w:t>
            </w:r>
            <w:r>
              <w:rPr>
                <w:rFonts w:hint="eastAsia"/>
                <w:b/>
                <w:bCs/>
                <w:color w:val="auto"/>
                <w:sz w:val="24"/>
                <w:szCs w:val="24"/>
                <w:highlight w:val="none"/>
              </w:rPr>
              <w:t>本项目固体废物信息表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8"/>
              <w:gridCol w:w="1386"/>
              <w:gridCol w:w="1239"/>
              <w:gridCol w:w="945"/>
              <w:gridCol w:w="1470"/>
              <w:gridCol w:w="945"/>
              <w:gridCol w:w="1459"/>
              <w:gridCol w:w="1155"/>
              <w:gridCol w:w="1365"/>
              <w:gridCol w:w="1515"/>
              <w:gridCol w:w="1110"/>
              <w:gridCol w:w="1110"/>
            </w:tblGrid>
            <w:tr w14:paraId="050C6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 w:type="dxa"/>
                  <w:noWrap w:val="0"/>
                  <w:vAlign w:val="center"/>
                </w:tcPr>
                <w:p w14:paraId="15217680">
                  <w:pPr>
                    <w:pStyle w:val="16"/>
                    <w:jc w:val="center"/>
                    <w:rPr>
                      <w:rFonts w:hint="eastAsia" w:ascii="Times New Roman" w:hAnsi="宋体" w:cs="Times New Roman"/>
                      <w:b/>
                      <w:bCs/>
                      <w:color w:val="auto"/>
                      <w:sz w:val="21"/>
                      <w:szCs w:val="21"/>
                      <w:highlight w:val="none"/>
                    </w:rPr>
                  </w:pPr>
                  <w:r>
                    <w:rPr>
                      <w:rFonts w:hint="eastAsia" w:ascii="Times New Roman" w:hAnsi="宋体" w:cs="Times New Roman"/>
                      <w:b/>
                      <w:bCs/>
                      <w:color w:val="auto"/>
                      <w:sz w:val="21"/>
                      <w:szCs w:val="21"/>
                      <w:highlight w:val="none"/>
                    </w:rPr>
                    <w:t>序号</w:t>
                  </w:r>
                </w:p>
              </w:tc>
              <w:tc>
                <w:tcPr>
                  <w:tcW w:w="1386" w:type="dxa"/>
                  <w:noWrap w:val="0"/>
                  <w:vAlign w:val="center"/>
                </w:tcPr>
                <w:p w14:paraId="7E227A8F">
                  <w:pPr>
                    <w:pStyle w:val="16"/>
                    <w:jc w:val="center"/>
                    <w:rPr>
                      <w:rFonts w:hint="eastAsia" w:ascii="Times New Roman" w:hAnsi="宋体" w:cs="Times New Roman"/>
                      <w:b/>
                      <w:bCs/>
                      <w:color w:val="auto"/>
                      <w:sz w:val="21"/>
                      <w:szCs w:val="21"/>
                      <w:highlight w:val="none"/>
                    </w:rPr>
                  </w:pPr>
                  <w:r>
                    <w:rPr>
                      <w:rFonts w:hint="eastAsia" w:ascii="Times New Roman" w:hAnsi="宋体" w:cs="Times New Roman"/>
                      <w:b/>
                      <w:bCs/>
                      <w:color w:val="auto"/>
                      <w:sz w:val="21"/>
                      <w:szCs w:val="21"/>
                      <w:highlight w:val="none"/>
                    </w:rPr>
                    <w:t>产生环节</w:t>
                  </w:r>
                </w:p>
              </w:tc>
              <w:tc>
                <w:tcPr>
                  <w:tcW w:w="1239" w:type="dxa"/>
                  <w:noWrap w:val="0"/>
                  <w:vAlign w:val="center"/>
                </w:tcPr>
                <w:p w14:paraId="614AA4D4">
                  <w:pPr>
                    <w:pStyle w:val="16"/>
                    <w:jc w:val="center"/>
                    <w:rPr>
                      <w:rFonts w:hint="eastAsia" w:ascii="Times New Roman" w:hAnsi="宋体" w:cs="Times New Roman"/>
                      <w:b/>
                      <w:bCs/>
                      <w:color w:val="auto"/>
                      <w:sz w:val="21"/>
                      <w:szCs w:val="21"/>
                      <w:highlight w:val="none"/>
                    </w:rPr>
                  </w:pPr>
                  <w:r>
                    <w:rPr>
                      <w:rFonts w:hint="eastAsia" w:ascii="Times New Roman" w:hAnsi="宋体" w:cs="Times New Roman"/>
                      <w:b/>
                      <w:bCs/>
                      <w:color w:val="auto"/>
                      <w:sz w:val="21"/>
                      <w:szCs w:val="21"/>
                      <w:highlight w:val="none"/>
                    </w:rPr>
                    <w:t>名称</w:t>
                  </w:r>
                </w:p>
              </w:tc>
              <w:tc>
                <w:tcPr>
                  <w:tcW w:w="945" w:type="dxa"/>
                  <w:noWrap w:val="0"/>
                  <w:vAlign w:val="center"/>
                </w:tcPr>
                <w:p w14:paraId="7F745553">
                  <w:pPr>
                    <w:pStyle w:val="16"/>
                    <w:jc w:val="center"/>
                    <w:rPr>
                      <w:rFonts w:hint="eastAsia" w:ascii="Times New Roman" w:hAnsi="宋体" w:cs="Times New Roman"/>
                      <w:b/>
                      <w:bCs/>
                      <w:color w:val="auto"/>
                      <w:sz w:val="21"/>
                      <w:szCs w:val="21"/>
                      <w:highlight w:val="none"/>
                    </w:rPr>
                  </w:pPr>
                  <w:r>
                    <w:rPr>
                      <w:rFonts w:hint="eastAsia" w:ascii="Times New Roman" w:hAnsi="宋体" w:cs="Times New Roman"/>
                      <w:b/>
                      <w:bCs/>
                      <w:color w:val="auto"/>
                      <w:sz w:val="21"/>
                      <w:szCs w:val="21"/>
                      <w:highlight w:val="none"/>
                    </w:rPr>
                    <w:t>属性</w:t>
                  </w:r>
                </w:p>
              </w:tc>
              <w:tc>
                <w:tcPr>
                  <w:tcW w:w="1470" w:type="dxa"/>
                  <w:noWrap w:val="0"/>
                  <w:vAlign w:val="center"/>
                </w:tcPr>
                <w:p w14:paraId="0EE1EB06">
                  <w:pPr>
                    <w:pStyle w:val="16"/>
                    <w:jc w:val="center"/>
                    <w:rPr>
                      <w:rFonts w:hint="eastAsia" w:ascii="Times New Roman" w:hAnsi="宋体" w:cs="Times New Roman"/>
                      <w:b/>
                      <w:bCs/>
                      <w:color w:val="auto"/>
                      <w:sz w:val="21"/>
                      <w:szCs w:val="21"/>
                      <w:highlight w:val="none"/>
                    </w:rPr>
                  </w:pPr>
                  <w:r>
                    <w:rPr>
                      <w:rFonts w:hint="eastAsia" w:ascii="Times New Roman" w:hAnsi="宋体" w:cs="Times New Roman"/>
                      <w:b/>
                      <w:bCs/>
                      <w:color w:val="auto"/>
                      <w:sz w:val="21"/>
                      <w:szCs w:val="21"/>
                      <w:highlight w:val="none"/>
                    </w:rPr>
                    <w:t>主要有毒有害物质名称</w:t>
                  </w:r>
                </w:p>
              </w:tc>
              <w:tc>
                <w:tcPr>
                  <w:tcW w:w="945" w:type="dxa"/>
                  <w:noWrap w:val="0"/>
                  <w:vAlign w:val="center"/>
                </w:tcPr>
                <w:p w14:paraId="0F3BECAD">
                  <w:pPr>
                    <w:pStyle w:val="16"/>
                    <w:jc w:val="center"/>
                    <w:rPr>
                      <w:rFonts w:hint="eastAsia" w:ascii="Times New Roman" w:hAnsi="宋体" w:cs="Times New Roman"/>
                      <w:b/>
                      <w:bCs/>
                      <w:color w:val="auto"/>
                      <w:sz w:val="21"/>
                      <w:szCs w:val="21"/>
                      <w:highlight w:val="none"/>
                    </w:rPr>
                  </w:pPr>
                  <w:r>
                    <w:rPr>
                      <w:rFonts w:hint="eastAsia" w:ascii="Times New Roman" w:hAnsi="宋体" w:cs="Times New Roman"/>
                      <w:b/>
                      <w:bCs/>
                      <w:color w:val="auto"/>
                      <w:sz w:val="21"/>
                      <w:szCs w:val="21"/>
                      <w:highlight w:val="none"/>
                    </w:rPr>
                    <w:t>物理性状</w:t>
                  </w:r>
                </w:p>
              </w:tc>
              <w:tc>
                <w:tcPr>
                  <w:tcW w:w="1459" w:type="dxa"/>
                  <w:noWrap w:val="0"/>
                  <w:vAlign w:val="center"/>
                </w:tcPr>
                <w:p w14:paraId="0936CE1F">
                  <w:pPr>
                    <w:pStyle w:val="16"/>
                    <w:jc w:val="center"/>
                    <w:rPr>
                      <w:rFonts w:hint="eastAsia" w:ascii="Times New Roman" w:hAnsi="宋体" w:cs="Times New Roman"/>
                      <w:b/>
                      <w:bCs/>
                      <w:color w:val="auto"/>
                      <w:sz w:val="21"/>
                      <w:szCs w:val="21"/>
                      <w:highlight w:val="none"/>
                    </w:rPr>
                  </w:pPr>
                  <w:r>
                    <w:rPr>
                      <w:rFonts w:hint="eastAsia" w:ascii="Times New Roman" w:hAnsi="宋体" w:cs="Times New Roman"/>
                      <w:b/>
                      <w:bCs/>
                      <w:color w:val="auto"/>
                      <w:sz w:val="21"/>
                      <w:szCs w:val="21"/>
                      <w:highlight w:val="none"/>
                    </w:rPr>
                    <w:t>环境危险特性</w:t>
                  </w:r>
                </w:p>
              </w:tc>
              <w:tc>
                <w:tcPr>
                  <w:tcW w:w="1155" w:type="dxa"/>
                  <w:noWrap w:val="0"/>
                  <w:vAlign w:val="center"/>
                </w:tcPr>
                <w:p w14:paraId="376A55D2">
                  <w:pPr>
                    <w:pStyle w:val="16"/>
                    <w:jc w:val="center"/>
                    <w:rPr>
                      <w:rFonts w:hint="eastAsia" w:ascii="Times New Roman" w:hAnsi="宋体" w:cs="Times New Roman"/>
                      <w:b/>
                      <w:bCs/>
                      <w:color w:val="auto"/>
                      <w:sz w:val="21"/>
                      <w:szCs w:val="21"/>
                      <w:highlight w:val="none"/>
                    </w:rPr>
                  </w:pPr>
                  <w:r>
                    <w:rPr>
                      <w:rFonts w:hint="eastAsia" w:ascii="Times New Roman" w:hAnsi="宋体" w:cs="Times New Roman"/>
                      <w:b/>
                      <w:bCs/>
                      <w:color w:val="auto"/>
                      <w:sz w:val="21"/>
                      <w:szCs w:val="21"/>
                      <w:highlight w:val="none"/>
                    </w:rPr>
                    <w:t>年度产生量t/a</w:t>
                  </w:r>
                </w:p>
              </w:tc>
              <w:tc>
                <w:tcPr>
                  <w:tcW w:w="1365" w:type="dxa"/>
                  <w:noWrap w:val="0"/>
                  <w:vAlign w:val="center"/>
                </w:tcPr>
                <w:p w14:paraId="4EBBF92E">
                  <w:pPr>
                    <w:pStyle w:val="16"/>
                    <w:jc w:val="center"/>
                    <w:rPr>
                      <w:rFonts w:hint="eastAsia" w:ascii="Times New Roman" w:hAnsi="宋体" w:cs="Times New Roman"/>
                      <w:b/>
                      <w:bCs/>
                      <w:color w:val="auto"/>
                      <w:sz w:val="21"/>
                      <w:szCs w:val="21"/>
                      <w:highlight w:val="none"/>
                    </w:rPr>
                  </w:pPr>
                  <w:r>
                    <w:rPr>
                      <w:rFonts w:hint="eastAsia" w:ascii="Times New Roman" w:hAnsi="宋体" w:cs="Times New Roman"/>
                      <w:b/>
                      <w:bCs/>
                      <w:color w:val="auto"/>
                      <w:sz w:val="21"/>
                      <w:szCs w:val="21"/>
                      <w:highlight w:val="none"/>
                    </w:rPr>
                    <w:t>贮存方式</w:t>
                  </w:r>
                </w:p>
              </w:tc>
              <w:tc>
                <w:tcPr>
                  <w:tcW w:w="1515" w:type="dxa"/>
                  <w:noWrap w:val="0"/>
                  <w:vAlign w:val="center"/>
                </w:tcPr>
                <w:p w14:paraId="7627BD2D">
                  <w:pPr>
                    <w:pStyle w:val="16"/>
                    <w:jc w:val="center"/>
                    <w:rPr>
                      <w:rFonts w:hint="eastAsia" w:ascii="Times New Roman" w:hAnsi="宋体" w:cs="Times New Roman"/>
                      <w:b/>
                      <w:bCs/>
                      <w:color w:val="auto"/>
                      <w:sz w:val="21"/>
                      <w:szCs w:val="21"/>
                      <w:highlight w:val="none"/>
                    </w:rPr>
                  </w:pPr>
                  <w:r>
                    <w:rPr>
                      <w:rFonts w:hint="eastAsia" w:ascii="Times New Roman" w:hAnsi="宋体" w:cs="Times New Roman"/>
                      <w:b/>
                      <w:bCs/>
                      <w:color w:val="auto"/>
                      <w:sz w:val="21"/>
                      <w:szCs w:val="21"/>
                      <w:highlight w:val="none"/>
                    </w:rPr>
                    <w:t>利用处置方式及去向</w:t>
                  </w:r>
                </w:p>
              </w:tc>
              <w:tc>
                <w:tcPr>
                  <w:tcW w:w="1110" w:type="dxa"/>
                  <w:noWrap w:val="0"/>
                  <w:vAlign w:val="center"/>
                </w:tcPr>
                <w:p w14:paraId="56CE9961">
                  <w:pPr>
                    <w:pStyle w:val="16"/>
                    <w:jc w:val="center"/>
                    <w:rPr>
                      <w:rFonts w:hint="eastAsia" w:ascii="Times New Roman" w:hAnsi="宋体" w:cs="Times New Roman"/>
                      <w:b/>
                      <w:bCs/>
                      <w:color w:val="auto"/>
                      <w:sz w:val="21"/>
                      <w:szCs w:val="21"/>
                      <w:highlight w:val="none"/>
                    </w:rPr>
                  </w:pPr>
                  <w:r>
                    <w:rPr>
                      <w:rFonts w:hint="eastAsia" w:ascii="Times New Roman" w:hAnsi="宋体" w:cs="Times New Roman"/>
                      <w:b/>
                      <w:bCs/>
                      <w:color w:val="auto"/>
                      <w:sz w:val="21"/>
                      <w:szCs w:val="21"/>
                      <w:highlight w:val="none"/>
                    </w:rPr>
                    <w:t>利用或处置量t/a</w:t>
                  </w:r>
                </w:p>
              </w:tc>
              <w:tc>
                <w:tcPr>
                  <w:tcW w:w="1110" w:type="dxa"/>
                  <w:noWrap w:val="0"/>
                  <w:vAlign w:val="center"/>
                </w:tcPr>
                <w:p w14:paraId="7237BE78">
                  <w:pPr>
                    <w:pStyle w:val="16"/>
                    <w:jc w:val="center"/>
                    <w:rPr>
                      <w:rFonts w:hint="eastAsia" w:ascii="Times New Roman" w:hAnsi="宋体" w:cs="Times New Roman"/>
                      <w:b/>
                      <w:bCs/>
                      <w:color w:val="auto"/>
                      <w:sz w:val="21"/>
                      <w:szCs w:val="21"/>
                      <w:highlight w:val="none"/>
                    </w:rPr>
                  </w:pPr>
                  <w:r>
                    <w:rPr>
                      <w:rFonts w:hint="eastAsia" w:ascii="Times New Roman" w:hAnsi="宋体" w:cs="Times New Roman"/>
                      <w:b/>
                      <w:bCs/>
                      <w:color w:val="auto"/>
                      <w:sz w:val="21"/>
                      <w:szCs w:val="21"/>
                      <w:highlight w:val="none"/>
                    </w:rPr>
                    <w:t>环境管理要求</w:t>
                  </w:r>
                </w:p>
              </w:tc>
            </w:tr>
            <w:tr w14:paraId="71B32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 w:type="dxa"/>
                  <w:noWrap w:val="0"/>
                  <w:vAlign w:val="center"/>
                </w:tcPr>
                <w:p w14:paraId="45255CFF">
                  <w:pPr>
                    <w:pStyle w:val="16"/>
                    <w:jc w:val="center"/>
                    <w:rPr>
                      <w:rFonts w:hint="eastAsia" w:ascii="Times New Roman" w:hAnsi="宋体" w:eastAsia="宋体" w:cs="Times New Roman"/>
                      <w:b/>
                      <w:bCs/>
                      <w:color w:val="auto"/>
                      <w:sz w:val="21"/>
                      <w:szCs w:val="21"/>
                      <w:highlight w:val="none"/>
                      <w:lang w:val="en-US" w:eastAsia="zh-CN"/>
                    </w:rPr>
                  </w:pPr>
                  <w:r>
                    <w:rPr>
                      <w:rFonts w:hint="eastAsia" w:ascii="Times New Roman" w:hAnsi="宋体" w:eastAsia="宋体" w:cs="Times New Roman"/>
                      <w:bCs/>
                      <w:color w:val="auto"/>
                      <w:sz w:val="21"/>
                      <w:szCs w:val="21"/>
                      <w:highlight w:val="none"/>
                      <w:lang w:val="en-US" w:eastAsia="zh-CN"/>
                    </w:rPr>
                    <w:t>1</w:t>
                  </w:r>
                </w:p>
              </w:tc>
              <w:tc>
                <w:tcPr>
                  <w:tcW w:w="1386" w:type="dxa"/>
                  <w:noWrap w:val="0"/>
                  <w:vAlign w:val="center"/>
                </w:tcPr>
                <w:p w14:paraId="7A671FB7">
                  <w:pPr>
                    <w:pStyle w:val="16"/>
                    <w:jc w:val="center"/>
                    <w:rPr>
                      <w:rFonts w:hint="default" w:ascii="Times New Roman" w:hAnsi="宋体" w:eastAsia="宋体" w:cs="Times New Roman"/>
                      <w:b/>
                      <w:bCs/>
                      <w:color w:val="auto"/>
                      <w:sz w:val="21"/>
                      <w:szCs w:val="21"/>
                      <w:highlight w:val="none"/>
                      <w:lang w:val="en-US" w:eastAsia="zh-CN"/>
                    </w:rPr>
                  </w:pPr>
                  <w:r>
                    <w:rPr>
                      <w:rFonts w:hint="eastAsia" w:ascii="Times New Roman" w:hAnsi="宋体" w:cs="Times New Roman"/>
                      <w:bCs/>
                      <w:color w:val="auto"/>
                      <w:sz w:val="21"/>
                      <w:szCs w:val="21"/>
                      <w:highlight w:val="none"/>
                    </w:rPr>
                    <w:t>生产</w:t>
                  </w:r>
                </w:p>
              </w:tc>
              <w:tc>
                <w:tcPr>
                  <w:tcW w:w="1239" w:type="dxa"/>
                  <w:noWrap w:val="0"/>
                  <w:vAlign w:val="center"/>
                </w:tcPr>
                <w:p w14:paraId="06A8D5C0">
                  <w:pPr>
                    <w:pStyle w:val="16"/>
                    <w:jc w:val="center"/>
                    <w:rPr>
                      <w:rFonts w:hint="eastAsia" w:ascii="Times New Roman" w:hAnsi="宋体" w:cs="Times New Roman"/>
                      <w:b/>
                      <w:bCs/>
                      <w:color w:val="auto"/>
                      <w:sz w:val="21"/>
                      <w:szCs w:val="21"/>
                      <w:highlight w:val="none"/>
                    </w:rPr>
                  </w:pPr>
                  <w:r>
                    <w:rPr>
                      <w:rFonts w:hint="eastAsia" w:ascii="Times New Roman" w:hAnsi="宋体" w:eastAsia="宋体"/>
                      <w:color w:val="auto"/>
                      <w:sz w:val="21"/>
                      <w:szCs w:val="21"/>
                      <w:highlight w:val="none"/>
                    </w:rPr>
                    <w:t>废润滑油</w:t>
                  </w:r>
                </w:p>
              </w:tc>
              <w:tc>
                <w:tcPr>
                  <w:tcW w:w="945" w:type="dxa"/>
                  <w:noWrap w:val="0"/>
                  <w:vAlign w:val="center"/>
                </w:tcPr>
                <w:p w14:paraId="4BDB3877">
                  <w:pPr>
                    <w:pStyle w:val="16"/>
                    <w:jc w:val="center"/>
                    <w:rPr>
                      <w:rFonts w:hint="eastAsia" w:ascii="Times New Roman" w:hAnsi="宋体" w:eastAsia="宋体" w:cs="Times New Roman"/>
                      <w:b/>
                      <w:bCs/>
                      <w:color w:val="auto"/>
                      <w:sz w:val="21"/>
                      <w:szCs w:val="21"/>
                      <w:highlight w:val="none"/>
                      <w:lang w:val="en-US" w:eastAsia="zh-CN"/>
                    </w:rPr>
                  </w:pPr>
                  <w:r>
                    <w:rPr>
                      <w:rFonts w:hint="default" w:ascii="Times New Roman" w:hAnsi="Times New Roman" w:eastAsia="宋体" w:cs="Times New Roman"/>
                      <w:caps w:val="0"/>
                      <w:smallCaps w:val="0"/>
                      <w:color w:val="auto"/>
                      <w:spacing w:val="0"/>
                      <w:sz w:val="21"/>
                      <w:szCs w:val="21"/>
                      <w:highlight w:val="none"/>
                      <w:u w:val="none" w:color="auto"/>
                    </w:rPr>
                    <w:t>危险废物</w:t>
                  </w:r>
                </w:p>
              </w:tc>
              <w:tc>
                <w:tcPr>
                  <w:tcW w:w="1470" w:type="dxa"/>
                  <w:noWrap w:val="0"/>
                  <w:vAlign w:val="center"/>
                </w:tcPr>
                <w:p w14:paraId="37CB2F59">
                  <w:pPr>
                    <w:pStyle w:val="16"/>
                    <w:jc w:val="center"/>
                    <w:rPr>
                      <w:rFonts w:hint="eastAsia" w:ascii="Times New Roman" w:hAnsi="宋体" w:cs="Times New Roman"/>
                      <w:b/>
                      <w:bCs/>
                      <w:color w:val="auto"/>
                      <w:sz w:val="21"/>
                      <w:szCs w:val="21"/>
                      <w:highlight w:val="none"/>
                    </w:rPr>
                  </w:pPr>
                  <w:r>
                    <w:rPr>
                      <w:rFonts w:hint="eastAsia" w:ascii="Times New Roman" w:hAnsi="宋体" w:eastAsia="宋体"/>
                      <w:color w:val="auto"/>
                      <w:sz w:val="21"/>
                      <w:szCs w:val="21"/>
                      <w:highlight w:val="none"/>
                    </w:rPr>
                    <w:t>废润滑油</w:t>
                  </w:r>
                </w:p>
              </w:tc>
              <w:tc>
                <w:tcPr>
                  <w:tcW w:w="945" w:type="dxa"/>
                  <w:noWrap w:val="0"/>
                  <w:vAlign w:val="center"/>
                </w:tcPr>
                <w:p w14:paraId="7B7630CD">
                  <w:pPr>
                    <w:pStyle w:val="16"/>
                    <w:jc w:val="center"/>
                    <w:rPr>
                      <w:rFonts w:hint="eastAsia" w:ascii="Times New Roman" w:hAnsi="宋体" w:eastAsia="宋体" w:cs="Times New Roman"/>
                      <w:b/>
                      <w:bCs/>
                      <w:color w:val="auto"/>
                      <w:sz w:val="21"/>
                      <w:szCs w:val="21"/>
                      <w:highlight w:val="none"/>
                      <w:lang w:val="en-US" w:eastAsia="zh-CN"/>
                    </w:rPr>
                  </w:pPr>
                  <w:r>
                    <w:rPr>
                      <w:rFonts w:hint="eastAsia" w:ascii="Times New Roman" w:hAnsi="宋体" w:eastAsia="宋体" w:cs="Times New Roman"/>
                      <w:bCs/>
                      <w:color w:val="auto"/>
                      <w:sz w:val="21"/>
                      <w:szCs w:val="21"/>
                      <w:highlight w:val="none"/>
                      <w:lang w:val="en-US" w:eastAsia="zh-CN"/>
                    </w:rPr>
                    <w:t>液体</w:t>
                  </w:r>
                </w:p>
              </w:tc>
              <w:tc>
                <w:tcPr>
                  <w:tcW w:w="1459" w:type="dxa"/>
                  <w:noWrap w:val="0"/>
                  <w:vAlign w:val="center"/>
                </w:tcPr>
                <w:p w14:paraId="14AAA67A">
                  <w:pPr>
                    <w:pStyle w:val="16"/>
                    <w:jc w:val="center"/>
                    <w:rPr>
                      <w:rFonts w:hint="eastAsia" w:ascii="Times New Roman" w:hAnsi="宋体" w:cs="Times New Roman"/>
                      <w:b/>
                      <w:bCs/>
                      <w:color w:val="auto"/>
                      <w:sz w:val="21"/>
                      <w:szCs w:val="21"/>
                      <w:highlight w:val="none"/>
                    </w:rPr>
                  </w:pPr>
                  <w:r>
                    <w:rPr>
                      <w:rFonts w:ascii="Times New Roman" w:hAnsi="Times New Roman" w:eastAsia="Times New Roman" w:cs="Times New Roman"/>
                      <w:spacing w:val="-6"/>
                      <w:position w:val="1"/>
                      <w:sz w:val="20"/>
                      <w:szCs w:val="20"/>
                      <w:highlight w:val="none"/>
                    </w:rPr>
                    <w:t>T</w:t>
                  </w:r>
                  <w:r>
                    <w:rPr>
                      <w:spacing w:val="-6"/>
                      <w:position w:val="1"/>
                      <w:sz w:val="20"/>
                      <w:szCs w:val="20"/>
                      <w:highlight w:val="none"/>
                    </w:rPr>
                    <w:t>，</w:t>
                  </w:r>
                  <w:r>
                    <w:rPr>
                      <w:rFonts w:ascii="Times New Roman" w:hAnsi="Times New Roman" w:eastAsia="Times New Roman" w:cs="Times New Roman"/>
                      <w:spacing w:val="-6"/>
                      <w:position w:val="1"/>
                      <w:sz w:val="20"/>
                      <w:szCs w:val="20"/>
                      <w:highlight w:val="none"/>
                    </w:rPr>
                    <w:t>I</w:t>
                  </w:r>
                </w:p>
              </w:tc>
              <w:tc>
                <w:tcPr>
                  <w:tcW w:w="1155" w:type="dxa"/>
                  <w:noWrap w:val="0"/>
                  <w:vAlign w:val="center"/>
                </w:tcPr>
                <w:p w14:paraId="5806EBA0">
                  <w:pPr>
                    <w:pStyle w:val="16"/>
                    <w:jc w:val="center"/>
                    <w:rPr>
                      <w:rFonts w:hint="default" w:ascii="Times New Roman" w:hAnsi="宋体" w:eastAsia="宋体" w:cs="Times New Roman"/>
                      <w:b w:val="0"/>
                      <w:bCs w:val="0"/>
                      <w:color w:val="auto"/>
                      <w:sz w:val="21"/>
                      <w:szCs w:val="21"/>
                      <w:highlight w:val="none"/>
                      <w:lang w:val="en-US" w:eastAsia="zh-CN"/>
                    </w:rPr>
                  </w:pPr>
                  <w:r>
                    <w:rPr>
                      <w:rFonts w:hint="eastAsia" w:ascii="Times New Roman" w:hAnsi="宋体" w:cs="Times New Roman"/>
                      <w:b w:val="0"/>
                      <w:bCs w:val="0"/>
                      <w:color w:val="auto"/>
                      <w:sz w:val="21"/>
                      <w:szCs w:val="21"/>
                      <w:highlight w:val="none"/>
                      <w:lang w:val="en-US" w:eastAsia="zh-CN"/>
                    </w:rPr>
                    <w:t>0.05</w:t>
                  </w:r>
                </w:p>
              </w:tc>
              <w:tc>
                <w:tcPr>
                  <w:tcW w:w="1365" w:type="dxa"/>
                  <w:noWrap w:val="0"/>
                  <w:vAlign w:val="center"/>
                </w:tcPr>
                <w:p w14:paraId="6E8E18E2">
                  <w:pPr>
                    <w:pStyle w:val="16"/>
                    <w:jc w:val="center"/>
                    <w:rPr>
                      <w:rFonts w:hint="eastAsia" w:ascii="Times New Roman" w:hAnsi="宋体" w:cs="Times New Roman"/>
                      <w:b w:val="0"/>
                      <w:bCs w:val="0"/>
                      <w:color w:val="auto"/>
                      <w:sz w:val="21"/>
                      <w:szCs w:val="21"/>
                      <w:highlight w:val="none"/>
                    </w:rPr>
                  </w:pPr>
                  <w:r>
                    <w:rPr>
                      <w:rFonts w:hint="default" w:ascii="Times New Roman" w:hAnsi="Times New Roman" w:cs="Times New Roman"/>
                      <w:b w:val="0"/>
                      <w:bCs w:val="0"/>
                      <w:color w:val="auto"/>
                      <w:kern w:val="0"/>
                      <w:sz w:val="21"/>
                      <w:szCs w:val="21"/>
                      <w:highlight w:val="none"/>
                      <w:lang w:bidi="ar"/>
                    </w:rPr>
                    <w:t>危废间</w:t>
                  </w:r>
                </w:p>
              </w:tc>
              <w:tc>
                <w:tcPr>
                  <w:tcW w:w="1515" w:type="dxa"/>
                  <w:vMerge w:val="restart"/>
                  <w:noWrap w:val="0"/>
                  <w:vAlign w:val="center"/>
                </w:tcPr>
                <w:p w14:paraId="10AA01AC">
                  <w:pPr>
                    <w:pStyle w:val="16"/>
                    <w:jc w:val="center"/>
                    <w:rPr>
                      <w:rFonts w:hint="default" w:ascii="Times New Roman" w:hAnsi="Times New Roman" w:cs="Times New Roman"/>
                      <w:b w:val="0"/>
                      <w:bCs w:val="0"/>
                      <w:color w:val="auto"/>
                      <w:kern w:val="0"/>
                      <w:sz w:val="21"/>
                      <w:szCs w:val="21"/>
                      <w:highlight w:val="none"/>
                      <w:lang w:bidi="ar"/>
                    </w:rPr>
                  </w:pPr>
                  <w:r>
                    <w:rPr>
                      <w:rFonts w:hint="default" w:ascii="Times New Roman" w:hAnsi="Times New Roman" w:cs="Times New Roman"/>
                      <w:b w:val="0"/>
                      <w:bCs w:val="0"/>
                      <w:color w:val="auto"/>
                      <w:kern w:val="0"/>
                      <w:sz w:val="21"/>
                      <w:szCs w:val="21"/>
                      <w:highlight w:val="none"/>
                      <w:lang w:bidi="ar"/>
                    </w:rPr>
                    <w:t>委托有资质的单位清运处理</w:t>
                  </w:r>
                </w:p>
              </w:tc>
              <w:tc>
                <w:tcPr>
                  <w:tcW w:w="1110" w:type="dxa"/>
                  <w:noWrap w:val="0"/>
                  <w:vAlign w:val="center"/>
                </w:tcPr>
                <w:p w14:paraId="1D5F2D0E">
                  <w:pPr>
                    <w:pStyle w:val="16"/>
                    <w:jc w:val="center"/>
                    <w:rPr>
                      <w:rFonts w:hint="default" w:ascii="Times New Roman" w:hAnsi="宋体" w:cs="Times New Roman"/>
                      <w:b w:val="0"/>
                      <w:bCs w:val="0"/>
                      <w:color w:val="auto"/>
                      <w:sz w:val="21"/>
                      <w:szCs w:val="21"/>
                      <w:highlight w:val="none"/>
                      <w:lang w:val="en-US"/>
                    </w:rPr>
                  </w:pPr>
                  <w:r>
                    <w:rPr>
                      <w:rFonts w:hint="eastAsia" w:ascii="Times New Roman" w:hAnsi="宋体" w:cs="Times New Roman"/>
                      <w:b w:val="0"/>
                      <w:bCs w:val="0"/>
                      <w:color w:val="auto"/>
                      <w:sz w:val="21"/>
                      <w:szCs w:val="21"/>
                      <w:highlight w:val="none"/>
                      <w:lang w:val="en-US" w:eastAsia="zh-CN"/>
                    </w:rPr>
                    <w:t>0.05</w:t>
                  </w:r>
                </w:p>
              </w:tc>
              <w:tc>
                <w:tcPr>
                  <w:tcW w:w="1110" w:type="dxa"/>
                  <w:noWrap w:val="0"/>
                  <w:vAlign w:val="center"/>
                </w:tcPr>
                <w:p w14:paraId="3DC59F0E">
                  <w:pPr>
                    <w:pStyle w:val="16"/>
                    <w:jc w:val="center"/>
                    <w:rPr>
                      <w:rFonts w:hint="eastAsia" w:ascii="Times New Roman" w:hAnsi="宋体" w:cs="Times New Roman"/>
                      <w:b/>
                      <w:bCs/>
                      <w:color w:val="auto"/>
                      <w:sz w:val="21"/>
                      <w:szCs w:val="21"/>
                      <w:highlight w:val="none"/>
                    </w:rPr>
                  </w:pPr>
                  <w:r>
                    <w:rPr>
                      <w:rFonts w:hint="eastAsia" w:ascii="Times New Roman" w:hAnsi="宋体" w:cs="Times New Roman"/>
                      <w:bCs/>
                      <w:color w:val="auto"/>
                      <w:sz w:val="21"/>
                      <w:szCs w:val="21"/>
                      <w:highlight w:val="none"/>
                    </w:rPr>
                    <w:t>不外排</w:t>
                  </w:r>
                </w:p>
              </w:tc>
            </w:tr>
            <w:tr w14:paraId="6F644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 w:type="dxa"/>
                  <w:noWrap w:val="0"/>
                  <w:vAlign w:val="center"/>
                </w:tcPr>
                <w:p w14:paraId="1F9253B0">
                  <w:pPr>
                    <w:pStyle w:val="16"/>
                    <w:jc w:val="center"/>
                    <w:rPr>
                      <w:rFonts w:hint="eastAsia" w:ascii="Times New Roman" w:hAnsi="宋体" w:eastAsia="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2</w:t>
                  </w:r>
                </w:p>
              </w:tc>
              <w:tc>
                <w:tcPr>
                  <w:tcW w:w="1386" w:type="dxa"/>
                  <w:noWrap w:val="0"/>
                  <w:vAlign w:val="center"/>
                </w:tcPr>
                <w:p w14:paraId="36F386AA">
                  <w:pPr>
                    <w:pStyle w:val="16"/>
                    <w:jc w:val="center"/>
                    <w:rPr>
                      <w:rFonts w:hint="eastAsia" w:ascii="Times New Roman" w:hAnsi="宋体" w:cs="Times New Roman"/>
                      <w:bCs/>
                      <w:color w:val="auto"/>
                      <w:sz w:val="21"/>
                      <w:szCs w:val="21"/>
                      <w:highlight w:val="none"/>
                    </w:rPr>
                  </w:pPr>
                  <w:r>
                    <w:rPr>
                      <w:rFonts w:hint="eastAsia" w:ascii="Times New Roman" w:hAnsi="宋体" w:cs="Times New Roman"/>
                      <w:bCs/>
                      <w:color w:val="auto"/>
                      <w:sz w:val="21"/>
                      <w:szCs w:val="21"/>
                      <w:highlight w:val="none"/>
                    </w:rPr>
                    <w:t>锅炉废气处理</w:t>
                  </w:r>
                </w:p>
              </w:tc>
              <w:tc>
                <w:tcPr>
                  <w:tcW w:w="1239" w:type="dxa"/>
                  <w:noWrap w:val="0"/>
                  <w:vAlign w:val="center"/>
                </w:tcPr>
                <w:p w14:paraId="6AA2FD51">
                  <w:pPr>
                    <w:pStyle w:val="16"/>
                    <w:jc w:val="center"/>
                    <w:rPr>
                      <w:rFonts w:hint="eastAsia" w:ascii="Times New Roman" w:hAnsi="宋体" w:eastAsia="宋体"/>
                      <w:color w:val="auto"/>
                      <w:sz w:val="21"/>
                      <w:szCs w:val="21"/>
                      <w:highlight w:val="none"/>
                    </w:rPr>
                  </w:pPr>
                  <w:r>
                    <w:rPr>
                      <w:rFonts w:hint="eastAsia" w:ascii="Times New Roman" w:hAnsi="宋体"/>
                      <w:color w:val="auto"/>
                      <w:sz w:val="21"/>
                      <w:szCs w:val="21"/>
                      <w:highlight w:val="none"/>
                      <w:lang w:val="en-US" w:eastAsia="zh-CN"/>
                    </w:rPr>
                    <w:t>废催化剂</w:t>
                  </w:r>
                </w:p>
              </w:tc>
              <w:tc>
                <w:tcPr>
                  <w:tcW w:w="945" w:type="dxa"/>
                  <w:noWrap w:val="0"/>
                  <w:vAlign w:val="center"/>
                </w:tcPr>
                <w:p w14:paraId="76912B32">
                  <w:pPr>
                    <w:pStyle w:val="16"/>
                    <w:jc w:val="center"/>
                    <w:rPr>
                      <w:rFonts w:hint="default" w:ascii="Times New Roman" w:hAnsi="Times New Roman" w:eastAsia="宋体" w:cs="Times New Roman"/>
                      <w:caps w:val="0"/>
                      <w:smallCaps w:val="0"/>
                      <w:color w:val="auto"/>
                      <w:spacing w:val="0"/>
                      <w:sz w:val="21"/>
                      <w:szCs w:val="21"/>
                      <w:highlight w:val="none"/>
                      <w:u w:val="none" w:color="auto"/>
                    </w:rPr>
                  </w:pPr>
                  <w:r>
                    <w:rPr>
                      <w:rFonts w:hint="eastAsia" w:ascii="Times New Roman" w:hAnsi="Times New Roman" w:cs="Times New Roman"/>
                      <w:caps w:val="0"/>
                      <w:smallCaps w:val="0"/>
                      <w:color w:val="auto"/>
                      <w:spacing w:val="0"/>
                      <w:sz w:val="21"/>
                      <w:szCs w:val="21"/>
                      <w:highlight w:val="none"/>
                      <w:u w:val="none" w:color="auto"/>
                      <w:lang w:val="en-US" w:eastAsia="zh-CN"/>
                    </w:rPr>
                    <w:t>危险废物</w:t>
                  </w:r>
                </w:p>
              </w:tc>
              <w:tc>
                <w:tcPr>
                  <w:tcW w:w="1470" w:type="dxa"/>
                  <w:noWrap w:val="0"/>
                  <w:vAlign w:val="center"/>
                </w:tcPr>
                <w:p w14:paraId="5C9DF54C">
                  <w:pPr>
                    <w:pStyle w:val="16"/>
                    <w:jc w:val="center"/>
                    <w:rPr>
                      <w:rFonts w:hint="eastAsia" w:ascii="Times New Roman" w:hAnsi="宋体" w:eastAsia="宋体"/>
                      <w:color w:val="auto"/>
                      <w:sz w:val="21"/>
                      <w:szCs w:val="21"/>
                      <w:highlight w:val="none"/>
                    </w:rPr>
                  </w:pPr>
                  <w:r>
                    <w:rPr>
                      <w:rFonts w:hint="eastAsia" w:ascii="Times New Roman" w:hAnsi="宋体"/>
                      <w:color w:val="auto"/>
                      <w:sz w:val="21"/>
                      <w:szCs w:val="21"/>
                      <w:highlight w:val="none"/>
                      <w:lang w:val="en-US" w:eastAsia="zh-CN"/>
                    </w:rPr>
                    <w:t>重金属</w:t>
                  </w:r>
                </w:p>
              </w:tc>
              <w:tc>
                <w:tcPr>
                  <w:tcW w:w="945" w:type="dxa"/>
                  <w:noWrap w:val="0"/>
                  <w:vAlign w:val="center"/>
                </w:tcPr>
                <w:p w14:paraId="071EC793">
                  <w:pPr>
                    <w:pStyle w:val="16"/>
                    <w:jc w:val="center"/>
                    <w:rPr>
                      <w:rFonts w:hint="eastAsia" w:ascii="Times New Roman" w:hAnsi="宋体" w:eastAsia="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固体</w:t>
                  </w:r>
                </w:p>
              </w:tc>
              <w:tc>
                <w:tcPr>
                  <w:tcW w:w="1459" w:type="dxa"/>
                  <w:noWrap w:val="0"/>
                  <w:vAlign w:val="center"/>
                </w:tcPr>
                <w:p w14:paraId="227DCBB8">
                  <w:pPr>
                    <w:pStyle w:val="16"/>
                    <w:jc w:val="center"/>
                    <w:rPr>
                      <w:rFonts w:ascii="Times New Roman" w:hAnsi="Times New Roman" w:eastAsia="Times New Roman" w:cs="Times New Roman"/>
                      <w:spacing w:val="-6"/>
                      <w:position w:val="1"/>
                      <w:sz w:val="20"/>
                      <w:szCs w:val="20"/>
                      <w:highlight w:val="none"/>
                    </w:rPr>
                  </w:pPr>
                  <w:r>
                    <w:rPr>
                      <w:rFonts w:ascii="Times New Roman" w:hAnsi="Times New Roman" w:eastAsia="Times New Roman" w:cs="Times New Roman"/>
                      <w:spacing w:val="-6"/>
                      <w:position w:val="1"/>
                      <w:sz w:val="20"/>
                      <w:szCs w:val="20"/>
                      <w:highlight w:val="none"/>
                    </w:rPr>
                    <w:t>T</w:t>
                  </w:r>
                </w:p>
              </w:tc>
              <w:tc>
                <w:tcPr>
                  <w:tcW w:w="1155" w:type="dxa"/>
                  <w:noWrap w:val="0"/>
                  <w:vAlign w:val="center"/>
                </w:tcPr>
                <w:p w14:paraId="73C5DA43">
                  <w:pPr>
                    <w:pStyle w:val="16"/>
                    <w:jc w:val="center"/>
                    <w:rPr>
                      <w:rFonts w:hint="default" w:ascii="Times New Roman" w:hAnsi="宋体" w:cs="Times New Roman"/>
                      <w:b w:val="0"/>
                      <w:bCs w:val="0"/>
                      <w:color w:val="auto"/>
                      <w:sz w:val="21"/>
                      <w:szCs w:val="21"/>
                      <w:highlight w:val="none"/>
                      <w:lang w:val="en-US" w:eastAsia="zh-CN"/>
                    </w:rPr>
                  </w:pPr>
                  <w:r>
                    <w:rPr>
                      <w:rFonts w:hint="eastAsia" w:ascii="Times New Roman" w:hAnsi="宋体" w:cs="Times New Roman"/>
                      <w:b w:val="0"/>
                      <w:bCs w:val="0"/>
                      <w:color w:val="auto"/>
                      <w:sz w:val="21"/>
                      <w:szCs w:val="21"/>
                      <w:highlight w:val="none"/>
                      <w:lang w:val="en-US" w:eastAsia="zh-CN"/>
                    </w:rPr>
                    <w:t>1.8</w:t>
                  </w:r>
                </w:p>
              </w:tc>
              <w:tc>
                <w:tcPr>
                  <w:tcW w:w="1365" w:type="dxa"/>
                  <w:noWrap w:val="0"/>
                  <w:vAlign w:val="center"/>
                </w:tcPr>
                <w:p w14:paraId="78821E32">
                  <w:pPr>
                    <w:pStyle w:val="16"/>
                    <w:jc w:val="center"/>
                    <w:rPr>
                      <w:rFonts w:hint="default" w:ascii="Times New Roman" w:hAnsi="Times New Roman" w:cs="Times New Roman"/>
                      <w:b w:val="0"/>
                      <w:bCs w:val="0"/>
                      <w:color w:val="auto"/>
                      <w:kern w:val="0"/>
                      <w:sz w:val="21"/>
                      <w:szCs w:val="21"/>
                      <w:highlight w:val="none"/>
                      <w:lang w:bidi="ar"/>
                    </w:rPr>
                  </w:pPr>
                  <w:r>
                    <w:rPr>
                      <w:rFonts w:hint="default" w:ascii="Times New Roman" w:hAnsi="Times New Roman" w:cs="Times New Roman"/>
                      <w:b w:val="0"/>
                      <w:bCs w:val="0"/>
                      <w:color w:val="auto"/>
                      <w:kern w:val="0"/>
                      <w:sz w:val="21"/>
                      <w:szCs w:val="21"/>
                      <w:highlight w:val="none"/>
                      <w:lang w:bidi="ar"/>
                    </w:rPr>
                    <w:t>危废间</w:t>
                  </w:r>
                </w:p>
              </w:tc>
              <w:tc>
                <w:tcPr>
                  <w:tcW w:w="1515" w:type="dxa"/>
                  <w:vMerge w:val="continue"/>
                  <w:noWrap w:val="0"/>
                  <w:vAlign w:val="center"/>
                </w:tcPr>
                <w:p w14:paraId="7C13BD0A">
                  <w:pPr>
                    <w:pStyle w:val="16"/>
                    <w:jc w:val="center"/>
                    <w:rPr>
                      <w:rFonts w:hint="default" w:ascii="Times New Roman" w:hAnsi="Times New Roman" w:cs="Times New Roman"/>
                      <w:b w:val="0"/>
                      <w:bCs w:val="0"/>
                      <w:color w:val="auto"/>
                      <w:kern w:val="0"/>
                      <w:sz w:val="21"/>
                      <w:szCs w:val="21"/>
                      <w:highlight w:val="none"/>
                      <w:lang w:bidi="ar"/>
                    </w:rPr>
                  </w:pPr>
                </w:p>
              </w:tc>
              <w:tc>
                <w:tcPr>
                  <w:tcW w:w="1110" w:type="dxa"/>
                  <w:noWrap w:val="0"/>
                  <w:vAlign w:val="center"/>
                </w:tcPr>
                <w:p w14:paraId="0BC18B61">
                  <w:pPr>
                    <w:pStyle w:val="16"/>
                    <w:jc w:val="center"/>
                    <w:rPr>
                      <w:rFonts w:hint="default" w:ascii="Times New Roman" w:hAnsi="宋体" w:cs="Times New Roman"/>
                      <w:b w:val="0"/>
                      <w:bCs w:val="0"/>
                      <w:color w:val="auto"/>
                      <w:sz w:val="21"/>
                      <w:szCs w:val="21"/>
                      <w:highlight w:val="none"/>
                      <w:lang w:val="en-US" w:eastAsia="zh-CN"/>
                    </w:rPr>
                  </w:pPr>
                  <w:r>
                    <w:rPr>
                      <w:rFonts w:hint="eastAsia" w:ascii="Times New Roman" w:hAnsi="宋体" w:cs="Times New Roman"/>
                      <w:b w:val="0"/>
                      <w:bCs w:val="0"/>
                      <w:color w:val="auto"/>
                      <w:sz w:val="21"/>
                      <w:szCs w:val="21"/>
                      <w:highlight w:val="none"/>
                      <w:lang w:val="en-US" w:eastAsia="zh-CN"/>
                    </w:rPr>
                    <w:t>1.8</w:t>
                  </w:r>
                </w:p>
              </w:tc>
              <w:tc>
                <w:tcPr>
                  <w:tcW w:w="1110" w:type="dxa"/>
                  <w:noWrap w:val="0"/>
                  <w:vAlign w:val="center"/>
                </w:tcPr>
                <w:p w14:paraId="3E3E8861">
                  <w:pPr>
                    <w:pStyle w:val="16"/>
                    <w:jc w:val="center"/>
                    <w:rPr>
                      <w:rFonts w:hint="eastAsia" w:ascii="Times New Roman" w:hAnsi="宋体" w:cs="Times New Roman"/>
                      <w:bCs/>
                      <w:color w:val="auto"/>
                      <w:sz w:val="21"/>
                      <w:szCs w:val="21"/>
                      <w:highlight w:val="none"/>
                    </w:rPr>
                  </w:pPr>
                  <w:r>
                    <w:rPr>
                      <w:rFonts w:hint="eastAsia" w:ascii="Times New Roman" w:hAnsi="宋体" w:cs="Times New Roman"/>
                      <w:bCs/>
                      <w:color w:val="auto"/>
                      <w:sz w:val="21"/>
                      <w:szCs w:val="21"/>
                      <w:highlight w:val="none"/>
                    </w:rPr>
                    <w:t>不外排</w:t>
                  </w:r>
                </w:p>
              </w:tc>
            </w:tr>
            <w:tr w14:paraId="0CE91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528" w:type="dxa"/>
                  <w:noWrap w:val="0"/>
                  <w:vAlign w:val="center"/>
                </w:tcPr>
                <w:p w14:paraId="3070C6EB">
                  <w:pPr>
                    <w:pStyle w:val="16"/>
                    <w:jc w:val="center"/>
                    <w:rPr>
                      <w:rFonts w:hint="eastAsia" w:ascii="Times New Roman" w:hAnsi="宋体" w:eastAsia="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3</w:t>
                  </w:r>
                </w:p>
              </w:tc>
              <w:tc>
                <w:tcPr>
                  <w:tcW w:w="1386" w:type="dxa"/>
                  <w:noWrap w:val="0"/>
                  <w:vAlign w:val="center"/>
                </w:tcPr>
                <w:p w14:paraId="52651F41">
                  <w:pPr>
                    <w:pStyle w:val="16"/>
                    <w:jc w:val="center"/>
                    <w:rPr>
                      <w:rFonts w:hint="eastAsia" w:ascii="Times New Roman" w:hAnsi="宋体" w:cs="Times New Roman"/>
                      <w:bCs/>
                      <w:color w:val="auto"/>
                      <w:sz w:val="21"/>
                      <w:szCs w:val="21"/>
                      <w:highlight w:val="none"/>
                    </w:rPr>
                  </w:pPr>
                  <w:r>
                    <w:rPr>
                      <w:rFonts w:hint="eastAsia" w:ascii="Times New Roman" w:hAnsi="宋体" w:cs="Times New Roman"/>
                      <w:bCs/>
                      <w:color w:val="auto"/>
                      <w:sz w:val="21"/>
                      <w:szCs w:val="21"/>
                      <w:highlight w:val="none"/>
                    </w:rPr>
                    <w:t>锅炉废气处理</w:t>
                  </w:r>
                </w:p>
              </w:tc>
              <w:tc>
                <w:tcPr>
                  <w:tcW w:w="1239" w:type="dxa"/>
                  <w:noWrap w:val="0"/>
                  <w:vAlign w:val="center"/>
                </w:tcPr>
                <w:p w14:paraId="496C9CEA">
                  <w:pPr>
                    <w:pStyle w:val="16"/>
                    <w:jc w:val="center"/>
                    <w:rPr>
                      <w:rFonts w:hint="eastAsia" w:ascii="Times New Roman" w:hAnsi="宋体" w:cs="Times New Roman"/>
                      <w:bCs/>
                      <w:color w:val="auto"/>
                      <w:sz w:val="21"/>
                      <w:szCs w:val="21"/>
                      <w:highlight w:val="none"/>
                    </w:rPr>
                  </w:pPr>
                  <w:r>
                    <w:rPr>
                      <w:rFonts w:hint="eastAsia" w:ascii="Times New Roman" w:hAnsi="宋体" w:cs="Times New Roman"/>
                      <w:bCs/>
                      <w:color w:val="auto"/>
                      <w:sz w:val="21"/>
                      <w:szCs w:val="21"/>
                      <w:highlight w:val="none"/>
                    </w:rPr>
                    <w:t>锅炉灰渣</w:t>
                  </w:r>
                </w:p>
              </w:tc>
              <w:tc>
                <w:tcPr>
                  <w:tcW w:w="945" w:type="dxa"/>
                  <w:vMerge w:val="restart"/>
                  <w:noWrap w:val="0"/>
                  <w:vAlign w:val="center"/>
                </w:tcPr>
                <w:p w14:paraId="0825E0B2">
                  <w:pPr>
                    <w:pStyle w:val="16"/>
                    <w:jc w:val="center"/>
                    <w:rPr>
                      <w:rFonts w:hint="eastAsia" w:ascii="Times New Roman" w:hAnsi="宋体" w:cs="Times New Roman"/>
                      <w:bCs/>
                      <w:color w:val="auto"/>
                      <w:sz w:val="21"/>
                      <w:szCs w:val="21"/>
                      <w:highlight w:val="none"/>
                    </w:rPr>
                  </w:pPr>
                  <w:r>
                    <w:rPr>
                      <w:rFonts w:hint="eastAsia" w:ascii="Times New Roman" w:hAnsi="宋体" w:cs="Times New Roman"/>
                      <w:bCs/>
                      <w:color w:val="auto"/>
                      <w:sz w:val="21"/>
                      <w:szCs w:val="21"/>
                      <w:highlight w:val="none"/>
                    </w:rPr>
                    <w:t>一般工业固体废物</w:t>
                  </w:r>
                </w:p>
              </w:tc>
              <w:tc>
                <w:tcPr>
                  <w:tcW w:w="1470" w:type="dxa"/>
                  <w:noWrap w:val="0"/>
                  <w:vAlign w:val="center"/>
                </w:tcPr>
                <w:p w14:paraId="2F13BE57">
                  <w:pPr>
                    <w:pStyle w:val="16"/>
                    <w:jc w:val="center"/>
                    <w:rPr>
                      <w:rFonts w:hint="eastAsia" w:ascii="Times New Roman" w:hAnsi="宋体" w:eastAsia="宋体" w:cs="Times New Roman"/>
                      <w:bCs/>
                      <w:color w:val="auto"/>
                      <w:sz w:val="21"/>
                      <w:szCs w:val="21"/>
                      <w:highlight w:val="none"/>
                      <w:lang w:eastAsia="zh-CN"/>
                    </w:rPr>
                  </w:pPr>
                  <w:r>
                    <w:rPr>
                      <w:rFonts w:hint="eastAsia" w:ascii="Times New Roman" w:hAnsi="宋体" w:cs="Times New Roman"/>
                      <w:bCs/>
                      <w:color w:val="auto"/>
                      <w:sz w:val="21"/>
                      <w:szCs w:val="21"/>
                      <w:highlight w:val="none"/>
                      <w:lang w:val="en-US" w:eastAsia="zh-CN"/>
                    </w:rPr>
                    <w:t>/</w:t>
                  </w:r>
                </w:p>
              </w:tc>
              <w:tc>
                <w:tcPr>
                  <w:tcW w:w="945" w:type="dxa"/>
                  <w:noWrap w:val="0"/>
                  <w:vAlign w:val="center"/>
                </w:tcPr>
                <w:p w14:paraId="74F9F36E">
                  <w:pPr>
                    <w:pStyle w:val="16"/>
                    <w:jc w:val="center"/>
                    <w:rPr>
                      <w:rFonts w:hint="eastAsia" w:ascii="Times New Roman" w:hAnsi="宋体" w:cs="Times New Roman"/>
                      <w:bCs/>
                      <w:color w:val="auto"/>
                      <w:kern w:val="2"/>
                      <w:sz w:val="21"/>
                      <w:szCs w:val="21"/>
                      <w:highlight w:val="none"/>
                      <w:lang w:val="en-US" w:eastAsia="zh-CN" w:bidi="ar-SA"/>
                    </w:rPr>
                  </w:pPr>
                  <w:r>
                    <w:rPr>
                      <w:rFonts w:hint="eastAsia" w:ascii="Times New Roman" w:hAnsi="宋体" w:cs="Times New Roman"/>
                      <w:bCs/>
                      <w:color w:val="auto"/>
                      <w:sz w:val="21"/>
                      <w:szCs w:val="21"/>
                      <w:highlight w:val="none"/>
                    </w:rPr>
                    <w:t>固体</w:t>
                  </w:r>
                </w:p>
              </w:tc>
              <w:tc>
                <w:tcPr>
                  <w:tcW w:w="1459" w:type="dxa"/>
                  <w:noWrap w:val="0"/>
                  <w:vAlign w:val="center"/>
                </w:tcPr>
                <w:p w14:paraId="23A8CA4A">
                  <w:pPr>
                    <w:pStyle w:val="16"/>
                    <w:jc w:val="center"/>
                    <w:rPr>
                      <w:rFonts w:hint="eastAsia" w:ascii="Times New Roman" w:hAnsi="宋体" w:cs="Times New Roman"/>
                      <w:bCs/>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bidi="ar"/>
                    </w:rPr>
                    <w:t>无</w:t>
                  </w:r>
                </w:p>
              </w:tc>
              <w:tc>
                <w:tcPr>
                  <w:tcW w:w="1155" w:type="dxa"/>
                  <w:noWrap w:val="0"/>
                  <w:vAlign w:val="center"/>
                </w:tcPr>
                <w:p w14:paraId="19975458">
                  <w:pPr>
                    <w:pStyle w:val="16"/>
                    <w:jc w:val="center"/>
                    <w:rPr>
                      <w:rFonts w:hint="default" w:ascii="Times New Roman" w:hAnsi="宋体" w:eastAsia="宋体" w:cs="Times New Roman"/>
                      <w:bCs/>
                      <w:color w:val="auto"/>
                      <w:sz w:val="21"/>
                      <w:szCs w:val="21"/>
                      <w:highlight w:val="none"/>
                      <w:lang w:val="en-US" w:eastAsia="zh-CN"/>
                    </w:rPr>
                  </w:pPr>
                  <w:r>
                    <w:rPr>
                      <w:rFonts w:hint="eastAsia" w:ascii="Times New Roman" w:hAnsi="Times New Roman" w:cs="Times New Roman"/>
                      <w:sz w:val="21"/>
                      <w:szCs w:val="21"/>
                      <w:highlight w:val="none"/>
                      <w:vertAlign w:val="baseline"/>
                      <w:lang w:val="en-US" w:eastAsia="zh-CN"/>
                    </w:rPr>
                    <w:t>2000</w:t>
                  </w:r>
                </w:p>
              </w:tc>
              <w:tc>
                <w:tcPr>
                  <w:tcW w:w="1365" w:type="dxa"/>
                  <w:noWrap w:val="0"/>
                  <w:vAlign w:val="center"/>
                </w:tcPr>
                <w:p w14:paraId="32C45E2C">
                  <w:pPr>
                    <w:pStyle w:val="16"/>
                    <w:jc w:val="center"/>
                    <w:rPr>
                      <w:rFonts w:hint="eastAsia" w:ascii="Times New Roman" w:hAnsi="宋体" w:cs="Times New Roman"/>
                      <w:bCs/>
                      <w:color w:val="auto"/>
                      <w:sz w:val="21"/>
                      <w:szCs w:val="21"/>
                      <w:highlight w:val="none"/>
                    </w:rPr>
                  </w:pPr>
                  <w:r>
                    <w:rPr>
                      <w:rFonts w:hint="eastAsia" w:eastAsia="宋体"/>
                      <w:color w:val="auto"/>
                      <w:sz w:val="21"/>
                      <w:szCs w:val="21"/>
                      <w:highlight w:val="none"/>
                      <w:lang w:val="en-US" w:eastAsia="zh-CN"/>
                    </w:rPr>
                    <w:t>固废间</w:t>
                  </w:r>
                </w:p>
              </w:tc>
              <w:tc>
                <w:tcPr>
                  <w:tcW w:w="1515" w:type="dxa"/>
                  <w:vMerge w:val="restart"/>
                  <w:noWrap w:val="0"/>
                  <w:vAlign w:val="center"/>
                </w:tcPr>
                <w:p w14:paraId="1CB13706">
                  <w:pPr>
                    <w:pStyle w:val="16"/>
                    <w:jc w:val="center"/>
                    <w:rPr>
                      <w:rFonts w:hint="eastAsia" w:ascii="Times New Roman" w:hAnsi="宋体" w:cs="Times New Roman"/>
                      <w:bCs/>
                      <w:color w:val="auto"/>
                      <w:sz w:val="21"/>
                      <w:szCs w:val="21"/>
                      <w:highlight w:val="none"/>
                    </w:rPr>
                  </w:pPr>
                  <w:r>
                    <w:rPr>
                      <w:rFonts w:hint="eastAsia" w:ascii="Times New Roman" w:hAnsi="宋体" w:cs="Times New Roman"/>
                      <w:bCs/>
                      <w:color w:val="auto"/>
                      <w:sz w:val="21"/>
                      <w:szCs w:val="21"/>
                      <w:highlight w:val="none"/>
                    </w:rPr>
                    <w:t>交由资源回收单位回收处理</w:t>
                  </w:r>
                </w:p>
              </w:tc>
              <w:tc>
                <w:tcPr>
                  <w:tcW w:w="1110" w:type="dxa"/>
                  <w:noWrap w:val="0"/>
                  <w:vAlign w:val="center"/>
                </w:tcPr>
                <w:p w14:paraId="765F0D99">
                  <w:pPr>
                    <w:pStyle w:val="16"/>
                    <w:jc w:val="center"/>
                    <w:rPr>
                      <w:rFonts w:hint="default" w:ascii="Times New Roman" w:hAnsi="宋体" w:eastAsia="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2000</w:t>
                  </w:r>
                </w:p>
              </w:tc>
              <w:tc>
                <w:tcPr>
                  <w:tcW w:w="1110" w:type="dxa"/>
                  <w:noWrap w:val="0"/>
                  <w:vAlign w:val="center"/>
                </w:tcPr>
                <w:p w14:paraId="66260BE7">
                  <w:pPr>
                    <w:pStyle w:val="16"/>
                    <w:jc w:val="center"/>
                    <w:rPr>
                      <w:rFonts w:hint="eastAsia" w:ascii="Times New Roman" w:hAnsi="宋体" w:cs="Times New Roman"/>
                      <w:bCs/>
                      <w:color w:val="auto"/>
                      <w:sz w:val="21"/>
                      <w:szCs w:val="21"/>
                      <w:highlight w:val="none"/>
                    </w:rPr>
                  </w:pPr>
                  <w:r>
                    <w:rPr>
                      <w:rFonts w:hint="eastAsia" w:ascii="Times New Roman" w:hAnsi="宋体" w:cs="Times New Roman"/>
                      <w:bCs/>
                      <w:color w:val="auto"/>
                      <w:sz w:val="21"/>
                      <w:szCs w:val="21"/>
                      <w:highlight w:val="none"/>
                    </w:rPr>
                    <w:t>不外排</w:t>
                  </w:r>
                </w:p>
              </w:tc>
            </w:tr>
            <w:tr w14:paraId="718CC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 w:type="dxa"/>
                  <w:noWrap w:val="0"/>
                  <w:vAlign w:val="center"/>
                </w:tcPr>
                <w:p w14:paraId="5C5A864E">
                  <w:pPr>
                    <w:pStyle w:val="16"/>
                    <w:jc w:val="center"/>
                    <w:rPr>
                      <w:rFonts w:hint="default" w:ascii="Times New Roman" w:hAnsi="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4</w:t>
                  </w:r>
                </w:p>
              </w:tc>
              <w:tc>
                <w:tcPr>
                  <w:tcW w:w="1386" w:type="dxa"/>
                  <w:noWrap w:val="0"/>
                  <w:vAlign w:val="center"/>
                </w:tcPr>
                <w:p w14:paraId="60A5F4A5">
                  <w:pPr>
                    <w:pStyle w:val="16"/>
                    <w:jc w:val="center"/>
                    <w:rPr>
                      <w:rFonts w:hint="default" w:ascii="Times New Roman" w:hAnsi="宋体" w:eastAsia="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rPr>
                    <w:t>锅炉废气处理</w:t>
                  </w:r>
                </w:p>
              </w:tc>
              <w:tc>
                <w:tcPr>
                  <w:tcW w:w="1239" w:type="dxa"/>
                  <w:noWrap w:val="0"/>
                  <w:vAlign w:val="center"/>
                </w:tcPr>
                <w:p w14:paraId="5C346754">
                  <w:pPr>
                    <w:pStyle w:val="16"/>
                    <w:jc w:val="center"/>
                    <w:rPr>
                      <w:rFonts w:hint="eastAsia" w:ascii="Times New Roman" w:hAnsi="宋体" w:cs="Times New Roman"/>
                      <w:bCs/>
                      <w:color w:val="auto"/>
                      <w:sz w:val="21"/>
                      <w:szCs w:val="21"/>
                      <w:highlight w:val="none"/>
                    </w:rPr>
                  </w:pPr>
                  <w:r>
                    <w:rPr>
                      <w:rFonts w:hint="eastAsia" w:ascii="Times New Roman" w:hAnsi="宋体" w:cs="Times New Roman"/>
                      <w:bCs/>
                      <w:color w:val="auto"/>
                      <w:sz w:val="21"/>
                      <w:szCs w:val="21"/>
                      <w:highlight w:val="none"/>
                      <w:lang w:val="en-US" w:eastAsia="zh-CN"/>
                    </w:rPr>
                    <w:t>脱硫渣</w:t>
                  </w:r>
                </w:p>
              </w:tc>
              <w:tc>
                <w:tcPr>
                  <w:tcW w:w="945" w:type="dxa"/>
                  <w:vMerge w:val="continue"/>
                  <w:noWrap w:val="0"/>
                  <w:vAlign w:val="center"/>
                </w:tcPr>
                <w:p w14:paraId="2D0C643C">
                  <w:pPr>
                    <w:pStyle w:val="16"/>
                    <w:jc w:val="center"/>
                    <w:rPr>
                      <w:rFonts w:hint="eastAsia" w:ascii="Times New Roman" w:hAnsi="宋体" w:cs="Times New Roman"/>
                      <w:bCs/>
                      <w:color w:val="auto"/>
                      <w:sz w:val="21"/>
                      <w:szCs w:val="21"/>
                      <w:highlight w:val="none"/>
                    </w:rPr>
                  </w:pPr>
                </w:p>
              </w:tc>
              <w:tc>
                <w:tcPr>
                  <w:tcW w:w="1470" w:type="dxa"/>
                  <w:noWrap w:val="0"/>
                  <w:vAlign w:val="center"/>
                </w:tcPr>
                <w:p w14:paraId="530B5497">
                  <w:pPr>
                    <w:pStyle w:val="16"/>
                    <w:jc w:val="center"/>
                    <w:rPr>
                      <w:rFonts w:hint="default" w:ascii="Times New Roman" w:hAnsi="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w:t>
                  </w:r>
                </w:p>
              </w:tc>
              <w:tc>
                <w:tcPr>
                  <w:tcW w:w="945" w:type="dxa"/>
                  <w:noWrap w:val="0"/>
                  <w:vAlign w:val="center"/>
                </w:tcPr>
                <w:p w14:paraId="76390BCE">
                  <w:pPr>
                    <w:pStyle w:val="16"/>
                    <w:jc w:val="center"/>
                    <w:rPr>
                      <w:rFonts w:hint="eastAsia" w:ascii="Times New Roman" w:hAnsi="宋体" w:cs="Times New Roman"/>
                      <w:bCs/>
                      <w:color w:val="auto"/>
                      <w:sz w:val="21"/>
                      <w:szCs w:val="21"/>
                      <w:highlight w:val="none"/>
                    </w:rPr>
                  </w:pPr>
                  <w:r>
                    <w:rPr>
                      <w:rFonts w:hint="eastAsia" w:ascii="Times New Roman" w:hAnsi="宋体" w:cs="Times New Roman"/>
                      <w:bCs/>
                      <w:color w:val="auto"/>
                      <w:sz w:val="21"/>
                      <w:szCs w:val="21"/>
                      <w:highlight w:val="none"/>
                    </w:rPr>
                    <w:t>固体</w:t>
                  </w:r>
                </w:p>
              </w:tc>
              <w:tc>
                <w:tcPr>
                  <w:tcW w:w="1459" w:type="dxa"/>
                  <w:noWrap w:val="0"/>
                  <w:vAlign w:val="center"/>
                </w:tcPr>
                <w:p w14:paraId="32F56CDA">
                  <w:pPr>
                    <w:pStyle w:val="16"/>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无</w:t>
                  </w:r>
                </w:p>
              </w:tc>
              <w:tc>
                <w:tcPr>
                  <w:tcW w:w="1155" w:type="dxa"/>
                  <w:noWrap w:val="0"/>
                  <w:vAlign w:val="center"/>
                </w:tcPr>
                <w:p w14:paraId="50FFF0D9">
                  <w:pPr>
                    <w:pStyle w:val="16"/>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8.45</w:t>
                  </w:r>
                </w:p>
              </w:tc>
              <w:tc>
                <w:tcPr>
                  <w:tcW w:w="1365" w:type="dxa"/>
                  <w:noWrap w:val="0"/>
                  <w:vAlign w:val="center"/>
                </w:tcPr>
                <w:p w14:paraId="5077101A">
                  <w:pPr>
                    <w:pStyle w:val="16"/>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固废间</w:t>
                  </w:r>
                </w:p>
              </w:tc>
              <w:tc>
                <w:tcPr>
                  <w:tcW w:w="1515" w:type="dxa"/>
                  <w:vMerge w:val="continue"/>
                  <w:noWrap w:val="0"/>
                  <w:vAlign w:val="center"/>
                </w:tcPr>
                <w:p w14:paraId="3BEF77BD">
                  <w:pPr>
                    <w:pStyle w:val="16"/>
                    <w:jc w:val="center"/>
                    <w:rPr>
                      <w:rFonts w:hint="eastAsia" w:ascii="Times New Roman" w:hAnsi="宋体" w:cs="Times New Roman"/>
                      <w:bCs/>
                      <w:color w:val="auto"/>
                      <w:sz w:val="21"/>
                      <w:szCs w:val="21"/>
                      <w:highlight w:val="none"/>
                    </w:rPr>
                  </w:pPr>
                </w:p>
              </w:tc>
              <w:tc>
                <w:tcPr>
                  <w:tcW w:w="1110" w:type="dxa"/>
                  <w:noWrap w:val="0"/>
                  <w:vAlign w:val="center"/>
                </w:tcPr>
                <w:p w14:paraId="5B849A6C">
                  <w:pPr>
                    <w:pStyle w:val="16"/>
                    <w:jc w:val="center"/>
                    <w:rPr>
                      <w:rFonts w:hint="default" w:ascii="Times New Roman" w:hAnsi="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8.45</w:t>
                  </w:r>
                </w:p>
              </w:tc>
              <w:tc>
                <w:tcPr>
                  <w:tcW w:w="1110" w:type="dxa"/>
                  <w:noWrap w:val="0"/>
                  <w:vAlign w:val="center"/>
                </w:tcPr>
                <w:p w14:paraId="02C6E3E0">
                  <w:pPr>
                    <w:pStyle w:val="16"/>
                    <w:jc w:val="center"/>
                    <w:rPr>
                      <w:rFonts w:hint="eastAsia" w:ascii="Times New Roman" w:hAnsi="宋体" w:cs="Times New Roman"/>
                      <w:bCs/>
                      <w:color w:val="auto"/>
                      <w:sz w:val="21"/>
                      <w:szCs w:val="21"/>
                      <w:highlight w:val="none"/>
                    </w:rPr>
                  </w:pPr>
                  <w:r>
                    <w:rPr>
                      <w:rFonts w:hint="eastAsia" w:ascii="Times New Roman" w:hAnsi="宋体" w:cs="Times New Roman"/>
                      <w:bCs/>
                      <w:color w:val="auto"/>
                      <w:sz w:val="21"/>
                      <w:szCs w:val="21"/>
                      <w:highlight w:val="none"/>
                    </w:rPr>
                    <w:t>不外排</w:t>
                  </w:r>
                </w:p>
              </w:tc>
            </w:tr>
            <w:tr w14:paraId="50E26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 w:type="dxa"/>
                  <w:noWrap w:val="0"/>
                  <w:vAlign w:val="center"/>
                </w:tcPr>
                <w:p w14:paraId="356E9C8C">
                  <w:pPr>
                    <w:pStyle w:val="16"/>
                    <w:jc w:val="center"/>
                    <w:rPr>
                      <w:rFonts w:hint="default" w:ascii="Times New Roman" w:hAnsi="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5</w:t>
                  </w:r>
                </w:p>
              </w:tc>
              <w:tc>
                <w:tcPr>
                  <w:tcW w:w="1386" w:type="dxa"/>
                  <w:noWrap w:val="0"/>
                  <w:vAlign w:val="center"/>
                </w:tcPr>
                <w:p w14:paraId="5347E06B">
                  <w:pPr>
                    <w:pStyle w:val="16"/>
                    <w:jc w:val="center"/>
                    <w:rPr>
                      <w:rFonts w:hint="default" w:ascii="Times New Roman" w:hAnsi="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rPr>
                    <w:t>锅炉废气处理</w:t>
                  </w:r>
                </w:p>
              </w:tc>
              <w:tc>
                <w:tcPr>
                  <w:tcW w:w="1239" w:type="dxa"/>
                  <w:noWrap w:val="0"/>
                  <w:vAlign w:val="center"/>
                </w:tcPr>
                <w:p w14:paraId="0411E189">
                  <w:pPr>
                    <w:pStyle w:val="16"/>
                    <w:jc w:val="center"/>
                    <w:rPr>
                      <w:rFonts w:hint="default" w:ascii="Times New Roman" w:hAnsi="宋体" w:eastAsia="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废布袋</w:t>
                  </w:r>
                </w:p>
              </w:tc>
              <w:tc>
                <w:tcPr>
                  <w:tcW w:w="945" w:type="dxa"/>
                  <w:vMerge w:val="continue"/>
                  <w:noWrap w:val="0"/>
                  <w:vAlign w:val="center"/>
                </w:tcPr>
                <w:p w14:paraId="5543F555">
                  <w:pPr>
                    <w:pStyle w:val="16"/>
                    <w:jc w:val="center"/>
                    <w:rPr>
                      <w:rFonts w:hint="eastAsia" w:ascii="Times New Roman" w:hAnsi="宋体" w:cs="Times New Roman"/>
                      <w:bCs/>
                      <w:color w:val="auto"/>
                      <w:sz w:val="21"/>
                      <w:szCs w:val="21"/>
                      <w:highlight w:val="none"/>
                    </w:rPr>
                  </w:pPr>
                </w:p>
              </w:tc>
              <w:tc>
                <w:tcPr>
                  <w:tcW w:w="1470" w:type="dxa"/>
                  <w:noWrap w:val="0"/>
                  <w:vAlign w:val="center"/>
                </w:tcPr>
                <w:p w14:paraId="7F5CD6C3">
                  <w:pPr>
                    <w:pStyle w:val="16"/>
                    <w:jc w:val="center"/>
                    <w:rPr>
                      <w:rFonts w:hint="eastAsia" w:ascii="Times New Roman" w:hAnsi="宋体" w:eastAsia="宋体" w:cs="Times New Roman"/>
                      <w:bCs/>
                      <w:color w:val="auto"/>
                      <w:sz w:val="21"/>
                      <w:szCs w:val="21"/>
                      <w:highlight w:val="none"/>
                      <w:lang w:eastAsia="zh-CN"/>
                    </w:rPr>
                  </w:pPr>
                  <w:r>
                    <w:rPr>
                      <w:rFonts w:hint="eastAsia" w:ascii="Times New Roman" w:hAnsi="宋体" w:cs="Times New Roman"/>
                      <w:bCs/>
                      <w:color w:val="auto"/>
                      <w:sz w:val="21"/>
                      <w:szCs w:val="21"/>
                      <w:highlight w:val="none"/>
                      <w:lang w:val="en-US" w:eastAsia="zh-CN"/>
                    </w:rPr>
                    <w:t>/</w:t>
                  </w:r>
                </w:p>
              </w:tc>
              <w:tc>
                <w:tcPr>
                  <w:tcW w:w="945" w:type="dxa"/>
                  <w:noWrap w:val="0"/>
                  <w:vAlign w:val="center"/>
                </w:tcPr>
                <w:p w14:paraId="21372346">
                  <w:pPr>
                    <w:pStyle w:val="16"/>
                    <w:jc w:val="center"/>
                    <w:rPr>
                      <w:rFonts w:hint="eastAsia" w:ascii="Times New Roman" w:hAnsi="宋体" w:cs="Times New Roman"/>
                      <w:bCs/>
                      <w:color w:val="auto"/>
                      <w:kern w:val="2"/>
                      <w:sz w:val="21"/>
                      <w:szCs w:val="21"/>
                      <w:highlight w:val="none"/>
                      <w:lang w:val="en-US" w:eastAsia="zh-CN" w:bidi="ar-SA"/>
                    </w:rPr>
                  </w:pPr>
                  <w:r>
                    <w:rPr>
                      <w:rFonts w:hint="eastAsia" w:ascii="Times New Roman" w:hAnsi="宋体" w:cs="Times New Roman"/>
                      <w:bCs/>
                      <w:color w:val="auto"/>
                      <w:sz w:val="21"/>
                      <w:szCs w:val="21"/>
                      <w:highlight w:val="none"/>
                    </w:rPr>
                    <w:t>固体</w:t>
                  </w:r>
                </w:p>
              </w:tc>
              <w:tc>
                <w:tcPr>
                  <w:tcW w:w="1459" w:type="dxa"/>
                  <w:noWrap w:val="0"/>
                  <w:vAlign w:val="center"/>
                </w:tcPr>
                <w:p w14:paraId="7316D553">
                  <w:pPr>
                    <w:pStyle w:val="16"/>
                    <w:jc w:val="center"/>
                    <w:rPr>
                      <w:rFonts w:hint="eastAsia" w:ascii="Times New Roman" w:hAnsi="宋体" w:cs="Times New Roman"/>
                      <w:bCs/>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bidi="ar"/>
                    </w:rPr>
                    <w:t>无</w:t>
                  </w:r>
                </w:p>
              </w:tc>
              <w:tc>
                <w:tcPr>
                  <w:tcW w:w="1155" w:type="dxa"/>
                  <w:noWrap w:val="0"/>
                  <w:vAlign w:val="center"/>
                </w:tcPr>
                <w:p w14:paraId="1660E7F6">
                  <w:pPr>
                    <w:pStyle w:val="16"/>
                    <w:jc w:val="center"/>
                    <w:rPr>
                      <w:rFonts w:hint="default" w:ascii="Times New Roman" w:hAnsi="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0.1</w:t>
                  </w:r>
                </w:p>
              </w:tc>
              <w:tc>
                <w:tcPr>
                  <w:tcW w:w="1365" w:type="dxa"/>
                  <w:noWrap w:val="0"/>
                  <w:vAlign w:val="center"/>
                </w:tcPr>
                <w:p w14:paraId="356A0E2E">
                  <w:pPr>
                    <w:pStyle w:val="16"/>
                    <w:jc w:val="center"/>
                    <w:rPr>
                      <w:rFonts w:hint="eastAsia" w:ascii="Times New Roman" w:hAnsi="宋体" w:cs="Times New Roman"/>
                      <w:bCs/>
                      <w:color w:val="auto"/>
                      <w:sz w:val="21"/>
                      <w:szCs w:val="21"/>
                      <w:highlight w:val="none"/>
                    </w:rPr>
                  </w:pPr>
                  <w:r>
                    <w:rPr>
                      <w:rFonts w:hint="eastAsia" w:eastAsia="宋体"/>
                      <w:color w:val="auto"/>
                      <w:sz w:val="21"/>
                      <w:szCs w:val="21"/>
                      <w:highlight w:val="none"/>
                      <w:lang w:val="en-US" w:eastAsia="zh-CN"/>
                    </w:rPr>
                    <w:t>固废间</w:t>
                  </w:r>
                </w:p>
              </w:tc>
              <w:tc>
                <w:tcPr>
                  <w:tcW w:w="1515" w:type="dxa"/>
                  <w:vMerge w:val="continue"/>
                  <w:noWrap w:val="0"/>
                  <w:vAlign w:val="center"/>
                </w:tcPr>
                <w:p w14:paraId="54A56B9D">
                  <w:pPr>
                    <w:pStyle w:val="16"/>
                    <w:jc w:val="center"/>
                    <w:rPr>
                      <w:rFonts w:hint="eastAsia" w:ascii="Times New Roman" w:hAnsi="宋体" w:cs="Times New Roman"/>
                      <w:bCs/>
                      <w:color w:val="auto"/>
                      <w:sz w:val="21"/>
                      <w:szCs w:val="21"/>
                      <w:highlight w:val="none"/>
                    </w:rPr>
                  </w:pPr>
                </w:p>
              </w:tc>
              <w:tc>
                <w:tcPr>
                  <w:tcW w:w="1110" w:type="dxa"/>
                  <w:noWrap w:val="0"/>
                  <w:vAlign w:val="center"/>
                </w:tcPr>
                <w:p w14:paraId="04ECE96B">
                  <w:pPr>
                    <w:pStyle w:val="16"/>
                    <w:jc w:val="center"/>
                    <w:rPr>
                      <w:rFonts w:hint="default" w:ascii="Times New Roman" w:hAnsi="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0.1</w:t>
                  </w:r>
                </w:p>
              </w:tc>
              <w:tc>
                <w:tcPr>
                  <w:tcW w:w="1110" w:type="dxa"/>
                  <w:noWrap w:val="0"/>
                  <w:vAlign w:val="center"/>
                </w:tcPr>
                <w:p w14:paraId="18A53082">
                  <w:pPr>
                    <w:pStyle w:val="16"/>
                    <w:jc w:val="center"/>
                    <w:rPr>
                      <w:rFonts w:hint="eastAsia" w:ascii="Times New Roman" w:hAnsi="宋体" w:cs="Times New Roman"/>
                      <w:bCs/>
                      <w:color w:val="auto"/>
                      <w:sz w:val="21"/>
                      <w:szCs w:val="21"/>
                      <w:highlight w:val="none"/>
                    </w:rPr>
                  </w:pPr>
                  <w:r>
                    <w:rPr>
                      <w:rFonts w:hint="eastAsia" w:ascii="Times New Roman" w:hAnsi="宋体" w:cs="Times New Roman"/>
                      <w:bCs/>
                      <w:color w:val="auto"/>
                      <w:sz w:val="21"/>
                      <w:szCs w:val="21"/>
                      <w:highlight w:val="none"/>
                    </w:rPr>
                    <w:t>不外排</w:t>
                  </w:r>
                </w:p>
              </w:tc>
            </w:tr>
            <w:tr w14:paraId="0FC69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 w:type="dxa"/>
                  <w:noWrap w:val="0"/>
                  <w:vAlign w:val="center"/>
                </w:tcPr>
                <w:p w14:paraId="7ACA9F39">
                  <w:pPr>
                    <w:pStyle w:val="16"/>
                    <w:jc w:val="center"/>
                    <w:rPr>
                      <w:rFonts w:hint="default" w:ascii="Times New Roman" w:hAnsi="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6</w:t>
                  </w:r>
                </w:p>
              </w:tc>
              <w:tc>
                <w:tcPr>
                  <w:tcW w:w="1386" w:type="dxa"/>
                  <w:noWrap w:val="0"/>
                  <w:vAlign w:val="center"/>
                </w:tcPr>
                <w:p w14:paraId="076C6200">
                  <w:pPr>
                    <w:pStyle w:val="16"/>
                    <w:jc w:val="center"/>
                    <w:rPr>
                      <w:rFonts w:hint="default" w:ascii="Times New Roman" w:hAnsi="宋体" w:eastAsia="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废水处理</w:t>
                  </w:r>
                </w:p>
              </w:tc>
              <w:tc>
                <w:tcPr>
                  <w:tcW w:w="1239" w:type="dxa"/>
                  <w:noWrap w:val="0"/>
                  <w:vAlign w:val="center"/>
                </w:tcPr>
                <w:p w14:paraId="70FE7991">
                  <w:pPr>
                    <w:pStyle w:val="16"/>
                    <w:jc w:val="center"/>
                    <w:rPr>
                      <w:rFonts w:hint="default" w:ascii="Times New Roman" w:hAnsi="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废水处理污泥</w:t>
                  </w:r>
                </w:p>
              </w:tc>
              <w:tc>
                <w:tcPr>
                  <w:tcW w:w="945" w:type="dxa"/>
                  <w:vMerge w:val="continue"/>
                  <w:noWrap w:val="0"/>
                  <w:vAlign w:val="center"/>
                </w:tcPr>
                <w:p w14:paraId="7141C592">
                  <w:pPr>
                    <w:pStyle w:val="16"/>
                    <w:jc w:val="center"/>
                    <w:rPr>
                      <w:rFonts w:hint="eastAsia" w:ascii="Times New Roman" w:hAnsi="宋体" w:cs="Times New Roman"/>
                      <w:bCs/>
                      <w:color w:val="auto"/>
                      <w:sz w:val="21"/>
                      <w:szCs w:val="21"/>
                      <w:highlight w:val="none"/>
                    </w:rPr>
                  </w:pPr>
                </w:p>
              </w:tc>
              <w:tc>
                <w:tcPr>
                  <w:tcW w:w="1470" w:type="dxa"/>
                  <w:noWrap w:val="0"/>
                  <w:vAlign w:val="center"/>
                </w:tcPr>
                <w:p w14:paraId="7E7F45AC">
                  <w:pPr>
                    <w:pStyle w:val="16"/>
                    <w:jc w:val="center"/>
                    <w:rPr>
                      <w:rFonts w:hint="eastAsia" w:ascii="Times New Roman" w:hAnsi="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w:t>
                  </w:r>
                </w:p>
              </w:tc>
              <w:tc>
                <w:tcPr>
                  <w:tcW w:w="945" w:type="dxa"/>
                  <w:noWrap w:val="0"/>
                  <w:vAlign w:val="center"/>
                </w:tcPr>
                <w:p w14:paraId="3A4B4071">
                  <w:pPr>
                    <w:pStyle w:val="16"/>
                    <w:jc w:val="center"/>
                    <w:rPr>
                      <w:rFonts w:hint="eastAsia" w:ascii="Times New Roman" w:hAnsi="宋体" w:eastAsia="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半固态</w:t>
                  </w:r>
                </w:p>
              </w:tc>
              <w:tc>
                <w:tcPr>
                  <w:tcW w:w="1459" w:type="dxa"/>
                  <w:noWrap w:val="0"/>
                  <w:vAlign w:val="center"/>
                </w:tcPr>
                <w:p w14:paraId="2427EB9B">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无</w:t>
                  </w:r>
                </w:p>
              </w:tc>
              <w:tc>
                <w:tcPr>
                  <w:tcW w:w="1155" w:type="dxa"/>
                  <w:noWrap w:val="0"/>
                  <w:vAlign w:val="center"/>
                </w:tcPr>
                <w:p w14:paraId="015661AB">
                  <w:pPr>
                    <w:pStyle w:val="16"/>
                    <w:jc w:val="center"/>
                    <w:rPr>
                      <w:rFonts w:hint="default" w:ascii="Times New Roman" w:hAnsi="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3.6</w:t>
                  </w:r>
                </w:p>
              </w:tc>
              <w:tc>
                <w:tcPr>
                  <w:tcW w:w="1365" w:type="dxa"/>
                  <w:noWrap w:val="0"/>
                  <w:vAlign w:val="center"/>
                </w:tcPr>
                <w:p w14:paraId="17934E1D">
                  <w:pPr>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固废间</w:t>
                  </w:r>
                </w:p>
              </w:tc>
              <w:tc>
                <w:tcPr>
                  <w:tcW w:w="1515" w:type="dxa"/>
                  <w:vMerge w:val="continue"/>
                  <w:noWrap w:val="0"/>
                  <w:vAlign w:val="center"/>
                </w:tcPr>
                <w:p w14:paraId="48207237">
                  <w:pPr>
                    <w:pStyle w:val="16"/>
                    <w:jc w:val="center"/>
                    <w:rPr>
                      <w:rFonts w:hint="eastAsia" w:ascii="Times New Roman" w:hAnsi="宋体" w:cs="Times New Roman"/>
                      <w:bCs/>
                      <w:color w:val="auto"/>
                      <w:sz w:val="21"/>
                      <w:szCs w:val="21"/>
                      <w:highlight w:val="none"/>
                    </w:rPr>
                  </w:pPr>
                </w:p>
              </w:tc>
              <w:tc>
                <w:tcPr>
                  <w:tcW w:w="1110" w:type="dxa"/>
                  <w:noWrap w:val="0"/>
                  <w:vAlign w:val="center"/>
                </w:tcPr>
                <w:p w14:paraId="55F9CD5F">
                  <w:pPr>
                    <w:pStyle w:val="16"/>
                    <w:jc w:val="center"/>
                    <w:rPr>
                      <w:rFonts w:hint="eastAsia" w:ascii="Times New Roman" w:hAnsi="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3.6</w:t>
                  </w:r>
                </w:p>
              </w:tc>
              <w:tc>
                <w:tcPr>
                  <w:tcW w:w="1110" w:type="dxa"/>
                  <w:noWrap w:val="0"/>
                  <w:vAlign w:val="center"/>
                </w:tcPr>
                <w:p w14:paraId="5F5EE570">
                  <w:pPr>
                    <w:jc w:val="center"/>
                    <w:rPr>
                      <w:rFonts w:hint="eastAsia" w:ascii="Times New Roman" w:hAnsi="宋体" w:cs="Times New Roman"/>
                      <w:bCs/>
                      <w:color w:val="auto"/>
                      <w:sz w:val="21"/>
                      <w:szCs w:val="21"/>
                      <w:highlight w:val="none"/>
                    </w:rPr>
                  </w:pPr>
                  <w:r>
                    <w:rPr>
                      <w:rFonts w:hint="eastAsia" w:ascii="Times New Roman" w:hAnsi="宋体" w:cs="Times New Roman"/>
                      <w:bCs/>
                      <w:color w:val="auto"/>
                      <w:sz w:val="21"/>
                      <w:szCs w:val="21"/>
                      <w:highlight w:val="none"/>
                    </w:rPr>
                    <w:t>不外排</w:t>
                  </w:r>
                </w:p>
              </w:tc>
            </w:tr>
            <w:tr w14:paraId="415B2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 w:type="dxa"/>
                  <w:noWrap w:val="0"/>
                  <w:vAlign w:val="center"/>
                </w:tcPr>
                <w:p w14:paraId="171130CA">
                  <w:pPr>
                    <w:pStyle w:val="16"/>
                    <w:jc w:val="center"/>
                    <w:rPr>
                      <w:rFonts w:hint="default" w:ascii="Times New Roman" w:hAnsi="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7</w:t>
                  </w:r>
                </w:p>
              </w:tc>
              <w:tc>
                <w:tcPr>
                  <w:tcW w:w="1386" w:type="dxa"/>
                  <w:noWrap w:val="0"/>
                  <w:vAlign w:val="center"/>
                </w:tcPr>
                <w:p w14:paraId="2D0BDA54">
                  <w:pPr>
                    <w:pStyle w:val="16"/>
                    <w:jc w:val="center"/>
                    <w:rPr>
                      <w:rFonts w:hint="default" w:ascii="Times New Roman" w:hAnsi="宋体" w:eastAsia="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纯水制备</w:t>
                  </w:r>
                </w:p>
              </w:tc>
              <w:tc>
                <w:tcPr>
                  <w:tcW w:w="1239" w:type="dxa"/>
                  <w:noWrap w:val="0"/>
                  <w:vAlign w:val="center"/>
                </w:tcPr>
                <w:p w14:paraId="59881D1B">
                  <w:pPr>
                    <w:pStyle w:val="16"/>
                    <w:jc w:val="center"/>
                    <w:rPr>
                      <w:rFonts w:hint="default" w:ascii="Times New Roman" w:hAnsi="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废反渗透膜</w:t>
                  </w:r>
                </w:p>
              </w:tc>
              <w:tc>
                <w:tcPr>
                  <w:tcW w:w="945" w:type="dxa"/>
                  <w:vMerge w:val="continue"/>
                  <w:noWrap w:val="0"/>
                  <w:vAlign w:val="center"/>
                </w:tcPr>
                <w:p w14:paraId="0E0FA6F7">
                  <w:pPr>
                    <w:pStyle w:val="16"/>
                    <w:jc w:val="center"/>
                    <w:rPr>
                      <w:rFonts w:hint="eastAsia" w:ascii="Times New Roman" w:hAnsi="宋体" w:cs="Times New Roman"/>
                      <w:bCs/>
                      <w:color w:val="auto"/>
                      <w:sz w:val="21"/>
                      <w:szCs w:val="21"/>
                      <w:highlight w:val="none"/>
                    </w:rPr>
                  </w:pPr>
                </w:p>
              </w:tc>
              <w:tc>
                <w:tcPr>
                  <w:tcW w:w="1470" w:type="dxa"/>
                  <w:noWrap w:val="0"/>
                  <w:vAlign w:val="center"/>
                </w:tcPr>
                <w:p w14:paraId="3AE22B2D">
                  <w:pPr>
                    <w:pStyle w:val="16"/>
                    <w:jc w:val="center"/>
                    <w:rPr>
                      <w:rFonts w:hint="eastAsia" w:ascii="Times New Roman" w:hAnsi="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w:t>
                  </w:r>
                </w:p>
              </w:tc>
              <w:tc>
                <w:tcPr>
                  <w:tcW w:w="945" w:type="dxa"/>
                  <w:noWrap w:val="0"/>
                  <w:vAlign w:val="center"/>
                </w:tcPr>
                <w:p w14:paraId="2E470605">
                  <w:pPr>
                    <w:pStyle w:val="16"/>
                    <w:jc w:val="center"/>
                    <w:rPr>
                      <w:rFonts w:hint="eastAsia" w:ascii="Times New Roman" w:hAnsi="宋体" w:eastAsia="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固体</w:t>
                  </w:r>
                </w:p>
              </w:tc>
              <w:tc>
                <w:tcPr>
                  <w:tcW w:w="1459" w:type="dxa"/>
                  <w:noWrap w:val="0"/>
                  <w:vAlign w:val="center"/>
                </w:tcPr>
                <w:p w14:paraId="04186510">
                  <w:pPr>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无</w:t>
                  </w:r>
                </w:p>
              </w:tc>
              <w:tc>
                <w:tcPr>
                  <w:tcW w:w="1155" w:type="dxa"/>
                  <w:noWrap w:val="0"/>
                  <w:vAlign w:val="center"/>
                </w:tcPr>
                <w:p w14:paraId="35787605">
                  <w:pPr>
                    <w:pStyle w:val="16"/>
                    <w:jc w:val="center"/>
                    <w:rPr>
                      <w:rFonts w:hint="default" w:ascii="Times New Roman" w:hAnsi="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0.01</w:t>
                  </w:r>
                </w:p>
              </w:tc>
              <w:tc>
                <w:tcPr>
                  <w:tcW w:w="1365" w:type="dxa"/>
                  <w:noWrap w:val="0"/>
                  <w:vAlign w:val="center"/>
                </w:tcPr>
                <w:p w14:paraId="1C3F77D7">
                  <w:pPr>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固废间</w:t>
                  </w:r>
                </w:p>
              </w:tc>
              <w:tc>
                <w:tcPr>
                  <w:tcW w:w="1515" w:type="dxa"/>
                  <w:vMerge w:val="continue"/>
                  <w:noWrap w:val="0"/>
                  <w:vAlign w:val="center"/>
                </w:tcPr>
                <w:p w14:paraId="31F83391">
                  <w:pPr>
                    <w:pStyle w:val="16"/>
                    <w:jc w:val="center"/>
                    <w:rPr>
                      <w:rFonts w:hint="eastAsia" w:ascii="Times New Roman" w:hAnsi="宋体" w:cs="Times New Roman"/>
                      <w:bCs/>
                      <w:color w:val="auto"/>
                      <w:sz w:val="21"/>
                      <w:szCs w:val="21"/>
                      <w:highlight w:val="none"/>
                    </w:rPr>
                  </w:pPr>
                </w:p>
              </w:tc>
              <w:tc>
                <w:tcPr>
                  <w:tcW w:w="1110" w:type="dxa"/>
                  <w:noWrap w:val="0"/>
                  <w:vAlign w:val="center"/>
                </w:tcPr>
                <w:p w14:paraId="600335B2">
                  <w:pPr>
                    <w:pStyle w:val="16"/>
                    <w:jc w:val="center"/>
                    <w:rPr>
                      <w:rFonts w:hint="eastAsia" w:ascii="Times New Roman" w:hAnsi="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0.01</w:t>
                  </w:r>
                </w:p>
              </w:tc>
              <w:tc>
                <w:tcPr>
                  <w:tcW w:w="1110" w:type="dxa"/>
                  <w:noWrap w:val="0"/>
                  <w:vAlign w:val="center"/>
                </w:tcPr>
                <w:p w14:paraId="2D0F691A">
                  <w:pPr>
                    <w:jc w:val="center"/>
                    <w:rPr>
                      <w:rFonts w:hint="eastAsia" w:ascii="Times New Roman" w:hAnsi="宋体" w:cs="Times New Roman"/>
                      <w:bCs/>
                      <w:color w:val="auto"/>
                      <w:sz w:val="21"/>
                      <w:szCs w:val="21"/>
                      <w:highlight w:val="none"/>
                    </w:rPr>
                  </w:pPr>
                  <w:r>
                    <w:rPr>
                      <w:rFonts w:hint="eastAsia" w:ascii="Times New Roman" w:hAnsi="宋体" w:cs="Times New Roman"/>
                      <w:bCs/>
                      <w:color w:val="auto"/>
                      <w:sz w:val="21"/>
                      <w:szCs w:val="21"/>
                      <w:highlight w:val="none"/>
                    </w:rPr>
                    <w:t>不外排</w:t>
                  </w:r>
                </w:p>
              </w:tc>
            </w:tr>
            <w:tr w14:paraId="43CA2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 w:type="dxa"/>
                  <w:noWrap w:val="0"/>
                  <w:vAlign w:val="center"/>
                </w:tcPr>
                <w:p w14:paraId="176AF391">
                  <w:pPr>
                    <w:pStyle w:val="16"/>
                    <w:jc w:val="center"/>
                    <w:rPr>
                      <w:rFonts w:hint="default" w:ascii="Times New Roman" w:hAnsi="宋体" w:eastAsia="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8</w:t>
                  </w:r>
                </w:p>
              </w:tc>
              <w:tc>
                <w:tcPr>
                  <w:tcW w:w="1386" w:type="dxa"/>
                  <w:noWrap w:val="0"/>
                  <w:vAlign w:val="center"/>
                </w:tcPr>
                <w:p w14:paraId="4F59A7E6">
                  <w:pPr>
                    <w:pStyle w:val="16"/>
                    <w:jc w:val="center"/>
                    <w:rPr>
                      <w:rFonts w:hint="eastAsia" w:ascii="Times New Roman" w:hAnsi="宋体" w:cs="Times New Roman"/>
                      <w:bCs/>
                      <w:color w:val="auto"/>
                      <w:sz w:val="21"/>
                      <w:szCs w:val="21"/>
                      <w:highlight w:val="none"/>
                    </w:rPr>
                  </w:pPr>
                  <w:r>
                    <w:rPr>
                      <w:rFonts w:hint="eastAsia" w:ascii="Times New Roman" w:hAnsi="宋体" w:cs="Times New Roman"/>
                      <w:bCs/>
                      <w:color w:val="auto"/>
                      <w:sz w:val="21"/>
                      <w:szCs w:val="21"/>
                      <w:highlight w:val="none"/>
                    </w:rPr>
                    <w:t>员工办公</w:t>
                  </w:r>
                </w:p>
              </w:tc>
              <w:tc>
                <w:tcPr>
                  <w:tcW w:w="1239" w:type="dxa"/>
                  <w:noWrap w:val="0"/>
                  <w:vAlign w:val="center"/>
                </w:tcPr>
                <w:p w14:paraId="63942EF6">
                  <w:pPr>
                    <w:pStyle w:val="16"/>
                    <w:jc w:val="center"/>
                    <w:rPr>
                      <w:rFonts w:hint="eastAsia" w:ascii="Times New Roman" w:hAnsi="宋体" w:cs="Times New Roman"/>
                      <w:bCs/>
                      <w:color w:val="auto"/>
                      <w:sz w:val="21"/>
                      <w:szCs w:val="21"/>
                      <w:highlight w:val="none"/>
                    </w:rPr>
                  </w:pPr>
                  <w:r>
                    <w:rPr>
                      <w:rFonts w:hint="eastAsia" w:ascii="Times New Roman" w:hAnsi="宋体" w:cs="Times New Roman"/>
                      <w:bCs/>
                      <w:color w:val="auto"/>
                      <w:sz w:val="21"/>
                      <w:szCs w:val="21"/>
                      <w:highlight w:val="none"/>
                    </w:rPr>
                    <w:t>生活垃圾</w:t>
                  </w:r>
                </w:p>
              </w:tc>
              <w:tc>
                <w:tcPr>
                  <w:tcW w:w="945" w:type="dxa"/>
                  <w:vMerge w:val="continue"/>
                  <w:noWrap w:val="0"/>
                  <w:vAlign w:val="center"/>
                </w:tcPr>
                <w:p w14:paraId="174D4E5D">
                  <w:pPr>
                    <w:pStyle w:val="16"/>
                    <w:jc w:val="center"/>
                    <w:rPr>
                      <w:rFonts w:hint="eastAsia" w:ascii="Times New Roman" w:hAnsi="宋体" w:cs="Times New Roman"/>
                      <w:bCs/>
                      <w:color w:val="auto"/>
                      <w:sz w:val="21"/>
                      <w:szCs w:val="21"/>
                      <w:highlight w:val="none"/>
                    </w:rPr>
                  </w:pPr>
                </w:p>
              </w:tc>
              <w:tc>
                <w:tcPr>
                  <w:tcW w:w="1470" w:type="dxa"/>
                  <w:noWrap w:val="0"/>
                  <w:vAlign w:val="center"/>
                </w:tcPr>
                <w:p w14:paraId="3270047A">
                  <w:pPr>
                    <w:pStyle w:val="16"/>
                    <w:jc w:val="center"/>
                    <w:rPr>
                      <w:rFonts w:hint="eastAsia" w:ascii="Times New Roman" w:hAnsi="宋体" w:eastAsia="宋体" w:cs="Times New Roman"/>
                      <w:bCs/>
                      <w:color w:val="auto"/>
                      <w:sz w:val="21"/>
                      <w:szCs w:val="21"/>
                      <w:highlight w:val="none"/>
                      <w:lang w:eastAsia="zh-CN"/>
                    </w:rPr>
                  </w:pPr>
                  <w:r>
                    <w:rPr>
                      <w:rFonts w:hint="eastAsia" w:ascii="Times New Roman" w:hAnsi="宋体" w:cs="Times New Roman"/>
                      <w:bCs/>
                      <w:color w:val="auto"/>
                      <w:sz w:val="21"/>
                      <w:szCs w:val="21"/>
                      <w:highlight w:val="none"/>
                      <w:lang w:val="en-US" w:eastAsia="zh-CN"/>
                    </w:rPr>
                    <w:t>/</w:t>
                  </w:r>
                </w:p>
              </w:tc>
              <w:tc>
                <w:tcPr>
                  <w:tcW w:w="945" w:type="dxa"/>
                  <w:noWrap w:val="0"/>
                  <w:vAlign w:val="center"/>
                </w:tcPr>
                <w:p w14:paraId="442F6F13">
                  <w:pPr>
                    <w:pStyle w:val="16"/>
                    <w:jc w:val="center"/>
                    <w:rPr>
                      <w:rFonts w:hint="eastAsia" w:ascii="Times New Roman" w:hAnsi="宋体" w:cs="Times New Roman"/>
                      <w:bCs/>
                      <w:color w:val="auto"/>
                      <w:sz w:val="21"/>
                      <w:szCs w:val="21"/>
                      <w:highlight w:val="none"/>
                    </w:rPr>
                  </w:pPr>
                  <w:r>
                    <w:rPr>
                      <w:rFonts w:hint="eastAsia" w:ascii="Times New Roman" w:hAnsi="宋体" w:cs="Times New Roman"/>
                      <w:bCs/>
                      <w:color w:val="auto"/>
                      <w:sz w:val="21"/>
                      <w:szCs w:val="21"/>
                      <w:highlight w:val="none"/>
                    </w:rPr>
                    <w:t>固体</w:t>
                  </w:r>
                </w:p>
              </w:tc>
              <w:tc>
                <w:tcPr>
                  <w:tcW w:w="1459" w:type="dxa"/>
                  <w:noWrap w:val="0"/>
                  <w:vAlign w:val="center"/>
                </w:tcPr>
                <w:p w14:paraId="263BB639">
                  <w:pPr>
                    <w:pStyle w:val="16"/>
                    <w:jc w:val="center"/>
                    <w:rPr>
                      <w:rFonts w:hint="eastAsia" w:ascii="Times New Roman" w:hAnsi="宋体" w:cs="Times New Roman"/>
                      <w:bCs/>
                      <w:color w:val="auto"/>
                      <w:sz w:val="21"/>
                      <w:szCs w:val="21"/>
                      <w:highlight w:val="none"/>
                    </w:rPr>
                  </w:pPr>
                  <w:r>
                    <w:rPr>
                      <w:rFonts w:hint="default" w:ascii="Times New Roman" w:hAnsi="Times New Roman" w:cs="Times New Roman"/>
                      <w:color w:val="auto"/>
                      <w:kern w:val="0"/>
                      <w:sz w:val="21"/>
                      <w:szCs w:val="21"/>
                      <w:highlight w:val="none"/>
                      <w:lang w:bidi="ar"/>
                    </w:rPr>
                    <w:t>无</w:t>
                  </w:r>
                </w:p>
              </w:tc>
              <w:tc>
                <w:tcPr>
                  <w:tcW w:w="1155" w:type="dxa"/>
                  <w:noWrap w:val="0"/>
                  <w:vAlign w:val="center"/>
                </w:tcPr>
                <w:p w14:paraId="18148162">
                  <w:pPr>
                    <w:pStyle w:val="16"/>
                    <w:jc w:val="center"/>
                    <w:rPr>
                      <w:rFonts w:hint="default" w:ascii="Times New Roman" w:hAnsi="宋体" w:eastAsia="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32.85</w:t>
                  </w:r>
                </w:p>
              </w:tc>
              <w:tc>
                <w:tcPr>
                  <w:tcW w:w="1365" w:type="dxa"/>
                  <w:noWrap w:val="0"/>
                  <w:vAlign w:val="center"/>
                </w:tcPr>
                <w:p w14:paraId="7678B63F">
                  <w:pPr>
                    <w:pStyle w:val="16"/>
                    <w:jc w:val="center"/>
                    <w:rPr>
                      <w:rFonts w:hint="eastAsia" w:ascii="Times New Roman" w:hAnsi="宋体" w:cs="Times New Roman"/>
                      <w:bCs/>
                      <w:color w:val="auto"/>
                      <w:sz w:val="21"/>
                      <w:szCs w:val="21"/>
                      <w:highlight w:val="none"/>
                    </w:rPr>
                  </w:pPr>
                  <w:r>
                    <w:rPr>
                      <w:rFonts w:hint="eastAsia" w:eastAsia="宋体"/>
                      <w:color w:val="auto"/>
                      <w:sz w:val="21"/>
                      <w:szCs w:val="21"/>
                      <w:highlight w:val="none"/>
                    </w:rPr>
                    <w:t>生活垃圾收集点</w:t>
                  </w:r>
                </w:p>
              </w:tc>
              <w:tc>
                <w:tcPr>
                  <w:tcW w:w="1515" w:type="dxa"/>
                  <w:noWrap w:val="0"/>
                  <w:vAlign w:val="center"/>
                </w:tcPr>
                <w:p w14:paraId="613EA072">
                  <w:pPr>
                    <w:pStyle w:val="16"/>
                    <w:jc w:val="center"/>
                    <w:rPr>
                      <w:rFonts w:hint="eastAsia" w:ascii="Times New Roman" w:hAnsi="宋体" w:cs="Times New Roman"/>
                      <w:bCs/>
                      <w:color w:val="auto"/>
                      <w:sz w:val="21"/>
                      <w:szCs w:val="21"/>
                      <w:highlight w:val="none"/>
                    </w:rPr>
                  </w:pPr>
                  <w:r>
                    <w:rPr>
                      <w:rFonts w:hint="eastAsia" w:ascii="Times New Roman" w:hAnsi="宋体" w:cs="Times New Roman"/>
                      <w:bCs/>
                      <w:color w:val="auto"/>
                      <w:sz w:val="21"/>
                      <w:szCs w:val="21"/>
                      <w:highlight w:val="none"/>
                    </w:rPr>
                    <w:t>由环卫部门集中清运</w:t>
                  </w:r>
                </w:p>
              </w:tc>
              <w:tc>
                <w:tcPr>
                  <w:tcW w:w="1110" w:type="dxa"/>
                  <w:noWrap w:val="0"/>
                  <w:vAlign w:val="center"/>
                </w:tcPr>
                <w:p w14:paraId="30B65C6E">
                  <w:pPr>
                    <w:pStyle w:val="16"/>
                    <w:jc w:val="center"/>
                    <w:rPr>
                      <w:rFonts w:hint="default" w:ascii="Times New Roman" w:hAnsi="宋体" w:eastAsia="宋体" w:cs="Times New Roman"/>
                      <w:bCs/>
                      <w:color w:val="auto"/>
                      <w:sz w:val="21"/>
                      <w:szCs w:val="21"/>
                      <w:highlight w:val="none"/>
                      <w:lang w:val="en-US" w:eastAsia="zh-CN"/>
                    </w:rPr>
                  </w:pPr>
                  <w:r>
                    <w:rPr>
                      <w:rFonts w:hint="eastAsia" w:ascii="Times New Roman" w:hAnsi="宋体" w:cs="Times New Roman"/>
                      <w:bCs/>
                      <w:color w:val="auto"/>
                      <w:sz w:val="21"/>
                      <w:szCs w:val="21"/>
                      <w:highlight w:val="none"/>
                      <w:lang w:val="en-US" w:eastAsia="zh-CN"/>
                    </w:rPr>
                    <w:t>60</w:t>
                  </w:r>
                </w:p>
              </w:tc>
              <w:tc>
                <w:tcPr>
                  <w:tcW w:w="1110" w:type="dxa"/>
                  <w:noWrap w:val="0"/>
                  <w:vAlign w:val="center"/>
                </w:tcPr>
                <w:p w14:paraId="2A925FB6">
                  <w:pPr>
                    <w:pStyle w:val="16"/>
                    <w:jc w:val="center"/>
                    <w:rPr>
                      <w:rFonts w:hint="eastAsia" w:ascii="Times New Roman" w:hAnsi="宋体" w:cs="Times New Roman"/>
                      <w:bCs/>
                      <w:color w:val="auto"/>
                      <w:sz w:val="21"/>
                      <w:szCs w:val="21"/>
                      <w:highlight w:val="none"/>
                    </w:rPr>
                  </w:pPr>
                  <w:r>
                    <w:rPr>
                      <w:rFonts w:hint="eastAsia" w:ascii="Times New Roman" w:hAnsi="宋体" w:cs="Times New Roman"/>
                      <w:bCs/>
                      <w:color w:val="auto"/>
                      <w:sz w:val="21"/>
                      <w:szCs w:val="21"/>
                      <w:highlight w:val="none"/>
                    </w:rPr>
                    <w:t>不外排</w:t>
                  </w:r>
                </w:p>
              </w:tc>
            </w:tr>
          </w:tbl>
          <w:p w14:paraId="4F0D8FBF">
            <w:pPr>
              <w:adjustRightInd w:val="0"/>
              <w:snapToGrid w:val="0"/>
              <w:spacing w:line="360" w:lineRule="auto"/>
              <w:rPr>
                <w:color w:val="auto"/>
                <w:highlight w:val="none"/>
              </w:rPr>
            </w:pPr>
          </w:p>
          <w:p w14:paraId="5BA2528A">
            <w:pPr>
              <w:rPr>
                <w:color w:val="auto"/>
                <w:highlight w:val="none"/>
              </w:rPr>
            </w:pPr>
          </w:p>
          <w:p w14:paraId="01F70561">
            <w:pPr>
              <w:rPr>
                <w:color w:val="auto"/>
                <w:highlight w:val="none"/>
              </w:rPr>
            </w:pPr>
          </w:p>
          <w:p w14:paraId="0DFB27E9">
            <w:pPr>
              <w:pStyle w:val="30"/>
              <w:rPr>
                <w:color w:val="auto"/>
                <w:highlight w:val="none"/>
              </w:rPr>
            </w:pPr>
          </w:p>
          <w:p w14:paraId="3029C848">
            <w:pPr>
              <w:pStyle w:val="29"/>
              <w:rPr>
                <w:color w:val="auto"/>
                <w:highlight w:val="none"/>
              </w:rPr>
            </w:pPr>
          </w:p>
          <w:p w14:paraId="47410B5E">
            <w:pPr>
              <w:pStyle w:val="29"/>
              <w:ind w:left="0" w:leftChars="0" w:firstLine="0" w:firstLineChars="0"/>
              <w:rPr>
                <w:color w:val="auto"/>
                <w:highlight w:val="none"/>
              </w:rPr>
            </w:pPr>
          </w:p>
          <w:p w14:paraId="735A4CE4">
            <w:pPr>
              <w:rPr>
                <w:color w:val="auto"/>
                <w:highlight w:val="none"/>
              </w:rPr>
            </w:pPr>
          </w:p>
          <w:p w14:paraId="635B8B0B">
            <w:pPr>
              <w:rPr>
                <w:color w:val="auto"/>
                <w:highlight w:val="none"/>
              </w:rPr>
            </w:pPr>
          </w:p>
          <w:p w14:paraId="769B3DE4">
            <w:pPr>
              <w:rPr>
                <w:color w:val="auto"/>
                <w:highlight w:val="none"/>
              </w:rPr>
            </w:pPr>
          </w:p>
          <w:p w14:paraId="695E6F21">
            <w:pPr>
              <w:rPr>
                <w:color w:val="auto"/>
                <w:highlight w:val="none"/>
              </w:rPr>
            </w:pPr>
          </w:p>
          <w:p w14:paraId="4A8BA75D">
            <w:pPr>
              <w:rPr>
                <w:color w:val="auto"/>
                <w:highlight w:val="none"/>
              </w:rPr>
            </w:pPr>
          </w:p>
          <w:p w14:paraId="6700CBBD">
            <w:pPr>
              <w:rPr>
                <w:color w:val="auto"/>
                <w:highlight w:val="none"/>
              </w:rPr>
            </w:pPr>
          </w:p>
        </w:tc>
      </w:tr>
    </w:tbl>
    <w:p w14:paraId="0397C991">
      <w:pPr>
        <w:adjustRightInd w:val="0"/>
        <w:snapToGrid w:val="0"/>
        <w:spacing w:line="360" w:lineRule="auto"/>
        <w:rPr>
          <w:b/>
          <w:color w:val="auto"/>
          <w:kern w:val="0"/>
          <w:sz w:val="28"/>
          <w:szCs w:val="28"/>
          <w:highlight w:val="none"/>
        </w:rPr>
        <w:sectPr>
          <w:pgSz w:w="16840" w:h="11907" w:orient="landscape"/>
          <w:pgMar w:top="1440" w:right="1080" w:bottom="1440" w:left="1080" w:header="851" w:footer="851" w:gutter="0"/>
          <w:pgBorders>
            <w:top w:val="none" w:sz="0" w:space="0"/>
            <w:left w:val="none" w:sz="0" w:space="0"/>
            <w:bottom w:val="none" w:sz="0" w:space="0"/>
            <w:right w:val="none" w:sz="0" w:space="0"/>
          </w:pgBorders>
          <w:cols w:space="720" w:num="1"/>
          <w:docGrid w:linePitch="312" w:charSpace="0"/>
        </w:sectPr>
      </w:pPr>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8162"/>
      </w:tblGrid>
      <w:tr w14:paraId="4D594D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746" w:type="dxa"/>
            <w:tcMar>
              <w:left w:w="28" w:type="dxa"/>
              <w:right w:w="28" w:type="dxa"/>
            </w:tcMar>
            <w:vAlign w:val="center"/>
          </w:tcPr>
          <w:p w14:paraId="3EB18899">
            <w:pPr>
              <w:adjustRightInd w:val="0"/>
              <w:snapToGrid w:val="0"/>
              <w:jc w:val="center"/>
              <w:rPr>
                <w:bCs/>
                <w:color w:val="auto"/>
                <w:sz w:val="24"/>
                <w:szCs w:val="24"/>
                <w:highlight w:val="none"/>
              </w:rPr>
            </w:pPr>
            <w:r>
              <w:rPr>
                <w:bCs/>
                <w:color w:val="auto"/>
                <w:sz w:val="24"/>
                <w:szCs w:val="24"/>
                <w:highlight w:val="none"/>
              </w:rPr>
              <w:t>运营</w:t>
            </w:r>
          </w:p>
          <w:p w14:paraId="24C6BA97">
            <w:pPr>
              <w:adjustRightInd w:val="0"/>
              <w:snapToGrid w:val="0"/>
              <w:jc w:val="center"/>
              <w:rPr>
                <w:bCs/>
                <w:color w:val="auto"/>
                <w:sz w:val="24"/>
                <w:szCs w:val="24"/>
                <w:highlight w:val="none"/>
              </w:rPr>
            </w:pPr>
            <w:r>
              <w:rPr>
                <w:bCs/>
                <w:color w:val="auto"/>
                <w:sz w:val="24"/>
                <w:szCs w:val="24"/>
                <w:highlight w:val="none"/>
              </w:rPr>
              <w:t>期环</w:t>
            </w:r>
          </w:p>
          <w:p w14:paraId="706A7938">
            <w:pPr>
              <w:adjustRightInd w:val="0"/>
              <w:snapToGrid w:val="0"/>
              <w:jc w:val="center"/>
              <w:rPr>
                <w:bCs/>
                <w:color w:val="auto"/>
                <w:sz w:val="24"/>
                <w:szCs w:val="24"/>
                <w:highlight w:val="none"/>
              </w:rPr>
            </w:pPr>
            <w:r>
              <w:rPr>
                <w:bCs/>
                <w:color w:val="auto"/>
                <w:sz w:val="24"/>
                <w:szCs w:val="24"/>
                <w:highlight w:val="none"/>
              </w:rPr>
              <w:t>境影</w:t>
            </w:r>
          </w:p>
          <w:p w14:paraId="3361245C">
            <w:pPr>
              <w:adjustRightInd w:val="0"/>
              <w:snapToGrid w:val="0"/>
              <w:jc w:val="center"/>
              <w:rPr>
                <w:bCs/>
                <w:color w:val="auto"/>
                <w:sz w:val="24"/>
                <w:szCs w:val="24"/>
                <w:highlight w:val="none"/>
              </w:rPr>
            </w:pPr>
            <w:r>
              <w:rPr>
                <w:bCs/>
                <w:color w:val="auto"/>
                <w:sz w:val="24"/>
                <w:szCs w:val="24"/>
                <w:highlight w:val="none"/>
              </w:rPr>
              <w:t>响和</w:t>
            </w:r>
          </w:p>
          <w:p w14:paraId="043F5A4D">
            <w:pPr>
              <w:adjustRightInd w:val="0"/>
              <w:snapToGrid w:val="0"/>
              <w:jc w:val="center"/>
              <w:rPr>
                <w:bCs/>
                <w:color w:val="auto"/>
                <w:sz w:val="24"/>
                <w:szCs w:val="24"/>
                <w:highlight w:val="none"/>
              </w:rPr>
            </w:pPr>
            <w:r>
              <w:rPr>
                <w:bCs/>
                <w:color w:val="auto"/>
                <w:sz w:val="24"/>
                <w:szCs w:val="24"/>
                <w:highlight w:val="none"/>
              </w:rPr>
              <w:t>保护</w:t>
            </w:r>
          </w:p>
          <w:p w14:paraId="691C1CDE">
            <w:pPr>
              <w:adjustRightInd w:val="0"/>
              <w:snapToGrid w:val="0"/>
              <w:jc w:val="center"/>
              <w:rPr>
                <w:bCs/>
                <w:color w:val="auto"/>
                <w:szCs w:val="21"/>
                <w:highlight w:val="none"/>
              </w:rPr>
            </w:pPr>
            <w:r>
              <w:rPr>
                <w:bCs/>
                <w:color w:val="auto"/>
                <w:sz w:val="24"/>
                <w:szCs w:val="24"/>
                <w:highlight w:val="none"/>
              </w:rPr>
              <w:t>措施</w:t>
            </w:r>
          </w:p>
        </w:tc>
        <w:tc>
          <w:tcPr>
            <w:tcW w:w="8162" w:type="dxa"/>
            <w:vAlign w:val="center"/>
          </w:tcPr>
          <w:p w14:paraId="11B1E040">
            <w:pPr>
              <w:shd w:val="clear"/>
              <w:adjustRightInd w:val="0"/>
              <w:snapToGrid w:val="0"/>
              <w:spacing w:line="360" w:lineRule="auto"/>
              <w:ind w:firstLine="482" w:firstLineChars="200"/>
              <w:rPr>
                <w:rFonts w:hint="default" w:eastAsia="宋体"/>
                <w:b/>
                <w:color w:val="auto"/>
                <w:sz w:val="24"/>
                <w:szCs w:val="21"/>
                <w:highlight w:val="none"/>
                <w:lang w:val="en-US" w:eastAsia="zh-CN"/>
              </w:rPr>
            </w:pPr>
            <w:r>
              <w:rPr>
                <w:rFonts w:hint="eastAsia"/>
                <w:b/>
                <w:color w:val="auto"/>
                <w:sz w:val="24"/>
                <w:szCs w:val="21"/>
                <w:highlight w:val="none"/>
              </w:rPr>
              <w:t>5</w:t>
            </w:r>
            <w:r>
              <w:rPr>
                <w:rFonts w:hint="eastAsia"/>
                <w:b/>
                <w:color w:val="auto"/>
                <w:sz w:val="24"/>
                <w:szCs w:val="21"/>
                <w:highlight w:val="none"/>
                <w:lang w:eastAsia="zh-CN"/>
              </w:rPr>
              <w:t>、</w:t>
            </w:r>
            <w:r>
              <w:rPr>
                <w:rFonts w:hint="eastAsia"/>
                <w:b/>
                <w:color w:val="auto"/>
                <w:sz w:val="24"/>
                <w:szCs w:val="21"/>
                <w:highlight w:val="none"/>
              </w:rPr>
              <w:t>地下水</w:t>
            </w:r>
            <w:r>
              <w:rPr>
                <w:rFonts w:hint="eastAsia"/>
                <w:b/>
                <w:color w:val="auto"/>
                <w:sz w:val="24"/>
                <w:szCs w:val="21"/>
                <w:highlight w:val="none"/>
                <w:lang w:eastAsia="zh-CN"/>
              </w:rPr>
              <w:t>、</w:t>
            </w:r>
            <w:r>
              <w:rPr>
                <w:rFonts w:hint="eastAsia"/>
                <w:b/>
                <w:color w:val="auto"/>
                <w:sz w:val="24"/>
                <w:szCs w:val="21"/>
                <w:highlight w:val="none"/>
                <w:lang w:val="en-US" w:eastAsia="zh-CN"/>
              </w:rPr>
              <w:t>土壤</w:t>
            </w:r>
          </w:p>
          <w:p w14:paraId="0395A2B6">
            <w:pPr>
              <w:shd w:val="clear"/>
              <w:adjustRightInd w:val="0"/>
              <w:snapToGrid w:val="0"/>
              <w:spacing w:line="360" w:lineRule="auto"/>
              <w:ind w:firstLine="480" w:firstLineChars="200"/>
              <w:rPr>
                <w:color w:val="auto"/>
                <w:sz w:val="24"/>
                <w:szCs w:val="21"/>
                <w:highlight w:val="none"/>
              </w:rPr>
            </w:pPr>
            <w:r>
              <w:rPr>
                <w:rFonts w:hint="eastAsia" w:cs="Times New Roman"/>
                <w:sz w:val="24"/>
                <w:szCs w:val="24"/>
                <w:highlight w:val="none"/>
                <w:lang w:val="en-US" w:eastAsia="zh-CN"/>
              </w:rPr>
              <w:t>项目</w:t>
            </w:r>
            <w:r>
              <w:rPr>
                <w:rFonts w:ascii="Times New Roman" w:hAnsi="Times New Roman" w:eastAsia="宋体" w:cs="Times New Roman"/>
                <w:sz w:val="24"/>
                <w:szCs w:val="24"/>
                <w:highlight w:val="none"/>
              </w:rPr>
              <w:t>生产车间均硬底化及防渗处理，不与</w:t>
            </w:r>
            <w:r>
              <w:rPr>
                <w:rFonts w:hint="eastAsia" w:ascii="Times New Roman" w:hAnsi="Times New Roman" w:cs="Times New Roman"/>
                <w:sz w:val="24"/>
                <w:szCs w:val="24"/>
                <w:highlight w:val="none"/>
                <w:lang w:val="en-US" w:eastAsia="zh-CN"/>
              </w:rPr>
              <w:t>地下水</w:t>
            </w:r>
            <w:r>
              <w:rPr>
                <w:rFonts w:hint="eastAsia" w:cs="Times New Roman"/>
                <w:sz w:val="24"/>
                <w:szCs w:val="24"/>
                <w:highlight w:val="none"/>
                <w:lang w:val="en-US" w:eastAsia="zh-CN"/>
              </w:rPr>
              <w:t>、土壤</w:t>
            </w:r>
            <w:r>
              <w:rPr>
                <w:rFonts w:ascii="Times New Roman" w:hAnsi="Times New Roman" w:eastAsia="宋体" w:cs="Times New Roman"/>
                <w:sz w:val="24"/>
                <w:szCs w:val="24"/>
                <w:highlight w:val="none"/>
              </w:rPr>
              <w:t>直接接触。生产过程中对废气</w:t>
            </w:r>
            <w:r>
              <w:rPr>
                <w:rFonts w:hint="eastAsia" w:cs="Times New Roman"/>
                <w:sz w:val="24"/>
                <w:szCs w:val="24"/>
                <w:highlight w:val="none"/>
                <w:lang w:eastAsia="zh-CN"/>
              </w:rPr>
              <w:t>、</w:t>
            </w:r>
            <w:r>
              <w:rPr>
                <w:rFonts w:hint="eastAsia" w:cs="Times New Roman"/>
                <w:sz w:val="24"/>
                <w:szCs w:val="24"/>
                <w:highlight w:val="none"/>
                <w:lang w:val="en-US" w:eastAsia="zh-CN"/>
              </w:rPr>
              <w:t>废水</w:t>
            </w:r>
            <w:r>
              <w:rPr>
                <w:rFonts w:ascii="Times New Roman" w:hAnsi="Times New Roman" w:eastAsia="宋体" w:cs="Times New Roman"/>
                <w:sz w:val="24"/>
                <w:szCs w:val="24"/>
                <w:highlight w:val="none"/>
              </w:rPr>
              <w:t>等污染源能做到</w:t>
            </w:r>
            <w:r>
              <w:rPr>
                <w:rFonts w:ascii="Times New Roman" w:hAnsi="Times New Roman" w:eastAsia="宋体" w:cs="Times New Roman"/>
                <w:kern w:val="0"/>
                <w:sz w:val="24"/>
                <w:szCs w:val="24"/>
                <w:highlight w:val="none"/>
              </w:rPr>
              <w:t>防扬撒、防流失、防渗漏</w:t>
            </w:r>
            <w:r>
              <w:rPr>
                <w:rFonts w:ascii="Times New Roman" w:hAnsi="Times New Roman" w:eastAsia="宋体" w:cs="Times New Roman"/>
                <w:sz w:val="24"/>
                <w:szCs w:val="24"/>
                <w:highlight w:val="none"/>
              </w:rPr>
              <w:t>。采取相应的防渗措施并加强管理、定期检测防渗设施的基础上，</w:t>
            </w:r>
            <w:r>
              <w:rPr>
                <w:rFonts w:hint="eastAsia" w:cs="Times New Roman"/>
                <w:sz w:val="24"/>
                <w:szCs w:val="24"/>
                <w:highlight w:val="none"/>
                <w:lang w:val="en-US" w:eastAsia="zh-CN"/>
              </w:rPr>
              <w:t>本项目</w:t>
            </w:r>
            <w:r>
              <w:rPr>
                <w:rFonts w:ascii="Times New Roman" w:hAnsi="Times New Roman" w:eastAsia="宋体" w:cs="Times New Roman"/>
                <w:sz w:val="24"/>
                <w:szCs w:val="24"/>
                <w:highlight w:val="none"/>
              </w:rPr>
              <w:t>有效切断了地下水</w:t>
            </w:r>
            <w:r>
              <w:rPr>
                <w:rFonts w:hint="eastAsia" w:cs="Times New Roman"/>
                <w:sz w:val="24"/>
                <w:szCs w:val="24"/>
                <w:highlight w:val="none"/>
                <w:lang w:eastAsia="zh-CN"/>
              </w:rPr>
              <w:t>、</w:t>
            </w:r>
            <w:r>
              <w:rPr>
                <w:rFonts w:hint="eastAsia" w:cs="Times New Roman"/>
                <w:sz w:val="24"/>
                <w:szCs w:val="24"/>
                <w:highlight w:val="none"/>
                <w:lang w:val="en-US" w:eastAsia="zh-CN"/>
              </w:rPr>
              <w:t>土壤</w:t>
            </w:r>
            <w:r>
              <w:rPr>
                <w:rFonts w:ascii="Times New Roman" w:hAnsi="Times New Roman" w:eastAsia="宋体" w:cs="Times New Roman"/>
                <w:sz w:val="24"/>
                <w:szCs w:val="24"/>
                <w:highlight w:val="none"/>
              </w:rPr>
              <w:t>污染途径，对地下水</w:t>
            </w:r>
            <w:r>
              <w:rPr>
                <w:rFonts w:hint="eastAsia" w:cs="Times New Roman"/>
                <w:sz w:val="24"/>
                <w:szCs w:val="24"/>
                <w:highlight w:val="none"/>
                <w:lang w:val="en-US" w:eastAsia="zh-CN"/>
              </w:rPr>
              <w:t>及土壤</w:t>
            </w:r>
            <w:r>
              <w:rPr>
                <w:rFonts w:ascii="Times New Roman" w:hAnsi="Times New Roman" w:eastAsia="宋体" w:cs="Times New Roman"/>
                <w:sz w:val="24"/>
                <w:szCs w:val="24"/>
                <w:highlight w:val="none"/>
              </w:rPr>
              <w:t>环境影响轻微，可以接受</w:t>
            </w:r>
            <w:r>
              <w:rPr>
                <w:rFonts w:hint="eastAsia"/>
                <w:color w:val="auto"/>
                <w:sz w:val="24"/>
                <w:szCs w:val="21"/>
                <w:highlight w:val="none"/>
              </w:rPr>
              <w:t>。</w:t>
            </w:r>
          </w:p>
          <w:p w14:paraId="0ADA8CAB">
            <w:pPr>
              <w:shd w:val="clear"/>
              <w:adjustRightInd w:val="0"/>
              <w:snapToGrid w:val="0"/>
              <w:spacing w:line="360" w:lineRule="auto"/>
              <w:ind w:firstLine="482" w:firstLineChars="200"/>
              <w:rPr>
                <w:b/>
                <w:bCs w:val="0"/>
                <w:color w:val="auto"/>
                <w:sz w:val="24"/>
                <w:szCs w:val="21"/>
                <w:highlight w:val="none"/>
              </w:rPr>
            </w:pPr>
            <w:r>
              <w:rPr>
                <w:rFonts w:hint="eastAsia"/>
                <w:b/>
                <w:bCs w:val="0"/>
                <w:color w:val="auto"/>
                <w:sz w:val="24"/>
                <w:szCs w:val="21"/>
                <w:highlight w:val="none"/>
                <w:lang w:val="en-US" w:eastAsia="zh-CN"/>
              </w:rPr>
              <w:t>6</w:t>
            </w:r>
            <w:r>
              <w:rPr>
                <w:rFonts w:hint="eastAsia"/>
                <w:b/>
                <w:bCs w:val="0"/>
                <w:color w:val="auto"/>
                <w:sz w:val="24"/>
                <w:szCs w:val="21"/>
                <w:highlight w:val="none"/>
                <w:lang w:eastAsia="zh-CN"/>
              </w:rPr>
              <w:t>、</w:t>
            </w:r>
            <w:r>
              <w:rPr>
                <w:rFonts w:hint="eastAsia"/>
                <w:b/>
                <w:bCs w:val="0"/>
                <w:color w:val="auto"/>
                <w:sz w:val="24"/>
                <w:szCs w:val="21"/>
                <w:highlight w:val="none"/>
              </w:rPr>
              <w:t>生态</w:t>
            </w:r>
          </w:p>
          <w:p w14:paraId="35227538">
            <w:pPr>
              <w:shd w:val="clear"/>
              <w:adjustRightInd w:val="0"/>
              <w:snapToGrid w:val="0"/>
              <w:spacing w:line="360" w:lineRule="auto"/>
              <w:ind w:firstLine="480" w:firstLineChars="200"/>
              <w:rPr>
                <w:rFonts w:hint="eastAsia"/>
                <w:b w:val="0"/>
                <w:bCs/>
                <w:color w:val="auto"/>
                <w:sz w:val="24"/>
                <w:szCs w:val="21"/>
                <w:highlight w:val="none"/>
              </w:rPr>
            </w:pPr>
            <w:r>
              <w:rPr>
                <w:rFonts w:hint="eastAsia"/>
                <w:b w:val="0"/>
                <w:bCs/>
                <w:color w:val="auto"/>
                <w:sz w:val="24"/>
                <w:szCs w:val="21"/>
                <w:highlight w:val="none"/>
              </w:rPr>
              <w:t>本项目建设地点不涉及风景名胜、文物古迹、自然保护区、饮用水源保护区等需要特殊保护的环境敏感目标，评价区域内没有珍稀动植物。项目建成后，在各污染物达标排放基础上，加强绿化，对生态环境造成影响较小。</w:t>
            </w:r>
          </w:p>
          <w:p w14:paraId="5589F085">
            <w:pPr>
              <w:adjustRightInd w:val="0"/>
              <w:snapToGrid w:val="0"/>
              <w:spacing w:line="360" w:lineRule="auto"/>
              <w:ind w:firstLine="482" w:firstLineChars="200"/>
              <w:rPr>
                <w:b/>
                <w:color w:val="auto"/>
                <w:sz w:val="24"/>
                <w:szCs w:val="21"/>
                <w:highlight w:val="none"/>
              </w:rPr>
            </w:pPr>
            <w:r>
              <w:rPr>
                <w:rFonts w:hint="eastAsia"/>
                <w:b/>
                <w:color w:val="auto"/>
                <w:sz w:val="24"/>
                <w:szCs w:val="21"/>
                <w:highlight w:val="none"/>
              </w:rPr>
              <w:t>8</w:t>
            </w:r>
            <w:r>
              <w:rPr>
                <w:rFonts w:hint="eastAsia"/>
                <w:b/>
                <w:color w:val="auto"/>
                <w:sz w:val="24"/>
                <w:szCs w:val="21"/>
                <w:highlight w:val="none"/>
                <w:lang w:eastAsia="zh-CN"/>
              </w:rPr>
              <w:t>、</w:t>
            </w:r>
            <w:r>
              <w:rPr>
                <w:rFonts w:hint="eastAsia"/>
                <w:b/>
                <w:color w:val="auto"/>
                <w:sz w:val="24"/>
                <w:szCs w:val="21"/>
                <w:highlight w:val="none"/>
              </w:rPr>
              <w:t>环境风险</w:t>
            </w:r>
          </w:p>
          <w:p w14:paraId="4B46F601">
            <w:pPr>
              <w:spacing w:line="360" w:lineRule="auto"/>
              <w:ind w:firstLine="482" w:firstLineChars="200"/>
              <w:rPr>
                <w:b/>
                <w:bCs/>
                <w:color w:val="auto"/>
                <w:kern w:val="0"/>
                <w:sz w:val="24"/>
                <w:highlight w:val="none"/>
                <w:shd w:val="clear" w:color="auto" w:fill="FFFFFF"/>
              </w:rPr>
            </w:pPr>
            <w:r>
              <w:rPr>
                <w:rFonts w:hint="eastAsia" w:ascii="宋体" w:hAnsi="宋体"/>
                <w:b/>
                <w:bCs/>
                <w:color w:val="auto"/>
                <w:kern w:val="0"/>
                <w:sz w:val="24"/>
                <w:highlight w:val="none"/>
                <w:shd w:val="clear" w:color="auto" w:fill="FFFFFF"/>
              </w:rPr>
              <w:t>（1）环境风险评价的目的和重点</w:t>
            </w:r>
          </w:p>
          <w:p w14:paraId="4CC88EE1">
            <w:pPr>
              <w:spacing w:line="360" w:lineRule="auto"/>
              <w:ind w:firstLine="480" w:firstLineChars="200"/>
              <w:rPr>
                <w:color w:val="auto"/>
                <w:kern w:val="0"/>
                <w:sz w:val="24"/>
                <w:highlight w:val="none"/>
                <w:shd w:val="clear" w:color="auto" w:fill="FFFFFF"/>
              </w:rPr>
            </w:pPr>
            <w:r>
              <w:rPr>
                <w:rFonts w:hint="eastAsia" w:ascii="宋体" w:hAnsi="宋体"/>
                <w:color w:val="auto"/>
                <w:kern w:val="0"/>
                <w:sz w:val="24"/>
                <w:highlight w:val="none"/>
                <w:shd w:val="clear" w:color="auto" w:fill="FFFFFF"/>
              </w:rPr>
              <w:t>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环境风险评价应把事故引起厂界外人群的伤害、环境质量的恶化及对生态系统影响的预测和防护作为评价工作重点。</w:t>
            </w:r>
          </w:p>
          <w:p w14:paraId="4BC8D12D">
            <w:pPr>
              <w:spacing w:line="360" w:lineRule="auto"/>
              <w:ind w:firstLine="482" w:firstLineChars="200"/>
              <w:rPr>
                <w:b/>
                <w:bCs/>
                <w:color w:val="auto"/>
                <w:kern w:val="0"/>
                <w:sz w:val="24"/>
                <w:highlight w:val="none"/>
                <w:shd w:val="clear" w:color="auto" w:fill="FFFFFF"/>
              </w:rPr>
            </w:pPr>
            <w:r>
              <w:rPr>
                <w:b/>
                <w:bCs/>
                <w:color w:val="auto"/>
                <w:kern w:val="0"/>
                <w:sz w:val="24"/>
                <w:highlight w:val="none"/>
                <w:shd w:val="clear" w:color="auto" w:fill="FFFFFF"/>
              </w:rPr>
              <w:t>（2）风险调查</w:t>
            </w:r>
          </w:p>
          <w:p w14:paraId="7FDEC88B">
            <w:pPr>
              <w:spacing w:line="360" w:lineRule="auto"/>
              <w:ind w:firstLine="480" w:firstLineChars="200"/>
              <w:rPr>
                <w:color w:val="auto"/>
                <w:kern w:val="0"/>
                <w:sz w:val="24"/>
                <w:highlight w:val="none"/>
                <w:shd w:val="clear" w:color="auto" w:fill="FFFFFF"/>
              </w:rPr>
            </w:pPr>
            <w:r>
              <w:rPr>
                <w:rFonts w:hint="eastAsia"/>
                <w:color w:val="auto"/>
                <w:kern w:val="0"/>
                <w:sz w:val="24"/>
                <w:highlight w:val="none"/>
                <w:shd w:val="clear" w:color="auto" w:fill="FFFFFF"/>
              </w:rPr>
              <w:t>项目</w:t>
            </w:r>
            <w:r>
              <w:rPr>
                <w:rFonts w:hint="eastAsia"/>
                <w:color w:val="auto"/>
                <w:kern w:val="0"/>
                <w:sz w:val="24"/>
                <w:highlight w:val="none"/>
                <w:shd w:val="clear" w:color="auto" w:fill="FFFFFF"/>
                <w:lang w:val="en-US" w:eastAsia="zh-CN"/>
              </w:rPr>
              <w:t>机修产生的废润滑油</w:t>
            </w:r>
            <w:r>
              <w:rPr>
                <w:rFonts w:hint="eastAsia"/>
                <w:color w:val="auto"/>
                <w:kern w:val="0"/>
                <w:sz w:val="24"/>
                <w:highlight w:val="none"/>
                <w:shd w:val="clear" w:color="auto" w:fill="FFFFFF"/>
              </w:rPr>
              <w:t>属于矿物油类，属于《建设项目环境风险评价技术导则》（HJ169-2018）中“附录 B 重点关注的危险物质及临界量（表 B.1）”中的“油类物质（矿物油类，如石油、汽油、柴油等；生物柴油等）”</w:t>
            </w:r>
            <w:r>
              <w:rPr>
                <w:color w:val="auto"/>
                <w:kern w:val="0"/>
                <w:sz w:val="24"/>
                <w:highlight w:val="none"/>
                <w:shd w:val="clear" w:color="auto" w:fill="FFFFFF"/>
              </w:rPr>
              <w:t>。</w:t>
            </w:r>
          </w:p>
          <w:p w14:paraId="6C91671B">
            <w:pPr>
              <w:pStyle w:val="132"/>
              <w:shd w:val="clear" w:color="auto" w:fill="auto"/>
              <w:adjustRightInd w:val="0"/>
              <w:snapToGrid w:val="0"/>
              <w:spacing w:line="360" w:lineRule="auto"/>
              <w:ind w:firstLine="482" w:firstLineChars="200"/>
              <w:jc w:val="both"/>
              <w:rPr>
                <w:rFonts w:ascii="Times New Roman" w:eastAsia="宋体" w:cs="Times New Roman"/>
                <w:b/>
                <w:color w:val="auto"/>
                <w:kern w:val="0"/>
                <w:sz w:val="24"/>
                <w:szCs w:val="24"/>
                <w:highlight w:val="none"/>
                <w:shd w:val="clear" w:color="auto" w:fill="FFFFFF"/>
              </w:rPr>
            </w:pPr>
            <w:r>
              <w:rPr>
                <w:rFonts w:ascii="Times New Roman" w:eastAsia="宋体" w:cs="Times New Roman"/>
                <w:b/>
                <w:color w:val="auto"/>
                <w:kern w:val="0"/>
                <w:sz w:val="24"/>
                <w:szCs w:val="24"/>
                <w:highlight w:val="none"/>
                <w:shd w:val="clear" w:color="auto" w:fill="FFFFFF"/>
              </w:rPr>
              <w:t>（3）环境风险潜势初判</w:t>
            </w:r>
          </w:p>
          <w:p w14:paraId="375E321E">
            <w:pPr>
              <w:pStyle w:val="132"/>
              <w:shd w:val="clear" w:color="auto" w:fill="auto"/>
              <w:adjustRightInd w:val="0"/>
              <w:snapToGrid w:val="0"/>
              <w:spacing w:line="360" w:lineRule="auto"/>
              <w:ind w:firstLine="480" w:firstLineChars="200"/>
              <w:jc w:val="left"/>
              <w:rPr>
                <w:rFonts w:ascii="Times New Roman" w:eastAsia="宋体" w:cs="Times New Roman"/>
                <w:color w:val="auto"/>
                <w:kern w:val="0"/>
                <w:sz w:val="24"/>
                <w:szCs w:val="24"/>
                <w:highlight w:val="none"/>
                <w:shd w:val="clear" w:color="auto" w:fill="FFFFFF"/>
              </w:rPr>
            </w:pPr>
            <w:r>
              <w:rPr>
                <w:rFonts w:ascii="Times New Roman" w:eastAsia="宋体" w:cs="Times New Roman"/>
                <w:color w:val="auto"/>
                <w:kern w:val="0"/>
                <w:sz w:val="24"/>
                <w:szCs w:val="24"/>
                <w:highlight w:val="none"/>
                <w:shd w:val="clear" w:color="auto" w:fill="FFFFFF"/>
              </w:rPr>
              <w:t>对照《建设项目环境风险评价技术导则》（HJ169-2018）附录B，本项目涉及附录中的危险物质主要为</w:t>
            </w:r>
            <w:r>
              <w:rPr>
                <w:rFonts w:hint="eastAsia" w:ascii="Times New Roman" w:eastAsia="宋体" w:cs="Times New Roman"/>
                <w:color w:val="auto"/>
                <w:kern w:val="0"/>
                <w:sz w:val="24"/>
                <w:szCs w:val="24"/>
                <w:highlight w:val="none"/>
                <w:shd w:val="clear" w:color="auto" w:fill="FFFFFF"/>
              </w:rPr>
              <w:t>废</w:t>
            </w:r>
            <w:r>
              <w:rPr>
                <w:rFonts w:hint="eastAsia" w:ascii="Times New Roman" w:eastAsia="宋体" w:cs="Times New Roman"/>
                <w:color w:val="auto"/>
                <w:kern w:val="0"/>
                <w:sz w:val="24"/>
                <w:szCs w:val="24"/>
                <w:highlight w:val="none"/>
                <w:shd w:val="clear" w:color="auto" w:fill="FFFFFF"/>
                <w:lang w:val="en-US" w:eastAsia="zh-CN"/>
              </w:rPr>
              <w:t>润滑油</w:t>
            </w:r>
            <w:r>
              <w:rPr>
                <w:rFonts w:ascii="Times New Roman" w:eastAsia="宋体" w:cs="Times New Roman"/>
                <w:color w:val="auto"/>
                <w:kern w:val="0"/>
                <w:sz w:val="24"/>
                <w:szCs w:val="24"/>
                <w:highlight w:val="none"/>
                <w:shd w:val="clear" w:color="auto" w:fill="FFFFFF"/>
              </w:rPr>
              <w:t>，最大储存量</w:t>
            </w:r>
            <w:r>
              <w:rPr>
                <w:rFonts w:hint="eastAsia" w:ascii="Times New Roman" w:eastAsia="宋体" w:cs="Times New Roman"/>
                <w:color w:val="auto"/>
                <w:kern w:val="0"/>
                <w:sz w:val="24"/>
                <w:szCs w:val="24"/>
                <w:highlight w:val="none"/>
                <w:shd w:val="clear" w:color="auto" w:fill="FFFFFF"/>
                <w:lang w:val="en-US" w:eastAsia="zh-CN"/>
              </w:rPr>
              <w:t>分别为</w:t>
            </w:r>
            <w:r>
              <w:rPr>
                <w:rFonts w:ascii="Times New Roman" w:eastAsia="宋体" w:cs="Times New Roman"/>
                <w:color w:val="auto"/>
                <w:kern w:val="0"/>
                <w:sz w:val="24"/>
                <w:szCs w:val="24"/>
                <w:highlight w:val="none"/>
                <w:shd w:val="clear" w:color="auto" w:fill="FFFFFF"/>
              </w:rPr>
              <w:t>约</w:t>
            </w:r>
            <w:r>
              <w:rPr>
                <w:rFonts w:hint="eastAsia" w:ascii="Times New Roman" w:eastAsia="宋体" w:cs="Times New Roman"/>
                <w:color w:val="auto"/>
                <w:kern w:val="0"/>
                <w:sz w:val="24"/>
                <w:szCs w:val="24"/>
                <w:highlight w:val="none"/>
                <w:shd w:val="clear" w:color="auto" w:fill="FFFFFF"/>
                <w:lang w:val="en-US" w:eastAsia="zh-CN"/>
              </w:rPr>
              <w:t>0.05</w:t>
            </w:r>
            <w:r>
              <w:rPr>
                <w:rFonts w:ascii="Times New Roman" w:eastAsia="宋体" w:cs="Times New Roman"/>
                <w:color w:val="auto"/>
                <w:kern w:val="0"/>
                <w:sz w:val="24"/>
                <w:szCs w:val="24"/>
                <w:highlight w:val="none"/>
                <w:shd w:val="clear" w:color="auto" w:fill="FFFFFF"/>
              </w:rPr>
              <w:t>t，属于油类物质（矿物油类，如石油、汽油、柴油等；生物柴油等），临界量为2500t，根据《建设项目环境风险评价技术导则》（HJ169-2018）附录C，计算出危险物质数量与临界量比值Q</w:t>
            </w:r>
            <w:r>
              <w:rPr>
                <w:rFonts w:hint="eastAsia" w:ascii="Times New Roman" w:eastAsia="宋体" w:cs="Times New Roman"/>
                <w:color w:val="auto"/>
                <w:kern w:val="0"/>
                <w:sz w:val="24"/>
                <w:szCs w:val="24"/>
                <w:highlight w:val="none"/>
                <w:shd w:val="clear" w:color="auto" w:fill="FFFFFF"/>
                <w:lang w:val="en-US" w:eastAsia="zh-CN"/>
              </w:rPr>
              <w:t>=0.00002</w:t>
            </w:r>
            <w:r>
              <w:rPr>
                <w:rFonts w:ascii="Times New Roman" w:eastAsia="宋体" w:cs="Times New Roman"/>
                <w:color w:val="auto"/>
                <w:kern w:val="0"/>
                <w:sz w:val="24"/>
                <w:szCs w:val="24"/>
                <w:highlight w:val="none"/>
                <w:shd w:val="clear" w:color="auto" w:fill="FFFFFF"/>
              </w:rPr>
              <w:t>＜1，因此本项目环境风险潜势为I级，评价工作等级为简单分析。</w:t>
            </w:r>
          </w:p>
          <w:p w14:paraId="63B1E370">
            <w:pPr>
              <w:pStyle w:val="132"/>
              <w:shd w:val="clear" w:color="auto" w:fill="auto"/>
              <w:adjustRightInd w:val="0"/>
              <w:snapToGrid w:val="0"/>
              <w:spacing w:line="360" w:lineRule="auto"/>
              <w:ind w:firstLine="482" w:firstLineChars="200"/>
              <w:jc w:val="left"/>
              <w:rPr>
                <w:rFonts w:ascii="Times New Roman" w:eastAsia="宋体" w:cs="Times New Roman"/>
                <w:b/>
                <w:color w:val="auto"/>
                <w:kern w:val="0"/>
                <w:sz w:val="24"/>
                <w:szCs w:val="24"/>
                <w:highlight w:val="none"/>
                <w:shd w:val="clear" w:color="auto" w:fill="FFFFFF"/>
              </w:rPr>
            </w:pPr>
            <w:r>
              <w:rPr>
                <w:rFonts w:ascii="Times New Roman" w:eastAsia="宋体" w:cs="Times New Roman"/>
                <w:b/>
                <w:color w:val="auto"/>
                <w:kern w:val="0"/>
                <w:sz w:val="24"/>
                <w:szCs w:val="24"/>
                <w:highlight w:val="none"/>
                <w:shd w:val="clear" w:color="auto" w:fill="FFFFFF"/>
              </w:rPr>
              <w:t>（4）环境风险防范措施及应急要求</w:t>
            </w:r>
          </w:p>
          <w:p w14:paraId="650638DE">
            <w:pPr>
              <w:pStyle w:val="132"/>
              <w:adjustRightInd w:val="0"/>
              <w:snapToGrid w:val="0"/>
              <w:spacing w:line="360" w:lineRule="auto"/>
              <w:ind w:firstLine="480" w:firstLineChars="200"/>
              <w:jc w:val="left"/>
              <w:rPr>
                <w:rStyle w:val="131"/>
                <w:rFonts w:hint="eastAsia" w:ascii="Times New Roman" w:eastAsia="宋体"/>
                <w:color w:val="auto"/>
                <w:kern w:val="2"/>
                <w:sz w:val="24"/>
                <w:szCs w:val="24"/>
                <w:highlight w:val="none"/>
                <w:lang w:eastAsia="zh-CN"/>
              </w:rPr>
            </w:pPr>
            <w:r>
              <w:rPr>
                <w:rStyle w:val="131"/>
                <w:rFonts w:hint="eastAsia" w:ascii="Times New Roman" w:eastAsia="宋体"/>
                <w:color w:val="auto"/>
                <w:kern w:val="2"/>
                <w:sz w:val="24"/>
                <w:szCs w:val="24"/>
                <w:highlight w:val="none"/>
                <w:lang w:eastAsia="zh-CN"/>
              </w:rPr>
              <w:t>①制定严格的生产操作规程，强化安全教育，杜绝工作失误造成的事故；在车间的明显位置张贴禁用明火的告示；</w:t>
            </w:r>
          </w:p>
          <w:p w14:paraId="3D4F7A65">
            <w:pPr>
              <w:pStyle w:val="132"/>
              <w:adjustRightInd w:val="0"/>
              <w:snapToGrid w:val="0"/>
              <w:spacing w:line="360" w:lineRule="auto"/>
              <w:ind w:firstLine="480" w:firstLineChars="200"/>
              <w:jc w:val="left"/>
              <w:rPr>
                <w:rStyle w:val="131"/>
                <w:rFonts w:hint="eastAsia" w:ascii="Times New Roman" w:eastAsia="宋体"/>
                <w:color w:val="auto"/>
                <w:kern w:val="2"/>
                <w:sz w:val="24"/>
                <w:szCs w:val="24"/>
                <w:highlight w:val="none"/>
                <w:lang w:eastAsia="zh-CN"/>
              </w:rPr>
            </w:pPr>
            <w:r>
              <w:rPr>
                <w:rStyle w:val="131"/>
                <w:rFonts w:hint="eastAsia" w:ascii="Times New Roman" w:eastAsia="宋体"/>
                <w:color w:val="auto"/>
                <w:kern w:val="2"/>
                <w:sz w:val="24"/>
                <w:szCs w:val="24"/>
                <w:highlight w:val="none"/>
                <w:lang w:eastAsia="zh-CN"/>
              </w:rPr>
              <w:t>②车间内应设置移动式泡沫灭火；</w:t>
            </w:r>
          </w:p>
          <w:p w14:paraId="12D2FC3A">
            <w:pPr>
              <w:pStyle w:val="132"/>
              <w:adjustRightInd w:val="0"/>
              <w:snapToGrid w:val="0"/>
              <w:spacing w:line="360" w:lineRule="auto"/>
              <w:ind w:firstLine="480" w:firstLineChars="200"/>
              <w:jc w:val="left"/>
              <w:rPr>
                <w:rStyle w:val="131"/>
                <w:rFonts w:hint="eastAsia" w:ascii="Times New Roman" w:eastAsia="宋体"/>
                <w:color w:val="auto"/>
                <w:kern w:val="2"/>
                <w:sz w:val="24"/>
                <w:szCs w:val="24"/>
                <w:highlight w:val="none"/>
                <w:lang w:eastAsia="zh-CN"/>
              </w:rPr>
            </w:pPr>
            <w:r>
              <w:rPr>
                <w:rStyle w:val="131"/>
                <w:rFonts w:hint="eastAsia" w:ascii="Times New Roman" w:eastAsia="宋体"/>
                <w:color w:val="auto"/>
                <w:kern w:val="2"/>
                <w:sz w:val="24"/>
                <w:szCs w:val="24"/>
                <w:highlight w:val="none"/>
                <w:lang w:eastAsia="zh-CN"/>
              </w:rPr>
              <w:t>③储存辅助材料的桶上应注明物质的名称、危险特性、安全使用说明以及事故应对措施等内容；</w:t>
            </w:r>
          </w:p>
          <w:p w14:paraId="25E80F49">
            <w:pPr>
              <w:pStyle w:val="132"/>
              <w:adjustRightInd w:val="0"/>
              <w:snapToGrid w:val="0"/>
              <w:spacing w:line="360" w:lineRule="auto"/>
              <w:ind w:firstLine="480" w:firstLineChars="200"/>
              <w:jc w:val="left"/>
              <w:rPr>
                <w:rStyle w:val="131"/>
                <w:rFonts w:hint="eastAsia" w:ascii="Times New Roman" w:eastAsia="宋体"/>
                <w:color w:val="auto"/>
                <w:kern w:val="2"/>
                <w:sz w:val="24"/>
                <w:szCs w:val="24"/>
                <w:highlight w:val="none"/>
                <w:lang w:eastAsia="zh-CN"/>
              </w:rPr>
            </w:pPr>
            <w:r>
              <w:rPr>
                <w:rStyle w:val="131"/>
                <w:rFonts w:hint="eastAsia" w:ascii="Times New Roman" w:eastAsia="宋体"/>
                <w:color w:val="auto"/>
                <w:kern w:val="2"/>
                <w:sz w:val="24"/>
                <w:szCs w:val="24"/>
                <w:highlight w:val="none"/>
                <w:lang w:eastAsia="zh-CN"/>
              </w:rPr>
              <w:t>④仓库应选择阴凉通风无阳光直射的位置，仓库内应设置空调设备，防止仓库温度过高；</w:t>
            </w:r>
          </w:p>
          <w:p w14:paraId="666821A0">
            <w:pPr>
              <w:pStyle w:val="132"/>
              <w:adjustRightInd w:val="0"/>
              <w:snapToGrid w:val="0"/>
              <w:spacing w:line="360" w:lineRule="auto"/>
              <w:ind w:firstLine="480" w:firstLineChars="200"/>
              <w:jc w:val="left"/>
              <w:rPr>
                <w:rStyle w:val="131"/>
                <w:rFonts w:hint="eastAsia" w:ascii="Times New Roman" w:eastAsia="宋体"/>
                <w:color w:val="auto"/>
                <w:kern w:val="2"/>
                <w:sz w:val="24"/>
                <w:szCs w:val="24"/>
                <w:highlight w:val="none"/>
                <w:lang w:eastAsia="zh-CN"/>
              </w:rPr>
            </w:pPr>
            <w:r>
              <w:rPr>
                <w:rStyle w:val="131"/>
                <w:rFonts w:hint="eastAsia" w:ascii="Times New Roman" w:eastAsia="宋体"/>
                <w:color w:val="auto"/>
                <w:kern w:val="2"/>
                <w:sz w:val="24"/>
                <w:szCs w:val="24"/>
                <w:highlight w:val="none"/>
                <w:lang w:eastAsia="zh-CN"/>
              </w:rPr>
              <w:t>⑤仓库应安排专人管理，做好入库记录，并定期检查材料存储的安全状态，定期检查其包装有无破损；</w:t>
            </w:r>
          </w:p>
          <w:p w14:paraId="7F6832F9">
            <w:pPr>
              <w:pStyle w:val="132"/>
              <w:adjustRightInd w:val="0"/>
              <w:snapToGrid w:val="0"/>
              <w:spacing w:line="360" w:lineRule="auto"/>
              <w:ind w:firstLine="480" w:firstLineChars="200"/>
              <w:jc w:val="left"/>
              <w:rPr>
                <w:rStyle w:val="131"/>
                <w:rFonts w:hint="eastAsia" w:ascii="Times New Roman" w:eastAsia="宋体"/>
                <w:color w:val="auto"/>
                <w:kern w:val="2"/>
                <w:sz w:val="24"/>
                <w:szCs w:val="24"/>
                <w:highlight w:val="none"/>
                <w:lang w:eastAsia="zh-CN"/>
              </w:rPr>
            </w:pPr>
            <w:r>
              <w:rPr>
                <w:rStyle w:val="131"/>
                <w:rFonts w:hint="eastAsia" w:ascii="Times New Roman" w:eastAsia="宋体"/>
                <w:color w:val="auto"/>
                <w:kern w:val="2"/>
                <w:sz w:val="24"/>
                <w:szCs w:val="24"/>
                <w:highlight w:val="none"/>
                <w:lang w:eastAsia="zh-CN"/>
              </w:rPr>
              <w:t>⑥成立事故应急处理小组，由车间安全负责人担任事故应急小组组长，一旦发生火灾等事故，应立即启动事故应急预案，并向有关环境管理部门汇报情况，协助环境管理部门进行应急监测等工作；</w:t>
            </w:r>
          </w:p>
          <w:p w14:paraId="3FB6C561">
            <w:pPr>
              <w:pStyle w:val="132"/>
              <w:adjustRightInd w:val="0"/>
              <w:snapToGrid w:val="0"/>
              <w:spacing w:line="360" w:lineRule="auto"/>
              <w:ind w:firstLine="480" w:firstLineChars="200"/>
              <w:jc w:val="left"/>
              <w:rPr>
                <w:rStyle w:val="131"/>
                <w:rFonts w:hint="eastAsia" w:ascii="Times New Roman" w:eastAsia="宋体"/>
                <w:color w:val="auto"/>
                <w:kern w:val="2"/>
                <w:sz w:val="24"/>
                <w:szCs w:val="24"/>
                <w:highlight w:val="none"/>
                <w:lang w:eastAsia="zh-CN"/>
              </w:rPr>
            </w:pPr>
            <w:r>
              <w:rPr>
                <w:rStyle w:val="131"/>
                <w:rFonts w:hint="eastAsia" w:ascii="Times New Roman" w:eastAsia="宋体"/>
                <w:color w:val="auto"/>
                <w:kern w:val="2"/>
                <w:sz w:val="24"/>
                <w:szCs w:val="24"/>
                <w:highlight w:val="none"/>
                <w:lang w:eastAsia="zh-CN"/>
              </w:rPr>
              <w:t>⑦生产车间内应配备泡沫灭火器、消防砂箱等消防应急设备，并定期检查设备有效性；</w:t>
            </w:r>
          </w:p>
          <w:p w14:paraId="11E03CD4">
            <w:pPr>
              <w:pStyle w:val="132"/>
              <w:adjustRightInd w:val="0"/>
              <w:snapToGrid w:val="0"/>
              <w:spacing w:line="360" w:lineRule="auto"/>
              <w:ind w:firstLine="480" w:firstLineChars="200"/>
              <w:jc w:val="left"/>
              <w:rPr>
                <w:color w:val="000000" w:themeColor="text1"/>
                <w:kern w:val="2"/>
                <w:sz w:val="24"/>
                <w:szCs w:val="24"/>
                <w:highlight w:val="none"/>
                <w14:textFill>
                  <w14:solidFill>
                    <w14:schemeClr w14:val="tx1"/>
                  </w14:solidFill>
                </w14:textFill>
              </w:rPr>
            </w:pPr>
            <w:r>
              <w:rPr>
                <w:rStyle w:val="131"/>
                <w:rFonts w:hint="eastAsia" w:ascii="Times New Roman" w:eastAsia="宋体"/>
                <w:color w:val="auto"/>
                <w:kern w:val="2"/>
                <w:sz w:val="24"/>
                <w:szCs w:val="24"/>
                <w:highlight w:val="none"/>
                <w:lang w:eastAsia="zh-CN"/>
              </w:rPr>
              <w:t>⑧定期检查维护生产设备设施，确保其正常运行。</w:t>
            </w:r>
          </w:p>
          <w:p w14:paraId="7B1C502F">
            <w:pPr>
              <w:spacing w:line="360" w:lineRule="auto"/>
              <w:ind w:firstLine="482" w:firstLineChars="200"/>
              <w:rPr>
                <w:b/>
                <w:color w:val="auto"/>
                <w:sz w:val="24"/>
                <w:highlight w:val="none"/>
              </w:rPr>
            </w:pPr>
            <w:r>
              <w:rPr>
                <w:b/>
                <w:color w:val="auto"/>
                <w:sz w:val="24"/>
                <w:highlight w:val="none"/>
              </w:rPr>
              <w:t>（8）环境风险评价结论</w:t>
            </w:r>
          </w:p>
          <w:p w14:paraId="66AFBA83">
            <w:pPr>
              <w:pStyle w:val="132"/>
              <w:adjustRightInd w:val="0"/>
              <w:snapToGrid w:val="0"/>
              <w:spacing w:line="360" w:lineRule="auto"/>
              <w:ind w:firstLine="480" w:firstLineChars="200"/>
              <w:jc w:val="left"/>
              <w:rPr>
                <w:rStyle w:val="131"/>
                <w:rFonts w:hint="eastAsia" w:ascii="Times New Roman" w:eastAsia="宋体"/>
                <w:color w:val="auto"/>
                <w:kern w:val="2"/>
                <w:sz w:val="24"/>
                <w:highlight w:val="none"/>
                <w:lang w:eastAsia="zh-CN"/>
              </w:rPr>
            </w:pPr>
            <w:r>
              <w:rPr>
                <w:rStyle w:val="131"/>
                <w:rFonts w:hint="eastAsia" w:ascii="Times New Roman" w:eastAsia="宋体"/>
                <w:color w:val="auto"/>
                <w:kern w:val="2"/>
                <w:sz w:val="24"/>
                <w:highlight w:val="none"/>
                <w:lang w:eastAsia="zh-CN"/>
              </w:rPr>
              <w:t>项目运营期不涉及环境风险物质，环境风险程度较低，未构成重大风险源。项目可能出现的风险事故主要有火灾事故，废</w:t>
            </w:r>
            <w:r>
              <w:rPr>
                <w:rStyle w:val="131"/>
                <w:rFonts w:hint="eastAsia" w:ascii="Times New Roman" w:eastAsia="宋体"/>
                <w:color w:val="auto"/>
                <w:kern w:val="2"/>
                <w:sz w:val="24"/>
                <w:highlight w:val="none"/>
                <w:lang w:val="en-US" w:eastAsia="zh-CN"/>
              </w:rPr>
              <w:t>水</w:t>
            </w:r>
            <w:r>
              <w:rPr>
                <w:rStyle w:val="131"/>
                <w:rFonts w:hint="eastAsia" w:ascii="Times New Roman" w:eastAsia="宋体"/>
                <w:color w:val="auto"/>
                <w:kern w:val="2"/>
                <w:sz w:val="24"/>
                <w:highlight w:val="none"/>
                <w:lang w:eastAsia="zh-CN"/>
              </w:rPr>
              <w:t>处理设施运行异常以及废气处理设施运行异常导致项目</w:t>
            </w:r>
            <w:r>
              <w:rPr>
                <w:rStyle w:val="131"/>
                <w:rFonts w:hint="eastAsia" w:ascii="Times New Roman" w:eastAsia="宋体"/>
                <w:color w:val="auto"/>
                <w:kern w:val="2"/>
                <w:sz w:val="24"/>
                <w:highlight w:val="none"/>
                <w:lang w:val="en-US" w:eastAsia="zh-CN"/>
              </w:rPr>
              <w:t>污染物</w:t>
            </w:r>
            <w:r>
              <w:rPr>
                <w:rStyle w:val="131"/>
                <w:rFonts w:hint="eastAsia" w:ascii="Times New Roman" w:eastAsia="宋体"/>
                <w:color w:val="auto"/>
                <w:kern w:val="2"/>
                <w:sz w:val="24"/>
                <w:highlight w:val="none"/>
                <w:lang w:eastAsia="zh-CN"/>
              </w:rPr>
              <w:t>未经有效处理排放。通过制定严格的管理规定和岗位责任制，加强职工的安全生产教育，提高风险意识，能够最大限度地减少可能发生的环境风险。</w:t>
            </w:r>
          </w:p>
          <w:p w14:paraId="7DC75FBA">
            <w:pPr>
              <w:pStyle w:val="132"/>
              <w:adjustRightInd w:val="0"/>
              <w:snapToGrid w:val="0"/>
              <w:spacing w:line="360" w:lineRule="auto"/>
              <w:ind w:firstLine="480" w:firstLineChars="200"/>
              <w:jc w:val="left"/>
              <w:rPr>
                <w:rStyle w:val="131"/>
                <w:rFonts w:hint="default" w:ascii="Times New Roman" w:eastAsia="宋体"/>
                <w:color w:val="auto"/>
                <w:kern w:val="2"/>
                <w:sz w:val="24"/>
                <w:highlight w:val="none"/>
                <w:lang w:val="en-US" w:eastAsia="zh-CN"/>
              </w:rPr>
            </w:pPr>
            <w:r>
              <w:rPr>
                <w:rStyle w:val="131"/>
                <w:rFonts w:hint="eastAsia" w:ascii="Times New Roman" w:eastAsia="宋体"/>
                <w:color w:val="auto"/>
                <w:kern w:val="2"/>
                <w:sz w:val="24"/>
                <w:highlight w:val="none"/>
                <w:lang w:val="en-US" w:eastAsia="zh-CN"/>
              </w:rPr>
              <w:t>项目环保设施</w:t>
            </w:r>
            <w:r>
              <w:rPr>
                <w:rStyle w:val="131"/>
                <w:rFonts w:hint="eastAsia" w:ascii="Times New Roman" w:eastAsia="宋体"/>
                <w:color w:val="auto"/>
                <w:kern w:val="2"/>
                <w:sz w:val="24"/>
                <w:highlight w:val="none"/>
                <w:lang w:eastAsia="zh-CN"/>
              </w:rPr>
              <w:t>运行异常</w:t>
            </w:r>
            <w:r>
              <w:rPr>
                <w:rStyle w:val="131"/>
                <w:rFonts w:hint="eastAsia" w:ascii="Times New Roman" w:eastAsia="宋体"/>
                <w:color w:val="auto"/>
                <w:kern w:val="2"/>
                <w:sz w:val="24"/>
                <w:highlight w:val="none"/>
                <w:lang w:val="en-US" w:eastAsia="zh-CN"/>
              </w:rPr>
              <w:t>时，要求全厂停机处理，待环保设施恢复正常运行后，方可继续生产。</w:t>
            </w:r>
          </w:p>
          <w:p w14:paraId="2EEB9257">
            <w:pPr>
              <w:spacing w:line="360" w:lineRule="auto"/>
              <w:ind w:firstLine="480"/>
              <w:rPr>
                <w:rFonts w:hint="eastAsia"/>
                <w:b w:val="0"/>
                <w:bCs/>
                <w:color w:val="auto"/>
                <w:sz w:val="24"/>
                <w:szCs w:val="21"/>
                <w:highlight w:val="none"/>
              </w:rPr>
            </w:pPr>
            <w:r>
              <w:rPr>
                <w:rStyle w:val="131"/>
                <w:rFonts w:hint="eastAsia" w:ascii="Times New Roman" w:eastAsia="宋体"/>
                <w:color w:val="auto"/>
                <w:kern w:val="2"/>
                <w:sz w:val="24"/>
                <w:highlight w:val="none"/>
                <w:lang w:eastAsia="zh-CN"/>
              </w:rPr>
              <w:t>项目在严格落实各项可控措施和事故应急措施的前提下，项目风险事故的影响在可恢复范围内，项目环境风险防范措施有效，环境风险可接受。</w:t>
            </w:r>
          </w:p>
          <w:p w14:paraId="73CD5E59">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b/>
                <w:color w:val="auto"/>
                <w:sz w:val="24"/>
                <w:szCs w:val="21"/>
                <w:highlight w:val="none"/>
              </w:rPr>
            </w:pPr>
            <w:r>
              <w:rPr>
                <w:rFonts w:hint="eastAsia"/>
                <w:b/>
                <w:color w:val="auto"/>
                <w:sz w:val="24"/>
                <w:szCs w:val="21"/>
                <w:highlight w:val="none"/>
              </w:rPr>
              <w:t>9</w:t>
            </w:r>
            <w:r>
              <w:rPr>
                <w:rFonts w:hint="eastAsia"/>
                <w:b/>
                <w:color w:val="auto"/>
                <w:sz w:val="24"/>
                <w:szCs w:val="21"/>
                <w:highlight w:val="none"/>
                <w:lang w:eastAsia="zh-CN"/>
              </w:rPr>
              <w:t>、</w:t>
            </w:r>
            <w:r>
              <w:rPr>
                <w:rFonts w:hint="eastAsia"/>
                <w:b/>
                <w:color w:val="auto"/>
                <w:sz w:val="24"/>
                <w:szCs w:val="21"/>
                <w:highlight w:val="none"/>
              </w:rPr>
              <w:t>电磁辐射</w:t>
            </w:r>
          </w:p>
          <w:p w14:paraId="259D1BE5">
            <w:pPr>
              <w:adjustRightInd w:val="0"/>
              <w:snapToGrid w:val="0"/>
              <w:spacing w:line="360" w:lineRule="auto"/>
              <w:ind w:firstLine="480" w:firstLineChars="200"/>
              <w:rPr>
                <w:color w:val="auto"/>
                <w:sz w:val="24"/>
                <w:szCs w:val="21"/>
                <w:highlight w:val="none"/>
              </w:rPr>
            </w:pPr>
            <w:r>
              <w:rPr>
                <w:rFonts w:hint="eastAsia"/>
                <w:color w:val="auto"/>
                <w:sz w:val="24"/>
                <w:szCs w:val="21"/>
                <w:highlight w:val="none"/>
              </w:rPr>
              <w:t>本项目不涉及电磁辐射。</w:t>
            </w:r>
          </w:p>
          <w:p w14:paraId="7F48AEAD">
            <w:pPr>
              <w:spacing w:line="360" w:lineRule="auto"/>
              <w:ind w:firstLine="480"/>
              <w:rPr>
                <w:b/>
                <w:color w:val="auto"/>
                <w:sz w:val="24"/>
                <w:highlight w:val="none"/>
              </w:rPr>
            </w:pPr>
            <w:r>
              <w:rPr>
                <w:rFonts w:hint="eastAsia"/>
                <w:b/>
                <w:color w:val="auto"/>
                <w:sz w:val="24"/>
                <w:szCs w:val="21"/>
                <w:highlight w:val="none"/>
              </w:rPr>
              <w:t>10</w:t>
            </w:r>
            <w:r>
              <w:rPr>
                <w:rFonts w:hint="eastAsia"/>
                <w:b/>
                <w:color w:val="auto"/>
                <w:sz w:val="24"/>
                <w:szCs w:val="21"/>
                <w:highlight w:val="none"/>
                <w:lang w:eastAsia="zh-CN"/>
              </w:rPr>
              <w:t>、</w:t>
            </w:r>
            <w:r>
              <w:rPr>
                <w:rFonts w:hint="eastAsia"/>
                <w:b/>
                <w:color w:val="auto"/>
                <w:sz w:val="24"/>
                <w:highlight w:val="none"/>
              </w:rPr>
              <w:t>环境监测计划</w:t>
            </w:r>
          </w:p>
          <w:p w14:paraId="4BAE6C0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color w:val="auto"/>
                <w:sz w:val="24"/>
                <w:highlight w:val="none"/>
              </w:rPr>
            </w:pPr>
            <w:r>
              <w:rPr>
                <w:rFonts w:hint="eastAsia"/>
                <w:color w:val="auto"/>
                <w:sz w:val="24"/>
                <w:highlight w:val="none"/>
                <w:lang w:val="en-US" w:eastAsia="zh-CN"/>
              </w:rPr>
              <w:t>本</w:t>
            </w:r>
            <w:r>
              <w:rPr>
                <w:rFonts w:hint="eastAsia"/>
                <w:color w:val="auto"/>
                <w:sz w:val="24"/>
                <w:highlight w:val="none"/>
              </w:rPr>
              <w:t>项目运营期环境监测项目为废气、废水及噪声等。</w:t>
            </w:r>
            <w:r>
              <w:rPr>
                <w:rFonts w:hint="eastAsia"/>
                <w:color w:val="auto"/>
                <w:sz w:val="24"/>
                <w:highlight w:val="none"/>
                <w:lang w:val="en-US" w:eastAsia="zh-CN"/>
              </w:rPr>
              <w:t>本</w:t>
            </w:r>
            <w:r>
              <w:rPr>
                <w:rFonts w:hint="eastAsia"/>
                <w:color w:val="auto"/>
                <w:sz w:val="24"/>
                <w:highlight w:val="none"/>
              </w:rPr>
              <w:t>项目根据</w:t>
            </w:r>
            <w:r>
              <w:rPr>
                <w:rFonts w:hint="eastAsia" w:ascii="Times New Roman" w:hAnsi="宋体" w:cs="Times New Roman"/>
                <w:color w:val="auto"/>
                <w:sz w:val="24"/>
                <w:szCs w:val="24"/>
                <w:highlight w:val="none"/>
              </w:rPr>
              <w:t xml:space="preserve">《排污单位自行监测技术指南 </w:t>
            </w:r>
            <w:r>
              <w:rPr>
                <w:rFonts w:hint="eastAsia" w:ascii="Times New Roman" w:hAnsi="宋体" w:cs="Times New Roman"/>
                <w:color w:val="auto"/>
                <w:sz w:val="24"/>
                <w:szCs w:val="24"/>
                <w:highlight w:val="none"/>
                <w:lang w:val="en-US" w:eastAsia="zh-CN"/>
              </w:rPr>
              <w:t>火力发电及锅炉</w:t>
            </w:r>
            <w:r>
              <w:rPr>
                <w:rFonts w:hint="eastAsia" w:ascii="Times New Roman" w:hAnsi="宋体" w:cs="Times New Roman"/>
                <w:color w:val="auto"/>
                <w:sz w:val="24"/>
                <w:szCs w:val="24"/>
                <w:highlight w:val="none"/>
              </w:rPr>
              <w:t xml:space="preserve">》（HJ </w:t>
            </w:r>
            <w:r>
              <w:rPr>
                <w:rFonts w:hint="eastAsia" w:ascii="Times New Roman" w:hAnsi="宋体" w:cs="Times New Roman"/>
                <w:color w:val="auto"/>
                <w:sz w:val="24"/>
                <w:szCs w:val="24"/>
                <w:highlight w:val="none"/>
                <w:lang w:val="en-US" w:eastAsia="zh-CN"/>
              </w:rPr>
              <w:t>820</w:t>
            </w:r>
            <w:r>
              <w:rPr>
                <w:rFonts w:hint="eastAsia" w:ascii="Times New Roman" w:hAnsi="宋体" w:cs="Times New Roman"/>
                <w:color w:val="auto"/>
                <w:sz w:val="24"/>
                <w:szCs w:val="24"/>
                <w:highlight w:val="none"/>
              </w:rPr>
              <w:t>-</w:t>
            </w:r>
            <w:r>
              <w:rPr>
                <w:rFonts w:hint="eastAsia" w:ascii="Times New Roman" w:hAnsi="宋体" w:cs="Times New Roman"/>
                <w:color w:val="auto"/>
                <w:sz w:val="24"/>
                <w:szCs w:val="24"/>
                <w:highlight w:val="none"/>
                <w:lang w:val="en-US" w:eastAsia="zh-CN"/>
              </w:rPr>
              <w:t>2017</w:t>
            </w:r>
            <w:r>
              <w:rPr>
                <w:rFonts w:hint="eastAsia" w:ascii="Times New Roman" w:hAnsi="宋体" w:cs="Times New Roman"/>
                <w:color w:val="auto"/>
                <w:sz w:val="24"/>
                <w:szCs w:val="24"/>
                <w:highlight w:val="none"/>
              </w:rPr>
              <w:t>）</w:t>
            </w:r>
            <w:r>
              <w:rPr>
                <w:rFonts w:hint="eastAsia" w:ascii="Times New Roman" w:hAnsi="宋体" w:cs="Times New Roman"/>
                <w:color w:val="auto"/>
                <w:sz w:val="24"/>
                <w:szCs w:val="24"/>
                <w:highlight w:val="none"/>
                <w:lang w:val="en-US" w:eastAsia="zh-CN"/>
              </w:rPr>
              <w:t>和《排污单位自行监测技术指南 总则》(HJ 819-2017)</w:t>
            </w:r>
            <w:r>
              <w:rPr>
                <w:rFonts w:hint="eastAsia" w:ascii="Times New Roman" w:hAnsi="Times New Roman" w:eastAsia="宋体" w:cs="Times New Roman"/>
                <w:color w:val="auto"/>
                <w:sz w:val="24"/>
                <w:highlight w:val="none"/>
              </w:rPr>
              <w:t>，制定项</w:t>
            </w:r>
            <w:r>
              <w:rPr>
                <w:rFonts w:hint="eastAsia"/>
                <w:color w:val="auto"/>
                <w:sz w:val="24"/>
                <w:highlight w:val="none"/>
              </w:rPr>
              <w:t>目运营期环境监测计划，本</w:t>
            </w:r>
            <w:r>
              <w:rPr>
                <w:rFonts w:hint="eastAsia" w:ascii="Times New Roman" w:hAnsi="Times New Roman" w:eastAsia="宋体" w:cs="Times New Roman"/>
                <w:color w:val="auto"/>
                <w:sz w:val="24"/>
                <w:highlight w:val="none"/>
              </w:rPr>
              <w:t>项目</w:t>
            </w:r>
            <w:r>
              <w:rPr>
                <w:rFonts w:hint="eastAsia"/>
                <w:color w:val="auto"/>
                <w:sz w:val="24"/>
                <w:highlight w:val="none"/>
              </w:rPr>
              <w:t>提出运营期污染源监测计划如表</w:t>
            </w:r>
            <w:r>
              <w:rPr>
                <w:rFonts w:hint="eastAsia"/>
                <w:color w:val="auto"/>
                <w:sz w:val="24"/>
                <w:highlight w:val="none"/>
                <w:lang w:val="en-US" w:eastAsia="zh-CN"/>
              </w:rPr>
              <w:t>4-14</w:t>
            </w:r>
            <w:r>
              <w:rPr>
                <w:rFonts w:hint="eastAsia"/>
                <w:color w:val="auto"/>
                <w:sz w:val="24"/>
                <w:highlight w:val="none"/>
              </w:rPr>
              <w:t>所示。</w:t>
            </w:r>
          </w:p>
          <w:p w14:paraId="1CC133B3">
            <w:pPr>
              <w:pageBreakBefore w:val="0"/>
              <w:kinsoku/>
              <w:autoSpaceDE w:val="0"/>
              <w:autoSpaceDN w:val="0"/>
              <w:bidi w:val="0"/>
              <w:adjustRightInd w:val="0"/>
              <w:spacing w:line="360" w:lineRule="auto"/>
              <w:jc w:val="center"/>
              <w:outlineLvl w:val="9"/>
              <w:rPr>
                <w:b/>
                <w:bCs/>
                <w:color w:val="000000"/>
                <w:kern w:val="0"/>
                <w:sz w:val="24"/>
                <w:highlight w:val="none"/>
              </w:rPr>
            </w:pPr>
            <w:r>
              <w:rPr>
                <w:b/>
                <w:bCs/>
                <w:color w:val="000000"/>
                <w:kern w:val="0"/>
                <w:sz w:val="24"/>
                <w:highlight w:val="none"/>
              </w:rPr>
              <w:t>表4-</w:t>
            </w:r>
            <w:r>
              <w:rPr>
                <w:rFonts w:hint="eastAsia"/>
                <w:b/>
                <w:bCs/>
                <w:color w:val="000000"/>
                <w:kern w:val="0"/>
                <w:sz w:val="24"/>
                <w:highlight w:val="none"/>
                <w:lang w:val="en-US" w:eastAsia="zh-CN"/>
              </w:rPr>
              <w:t>14</w:t>
            </w:r>
            <w:r>
              <w:rPr>
                <w:b/>
                <w:bCs/>
                <w:color w:val="000000"/>
                <w:kern w:val="0"/>
                <w:sz w:val="24"/>
                <w:highlight w:val="none"/>
              </w:rPr>
              <w:t>排污口设置情况及监测计划一览表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7"/>
              <w:gridCol w:w="1457"/>
              <w:gridCol w:w="1624"/>
              <w:gridCol w:w="1254"/>
              <w:gridCol w:w="2974"/>
            </w:tblGrid>
            <w:tr w14:paraId="4E1F8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3" w:type="pct"/>
                  <w:gridSpan w:val="2"/>
                  <w:noWrap w:val="0"/>
                  <w:vAlign w:val="center"/>
                </w:tcPr>
                <w:p w14:paraId="565B16B5">
                  <w:pPr>
                    <w:pStyle w:val="16"/>
                    <w:spacing w:line="240" w:lineRule="auto"/>
                    <w:ind w:firstLine="0" w:firstLineChars="0"/>
                    <w:jc w:val="center"/>
                    <w:rPr>
                      <w:rFonts w:ascii="Times New Roman" w:hAnsi="Times New Roman" w:cs="Times New Roman"/>
                      <w:b/>
                      <w:color w:val="auto"/>
                      <w:sz w:val="21"/>
                      <w:highlight w:val="none"/>
                    </w:rPr>
                  </w:pPr>
                  <w:r>
                    <w:rPr>
                      <w:rFonts w:ascii="Times New Roman" w:hAnsi="Times New Roman" w:cs="Times New Roman"/>
                      <w:b/>
                      <w:color w:val="auto"/>
                      <w:sz w:val="21"/>
                      <w:highlight w:val="none"/>
                    </w:rPr>
                    <w:t>监测类型</w:t>
                  </w:r>
                </w:p>
              </w:tc>
              <w:tc>
                <w:tcPr>
                  <w:tcW w:w="1023" w:type="pct"/>
                  <w:noWrap w:val="0"/>
                  <w:vAlign w:val="center"/>
                </w:tcPr>
                <w:p w14:paraId="0346F1DE">
                  <w:pPr>
                    <w:pStyle w:val="16"/>
                    <w:spacing w:line="240" w:lineRule="auto"/>
                    <w:ind w:firstLine="0" w:firstLineChars="0"/>
                    <w:jc w:val="center"/>
                    <w:rPr>
                      <w:rFonts w:ascii="Times New Roman" w:hAnsi="Times New Roman" w:cs="Times New Roman"/>
                      <w:b/>
                      <w:color w:val="auto"/>
                      <w:sz w:val="21"/>
                      <w:highlight w:val="none"/>
                    </w:rPr>
                  </w:pPr>
                  <w:r>
                    <w:rPr>
                      <w:rFonts w:ascii="Times New Roman" w:hAnsi="Times New Roman" w:cs="Times New Roman"/>
                      <w:b/>
                      <w:color w:val="auto"/>
                      <w:sz w:val="21"/>
                      <w:highlight w:val="none"/>
                    </w:rPr>
                    <w:t>监测项目</w:t>
                  </w:r>
                </w:p>
              </w:tc>
              <w:tc>
                <w:tcPr>
                  <w:tcW w:w="790" w:type="pct"/>
                  <w:noWrap w:val="0"/>
                  <w:vAlign w:val="center"/>
                </w:tcPr>
                <w:p w14:paraId="42C42E0B">
                  <w:pPr>
                    <w:pStyle w:val="16"/>
                    <w:spacing w:line="240" w:lineRule="auto"/>
                    <w:ind w:firstLine="0" w:firstLineChars="0"/>
                    <w:jc w:val="center"/>
                    <w:rPr>
                      <w:rFonts w:ascii="Times New Roman" w:hAnsi="Times New Roman" w:cs="Times New Roman"/>
                      <w:b/>
                      <w:color w:val="auto"/>
                      <w:sz w:val="21"/>
                      <w:highlight w:val="none"/>
                    </w:rPr>
                  </w:pPr>
                  <w:r>
                    <w:rPr>
                      <w:rFonts w:ascii="Times New Roman" w:hAnsi="Times New Roman" w:cs="Times New Roman"/>
                      <w:b/>
                      <w:color w:val="auto"/>
                      <w:sz w:val="21"/>
                      <w:highlight w:val="none"/>
                    </w:rPr>
                    <w:t>监测频次</w:t>
                  </w:r>
                </w:p>
              </w:tc>
              <w:tc>
                <w:tcPr>
                  <w:tcW w:w="1873" w:type="pct"/>
                  <w:noWrap w:val="0"/>
                  <w:vAlign w:val="center"/>
                </w:tcPr>
                <w:p w14:paraId="26E88403">
                  <w:pPr>
                    <w:pStyle w:val="16"/>
                    <w:spacing w:line="240" w:lineRule="auto"/>
                    <w:ind w:firstLine="0" w:firstLineChars="0"/>
                    <w:jc w:val="center"/>
                    <w:rPr>
                      <w:rFonts w:hint="eastAsia" w:ascii="Times New Roman" w:hAnsi="Times New Roman" w:eastAsia="宋体" w:cs="Times New Roman"/>
                      <w:b/>
                      <w:color w:val="auto"/>
                      <w:sz w:val="21"/>
                      <w:highlight w:val="none"/>
                      <w:lang w:eastAsia="zh-CN"/>
                    </w:rPr>
                  </w:pPr>
                  <w:r>
                    <w:rPr>
                      <w:rFonts w:ascii="Times New Roman" w:hAnsi="Times New Roman" w:cs="Times New Roman"/>
                      <w:b/>
                      <w:color w:val="auto"/>
                      <w:sz w:val="21"/>
                      <w:highlight w:val="none"/>
                    </w:rPr>
                    <w:t>监测</w:t>
                  </w:r>
                  <w:r>
                    <w:rPr>
                      <w:rFonts w:hint="eastAsia" w:ascii="Times New Roman" w:hAnsi="Times New Roman" w:cs="Times New Roman"/>
                      <w:b/>
                      <w:color w:val="auto"/>
                      <w:sz w:val="21"/>
                      <w:highlight w:val="none"/>
                      <w:lang w:val="en-US" w:eastAsia="zh-CN"/>
                    </w:rPr>
                    <w:t>标准</w:t>
                  </w:r>
                </w:p>
              </w:tc>
            </w:tr>
            <w:tr w14:paraId="21CAE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395" w:type="pct"/>
                  <w:vMerge w:val="restart"/>
                  <w:noWrap w:val="0"/>
                  <w:vAlign w:val="center"/>
                </w:tcPr>
                <w:p w14:paraId="5251DBC9">
                  <w:pPr>
                    <w:pStyle w:val="16"/>
                    <w:spacing w:line="240" w:lineRule="auto"/>
                    <w:ind w:firstLine="0" w:firstLineChars="0"/>
                    <w:jc w:val="center"/>
                    <w:rPr>
                      <w:rFonts w:ascii="Times New Roman" w:hAnsi="Times New Roman" w:cs="Times New Roman"/>
                      <w:color w:val="auto"/>
                      <w:sz w:val="21"/>
                      <w:highlight w:val="none"/>
                    </w:rPr>
                  </w:pPr>
                  <w:r>
                    <w:rPr>
                      <w:rFonts w:ascii="Times New Roman" w:hAnsi="Times New Roman" w:cs="Times New Roman"/>
                      <w:color w:val="auto"/>
                      <w:sz w:val="21"/>
                      <w:highlight w:val="none"/>
                    </w:rPr>
                    <w:t>废气</w:t>
                  </w:r>
                </w:p>
              </w:tc>
              <w:tc>
                <w:tcPr>
                  <w:tcW w:w="917" w:type="pct"/>
                  <w:vMerge w:val="restart"/>
                  <w:noWrap w:val="0"/>
                  <w:vAlign w:val="center"/>
                </w:tcPr>
                <w:p w14:paraId="4AFF3A94">
                  <w:pPr>
                    <w:pStyle w:val="16"/>
                    <w:spacing w:line="240" w:lineRule="auto"/>
                    <w:ind w:firstLine="0" w:firstLineChars="0"/>
                    <w:jc w:val="center"/>
                    <w:rPr>
                      <w:rFonts w:ascii="Times New Roman" w:hAnsi="Times New Roman" w:cs="Times New Roman"/>
                      <w:color w:val="auto"/>
                      <w:sz w:val="21"/>
                      <w:highlight w:val="none"/>
                    </w:rPr>
                  </w:pPr>
                  <w:r>
                    <w:rPr>
                      <w:rFonts w:hint="eastAsia" w:ascii="Times New Roman" w:hAnsi="Times New Roman" w:eastAsia="宋体" w:cs="Times New Roman"/>
                      <w:i w:val="0"/>
                      <w:iCs w:val="0"/>
                      <w:color w:val="auto"/>
                      <w:kern w:val="0"/>
                      <w:sz w:val="21"/>
                      <w:szCs w:val="21"/>
                      <w:highlight w:val="none"/>
                      <w:u w:val="none"/>
                      <w:lang w:val="en-US" w:eastAsia="zh-CN" w:bidi="ar"/>
                    </w:rPr>
                    <w:t>DA00</w:t>
                  </w:r>
                  <w:r>
                    <w:rPr>
                      <w:rFonts w:hint="default" w:ascii="Times New Roman" w:hAnsi="Times New Roman" w:eastAsia="宋体" w:cs="Times New Roman"/>
                      <w:i w:val="0"/>
                      <w:iCs w:val="0"/>
                      <w:color w:val="auto"/>
                      <w:kern w:val="0"/>
                      <w:sz w:val="21"/>
                      <w:szCs w:val="21"/>
                      <w:highlight w:val="none"/>
                      <w:u w:val="none"/>
                      <w:lang w:val="en-US" w:eastAsia="zh-CN" w:bidi="ar"/>
                    </w:rPr>
                    <w:t>1#排气筒</w:t>
                  </w:r>
                </w:p>
              </w:tc>
              <w:tc>
                <w:tcPr>
                  <w:tcW w:w="1023" w:type="pct"/>
                  <w:noWrap w:val="0"/>
                  <w:vAlign w:val="center"/>
                </w:tcPr>
                <w:p w14:paraId="3D6B2C3B">
                  <w:pPr>
                    <w:pStyle w:val="16"/>
                    <w:spacing w:line="240" w:lineRule="auto"/>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颗粒物</w:t>
                  </w:r>
                  <w:r>
                    <w:rPr>
                      <w:rFonts w:hint="eastAsia" w:ascii="Times New Roman" w:hAnsi="Times New Roman" w:cs="Times New Roman"/>
                      <w:i w:val="0"/>
                      <w:iCs w:val="0"/>
                      <w:color w:val="auto"/>
                      <w:kern w:val="0"/>
                      <w:sz w:val="21"/>
                      <w:szCs w:val="21"/>
                      <w:highlight w:val="none"/>
                      <w:u w:val="none"/>
                      <w:lang w:val="en-US" w:eastAsia="zh-CN" w:bidi="ar"/>
                    </w:rPr>
                    <w:t>、</w:t>
                  </w:r>
                  <w:r>
                    <w:rPr>
                      <w:rFonts w:hint="eastAsia" w:ascii="Times New Roman" w:hAnsi="Times New Roman" w:eastAsia="宋体" w:cs="Times New Roman"/>
                      <w:i w:val="0"/>
                      <w:iCs w:val="0"/>
                      <w:color w:val="auto"/>
                      <w:kern w:val="0"/>
                      <w:sz w:val="21"/>
                      <w:szCs w:val="21"/>
                      <w:highlight w:val="none"/>
                      <w:u w:val="none"/>
                      <w:lang w:val="en-US" w:eastAsia="zh-CN" w:bidi="ar"/>
                    </w:rPr>
                    <w:t>二氧化硫、氮氧化物</w:t>
                  </w:r>
                </w:p>
              </w:tc>
              <w:tc>
                <w:tcPr>
                  <w:tcW w:w="790" w:type="pct"/>
                  <w:noWrap w:val="0"/>
                  <w:vAlign w:val="center"/>
                </w:tcPr>
                <w:p w14:paraId="1813D00D">
                  <w:pPr>
                    <w:pStyle w:val="16"/>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自动监测</w:t>
                  </w:r>
                </w:p>
              </w:tc>
              <w:tc>
                <w:tcPr>
                  <w:tcW w:w="1873" w:type="pct"/>
                  <w:vMerge w:val="restart"/>
                  <w:noWrap w:val="0"/>
                  <w:vAlign w:val="center"/>
                </w:tcPr>
                <w:p w14:paraId="776F4F6F">
                  <w:pPr>
                    <w:pStyle w:val="16"/>
                    <w:spacing w:line="240" w:lineRule="auto"/>
                    <w:ind w:firstLine="0" w:firstLineChars="0"/>
                    <w:jc w:val="center"/>
                    <w:rPr>
                      <w:rFonts w:ascii="Times New Roman" w:hAnsi="Times New Roman" w:cs="Times New Roman"/>
                      <w:color w:val="auto"/>
                      <w:sz w:val="21"/>
                      <w:highlight w:val="none"/>
                    </w:rPr>
                  </w:pPr>
                  <w:r>
                    <w:rPr>
                      <w:rFonts w:hint="eastAsia" w:hAnsi="宋体"/>
                      <w:color w:val="auto"/>
                      <w:szCs w:val="21"/>
                      <w:highlight w:val="none"/>
                    </w:rPr>
                    <w:t>广东省地方标准</w:t>
                  </w:r>
                  <w:r>
                    <w:rPr>
                      <w:rFonts w:hint="eastAsia" w:ascii="Times New Roman" w:hAnsi="Times New Roman" w:cs="Times New Roman"/>
                      <w:color w:val="auto"/>
                      <w:sz w:val="21"/>
                      <w:highlight w:val="none"/>
                    </w:rPr>
                    <w:t>《锅炉大气污染物排放标准》(DB44/765-2019) 表2然生物质成型燃料锅炉排放限值</w:t>
                  </w:r>
                </w:p>
              </w:tc>
            </w:tr>
            <w:tr w14:paraId="38CAD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95" w:type="pct"/>
                  <w:vMerge w:val="continue"/>
                  <w:noWrap w:val="0"/>
                  <w:vAlign w:val="center"/>
                </w:tcPr>
                <w:p w14:paraId="603C0C3F">
                  <w:pPr>
                    <w:pStyle w:val="16"/>
                    <w:spacing w:line="240" w:lineRule="auto"/>
                    <w:ind w:firstLine="0" w:firstLineChars="0"/>
                    <w:jc w:val="center"/>
                    <w:rPr>
                      <w:rFonts w:ascii="Times New Roman" w:hAnsi="Times New Roman" w:cs="Times New Roman"/>
                      <w:color w:val="auto"/>
                      <w:sz w:val="21"/>
                      <w:highlight w:val="none"/>
                    </w:rPr>
                  </w:pPr>
                </w:p>
              </w:tc>
              <w:tc>
                <w:tcPr>
                  <w:tcW w:w="917" w:type="pct"/>
                  <w:vMerge w:val="continue"/>
                  <w:noWrap w:val="0"/>
                  <w:vAlign w:val="center"/>
                </w:tcPr>
                <w:p w14:paraId="151540DA">
                  <w:pPr>
                    <w:pStyle w:val="16"/>
                    <w:spacing w:line="240" w:lineRule="auto"/>
                    <w:ind w:firstLine="0" w:firstLineChars="0"/>
                    <w:jc w:val="center"/>
                    <w:rPr>
                      <w:rFonts w:hint="eastAsia" w:ascii="Times New Roman" w:hAnsi="Times New Roman" w:eastAsia="宋体" w:cs="Times New Roman"/>
                      <w:i w:val="0"/>
                      <w:iCs w:val="0"/>
                      <w:color w:val="auto"/>
                      <w:kern w:val="0"/>
                      <w:sz w:val="21"/>
                      <w:szCs w:val="21"/>
                      <w:highlight w:val="none"/>
                      <w:u w:val="none"/>
                      <w:lang w:val="en-US" w:eastAsia="zh-CN" w:bidi="ar"/>
                    </w:rPr>
                  </w:pPr>
                </w:p>
              </w:tc>
              <w:tc>
                <w:tcPr>
                  <w:tcW w:w="1023" w:type="pct"/>
                  <w:noWrap w:val="0"/>
                  <w:vAlign w:val="center"/>
                </w:tcPr>
                <w:p w14:paraId="77DC2260">
                  <w:pPr>
                    <w:pStyle w:val="16"/>
                    <w:spacing w:line="240" w:lineRule="auto"/>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一氧化碳</w:t>
                  </w:r>
                </w:p>
              </w:tc>
              <w:tc>
                <w:tcPr>
                  <w:tcW w:w="790" w:type="pct"/>
                  <w:noWrap w:val="0"/>
                  <w:vAlign w:val="center"/>
                </w:tcPr>
                <w:p w14:paraId="4624D993">
                  <w:pPr>
                    <w:pStyle w:val="16"/>
                    <w:spacing w:line="240" w:lineRule="auto"/>
                    <w:ind w:firstLine="0" w:firstLineChars="0"/>
                    <w:jc w:val="center"/>
                    <w:rPr>
                      <w:rFonts w:ascii="Times New Roman" w:hAnsi="Times New Roman" w:cs="Times New Roman"/>
                      <w:color w:val="auto"/>
                      <w:sz w:val="21"/>
                      <w:highlight w:val="none"/>
                    </w:rPr>
                  </w:pPr>
                  <w:r>
                    <w:rPr>
                      <w:rFonts w:ascii="Times New Roman" w:hAnsi="Times New Roman" w:cs="Times New Roman"/>
                      <w:color w:val="auto"/>
                      <w:sz w:val="21"/>
                      <w:highlight w:val="none"/>
                    </w:rPr>
                    <w:t>1次/</w:t>
                  </w:r>
                  <w:r>
                    <w:rPr>
                      <w:rFonts w:hint="eastAsia" w:ascii="Times New Roman" w:hAnsi="Times New Roman" w:cs="Times New Roman"/>
                      <w:color w:val="auto"/>
                      <w:sz w:val="21"/>
                      <w:highlight w:val="none"/>
                      <w:lang w:val="en-US" w:eastAsia="zh-CN"/>
                    </w:rPr>
                    <w:t>年</w:t>
                  </w:r>
                </w:p>
              </w:tc>
              <w:tc>
                <w:tcPr>
                  <w:tcW w:w="1873" w:type="pct"/>
                  <w:vMerge w:val="continue"/>
                  <w:noWrap w:val="0"/>
                  <w:vAlign w:val="center"/>
                </w:tcPr>
                <w:p w14:paraId="4D5A8082">
                  <w:pPr>
                    <w:pStyle w:val="16"/>
                    <w:spacing w:line="240" w:lineRule="auto"/>
                    <w:ind w:firstLine="0" w:firstLineChars="0"/>
                    <w:jc w:val="center"/>
                    <w:rPr>
                      <w:rFonts w:ascii="Times New Roman" w:hAnsi="Times New Roman" w:cs="Times New Roman"/>
                      <w:color w:val="auto"/>
                      <w:sz w:val="21"/>
                      <w:highlight w:val="none"/>
                    </w:rPr>
                  </w:pPr>
                </w:p>
              </w:tc>
            </w:tr>
            <w:tr w14:paraId="35DC7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95" w:type="pct"/>
                  <w:vMerge w:val="continue"/>
                  <w:noWrap w:val="0"/>
                  <w:vAlign w:val="center"/>
                </w:tcPr>
                <w:p w14:paraId="432DE4FD">
                  <w:pPr>
                    <w:pStyle w:val="16"/>
                    <w:spacing w:line="240" w:lineRule="auto"/>
                    <w:ind w:firstLine="0" w:firstLineChars="0"/>
                    <w:jc w:val="center"/>
                    <w:rPr>
                      <w:rFonts w:ascii="Times New Roman" w:hAnsi="Times New Roman" w:cs="Times New Roman"/>
                      <w:color w:val="auto"/>
                      <w:sz w:val="21"/>
                      <w:highlight w:val="none"/>
                    </w:rPr>
                  </w:pPr>
                </w:p>
              </w:tc>
              <w:tc>
                <w:tcPr>
                  <w:tcW w:w="917" w:type="pct"/>
                  <w:vMerge w:val="continue"/>
                  <w:noWrap w:val="0"/>
                  <w:vAlign w:val="center"/>
                </w:tcPr>
                <w:p w14:paraId="7064D1DB">
                  <w:pPr>
                    <w:pStyle w:val="16"/>
                    <w:spacing w:line="240" w:lineRule="auto"/>
                    <w:ind w:firstLine="0" w:firstLineChars="0"/>
                    <w:jc w:val="center"/>
                    <w:rPr>
                      <w:rFonts w:ascii="Times New Roman" w:hAnsi="Times New Roman" w:cs="Times New Roman"/>
                      <w:color w:val="auto"/>
                      <w:sz w:val="21"/>
                      <w:highlight w:val="none"/>
                    </w:rPr>
                  </w:pPr>
                </w:p>
              </w:tc>
              <w:tc>
                <w:tcPr>
                  <w:tcW w:w="1023" w:type="pct"/>
                  <w:noWrap w:val="0"/>
                  <w:vAlign w:val="center"/>
                </w:tcPr>
                <w:p w14:paraId="16B56AAC">
                  <w:pPr>
                    <w:pStyle w:val="16"/>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烟气黑度</w:t>
                  </w:r>
                </w:p>
              </w:tc>
              <w:tc>
                <w:tcPr>
                  <w:tcW w:w="790" w:type="pct"/>
                  <w:noWrap w:val="0"/>
                  <w:vAlign w:val="center"/>
                </w:tcPr>
                <w:p w14:paraId="37D17D4C">
                  <w:pPr>
                    <w:pStyle w:val="16"/>
                    <w:spacing w:line="240" w:lineRule="auto"/>
                    <w:ind w:firstLine="0" w:firstLineChars="0"/>
                    <w:jc w:val="center"/>
                    <w:rPr>
                      <w:rFonts w:ascii="Times New Roman" w:hAnsi="Times New Roman" w:cs="Times New Roman"/>
                      <w:color w:val="auto"/>
                      <w:sz w:val="21"/>
                      <w:highlight w:val="none"/>
                    </w:rPr>
                  </w:pPr>
                  <w:r>
                    <w:rPr>
                      <w:rFonts w:ascii="Times New Roman" w:hAnsi="Times New Roman" w:cs="Times New Roman"/>
                      <w:color w:val="auto"/>
                      <w:sz w:val="21"/>
                      <w:highlight w:val="none"/>
                    </w:rPr>
                    <w:t>1次/</w:t>
                  </w:r>
                  <w:r>
                    <w:rPr>
                      <w:rFonts w:hint="eastAsia" w:ascii="Times New Roman" w:hAnsi="Times New Roman" w:cs="Times New Roman"/>
                      <w:color w:val="auto"/>
                      <w:sz w:val="21"/>
                      <w:highlight w:val="none"/>
                      <w:lang w:val="en-US" w:eastAsia="zh-CN"/>
                    </w:rPr>
                    <w:t>季度</w:t>
                  </w:r>
                </w:p>
              </w:tc>
              <w:tc>
                <w:tcPr>
                  <w:tcW w:w="1873" w:type="pct"/>
                  <w:vMerge w:val="continue"/>
                  <w:noWrap w:val="0"/>
                  <w:vAlign w:val="center"/>
                </w:tcPr>
                <w:p w14:paraId="7D33E59C">
                  <w:pPr>
                    <w:pStyle w:val="16"/>
                    <w:spacing w:line="240" w:lineRule="auto"/>
                    <w:ind w:firstLine="0" w:firstLineChars="0"/>
                    <w:jc w:val="center"/>
                    <w:rPr>
                      <w:rFonts w:ascii="Times New Roman" w:hAnsi="Times New Roman" w:cs="Times New Roman"/>
                      <w:color w:val="auto"/>
                      <w:sz w:val="21"/>
                      <w:highlight w:val="none"/>
                    </w:rPr>
                  </w:pPr>
                </w:p>
              </w:tc>
            </w:tr>
            <w:tr w14:paraId="7E608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95" w:type="pct"/>
                  <w:vMerge w:val="continue"/>
                  <w:noWrap w:val="0"/>
                  <w:vAlign w:val="center"/>
                </w:tcPr>
                <w:p w14:paraId="07232C3B">
                  <w:pPr>
                    <w:pStyle w:val="16"/>
                    <w:spacing w:line="240" w:lineRule="auto"/>
                    <w:ind w:firstLine="0" w:firstLineChars="0"/>
                    <w:jc w:val="center"/>
                    <w:rPr>
                      <w:rFonts w:ascii="Times New Roman" w:hAnsi="Times New Roman" w:cs="Times New Roman"/>
                      <w:color w:val="auto"/>
                      <w:sz w:val="21"/>
                      <w:highlight w:val="none"/>
                    </w:rPr>
                  </w:pPr>
                </w:p>
              </w:tc>
              <w:tc>
                <w:tcPr>
                  <w:tcW w:w="917" w:type="pct"/>
                  <w:noWrap w:val="0"/>
                  <w:vAlign w:val="center"/>
                </w:tcPr>
                <w:p w14:paraId="53CF7B5B">
                  <w:pPr>
                    <w:pStyle w:val="16"/>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DW001废水排放口</w:t>
                  </w:r>
                </w:p>
              </w:tc>
              <w:tc>
                <w:tcPr>
                  <w:tcW w:w="1023" w:type="pct"/>
                  <w:noWrap w:val="0"/>
                  <w:vAlign w:val="center"/>
                </w:tcPr>
                <w:p w14:paraId="35FA7BE7">
                  <w:pPr>
                    <w:pStyle w:val="16"/>
                    <w:spacing w:line="240" w:lineRule="auto"/>
                    <w:ind w:firstLine="0" w:firstLineChars="0"/>
                    <w:jc w:val="center"/>
                    <w:rPr>
                      <w:rFonts w:hint="eastAsia" w:ascii="Times New Roman" w:hAnsi="Times New Roman" w:eastAsia="宋体" w:cs="Times New Roman"/>
                      <w:color w:val="auto"/>
                      <w:sz w:val="21"/>
                      <w:highlight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pH值、化学需氧量、氨氮、悬浮物、总磷、石油类、硫化物、溶解性总固体(全盐量)、流量</w:t>
                  </w:r>
                </w:p>
              </w:tc>
              <w:tc>
                <w:tcPr>
                  <w:tcW w:w="790" w:type="pct"/>
                  <w:noWrap w:val="0"/>
                  <w:vAlign w:val="center"/>
                </w:tcPr>
                <w:p w14:paraId="1639397F">
                  <w:pPr>
                    <w:pStyle w:val="16"/>
                    <w:spacing w:line="240" w:lineRule="auto"/>
                    <w:ind w:firstLine="0" w:firstLineChars="0"/>
                    <w:jc w:val="center"/>
                    <w:rPr>
                      <w:rFonts w:ascii="Times New Roman" w:hAnsi="Times New Roman" w:cs="Times New Roman"/>
                      <w:color w:val="auto"/>
                      <w:sz w:val="21"/>
                      <w:highlight w:val="none"/>
                    </w:rPr>
                  </w:pPr>
                  <w:r>
                    <w:rPr>
                      <w:rFonts w:ascii="Times New Roman" w:hAnsi="Times New Roman" w:cs="Times New Roman"/>
                      <w:color w:val="auto"/>
                      <w:sz w:val="21"/>
                      <w:highlight w:val="none"/>
                    </w:rPr>
                    <w:t>1次/</w:t>
                  </w:r>
                  <w:r>
                    <w:rPr>
                      <w:rFonts w:hint="eastAsia" w:ascii="Times New Roman" w:hAnsi="Times New Roman" w:cs="Times New Roman"/>
                      <w:color w:val="auto"/>
                      <w:sz w:val="21"/>
                      <w:highlight w:val="none"/>
                      <w:lang w:val="en-US" w:eastAsia="zh-CN"/>
                    </w:rPr>
                    <w:t>月</w:t>
                  </w:r>
                </w:p>
              </w:tc>
              <w:tc>
                <w:tcPr>
                  <w:tcW w:w="1873" w:type="pct"/>
                  <w:noWrap w:val="0"/>
                  <w:vAlign w:val="center"/>
                </w:tcPr>
                <w:p w14:paraId="77A58474">
                  <w:pPr>
                    <w:pStyle w:val="16"/>
                    <w:spacing w:line="240" w:lineRule="auto"/>
                    <w:ind w:firstLine="0" w:firstLineChars="0"/>
                    <w:jc w:val="center"/>
                    <w:rPr>
                      <w:rFonts w:ascii="Times New Roman" w:hAnsi="Times New Roman" w:cs="Times New Roman"/>
                      <w:color w:val="auto"/>
                      <w:sz w:val="21"/>
                      <w:highlight w:val="none"/>
                    </w:rPr>
                  </w:pPr>
                  <w:r>
                    <w:rPr>
                      <w:rFonts w:hint="eastAsia" w:ascii="Times New Roman" w:hAnsi="Times New Roman" w:cs="Times New Roman"/>
                      <w:color w:val="auto"/>
                      <w:sz w:val="21"/>
                      <w:highlight w:val="none"/>
                    </w:rPr>
                    <w:t>广东省《水污染物排放限值》（DB44/26-2001）第二时段一级标准</w:t>
                  </w:r>
                </w:p>
              </w:tc>
            </w:tr>
            <w:tr w14:paraId="57233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95" w:type="pct"/>
                  <w:vMerge w:val="continue"/>
                  <w:noWrap w:val="0"/>
                  <w:vAlign w:val="center"/>
                </w:tcPr>
                <w:p w14:paraId="4E5CFE2A">
                  <w:pPr>
                    <w:pStyle w:val="16"/>
                    <w:spacing w:line="240" w:lineRule="auto"/>
                    <w:ind w:firstLine="0" w:firstLineChars="0"/>
                    <w:jc w:val="center"/>
                    <w:rPr>
                      <w:rFonts w:ascii="Times New Roman" w:hAnsi="Times New Roman" w:cs="Times New Roman"/>
                      <w:color w:val="auto"/>
                      <w:sz w:val="21"/>
                      <w:highlight w:val="none"/>
                    </w:rPr>
                  </w:pPr>
                </w:p>
              </w:tc>
              <w:tc>
                <w:tcPr>
                  <w:tcW w:w="917" w:type="pct"/>
                  <w:noWrap w:val="0"/>
                  <w:vAlign w:val="center"/>
                </w:tcPr>
                <w:p w14:paraId="17CD0863">
                  <w:pPr>
                    <w:pStyle w:val="16"/>
                    <w:spacing w:line="240" w:lineRule="auto"/>
                    <w:ind w:firstLine="0" w:firstLineChars="0"/>
                    <w:jc w:val="center"/>
                    <w:rPr>
                      <w:rFonts w:hint="eastAsia" w:ascii="Times New Roman" w:hAnsi="Times New Roman" w:eastAsia="宋体" w:cs="Times New Roman"/>
                      <w:color w:val="auto"/>
                      <w:sz w:val="21"/>
                      <w:highlight w:val="none"/>
                      <w:lang w:eastAsia="zh-CN"/>
                    </w:rPr>
                  </w:pPr>
                  <w:r>
                    <w:rPr>
                      <w:rFonts w:hint="eastAsia" w:ascii="Times New Roman" w:hAnsi="Times New Roman" w:cs="Times New Roman"/>
                      <w:color w:val="auto"/>
                      <w:sz w:val="21"/>
                      <w:highlight w:val="none"/>
                      <w:lang w:val="en-US" w:eastAsia="zh-CN"/>
                    </w:rPr>
                    <w:t>厂界</w:t>
                  </w:r>
                </w:p>
              </w:tc>
              <w:tc>
                <w:tcPr>
                  <w:tcW w:w="1023" w:type="pct"/>
                  <w:noWrap w:val="0"/>
                  <w:vAlign w:val="center"/>
                </w:tcPr>
                <w:p w14:paraId="4FDEDE14">
                  <w:pPr>
                    <w:pStyle w:val="16"/>
                    <w:spacing w:line="240" w:lineRule="auto"/>
                    <w:ind w:firstLine="0" w:firstLineChars="0"/>
                    <w:jc w:val="center"/>
                    <w:rPr>
                      <w:rFonts w:hint="eastAsia" w:ascii="Times New Roman" w:hAnsi="Times New Roman" w:eastAsia="宋体" w:cs="Times New Roman"/>
                      <w:color w:val="auto"/>
                      <w:sz w:val="21"/>
                      <w:highlight w:val="none"/>
                      <w:lang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颗粒物</w:t>
                  </w:r>
                </w:p>
              </w:tc>
              <w:tc>
                <w:tcPr>
                  <w:tcW w:w="790" w:type="pct"/>
                  <w:noWrap w:val="0"/>
                  <w:vAlign w:val="center"/>
                </w:tcPr>
                <w:p w14:paraId="4A9CF1E2">
                  <w:pPr>
                    <w:pStyle w:val="16"/>
                    <w:spacing w:line="240" w:lineRule="auto"/>
                    <w:ind w:firstLine="0" w:firstLineChars="0"/>
                    <w:jc w:val="center"/>
                    <w:rPr>
                      <w:rFonts w:ascii="Times New Roman" w:hAnsi="Times New Roman" w:cs="Times New Roman"/>
                      <w:color w:val="auto"/>
                      <w:sz w:val="21"/>
                      <w:highlight w:val="none"/>
                    </w:rPr>
                  </w:pPr>
                  <w:r>
                    <w:rPr>
                      <w:rFonts w:ascii="Times New Roman" w:hAnsi="Times New Roman" w:cs="Times New Roman"/>
                      <w:color w:val="auto"/>
                      <w:sz w:val="21"/>
                      <w:highlight w:val="none"/>
                    </w:rPr>
                    <w:t>1次/</w:t>
                  </w:r>
                  <w:r>
                    <w:rPr>
                      <w:rFonts w:hint="eastAsia" w:ascii="Times New Roman" w:hAnsi="Times New Roman" w:cs="Times New Roman"/>
                      <w:color w:val="auto"/>
                      <w:sz w:val="21"/>
                      <w:highlight w:val="none"/>
                      <w:lang w:val="en-US" w:eastAsia="zh-CN"/>
                    </w:rPr>
                    <w:t>半年</w:t>
                  </w:r>
                </w:p>
              </w:tc>
              <w:tc>
                <w:tcPr>
                  <w:tcW w:w="1873" w:type="pct"/>
                  <w:noWrap w:val="0"/>
                  <w:vAlign w:val="center"/>
                </w:tcPr>
                <w:p w14:paraId="4D81D452">
                  <w:pPr>
                    <w:pStyle w:val="16"/>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rPr>
                    <w:t>广东省地方标准《大气污染物排放限值》（DB44/27-2001）中第二时段</w:t>
                  </w:r>
                  <w:r>
                    <w:rPr>
                      <w:rFonts w:hint="eastAsia" w:ascii="Times New Roman" w:hAnsi="Times New Roman" w:cs="Times New Roman"/>
                      <w:color w:val="auto"/>
                      <w:sz w:val="21"/>
                      <w:highlight w:val="none"/>
                      <w:lang w:val="en-US" w:eastAsia="zh-CN"/>
                    </w:rPr>
                    <w:t>无组织排放监控浓度限值</w:t>
                  </w:r>
                </w:p>
              </w:tc>
            </w:tr>
            <w:tr w14:paraId="6B662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95" w:type="pct"/>
                  <w:noWrap w:val="0"/>
                  <w:vAlign w:val="center"/>
                </w:tcPr>
                <w:p w14:paraId="2EF30AF9">
                  <w:pPr>
                    <w:pStyle w:val="16"/>
                    <w:spacing w:line="240" w:lineRule="auto"/>
                    <w:ind w:firstLine="0" w:firstLineChars="0"/>
                    <w:jc w:val="center"/>
                    <w:rPr>
                      <w:rFonts w:hint="eastAsia"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噪声</w:t>
                  </w:r>
                </w:p>
              </w:tc>
              <w:tc>
                <w:tcPr>
                  <w:tcW w:w="917" w:type="pct"/>
                  <w:noWrap w:val="0"/>
                  <w:vAlign w:val="center"/>
                </w:tcPr>
                <w:p w14:paraId="02EEFE44">
                  <w:pPr>
                    <w:pStyle w:val="16"/>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企业厂界四周</w:t>
                  </w:r>
                </w:p>
              </w:tc>
              <w:tc>
                <w:tcPr>
                  <w:tcW w:w="1023" w:type="pct"/>
                  <w:noWrap w:val="0"/>
                  <w:vAlign w:val="center"/>
                </w:tcPr>
                <w:p w14:paraId="36131791">
                  <w:pPr>
                    <w:pStyle w:val="16"/>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等效联系A声级</w:t>
                  </w:r>
                </w:p>
              </w:tc>
              <w:tc>
                <w:tcPr>
                  <w:tcW w:w="790" w:type="pct"/>
                  <w:noWrap w:val="0"/>
                  <w:vAlign w:val="center"/>
                </w:tcPr>
                <w:p w14:paraId="30A1F025">
                  <w:pPr>
                    <w:pStyle w:val="16"/>
                    <w:spacing w:line="240" w:lineRule="auto"/>
                    <w:ind w:firstLine="0" w:firstLineChars="0"/>
                    <w:jc w:val="center"/>
                    <w:rPr>
                      <w:rFonts w:ascii="Times New Roman" w:hAnsi="Times New Roman" w:cs="Times New Roman"/>
                      <w:color w:val="auto"/>
                      <w:sz w:val="21"/>
                      <w:highlight w:val="none"/>
                    </w:rPr>
                  </w:pPr>
                  <w:r>
                    <w:rPr>
                      <w:rFonts w:ascii="Times New Roman" w:hAnsi="Times New Roman" w:cs="Times New Roman"/>
                      <w:color w:val="auto"/>
                      <w:sz w:val="21"/>
                      <w:highlight w:val="none"/>
                    </w:rPr>
                    <w:t>1次/季度</w:t>
                  </w:r>
                </w:p>
              </w:tc>
              <w:tc>
                <w:tcPr>
                  <w:tcW w:w="1873" w:type="pct"/>
                  <w:noWrap w:val="0"/>
                  <w:vAlign w:val="center"/>
                </w:tcPr>
                <w:p w14:paraId="351BB5C9">
                  <w:pPr>
                    <w:pStyle w:val="16"/>
                    <w:spacing w:line="240" w:lineRule="auto"/>
                    <w:ind w:firstLine="0" w:firstLineChars="0"/>
                    <w:jc w:val="center"/>
                    <w:rPr>
                      <w:rFonts w:ascii="Times New Roman" w:hAnsi="Times New Roman" w:cs="Times New Roman"/>
                      <w:color w:val="auto"/>
                      <w:sz w:val="21"/>
                      <w:highlight w:val="none"/>
                    </w:rPr>
                  </w:pPr>
                  <w:r>
                    <w:rPr>
                      <w:rFonts w:hint="eastAsia" w:ascii="Times New Roman" w:hAnsi="Times New Roman" w:cs="Times New Roman"/>
                      <w:color w:val="auto"/>
                      <w:sz w:val="21"/>
                      <w:highlight w:val="none"/>
                    </w:rPr>
                    <w:t>《工业企业厂界环境噪声排放标准》（GB 12348-2008）2类</w:t>
                  </w:r>
                  <w:r>
                    <w:rPr>
                      <w:rFonts w:hint="eastAsia" w:ascii="Times New Roman" w:hAnsi="Times New Roman" w:cs="Times New Roman"/>
                      <w:color w:val="auto"/>
                      <w:sz w:val="21"/>
                      <w:highlight w:val="none"/>
                      <w:lang w:eastAsia="zh-CN"/>
                    </w:rPr>
                    <w:t>、</w:t>
                  </w:r>
                  <w:r>
                    <w:rPr>
                      <w:rFonts w:hint="eastAsia" w:ascii="Times New Roman" w:hAnsi="Times New Roman" w:cs="Times New Roman"/>
                      <w:color w:val="auto"/>
                      <w:sz w:val="21"/>
                      <w:highlight w:val="none"/>
                      <w:lang w:val="en-US" w:eastAsia="zh-CN"/>
                    </w:rPr>
                    <w:t>4类</w:t>
                  </w:r>
                  <w:r>
                    <w:rPr>
                      <w:rFonts w:hint="eastAsia" w:ascii="Times New Roman" w:hAnsi="Times New Roman" w:cs="Times New Roman"/>
                      <w:color w:val="auto"/>
                      <w:sz w:val="21"/>
                      <w:highlight w:val="none"/>
                    </w:rPr>
                    <w:t>标准</w:t>
                  </w:r>
                </w:p>
              </w:tc>
            </w:tr>
          </w:tbl>
          <w:p w14:paraId="4924B03A">
            <w:pPr>
              <w:keepNext w:val="0"/>
              <w:keepLines w:val="0"/>
              <w:pageBreakBefore w:val="0"/>
              <w:widowControl w:val="0"/>
              <w:kinsoku/>
              <w:wordWrap/>
              <w:overflowPunct/>
              <w:topLinePunct w:val="0"/>
              <w:autoSpaceDE/>
              <w:autoSpaceDN/>
              <w:bidi w:val="0"/>
              <w:adjustRightInd w:val="0"/>
              <w:snapToGrid w:val="0"/>
              <w:spacing w:line="312" w:lineRule="auto"/>
              <w:ind w:firstLine="482" w:firstLineChars="200"/>
              <w:textAlignment w:val="auto"/>
              <w:rPr>
                <w:rFonts w:hint="eastAsia"/>
                <w:b/>
                <w:color w:val="auto"/>
                <w:sz w:val="24"/>
                <w:szCs w:val="21"/>
                <w:highlight w:val="none"/>
              </w:rPr>
            </w:pPr>
          </w:p>
          <w:p w14:paraId="1E31D461">
            <w:pPr>
              <w:pStyle w:val="30"/>
              <w:rPr>
                <w:rFonts w:hint="eastAsia"/>
                <w:color w:val="auto"/>
                <w:sz w:val="24"/>
                <w:szCs w:val="21"/>
                <w:highlight w:val="none"/>
                <w:lang w:eastAsia="zh-CN"/>
              </w:rPr>
            </w:pPr>
          </w:p>
          <w:p w14:paraId="368E6F49">
            <w:pPr>
              <w:pStyle w:val="29"/>
              <w:rPr>
                <w:rFonts w:hint="eastAsia"/>
                <w:color w:val="auto"/>
                <w:sz w:val="24"/>
                <w:szCs w:val="21"/>
                <w:highlight w:val="none"/>
                <w:lang w:eastAsia="zh-CN"/>
              </w:rPr>
            </w:pPr>
          </w:p>
          <w:p w14:paraId="63C34F33">
            <w:pPr>
              <w:rPr>
                <w:rFonts w:hint="eastAsia"/>
                <w:highlight w:val="none"/>
                <w:lang w:eastAsia="zh-CN"/>
              </w:rPr>
            </w:pPr>
          </w:p>
          <w:p w14:paraId="5025E6D3">
            <w:pPr>
              <w:rPr>
                <w:rFonts w:hint="eastAsia"/>
                <w:color w:val="auto"/>
                <w:sz w:val="24"/>
                <w:szCs w:val="21"/>
                <w:highlight w:val="none"/>
                <w:lang w:eastAsia="zh-CN"/>
              </w:rPr>
            </w:pPr>
          </w:p>
          <w:p w14:paraId="57C8CA85">
            <w:pPr>
              <w:pStyle w:val="41"/>
              <w:rPr>
                <w:rFonts w:hint="eastAsia"/>
                <w:color w:val="auto"/>
                <w:sz w:val="24"/>
                <w:szCs w:val="21"/>
                <w:highlight w:val="none"/>
                <w:lang w:eastAsia="zh-CN"/>
              </w:rPr>
            </w:pPr>
          </w:p>
          <w:p w14:paraId="5350345C">
            <w:pPr>
              <w:rPr>
                <w:rFonts w:hint="eastAsia"/>
                <w:color w:val="auto"/>
                <w:sz w:val="24"/>
                <w:szCs w:val="21"/>
                <w:highlight w:val="none"/>
                <w:lang w:eastAsia="zh-CN"/>
              </w:rPr>
            </w:pPr>
          </w:p>
          <w:p w14:paraId="6C56A0E4">
            <w:pPr>
              <w:pStyle w:val="41"/>
              <w:rPr>
                <w:rFonts w:hint="eastAsia"/>
                <w:color w:val="auto"/>
                <w:sz w:val="24"/>
                <w:szCs w:val="21"/>
                <w:highlight w:val="none"/>
                <w:lang w:eastAsia="zh-CN"/>
              </w:rPr>
            </w:pPr>
          </w:p>
          <w:p w14:paraId="12777ADD">
            <w:pPr>
              <w:pStyle w:val="41"/>
              <w:rPr>
                <w:highlight w:val="none"/>
              </w:rPr>
            </w:pPr>
          </w:p>
        </w:tc>
      </w:tr>
    </w:tbl>
    <w:p w14:paraId="2FD28938">
      <w:pPr>
        <w:adjustRightInd w:val="0"/>
        <w:snapToGrid w:val="0"/>
        <w:spacing w:line="360" w:lineRule="auto"/>
        <w:rPr>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45ABA592">
      <w:pPr>
        <w:pStyle w:val="2"/>
        <w:numPr>
          <w:ilvl w:val="0"/>
          <w:numId w:val="5"/>
        </w:numPr>
        <w:ind w:left="0" w:leftChars="0" w:firstLine="723" w:firstLineChars="200"/>
        <w:jc w:val="center"/>
        <w:rPr>
          <w:rFonts w:hint="eastAsia" w:ascii="宋体" w:hAnsi="宋体" w:eastAsia="宋体" w:cs="宋体"/>
          <w:sz w:val="36"/>
          <w:szCs w:val="36"/>
          <w:highlight w:val="none"/>
        </w:rPr>
      </w:pPr>
      <w:bookmarkStart w:id="42" w:name="_Toc5719"/>
      <w:bookmarkStart w:id="43" w:name="_Toc5381"/>
      <w:bookmarkStart w:id="44" w:name="_Hlk54167917"/>
      <w:r>
        <w:rPr>
          <w:rFonts w:hint="eastAsia" w:ascii="宋体" w:hAnsi="宋体" w:eastAsia="宋体" w:cs="宋体"/>
          <w:sz w:val="36"/>
          <w:szCs w:val="36"/>
          <w:highlight w:val="none"/>
        </w:rPr>
        <w:t>环境保护措施监督检查清单</w:t>
      </w:r>
      <w:bookmarkEnd w:id="42"/>
      <w:bookmarkEnd w:id="43"/>
      <w:bookmarkEnd w:id="44"/>
    </w:p>
    <w:tbl>
      <w:tblPr>
        <w:tblStyle w:val="3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76"/>
        <w:gridCol w:w="1584"/>
        <w:gridCol w:w="2008"/>
        <w:gridCol w:w="2761"/>
        <w:gridCol w:w="1531"/>
      </w:tblGrid>
      <w:tr w14:paraId="773FC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17" w:hRule="atLeast"/>
          <w:jc w:val="center"/>
        </w:trPr>
        <w:tc>
          <w:tcPr>
            <w:tcW w:w="1176" w:type="dxa"/>
            <w:shd w:val="clear" w:color="auto" w:fill="auto"/>
            <w:vAlign w:val="center"/>
          </w:tcPr>
          <w:p w14:paraId="6C104D00">
            <w:pPr>
              <w:adjustRightInd w:val="0"/>
              <w:snapToGrid w:val="0"/>
              <w:jc w:val="center"/>
              <w:rPr>
                <w:rFonts w:hint="eastAsia" w:ascii="Times New Roman" w:hAnsi="Times New Roman" w:eastAsia="宋体" w:cs="Times New Roman"/>
                <w:b/>
                <w:bCs/>
                <w:color w:val="auto"/>
                <w:szCs w:val="21"/>
                <w:highlight w:val="none"/>
                <w:lang w:val="en-US" w:eastAsia="zh-CN"/>
              </w:rPr>
            </w:pPr>
            <w:r>
              <w:rPr>
                <w:rFonts w:hint="eastAsia" w:ascii="Times New Roman" w:hAnsi="Times New Roman" w:eastAsia="宋体" w:cs="Times New Roman"/>
                <w:b/>
                <w:bCs/>
                <w:color w:val="auto"/>
                <w:szCs w:val="21"/>
                <w:highlight w:val="none"/>
                <w:lang w:val="en-US" w:eastAsia="zh-CN"/>
              </w:rPr>
              <w:t>内容</w:t>
            </w:r>
          </w:p>
          <w:p w14:paraId="28646C83">
            <w:pPr>
              <w:adjustRightInd w:val="0"/>
              <w:snapToGrid w:val="0"/>
              <w:jc w:val="center"/>
              <w:rPr>
                <w:rFonts w:hint="eastAsia"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lang w:val="en-US" w:eastAsia="zh-CN"/>
              </w:rPr>
              <w:t>要素</w:t>
            </w:r>
          </w:p>
        </w:tc>
        <w:tc>
          <w:tcPr>
            <w:tcW w:w="1584" w:type="dxa"/>
            <w:shd w:val="clear" w:color="auto" w:fill="auto"/>
            <w:vAlign w:val="center"/>
          </w:tcPr>
          <w:p w14:paraId="043DDA9E">
            <w:pPr>
              <w:adjustRightInd w:val="0"/>
              <w:snapToGrid w:val="0"/>
              <w:jc w:val="center"/>
              <w:rPr>
                <w:rFonts w:hint="eastAsia" w:ascii="Times New Roman" w:hAnsi="Times New Roman" w:eastAsia="宋体" w:cs="Times New Roman"/>
                <w:b/>
                <w:bCs/>
                <w:color w:val="auto"/>
                <w:szCs w:val="21"/>
                <w:highlight w:val="none"/>
                <w:lang w:val="en-US" w:eastAsia="zh-CN"/>
              </w:rPr>
            </w:pPr>
            <w:r>
              <w:rPr>
                <w:rFonts w:hint="eastAsia" w:ascii="Times New Roman" w:hAnsi="Times New Roman" w:eastAsia="宋体" w:cs="Times New Roman"/>
                <w:b/>
                <w:bCs/>
                <w:color w:val="auto"/>
                <w:szCs w:val="21"/>
                <w:highlight w:val="none"/>
                <w:lang w:val="en-US" w:eastAsia="zh-CN"/>
              </w:rPr>
              <w:t>排放口</w:t>
            </w:r>
            <w:r>
              <w:rPr>
                <w:rFonts w:hint="default" w:ascii="Times New Roman" w:hAnsi="Times New Roman" w:eastAsia="宋体" w:cs="Times New Roman"/>
                <w:b/>
                <w:bCs/>
                <w:color w:val="auto"/>
                <w:szCs w:val="21"/>
                <w:highlight w:val="none"/>
                <w:lang w:val="en-US" w:eastAsia="zh-CN"/>
              </w:rPr>
              <w:t>(</w:t>
            </w:r>
            <w:r>
              <w:rPr>
                <w:rFonts w:hint="eastAsia" w:ascii="Times New Roman" w:hAnsi="Times New Roman" w:eastAsia="宋体" w:cs="Times New Roman"/>
                <w:b/>
                <w:bCs/>
                <w:color w:val="auto"/>
                <w:szCs w:val="21"/>
                <w:highlight w:val="none"/>
                <w:lang w:val="en-US" w:eastAsia="zh-CN"/>
              </w:rPr>
              <w:t>编号、</w:t>
            </w:r>
          </w:p>
          <w:p w14:paraId="62E34EC0">
            <w:pPr>
              <w:adjustRightInd w:val="0"/>
              <w:snapToGrid w:val="0"/>
              <w:jc w:val="center"/>
              <w:rPr>
                <w:rFonts w:hint="eastAsia"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lang w:val="en-US" w:eastAsia="zh-CN"/>
              </w:rPr>
              <w:t>名称</w:t>
            </w:r>
            <w:r>
              <w:rPr>
                <w:rFonts w:hint="default" w:ascii="Times New Roman" w:hAnsi="Times New Roman" w:eastAsia="宋体" w:cs="Times New Roman"/>
                <w:b/>
                <w:bCs/>
                <w:color w:val="auto"/>
                <w:szCs w:val="21"/>
                <w:highlight w:val="none"/>
                <w:lang w:val="en-US" w:eastAsia="zh-CN"/>
              </w:rPr>
              <w:t>)/</w:t>
            </w:r>
            <w:r>
              <w:rPr>
                <w:rFonts w:hint="eastAsia" w:ascii="Times New Roman" w:hAnsi="Times New Roman" w:eastAsia="宋体" w:cs="Times New Roman"/>
                <w:b/>
                <w:bCs/>
                <w:color w:val="auto"/>
                <w:szCs w:val="21"/>
                <w:highlight w:val="none"/>
                <w:lang w:val="en-US" w:eastAsia="zh-CN"/>
              </w:rPr>
              <w:t>污染源</w:t>
            </w:r>
          </w:p>
        </w:tc>
        <w:tc>
          <w:tcPr>
            <w:tcW w:w="2008" w:type="dxa"/>
            <w:shd w:val="clear" w:color="auto" w:fill="auto"/>
            <w:vAlign w:val="center"/>
          </w:tcPr>
          <w:p w14:paraId="41901B16">
            <w:pPr>
              <w:adjustRightInd w:val="0"/>
              <w:snapToGrid w:val="0"/>
              <w:jc w:val="center"/>
              <w:rPr>
                <w:rFonts w:hint="eastAsia"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lang w:val="en-US" w:eastAsia="zh-CN"/>
              </w:rPr>
              <w:t>污染物项目</w:t>
            </w:r>
          </w:p>
        </w:tc>
        <w:tc>
          <w:tcPr>
            <w:tcW w:w="2761" w:type="dxa"/>
            <w:shd w:val="clear" w:color="auto" w:fill="auto"/>
            <w:vAlign w:val="center"/>
          </w:tcPr>
          <w:p w14:paraId="0B309970">
            <w:pPr>
              <w:adjustRightInd w:val="0"/>
              <w:snapToGrid w:val="0"/>
              <w:jc w:val="center"/>
              <w:rPr>
                <w:rFonts w:hint="eastAsia"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lang w:val="en-US" w:eastAsia="zh-CN"/>
              </w:rPr>
              <w:t>环境保护措施</w:t>
            </w:r>
          </w:p>
        </w:tc>
        <w:tc>
          <w:tcPr>
            <w:tcW w:w="1531" w:type="dxa"/>
            <w:shd w:val="clear" w:color="auto" w:fill="auto"/>
            <w:vAlign w:val="center"/>
          </w:tcPr>
          <w:p w14:paraId="233A0BC9">
            <w:pPr>
              <w:adjustRightInd w:val="0"/>
              <w:snapToGrid w:val="0"/>
              <w:jc w:val="center"/>
              <w:rPr>
                <w:rFonts w:hint="eastAsia"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lang w:val="en-US" w:eastAsia="zh-CN"/>
              </w:rPr>
              <w:t>执行标准</w:t>
            </w:r>
          </w:p>
        </w:tc>
      </w:tr>
      <w:tr w14:paraId="0074A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65" w:hRule="atLeast"/>
          <w:jc w:val="center"/>
        </w:trPr>
        <w:tc>
          <w:tcPr>
            <w:tcW w:w="1176" w:type="dxa"/>
            <w:vMerge w:val="restart"/>
            <w:shd w:val="clear" w:color="auto" w:fill="auto"/>
            <w:vAlign w:val="center"/>
          </w:tcPr>
          <w:p w14:paraId="2EA11A46">
            <w:pPr>
              <w:adjustRightInd w:val="0"/>
              <w:snapToGrid w:val="0"/>
              <w:jc w:val="center"/>
              <w:rPr>
                <w:rFonts w:hint="eastAsia"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lang w:val="en-US" w:eastAsia="zh-CN"/>
              </w:rPr>
              <w:t>大气环境</w:t>
            </w:r>
          </w:p>
        </w:tc>
        <w:tc>
          <w:tcPr>
            <w:tcW w:w="1584" w:type="dxa"/>
            <w:shd w:val="clear" w:color="auto" w:fill="auto"/>
            <w:vAlign w:val="center"/>
          </w:tcPr>
          <w:p w14:paraId="51E9A850">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生物质锅炉烟气</w:t>
            </w:r>
          </w:p>
        </w:tc>
        <w:tc>
          <w:tcPr>
            <w:tcW w:w="2008" w:type="dxa"/>
            <w:shd w:val="clear" w:color="auto" w:fill="auto"/>
            <w:vAlign w:val="center"/>
          </w:tcPr>
          <w:p w14:paraId="255D1E02">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颗粒物、二氧化硫、氮氧化物、一氧化碳、氨</w:t>
            </w:r>
          </w:p>
        </w:tc>
        <w:tc>
          <w:tcPr>
            <w:tcW w:w="2761" w:type="dxa"/>
            <w:shd w:val="clear" w:color="auto" w:fill="auto"/>
            <w:vAlign w:val="center"/>
          </w:tcPr>
          <w:p w14:paraId="3B6B062C">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炉内</w:t>
            </w:r>
            <w:r>
              <w:rPr>
                <w:rFonts w:hint="eastAsia" w:cs="Times New Roman"/>
                <w:color w:val="auto"/>
                <w:szCs w:val="21"/>
                <w:highlight w:val="none"/>
                <w:lang w:val="en-US" w:eastAsia="zh-CN"/>
              </w:rPr>
              <w:t>脱硝</w:t>
            </w:r>
            <w:r>
              <w:rPr>
                <w:rFonts w:hint="eastAsia" w:ascii="Times New Roman" w:hAnsi="Times New Roman" w:eastAsia="宋体" w:cs="Times New Roman"/>
                <w:color w:val="auto"/>
                <w:szCs w:val="21"/>
                <w:highlight w:val="none"/>
                <w:lang w:val="en-US" w:eastAsia="zh-CN"/>
              </w:rPr>
              <w:t>SNCR+多管旋风除尘+袋式除尘+炉外</w:t>
            </w:r>
            <w:r>
              <w:rPr>
                <w:rFonts w:hint="eastAsia" w:cs="Times New Roman"/>
                <w:color w:val="auto"/>
                <w:szCs w:val="21"/>
                <w:highlight w:val="none"/>
                <w:lang w:val="en-US" w:eastAsia="zh-CN"/>
              </w:rPr>
              <w:t>脱硝</w:t>
            </w:r>
            <w:r>
              <w:rPr>
                <w:rFonts w:hint="eastAsia" w:ascii="Times New Roman" w:hAnsi="Times New Roman" w:eastAsia="宋体" w:cs="Times New Roman"/>
                <w:color w:val="auto"/>
                <w:szCs w:val="21"/>
                <w:highlight w:val="none"/>
                <w:lang w:val="en-US" w:eastAsia="zh-CN"/>
              </w:rPr>
              <w:t>SCR+干法脱硫+45m高烟囱</w:t>
            </w:r>
          </w:p>
        </w:tc>
        <w:tc>
          <w:tcPr>
            <w:tcW w:w="1531" w:type="dxa"/>
            <w:shd w:val="clear" w:color="auto" w:fill="auto"/>
            <w:vAlign w:val="center"/>
          </w:tcPr>
          <w:p w14:paraId="187AA30E">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广东省地方标准《锅炉大气污染物排放标准》DB44/765-2019)中表2燃生物质成型燃料锅炉限值</w:t>
            </w:r>
          </w:p>
        </w:tc>
      </w:tr>
      <w:tr w14:paraId="25B37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65" w:hRule="atLeast"/>
          <w:jc w:val="center"/>
        </w:trPr>
        <w:tc>
          <w:tcPr>
            <w:tcW w:w="1176" w:type="dxa"/>
            <w:vMerge w:val="continue"/>
            <w:shd w:val="clear" w:color="auto" w:fill="auto"/>
            <w:vAlign w:val="center"/>
          </w:tcPr>
          <w:p w14:paraId="03F310C7">
            <w:pPr>
              <w:adjustRightInd w:val="0"/>
              <w:snapToGrid w:val="0"/>
              <w:jc w:val="center"/>
              <w:rPr>
                <w:rFonts w:hint="eastAsia" w:ascii="Times New Roman" w:hAnsi="Times New Roman" w:eastAsia="宋体" w:cs="Times New Roman"/>
                <w:b/>
                <w:bCs/>
                <w:color w:val="auto"/>
                <w:szCs w:val="21"/>
                <w:highlight w:val="none"/>
                <w:lang w:val="en-US" w:eastAsia="zh-CN"/>
              </w:rPr>
            </w:pPr>
          </w:p>
        </w:tc>
        <w:tc>
          <w:tcPr>
            <w:tcW w:w="1584" w:type="dxa"/>
            <w:shd w:val="clear" w:color="auto" w:fill="auto"/>
            <w:vAlign w:val="center"/>
          </w:tcPr>
          <w:p w14:paraId="226A11FC">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无组织粉尘</w:t>
            </w:r>
          </w:p>
        </w:tc>
        <w:tc>
          <w:tcPr>
            <w:tcW w:w="2008" w:type="dxa"/>
            <w:shd w:val="clear" w:color="auto" w:fill="auto"/>
            <w:vAlign w:val="center"/>
          </w:tcPr>
          <w:p w14:paraId="1E4350E7">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颗粒物</w:t>
            </w:r>
          </w:p>
        </w:tc>
        <w:tc>
          <w:tcPr>
            <w:tcW w:w="2761" w:type="dxa"/>
            <w:shd w:val="clear" w:color="auto" w:fill="auto"/>
            <w:vAlign w:val="center"/>
          </w:tcPr>
          <w:p w14:paraId="7732DE74">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w:t>
            </w:r>
          </w:p>
        </w:tc>
        <w:tc>
          <w:tcPr>
            <w:tcW w:w="1531" w:type="dxa"/>
            <w:shd w:val="clear" w:color="auto" w:fill="auto"/>
            <w:vAlign w:val="center"/>
          </w:tcPr>
          <w:p w14:paraId="31AFE062">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广东省地方标准《大气污染物排放限值》（DB44/27-2001）中第二时段无组织排放监控浓度限值</w:t>
            </w:r>
          </w:p>
        </w:tc>
      </w:tr>
      <w:tr w14:paraId="2697C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32" w:hRule="atLeast"/>
          <w:jc w:val="center"/>
        </w:trPr>
        <w:tc>
          <w:tcPr>
            <w:tcW w:w="1176" w:type="dxa"/>
            <w:vMerge w:val="restart"/>
            <w:shd w:val="clear" w:color="auto" w:fill="auto"/>
            <w:vAlign w:val="center"/>
          </w:tcPr>
          <w:p w14:paraId="4B1141DF">
            <w:pPr>
              <w:adjustRightInd w:val="0"/>
              <w:snapToGrid w:val="0"/>
              <w:jc w:val="center"/>
              <w:rPr>
                <w:rFonts w:hint="eastAsia"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lang w:val="en-US" w:eastAsia="zh-CN"/>
              </w:rPr>
              <w:t>地表水环境</w:t>
            </w:r>
          </w:p>
        </w:tc>
        <w:tc>
          <w:tcPr>
            <w:tcW w:w="1584" w:type="dxa"/>
            <w:shd w:val="clear" w:color="auto" w:fill="auto"/>
            <w:vAlign w:val="center"/>
          </w:tcPr>
          <w:p w14:paraId="1D5A2906">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生活污水</w:t>
            </w:r>
          </w:p>
        </w:tc>
        <w:tc>
          <w:tcPr>
            <w:tcW w:w="2008" w:type="dxa"/>
            <w:shd w:val="clear" w:color="auto" w:fill="auto"/>
            <w:vAlign w:val="center"/>
          </w:tcPr>
          <w:p w14:paraId="2A65CE76">
            <w:pPr>
              <w:adjustRightInd w:val="0"/>
              <w:snapToGrid w:val="0"/>
              <w:jc w:val="center"/>
              <w:rPr>
                <w:rFonts w:hint="default" w:ascii="Times New Roman" w:hAnsi="Times New Roman" w:eastAsia="宋体" w:cs="Times New Roman"/>
                <w:color w:val="auto"/>
                <w:szCs w:val="21"/>
                <w:highlight w:val="none"/>
                <w:lang w:val="en-US"/>
              </w:rPr>
            </w:pPr>
            <w:r>
              <w:rPr>
                <w:rFonts w:hint="default" w:ascii="Times New Roman" w:hAnsi="Times New Roman" w:eastAsia="宋体" w:cs="Times New Roman"/>
                <w:color w:val="auto"/>
                <w:szCs w:val="21"/>
                <w:highlight w:val="none"/>
                <w:lang w:val="en-US" w:eastAsia="zh-CN"/>
              </w:rPr>
              <w:t>pH</w:t>
            </w:r>
            <w:r>
              <w:rPr>
                <w:rFonts w:hint="eastAsia" w:ascii="Times New Roman" w:hAnsi="Times New Roman" w:eastAsia="宋体" w:cs="Times New Roman"/>
                <w:color w:val="auto"/>
                <w:szCs w:val="21"/>
                <w:highlight w:val="none"/>
                <w:lang w:val="en-US" w:eastAsia="zh-CN"/>
              </w:rPr>
              <w:t>值、化学需氧量、氨氮、悬浮物、动植物油</w:t>
            </w:r>
            <w:r>
              <w:rPr>
                <w:rFonts w:hint="eastAsia" w:cs="Times New Roman"/>
                <w:color w:val="auto"/>
                <w:szCs w:val="21"/>
                <w:highlight w:val="none"/>
                <w:lang w:val="en-US" w:eastAsia="zh-CN"/>
              </w:rPr>
              <w:t>、五日生化需氧量</w:t>
            </w:r>
          </w:p>
        </w:tc>
        <w:tc>
          <w:tcPr>
            <w:tcW w:w="2761" w:type="dxa"/>
            <w:shd w:val="clear" w:color="auto" w:fill="auto"/>
            <w:vAlign w:val="center"/>
          </w:tcPr>
          <w:p w14:paraId="5FBE5A24">
            <w:pPr>
              <w:adjustRightInd w:val="0"/>
              <w:snapToGrid w:val="0"/>
              <w:jc w:val="center"/>
              <w:rPr>
                <w:rFonts w:hint="default" w:ascii="Times New Roman" w:hAnsi="Times New Roman" w:eastAsia="宋体" w:cs="Times New Roman"/>
                <w:color w:val="auto"/>
                <w:szCs w:val="21"/>
                <w:highlight w:val="none"/>
                <w:lang w:val="en-US"/>
              </w:rPr>
            </w:pPr>
            <w:r>
              <w:rPr>
                <w:rFonts w:hint="eastAsia" w:ascii="Times New Roman" w:hAnsi="Times New Roman" w:eastAsia="宋体" w:cs="Times New Roman"/>
                <w:color w:val="auto"/>
                <w:szCs w:val="21"/>
                <w:highlight w:val="none"/>
                <w:lang w:val="en-US" w:eastAsia="zh-CN"/>
              </w:rPr>
              <w:t>三级化粪池</w:t>
            </w:r>
            <w:r>
              <w:rPr>
                <w:rFonts w:hint="eastAsia" w:cs="Times New Roman"/>
                <w:color w:val="auto"/>
                <w:szCs w:val="21"/>
                <w:highlight w:val="none"/>
                <w:lang w:val="en-US" w:eastAsia="zh-CN"/>
              </w:rPr>
              <w:t>处理后回用于厂区周边绿化，不外排</w:t>
            </w:r>
          </w:p>
        </w:tc>
        <w:tc>
          <w:tcPr>
            <w:tcW w:w="1531" w:type="dxa"/>
            <w:shd w:val="clear" w:color="auto" w:fill="auto"/>
            <w:vAlign w:val="center"/>
          </w:tcPr>
          <w:p w14:paraId="6344F3A8">
            <w:pPr>
              <w:adjustRightInd w:val="0"/>
              <w:snapToGrid w:val="0"/>
              <w:jc w:val="center"/>
              <w:rPr>
                <w:rFonts w:hint="eastAsia" w:ascii="Times New Roman" w:hAnsi="Times New Roman" w:eastAsia="宋体" w:cs="Times New Roman"/>
                <w:color w:val="auto"/>
                <w:szCs w:val="21"/>
                <w:highlight w:val="none"/>
              </w:rPr>
            </w:pPr>
            <w:r>
              <w:rPr>
                <w:rFonts w:eastAsia="Times New Roman"/>
                <w:color w:val="auto"/>
                <w:highlight w:val="none"/>
              </w:rPr>
              <w:t>《</w:t>
            </w:r>
            <w:r>
              <w:rPr>
                <w:color w:val="auto"/>
                <w:highlight w:val="none"/>
              </w:rPr>
              <w:t>农田灌溉水质标准》（GB5084-2021</w:t>
            </w:r>
            <w:r>
              <w:rPr>
                <w:rFonts w:eastAsia="Times New Roman"/>
                <w:color w:val="auto"/>
                <w:highlight w:val="none"/>
              </w:rPr>
              <w:t>）</w:t>
            </w:r>
            <w:r>
              <w:rPr>
                <w:color w:val="auto"/>
                <w:highlight w:val="none"/>
              </w:rPr>
              <w:t>旱作作物标准</w:t>
            </w:r>
          </w:p>
        </w:tc>
      </w:tr>
      <w:tr w14:paraId="7E14B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305" w:hRule="atLeast"/>
          <w:jc w:val="center"/>
        </w:trPr>
        <w:tc>
          <w:tcPr>
            <w:tcW w:w="1176" w:type="dxa"/>
            <w:vMerge w:val="continue"/>
            <w:shd w:val="clear" w:color="auto" w:fill="auto"/>
            <w:vAlign w:val="center"/>
          </w:tcPr>
          <w:p w14:paraId="7FC97B55">
            <w:pPr>
              <w:adjustRightInd w:val="0"/>
              <w:snapToGrid w:val="0"/>
              <w:jc w:val="center"/>
              <w:rPr>
                <w:rFonts w:hint="eastAsia" w:ascii="Times New Roman" w:hAnsi="Times New Roman" w:eastAsia="宋体" w:cs="Times New Roman"/>
                <w:b/>
                <w:bCs/>
                <w:color w:val="auto"/>
                <w:szCs w:val="21"/>
                <w:highlight w:val="none"/>
                <w:lang w:val="en-US" w:eastAsia="zh-CN"/>
              </w:rPr>
            </w:pPr>
          </w:p>
        </w:tc>
        <w:tc>
          <w:tcPr>
            <w:tcW w:w="1584" w:type="dxa"/>
            <w:shd w:val="clear" w:color="auto" w:fill="auto"/>
            <w:vAlign w:val="center"/>
          </w:tcPr>
          <w:p w14:paraId="2C21E581">
            <w:pPr>
              <w:adjustRightInd w:val="0"/>
              <w:snapToGrid w:val="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生产废水</w:t>
            </w:r>
          </w:p>
        </w:tc>
        <w:tc>
          <w:tcPr>
            <w:tcW w:w="2008" w:type="dxa"/>
            <w:shd w:val="clear" w:color="auto" w:fill="auto"/>
            <w:vAlign w:val="center"/>
          </w:tcPr>
          <w:p w14:paraId="771D7C91">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eastAsia="宋体"/>
                <w:color w:val="auto"/>
                <w:highlight w:val="none"/>
                <w:lang w:val="en-US" w:eastAsia="zh-CN"/>
              </w:rPr>
              <w:t>pH值</w:t>
            </w:r>
            <w:r>
              <w:rPr>
                <w:rFonts w:hint="eastAsia"/>
                <w:color w:val="auto"/>
                <w:highlight w:val="none"/>
                <w:lang w:val="en-US" w:eastAsia="zh-CN"/>
              </w:rPr>
              <w:t>、</w:t>
            </w:r>
            <w:r>
              <w:rPr>
                <w:rFonts w:hint="eastAsia" w:eastAsia="Times New Roman"/>
                <w:color w:val="auto"/>
                <w:highlight w:val="none"/>
              </w:rPr>
              <w:t>悬浮物</w:t>
            </w:r>
            <w:r>
              <w:rPr>
                <w:rFonts w:hint="eastAsia" w:eastAsia="宋体"/>
                <w:color w:val="auto"/>
                <w:highlight w:val="none"/>
                <w:lang w:eastAsia="zh-CN"/>
              </w:rPr>
              <w:t>、</w:t>
            </w:r>
            <w:r>
              <w:rPr>
                <w:rFonts w:hint="eastAsia" w:eastAsia="宋体"/>
                <w:color w:val="auto"/>
                <w:highlight w:val="none"/>
                <w:lang w:val="en-US" w:eastAsia="zh-CN"/>
              </w:rPr>
              <w:t>化学需氧量、</w:t>
            </w:r>
            <w:r>
              <w:rPr>
                <w:rFonts w:hint="eastAsia"/>
                <w:color w:val="auto"/>
                <w:highlight w:val="none"/>
                <w:lang w:val="en-US" w:eastAsia="zh-CN"/>
              </w:rPr>
              <w:t>全盐量、氨氮</w:t>
            </w:r>
          </w:p>
        </w:tc>
        <w:tc>
          <w:tcPr>
            <w:tcW w:w="2761" w:type="dxa"/>
            <w:shd w:val="clear" w:color="auto" w:fill="auto"/>
            <w:vAlign w:val="center"/>
          </w:tcPr>
          <w:p w14:paraId="12451DEE">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olor w:val="auto"/>
                <w:szCs w:val="21"/>
                <w:highlight w:val="none"/>
                <w:lang w:val="en-US" w:eastAsia="zh-CN"/>
              </w:rPr>
              <w:t>降温、絮凝沉淀处理达到标准后外排至武江</w:t>
            </w:r>
          </w:p>
        </w:tc>
        <w:tc>
          <w:tcPr>
            <w:tcW w:w="1531" w:type="dxa"/>
            <w:shd w:val="clear" w:color="auto" w:fill="auto"/>
            <w:vAlign w:val="center"/>
          </w:tcPr>
          <w:p w14:paraId="63781F86">
            <w:pPr>
              <w:adjustRightInd w:val="0"/>
              <w:snapToGrid w:val="0"/>
              <w:jc w:val="center"/>
              <w:rPr>
                <w:rFonts w:hint="default" w:eastAsia="宋体" w:cs="Times New Roman"/>
                <w:color w:val="auto"/>
                <w:szCs w:val="21"/>
                <w:highlight w:val="none"/>
                <w:lang w:val="en-US" w:eastAsia="zh-CN"/>
              </w:rPr>
            </w:pPr>
            <w:r>
              <w:rPr>
                <w:rFonts w:hint="eastAsia" w:cs="Times New Roman"/>
                <w:color w:val="auto"/>
                <w:szCs w:val="21"/>
                <w:highlight w:val="none"/>
                <w:lang w:val="en-US" w:eastAsia="zh-CN"/>
              </w:rPr>
              <w:t>/广东省《水污染物排放限值》（DB44/26-2001）第二时段一级标准</w:t>
            </w:r>
          </w:p>
        </w:tc>
      </w:tr>
      <w:tr w14:paraId="5D501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40" w:hRule="atLeast"/>
          <w:jc w:val="center"/>
        </w:trPr>
        <w:tc>
          <w:tcPr>
            <w:tcW w:w="1176" w:type="dxa"/>
            <w:shd w:val="clear" w:color="auto" w:fill="auto"/>
            <w:vAlign w:val="center"/>
          </w:tcPr>
          <w:p w14:paraId="069D411A">
            <w:pPr>
              <w:adjustRightInd w:val="0"/>
              <w:snapToGrid w:val="0"/>
              <w:jc w:val="center"/>
              <w:rPr>
                <w:rFonts w:hint="eastAsia"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lang w:val="en-US" w:eastAsia="zh-CN"/>
              </w:rPr>
              <w:t>声环境</w:t>
            </w:r>
          </w:p>
        </w:tc>
        <w:tc>
          <w:tcPr>
            <w:tcW w:w="1584" w:type="dxa"/>
            <w:shd w:val="clear" w:color="auto" w:fill="auto"/>
            <w:vAlign w:val="center"/>
          </w:tcPr>
          <w:p w14:paraId="5F61518F">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生产设备</w:t>
            </w:r>
          </w:p>
        </w:tc>
        <w:tc>
          <w:tcPr>
            <w:tcW w:w="2008" w:type="dxa"/>
            <w:shd w:val="clear" w:color="auto" w:fill="auto"/>
            <w:vAlign w:val="center"/>
          </w:tcPr>
          <w:p w14:paraId="3475CE61">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机械</w:t>
            </w:r>
            <w:r>
              <w:rPr>
                <w:rFonts w:hint="eastAsia" w:ascii="Times New Roman" w:hAnsi="Times New Roman" w:eastAsia="宋体" w:cs="Times New Roman"/>
                <w:color w:val="auto"/>
                <w:szCs w:val="21"/>
                <w:highlight w:val="none"/>
                <w:lang w:val="en-US" w:eastAsia="zh-CN"/>
              </w:rPr>
              <w:t>噪</w:t>
            </w:r>
          </w:p>
          <w:p w14:paraId="1E31C684">
            <w:pPr>
              <w:adjustRightInd w:val="0"/>
              <w:snapToGrid w:val="0"/>
              <w:jc w:val="center"/>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声</w:t>
            </w:r>
          </w:p>
        </w:tc>
        <w:tc>
          <w:tcPr>
            <w:tcW w:w="2761" w:type="dxa"/>
            <w:shd w:val="clear" w:color="auto" w:fill="auto"/>
            <w:vAlign w:val="center"/>
          </w:tcPr>
          <w:p w14:paraId="418352AB">
            <w:pPr>
              <w:adjustRightInd w:val="0"/>
              <w:snapToGrid w:val="0"/>
              <w:jc w:val="center"/>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合理布置、消声减震、建筑物隔声</w:t>
            </w:r>
          </w:p>
        </w:tc>
        <w:tc>
          <w:tcPr>
            <w:tcW w:w="1531" w:type="dxa"/>
            <w:shd w:val="clear" w:color="auto" w:fill="auto"/>
            <w:vAlign w:val="center"/>
          </w:tcPr>
          <w:p w14:paraId="5EC8220B">
            <w:pPr>
              <w:adjustRightInd w:val="0"/>
              <w:snapToGrid w:val="0"/>
              <w:jc w:val="center"/>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《工业企业厂界环境噪声排放标准》（</w:t>
            </w:r>
            <w:r>
              <w:rPr>
                <w:rFonts w:hint="default" w:ascii="Times New Roman" w:hAnsi="Times New Roman" w:eastAsia="宋体" w:cs="Times New Roman"/>
                <w:color w:val="auto"/>
                <w:szCs w:val="21"/>
                <w:highlight w:val="none"/>
                <w:lang w:val="en-US" w:eastAsia="zh-CN"/>
              </w:rPr>
              <w:t>GB12348-2008</w:t>
            </w:r>
            <w:r>
              <w:rPr>
                <w:rFonts w:hint="eastAsia" w:ascii="Times New Roman" w:hAnsi="Times New Roman" w:eastAsia="宋体" w:cs="Times New Roman"/>
                <w:color w:val="auto"/>
                <w:szCs w:val="21"/>
                <w:highlight w:val="none"/>
                <w:lang w:val="en-US" w:eastAsia="zh-CN"/>
              </w:rPr>
              <w:t>）中</w:t>
            </w:r>
            <w:r>
              <w:rPr>
                <w:rFonts w:hint="eastAsia" w:cs="Times New Roman"/>
                <w:color w:val="auto"/>
                <w:szCs w:val="21"/>
                <w:highlight w:val="none"/>
                <w:lang w:val="en-US" w:eastAsia="zh-CN"/>
              </w:rPr>
              <w:t>2</w:t>
            </w:r>
            <w:r>
              <w:rPr>
                <w:rFonts w:hint="eastAsia" w:ascii="Times New Roman" w:hAnsi="Times New Roman" w:eastAsia="宋体" w:cs="Times New Roman"/>
                <w:color w:val="auto"/>
                <w:szCs w:val="21"/>
                <w:highlight w:val="none"/>
                <w:lang w:val="en-US" w:eastAsia="zh-CN"/>
              </w:rPr>
              <w:t>类</w:t>
            </w:r>
            <w:r>
              <w:rPr>
                <w:rFonts w:hint="eastAsia" w:cs="Times New Roman"/>
                <w:color w:val="auto"/>
                <w:szCs w:val="21"/>
                <w:highlight w:val="none"/>
                <w:lang w:val="en-US" w:eastAsia="zh-CN"/>
              </w:rPr>
              <w:t>、4类</w:t>
            </w:r>
            <w:r>
              <w:rPr>
                <w:rFonts w:hint="eastAsia" w:ascii="Times New Roman" w:hAnsi="Times New Roman" w:eastAsia="宋体" w:cs="Times New Roman"/>
                <w:color w:val="auto"/>
                <w:szCs w:val="21"/>
                <w:highlight w:val="none"/>
                <w:lang w:val="en-US" w:eastAsia="zh-CN"/>
              </w:rPr>
              <w:t>排放标准</w:t>
            </w:r>
          </w:p>
        </w:tc>
      </w:tr>
      <w:tr w14:paraId="2D670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00" w:hRule="atLeast"/>
          <w:jc w:val="center"/>
        </w:trPr>
        <w:tc>
          <w:tcPr>
            <w:tcW w:w="1176" w:type="dxa"/>
            <w:shd w:val="clear" w:color="auto" w:fill="auto"/>
            <w:vAlign w:val="center"/>
          </w:tcPr>
          <w:p w14:paraId="121981BC">
            <w:pPr>
              <w:adjustRightInd w:val="0"/>
              <w:snapToGrid w:val="0"/>
              <w:jc w:val="center"/>
              <w:rPr>
                <w:rFonts w:hint="eastAsia"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lang w:val="en-US" w:eastAsia="zh-CN"/>
              </w:rPr>
              <w:t>电磁辐射</w:t>
            </w:r>
          </w:p>
        </w:tc>
        <w:tc>
          <w:tcPr>
            <w:tcW w:w="7884" w:type="dxa"/>
            <w:gridSpan w:val="4"/>
            <w:shd w:val="clear" w:color="auto" w:fill="auto"/>
            <w:vAlign w:val="center"/>
          </w:tcPr>
          <w:p w14:paraId="4758B1C9">
            <w:pPr>
              <w:adjustRightInd w:val="0"/>
              <w:snapToGrid w:val="0"/>
              <w:jc w:val="center"/>
              <w:rPr>
                <w:rFonts w:hint="default"/>
                <w:highlight w:val="none"/>
              </w:rPr>
            </w:pPr>
            <w:r>
              <w:rPr>
                <w:rFonts w:hint="default" w:ascii="Times New Roman" w:hAnsi="Times New Roman" w:eastAsia="宋体" w:cs="Times New Roman"/>
                <w:color w:val="auto"/>
                <w:szCs w:val="21"/>
                <w:highlight w:val="none"/>
                <w:lang w:val="en-US" w:eastAsia="zh-CN"/>
              </w:rPr>
              <w:t>/</w:t>
            </w:r>
          </w:p>
        </w:tc>
      </w:tr>
      <w:tr w14:paraId="6C058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1176" w:type="dxa"/>
            <w:shd w:val="clear" w:color="auto" w:fill="auto"/>
            <w:vAlign w:val="center"/>
          </w:tcPr>
          <w:p w14:paraId="334ABECE">
            <w:pPr>
              <w:adjustRightInd w:val="0"/>
              <w:snapToGrid w:val="0"/>
              <w:jc w:val="center"/>
              <w:rPr>
                <w:rFonts w:hint="eastAsia"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lang w:val="en-US" w:eastAsia="zh-CN"/>
              </w:rPr>
              <w:t>固体废物</w:t>
            </w:r>
          </w:p>
        </w:tc>
        <w:tc>
          <w:tcPr>
            <w:tcW w:w="7884" w:type="dxa"/>
            <w:gridSpan w:val="4"/>
            <w:shd w:val="clear" w:color="auto" w:fill="auto"/>
            <w:vAlign w:val="center"/>
          </w:tcPr>
          <w:p w14:paraId="1A6A1A20">
            <w:pPr>
              <w:rPr>
                <w:rFonts w:hint="eastAsia" w:eastAsia="宋体"/>
                <w:highlight w:val="none"/>
                <w:lang w:val="en-US" w:eastAsia="zh-CN"/>
              </w:rPr>
            </w:pPr>
          </w:p>
          <w:p w14:paraId="21EE28CC">
            <w:pPr>
              <w:rPr>
                <w:rFonts w:hint="eastAsia" w:eastAsia="宋体"/>
                <w:highlight w:val="none"/>
                <w:lang w:val="en-US" w:eastAsia="zh-CN"/>
              </w:rPr>
            </w:pPr>
            <w:r>
              <w:rPr>
                <w:rFonts w:hint="eastAsia" w:eastAsia="宋体"/>
                <w:highlight w:val="none"/>
                <w:lang w:val="en-US" w:eastAsia="zh-CN"/>
              </w:rPr>
              <w:t>本项目固体废弃物主要为锅炉灰渣、废润滑油、</w:t>
            </w:r>
            <w:r>
              <w:rPr>
                <w:rFonts w:hint="eastAsia"/>
                <w:highlight w:val="none"/>
                <w:lang w:val="en-US" w:eastAsia="zh-CN"/>
              </w:rPr>
              <w:t>废布袋、废催化剂、废水处理污泥、废反渗透膜</w:t>
            </w:r>
            <w:r>
              <w:rPr>
                <w:rFonts w:hint="eastAsia" w:eastAsia="宋体"/>
                <w:highlight w:val="none"/>
                <w:lang w:val="en-US" w:eastAsia="zh-CN"/>
              </w:rPr>
              <w:t>和生活垃圾等。其中锅炉灰渣</w:t>
            </w:r>
            <w:r>
              <w:rPr>
                <w:rFonts w:hint="eastAsia"/>
                <w:highlight w:val="none"/>
                <w:lang w:val="en-US" w:eastAsia="zh-CN"/>
              </w:rPr>
              <w:t>、废布袋、废水处理污泥和废反渗透膜</w:t>
            </w:r>
            <w:r>
              <w:rPr>
                <w:rFonts w:hint="eastAsia" w:eastAsia="宋体"/>
                <w:highlight w:val="none"/>
                <w:lang w:val="en-US" w:eastAsia="zh-CN"/>
              </w:rPr>
              <w:t>属于一般固体废物，收集后交由资源回收单位回收处理；废润滑油</w:t>
            </w:r>
            <w:r>
              <w:rPr>
                <w:rFonts w:hint="eastAsia"/>
                <w:highlight w:val="none"/>
                <w:lang w:val="en-US" w:eastAsia="zh-CN"/>
              </w:rPr>
              <w:t>、废催化剂</w:t>
            </w:r>
            <w:r>
              <w:rPr>
                <w:rFonts w:hint="eastAsia" w:eastAsia="宋体"/>
                <w:highlight w:val="none"/>
                <w:lang w:val="en-US" w:eastAsia="zh-CN"/>
              </w:rPr>
              <w:t>暂存在厂内危废间内，定期交由有资质单位处理；生活垃圾由环卫部门集中清运。</w:t>
            </w:r>
          </w:p>
          <w:p w14:paraId="682897E1">
            <w:pPr>
              <w:pStyle w:val="20"/>
              <w:rPr>
                <w:rFonts w:hint="eastAsia"/>
                <w:highlight w:val="none"/>
                <w:lang w:val="en-US" w:eastAsia="zh-CN"/>
              </w:rPr>
            </w:pPr>
          </w:p>
        </w:tc>
      </w:tr>
      <w:tr w14:paraId="25D2A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1176" w:type="dxa"/>
            <w:shd w:val="clear" w:color="auto" w:fill="auto"/>
            <w:vAlign w:val="center"/>
          </w:tcPr>
          <w:p w14:paraId="0F7B1ABD">
            <w:pPr>
              <w:adjustRightInd w:val="0"/>
              <w:snapToGrid w:val="0"/>
              <w:jc w:val="center"/>
              <w:rPr>
                <w:rFonts w:hint="eastAsia"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lang w:val="en-US" w:eastAsia="zh-CN"/>
              </w:rPr>
              <w:t>土壤及地下水污染防治措施</w:t>
            </w:r>
          </w:p>
        </w:tc>
        <w:tc>
          <w:tcPr>
            <w:tcW w:w="7884" w:type="dxa"/>
            <w:gridSpan w:val="4"/>
            <w:shd w:val="clear" w:color="auto" w:fill="auto"/>
            <w:vAlign w:val="center"/>
          </w:tcPr>
          <w:p w14:paraId="217FBABF">
            <w:pPr>
              <w:adjustRightInd w:val="0"/>
              <w:snapToGrid w:val="0"/>
              <w:jc w:val="both"/>
              <w:rPr>
                <w:rFonts w:hint="eastAsia" w:ascii="Times New Roman" w:hAnsi="Times New Roman" w:eastAsia="宋体" w:cs="Times New Roman"/>
                <w:color w:val="auto"/>
                <w:szCs w:val="21"/>
                <w:highlight w:val="none"/>
                <w:lang w:val="en-US" w:eastAsia="zh-CN"/>
              </w:rPr>
            </w:pPr>
          </w:p>
          <w:p w14:paraId="4B30F4A5">
            <w:pPr>
              <w:adjustRightInd w:val="0"/>
              <w:snapToGrid w:val="0"/>
              <w:jc w:val="both"/>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本项目对生产车间、仓库等构筑物设计严格的防渗措施，严格按照国家规定进行建设，阻止其进入土壤中，即从源头到末端全方位采取控制措施，防止项目的建设对土壤造成污染，正常情况，原辅材料、产品等不会接触土壤，对土壤污染的影响很小，使项目区污染物对土壤的影响降至最低，一旦出现泄漏等即可由区域内的各种配套措施进行收集、处置，同时经过硬化处理的地面有效阻止污染物的下渗。</w:t>
            </w:r>
          </w:p>
          <w:p w14:paraId="3F7D1B7E">
            <w:pPr>
              <w:pStyle w:val="20"/>
              <w:rPr>
                <w:rFonts w:hint="eastAsia"/>
                <w:highlight w:val="none"/>
                <w:lang w:val="en-US" w:eastAsia="zh-CN"/>
              </w:rPr>
            </w:pPr>
          </w:p>
        </w:tc>
      </w:tr>
      <w:tr w14:paraId="779D8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5" w:hRule="atLeast"/>
          <w:jc w:val="center"/>
        </w:trPr>
        <w:tc>
          <w:tcPr>
            <w:tcW w:w="1176" w:type="dxa"/>
            <w:shd w:val="clear" w:color="auto" w:fill="auto"/>
            <w:vAlign w:val="center"/>
          </w:tcPr>
          <w:p w14:paraId="6D5C091E">
            <w:pPr>
              <w:adjustRightInd w:val="0"/>
              <w:snapToGrid w:val="0"/>
              <w:jc w:val="center"/>
              <w:rPr>
                <w:rFonts w:hint="eastAsia"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lang w:val="en-US" w:eastAsia="zh-CN"/>
              </w:rPr>
              <w:t>生态保护措施</w:t>
            </w:r>
          </w:p>
        </w:tc>
        <w:tc>
          <w:tcPr>
            <w:tcW w:w="7884" w:type="dxa"/>
            <w:gridSpan w:val="4"/>
            <w:shd w:val="clear" w:color="auto" w:fill="auto"/>
            <w:vAlign w:val="center"/>
          </w:tcPr>
          <w:p w14:paraId="2FF8A0E2">
            <w:pPr>
              <w:adjustRightInd w:val="0"/>
              <w:snapToGrid w:val="0"/>
              <w:jc w:val="center"/>
              <w:rPr>
                <w:rFonts w:hint="default"/>
                <w:highlight w:val="none"/>
              </w:rPr>
            </w:pPr>
            <w:r>
              <w:rPr>
                <w:rFonts w:hint="default" w:ascii="Times New Roman" w:hAnsi="Times New Roman" w:eastAsia="宋体" w:cs="Times New Roman"/>
                <w:color w:val="auto"/>
                <w:szCs w:val="21"/>
                <w:highlight w:val="none"/>
                <w:lang w:val="en-US" w:eastAsia="zh-CN"/>
              </w:rPr>
              <w:t>/</w:t>
            </w:r>
          </w:p>
        </w:tc>
      </w:tr>
      <w:tr w14:paraId="2C588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86" w:hRule="atLeast"/>
          <w:jc w:val="center"/>
        </w:trPr>
        <w:tc>
          <w:tcPr>
            <w:tcW w:w="1176" w:type="dxa"/>
            <w:shd w:val="clear" w:color="auto" w:fill="auto"/>
            <w:vAlign w:val="center"/>
          </w:tcPr>
          <w:p w14:paraId="3BB11A8A">
            <w:pPr>
              <w:adjustRightInd w:val="0"/>
              <w:snapToGrid w:val="0"/>
              <w:jc w:val="center"/>
              <w:rPr>
                <w:rFonts w:hint="eastAsia" w:ascii="Times New Roman" w:hAnsi="Times New Roman" w:eastAsia="宋体" w:cs="Times New Roman"/>
                <w:b/>
                <w:bCs/>
                <w:color w:val="auto"/>
                <w:szCs w:val="21"/>
                <w:highlight w:val="none"/>
                <w:lang w:val="en-US" w:eastAsia="zh-CN"/>
              </w:rPr>
            </w:pPr>
            <w:r>
              <w:rPr>
                <w:rFonts w:hint="eastAsia" w:ascii="Times New Roman" w:hAnsi="Times New Roman" w:eastAsia="宋体" w:cs="Times New Roman"/>
                <w:b/>
                <w:bCs/>
                <w:color w:val="auto"/>
                <w:szCs w:val="21"/>
                <w:highlight w:val="none"/>
                <w:lang w:val="en-US" w:eastAsia="zh-CN"/>
              </w:rPr>
              <w:t>环境风险</w:t>
            </w:r>
          </w:p>
          <w:p w14:paraId="7948557A">
            <w:pPr>
              <w:adjustRightInd w:val="0"/>
              <w:snapToGrid w:val="0"/>
              <w:jc w:val="center"/>
              <w:rPr>
                <w:rFonts w:hint="eastAsia"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lang w:val="en-US" w:eastAsia="zh-CN"/>
              </w:rPr>
              <w:t>防范措施</w:t>
            </w:r>
          </w:p>
        </w:tc>
        <w:tc>
          <w:tcPr>
            <w:tcW w:w="7884" w:type="dxa"/>
            <w:gridSpan w:val="4"/>
            <w:shd w:val="clear" w:color="auto" w:fill="auto"/>
            <w:vAlign w:val="center"/>
          </w:tcPr>
          <w:p w14:paraId="014C8064">
            <w:pPr>
              <w:rPr>
                <w:rFonts w:hint="default"/>
                <w:highlight w:val="none"/>
              </w:rPr>
            </w:pPr>
          </w:p>
          <w:p w14:paraId="3613F41F">
            <w:pPr>
              <w:rPr>
                <w:rFonts w:hint="default"/>
                <w:highlight w:val="none"/>
              </w:rPr>
            </w:pPr>
            <w:r>
              <w:rPr>
                <w:rFonts w:hint="default"/>
                <w:highlight w:val="none"/>
              </w:rPr>
              <w:t>①制定严格的生产操作规程，强化安全教育，杜绝工作失误造成的事故；在车间的明显位置张贴禁用明火的告示；</w:t>
            </w:r>
          </w:p>
          <w:p w14:paraId="6DB77B2D">
            <w:pPr>
              <w:rPr>
                <w:rFonts w:hint="default"/>
                <w:highlight w:val="none"/>
              </w:rPr>
            </w:pPr>
            <w:r>
              <w:rPr>
                <w:rFonts w:hint="default"/>
                <w:highlight w:val="none"/>
              </w:rPr>
              <w:t>②车间内应设置移动式泡沫灭火。</w:t>
            </w:r>
          </w:p>
          <w:p w14:paraId="79D31810">
            <w:pPr>
              <w:rPr>
                <w:rFonts w:hint="default"/>
                <w:highlight w:val="none"/>
              </w:rPr>
            </w:pPr>
            <w:r>
              <w:rPr>
                <w:rFonts w:hint="default"/>
                <w:highlight w:val="none"/>
              </w:rPr>
              <w:t>③储存辅助材料的桶上应注明物质的名称、危险特性、安全使用说明以及事故应对措施等内容；</w:t>
            </w:r>
          </w:p>
          <w:p w14:paraId="29F86570">
            <w:pPr>
              <w:rPr>
                <w:rFonts w:hint="default"/>
                <w:highlight w:val="none"/>
              </w:rPr>
            </w:pPr>
            <w:r>
              <w:rPr>
                <w:rFonts w:hint="default"/>
                <w:highlight w:val="none"/>
              </w:rPr>
              <w:t>④仓库应选择阴凉通风无阳光直射的位置，仓库内应设置空调设备，防止仓库温度过高；</w:t>
            </w:r>
          </w:p>
          <w:p w14:paraId="7D5DD8D2">
            <w:pPr>
              <w:rPr>
                <w:rFonts w:hint="default"/>
                <w:highlight w:val="none"/>
              </w:rPr>
            </w:pPr>
            <w:r>
              <w:rPr>
                <w:rFonts w:hint="default"/>
                <w:highlight w:val="none"/>
              </w:rPr>
              <w:t>⑤仓库应安排专人管理，做好入库记录，并定期检查材料存储的安全状态，定期检查其包装有无破损。</w:t>
            </w:r>
          </w:p>
          <w:p w14:paraId="7424A02A">
            <w:pPr>
              <w:rPr>
                <w:rFonts w:hint="default"/>
                <w:highlight w:val="none"/>
              </w:rPr>
            </w:pPr>
            <w:r>
              <w:rPr>
                <w:rFonts w:hint="default"/>
                <w:highlight w:val="none"/>
              </w:rPr>
              <w:t>⑥成立事故应急处理小组，由车间安全负责人担任事故应急小组组长，一旦发生火灾等事故，应立即启动事故应急预案，并向有关环境管理部门汇报情况，协助环境管理部门进行应急监测等工作。</w:t>
            </w:r>
          </w:p>
          <w:p w14:paraId="6935C3AF">
            <w:pPr>
              <w:rPr>
                <w:rFonts w:hint="default"/>
                <w:highlight w:val="none"/>
              </w:rPr>
            </w:pPr>
            <w:r>
              <w:rPr>
                <w:rFonts w:hint="default"/>
                <w:highlight w:val="none"/>
              </w:rPr>
              <w:t>⑦定期检查维护生产设备设施，确保其正常运行。</w:t>
            </w:r>
          </w:p>
          <w:p w14:paraId="60B4E72F">
            <w:pPr>
              <w:pStyle w:val="20"/>
              <w:rPr>
                <w:rFonts w:hint="default"/>
                <w:highlight w:val="none"/>
              </w:rPr>
            </w:pPr>
          </w:p>
        </w:tc>
      </w:tr>
      <w:tr w14:paraId="6C219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80" w:hRule="atLeast"/>
          <w:jc w:val="center"/>
        </w:trPr>
        <w:tc>
          <w:tcPr>
            <w:tcW w:w="1176" w:type="dxa"/>
            <w:shd w:val="clear" w:color="auto" w:fill="auto"/>
            <w:vAlign w:val="center"/>
          </w:tcPr>
          <w:p w14:paraId="058E2D77">
            <w:pPr>
              <w:adjustRightInd w:val="0"/>
              <w:snapToGrid w:val="0"/>
              <w:jc w:val="center"/>
              <w:rPr>
                <w:rFonts w:hint="eastAsia" w:ascii="Times New Roman" w:hAnsi="Times New Roman" w:eastAsia="宋体" w:cs="Times New Roman"/>
                <w:b/>
                <w:bCs/>
                <w:color w:val="auto"/>
                <w:szCs w:val="21"/>
                <w:highlight w:val="none"/>
                <w:lang w:val="en-US" w:eastAsia="zh-CN"/>
              </w:rPr>
            </w:pPr>
            <w:r>
              <w:rPr>
                <w:rFonts w:hint="eastAsia" w:ascii="Times New Roman" w:hAnsi="Times New Roman" w:eastAsia="宋体" w:cs="Times New Roman"/>
                <w:b/>
                <w:bCs/>
                <w:color w:val="auto"/>
                <w:szCs w:val="21"/>
                <w:highlight w:val="none"/>
                <w:lang w:val="en-US" w:eastAsia="zh-CN"/>
              </w:rPr>
              <w:t>其他环境</w:t>
            </w:r>
          </w:p>
          <w:p w14:paraId="58765C98">
            <w:pPr>
              <w:keepNext w:val="0"/>
              <w:keepLines w:val="0"/>
              <w:widowControl/>
              <w:suppressLineNumbers w:val="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管理要求</w:t>
            </w:r>
          </w:p>
        </w:tc>
        <w:tc>
          <w:tcPr>
            <w:tcW w:w="7884" w:type="dxa"/>
            <w:gridSpan w:val="4"/>
            <w:shd w:val="clear" w:color="auto" w:fill="auto"/>
            <w:vAlign w:val="center"/>
          </w:tcPr>
          <w:p w14:paraId="7FA8B089">
            <w:pPr>
              <w:pStyle w:val="41"/>
              <w:rPr>
                <w:bCs/>
                <w:color w:val="auto"/>
                <w:szCs w:val="21"/>
                <w:highlight w:val="none"/>
              </w:rPr>
            </w:pPr>
          </w:p>
          <w:p w14:paraId="55256E42">
            <w:pPr>
              <w:pStyle w:val="41"/>
              <w:rPr>
                <w:bCs/>
                <w:color w:val="auto"/>
                <w:szCs w:val="21"/>
                <w:highlight w:val="none"/>
              </w:rPr>
            </w:pPr>
            <w:r>
              <w:rPr>
                <w:bCs/>
                <w:color w:val="auto"/>
                <w:szCs w:val="21"/>
                <w:highlight w:val="none"/>
              </w:rPr>
              <w:t>落实运营期污染源监测计划要求。</w:t>
            </w:r>
          </w:p>
          <w:p w14:paraId="1010CBB7">
            <w:pPr>
              <w:rPr>
                <w:rFonts w:hint="default"/>
                <w:highlight w:val="none"/>
              </w:rPr>
            </w:pPr>
          </w:p>
        </w:tc>
      </w:tr>
    </w:tbl>
    <w:p w14:paraId="7D2E64B4">
      <w:pPr>
        <w:pStyle w:val="26"/>
        <w:jc w:val="center"/>
        <w:outlineLvl w:val="0"/>
        <w:rPr>
          <w:rFonts w:ascii="Times New Roman" w:hAnsi="Times New Roman" w:eastAsia="黑体"/>
          <w:snapToGrid w:val="0"/>
          <w:color w:val="auto"/>
          <w:sz w:val="30"/>
          <w:szCs w:val="30"/>
          <w:highlight w:val="none"/>
        </w:rPr>
      </w:pPr>
      <w:r>
        <w:rPr>
          <w:rFonts w:ascii="Times New Roman" w:hAnsi="Times New Roman"/>
          <w:snapToGrid w:val="0"/>
          <w:color w:val="auto"/>
          <w:highlight w:val="none"/>
        </w:rPr>
        <w:br w:type="page"/>
      </w:r>
      <w:bookmarkStart w:id="45" w:name="_Toc20486"/>
      <w:bookmarkStart w:id="46" w:name="_Toc21362"/>
      <w:r>
        <w:rPr>
          <w:rFonts w:hint="eastAsia" w:ascii="宋体" w:hAnsi="宋体" w:eastAsia="宋体" w:cs="宋体"/>
          <w:b/>
          <w:bCs/>
          <w:color w:val="000000"/>
          <w:kern w:val="44"/>
          <w:sz w:val="36"/>
          <w:szCs w:val="36"/>
          <w:highlight w:val="none"/>
          <w:lang w:val="en-US" w:eastAsia="zh-CN" w:bidi="ar-SA"/>
        </w:rPr>
        <w:t>六、结论</w:t>
      </w:r>
      <w:bookmarkEnd w:id="45"/>
      <w:bookmarkEnd w:id="46"/>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42E929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97" w:hRule="atLeast"/>
          <w:jc w:val="center"/>
        </w:trPr>
        <w:tc>
          <w:tcPr>
            <w:tcW w:w="8865" w:type="dxa"/>
            <w:vAlign w:val="center"/>
          </w:tcPr>
          <w:p w14:paraId="30CA778A">
            <w:pPr>
              <w:adjustRightInd w:val="0"/>
              <w:snapToGrid w:val="0"/>
              <w:spacing w:line="360" w:lineRule="auto"/>
              <w:jc w:val="left"/>
              <w:rPr>
                <w:rFonts w:hint="eastAsia"/>
                <w:b/>
                <w:color w:val="auto"/>
                <w:sz w:val="24"/>
                <w:highlight w:val="none"/>
                <w:lang w:eastAsia="zh-CN"/>
              </w:rPr>
            </w:pPr>
          </w:p>
          <w:p w14:paraId="2760D967">
            <w:pPr>
              <w:adjustRightInd w:val="0"/>
              <w:snapToGrid w:val="0"/>
              <w:spacing w:line="360" w:lineRule="auto"/>
              <w:ind w:firstLine="482" w:firstLineChars="200"/>
              <w:jc w:val="left"/>
              <w:rPr>
                <w:rFonts w:hint="eastAsia"/>
                <w:b/>
                <w:color w:val="auto"/>
                <w:sz w:val="24"/>
                <w:highlight w:val="none"/>
                <w:lang w:val="en-US" w:eastAsia="zh-CN"/>
              </w:rPr>
            </w:pPr>
            <w:r>
              <w:rPr>
                <w:rFonts w:hint="eastAsia"/>
                <w:b/>
                <w:color w:val="auto"/>
                <w:sz w:val="24"/>
                <w:highlight w:val="none"/>
              </w:rPr>
              <w:t>韶关市恒鹏超腾能源科技有限公司拟投资</w:t>
            </w:r>
            <w:r>
              <w:rPr>
                <w:rFonts w:hint="eastAsia"/>
                <w:b/>
                <w:color w:val="auto"/>
                <w:sz w:val="24"/>
                <w:highlight w:val="none"/>
                <w:lang w:val="en-US" w:eastAsia="zh-CN"/>
              </w:rPr>
              <w:t>3000</w:t>
            </w:r>
            <w:r>
              <w:rPr>
                <w:rFonts w:hint="eastAsia"/>
                <w:b/>
                <w:color w:val="auto"/>
                <w:sz w:val="24"/>
                <w:highlight w:val="none"/>
              </w:rPr>
              <w:t>万元人民币，选址于乐昌市坪石镇粤湘产业工业园内，建设粤湘产业工业园集中供热项目</w:t>
            </w:r>
            <w:r>
              <w:rPr>
                <w:b/>
                <w:color w:val="auto"/>
                <w:sz w:val="24"/>
                <w:highlight w:val="none"/>
              </w:rPr>
              <w:t>。</w:t>
            </w:r>
            <w:r>
              <w:rPr>
                <w:rFonts w:hint="eastAsia"/>
                <w:b/>
                <w:color w:val="auto"/>
                <w:sz w:val="24"/>
                <w:highlight w:val="none"/>
              </w:rPr>
              <w:t>该项目符合国家产业政策，符合“三线一单”管控要求，选址合理</w:t>
            </w:r>
            <w:r>
              <w:rPr>
                <w:rFonts w:hint="eastAsia"/>
                <w:b/>
                <w:color w:val="auto"/>
                <w:sz w:val="24"/>
                <w:highlight w:val="none"/>
                <w:lang w:val="en-US" w:eastAsia="zh-CN"/>
              </w:rPr>
              <w:t>。</w:t>
            </w:r>
          </w:p>
          <w:p w14:paraId="35C5E662">
            <w:pPr>
              <w:adjustRightInd w:val="0"/>
              <w:snapToGrid w:val="0"/>
              <w:spacing w:line="360" w:lineRule="auto"/>
              <w:ind w:firstLine="482" w:firstLineChars="200"/>
              <w:jc w:val="left"/>
              <w:rPr>
                <w:rFonts w:hint="eastAsia"/>
                <w:b/>
                <w:color w:val="auto"/>
                <w:sz w:val="24"/>
                <w:highlight w:val="none"/>
                <w:lang w:val="en-US" w:eastAsia="zh-CN"/>
              </w:rPr>
            </w:pPr>
            <w:r>
              <w:rPr>
                <w:rFonts w:hint="eastAsia"/>
                <w:b/>
                <w:color w:val="auto"/>
                <w:sz w:val="24"/>
                <w:highlight w:val="none"/>
                <w:lang w:val="en-US" w:eastAsia="zh-CN"/>
              </w:rPr>
              <w:t>本项目关于废水、废气、固体废物和设备噪声的污染防治对策和措施切实可行，能够保证达标排放。达标排放的各类污染物对外部水环境、大气环境等所构成的影响处于可接受范围，污染物的排放满足环境容量和总量控制的要求，不改变所在地区的环境功能属性。</w:t>
            </w:r>
          </w:p>
          <w:p w14:paraId="6F55C3F8">
            <w:pPr>
              <w:spacing w:line="360" w:lineRule="auto"/>
              <w:ind w:firstLine="482" w:firstLineChars="200"/>
              <w:rPr>
                <w:rFonts w:hint="eastAsia" w:eastAsia="宋体"/>
                <w:b/>
                <w:color w:val="auto"/>
                <w:sz w:val="24"/>
                <w:highlight w:val="none"/>
                <w:lang w:eastAsia="zh-CN"/>
              </w:rPr>
            </w:pPr>
            <w:r>
              <w:rPr>
                <w:b/>
                <w:color w:val="auto"/>
                <w:sz w:val="24"/>
                <w:highlight w:val="none"/>
              </w:rPr>
              <w:t>综上所述，从环境保护角度</w:t>
            </w:r>
            <w:r>
              <w:rPr>
                <w:rFonts w:hint="eastAsia"/>
                <w:b/>
                <w:color w:val="auto"/>
                <w:sz w:val="24"/>
                <w:highlight w:val="none"/>
              </w:rPr>
              <w:t>考虑</w:t>
            </w:r>
            <w:r>
              <w:rPr>
                <w:b/>
                <w:color w:val="auto"/>
                <w:sz w:val="24"/>
                <w:highlight w:val="none"/>
              </w:rPr>
              <w:t>，本项目是可行的</w:t>
            </w:r>
            <w:r>
              <w:rPr>
                <w:rFonts w:hint="eastAsia"/>
                <w:b/>
                <w:color w:val="auto"/>
                <w:sz w:val="24"/>
                <w:highlight w:val="none"/>
                <w:lang w:eastAsia="zh-CN"/>
              </w:rPr>
              <w:t>。</w:t>
            </w:r>
          </w:p>
          <w:p w14:paraId="698BCD03">
            <w:pPr>
              <w:spacing w:line="360" w:lineRule="auto"/>
              <w:ind w:firstLine="482" w:firstLineChars="200"/>
              <w:rPr>
                <w:b/>
                <w:color w:val="auto"/>
                <w:sz w:val="24"/>
                <w:highlight w:val="none"/>
              </w:rPr>
            </w:pPr>
          </w:p>
          <w:p w14:paraId="73687FC9">
            <w:pPr>
              <w:spacing w:line="360" w:lineRule="auto"/>
              <w:ind w:firstLine="482" w:firstLineChars="200"/>
              <w:rPr>
                <w:b/>
                <w:color w:val="auto"/>
                <w:sz w:val="24"/>
                <w:highlight w:val="none"/>
              </w:rPr>
            </w:pPr>
          </w:p>
          <w:p w14:paraId="221BCF5B">
            <w:pPr>
              <w:spacing w:line="360" w:lineRule="auto"/>
              <w:ind w:firstLine="482" w:firstLineChars="200"/>
              <w:rPr>
                <w:b/>
                <w:color w:val="auto"/>
                <w:sz w:val="24"/>
                <w:highlight w:val="none"/>
              </w:rPr>
            </w:pPr>
          </w:p>
          <w:p w14:paraId="75336594">
            <w:pPr>
              <w:spacing w:line="360" w:lineRule="auto"/>
              <w:ind w:firstLine="482" w:firstLineChars="200"/>
              <w:rPr>
                <w:b/>
                <w:color w:val="auto"/>
                <w:sz w:val="24"/>
                <w:highlight w:val="none"/>
              </w:rPr>
            </w:pPr>
          </w:p>
          <w:p w14:paraId="5BBEED11">
            <w:pPr>
              <w:spacing w:line="360" w:lineRule="auto"/>
              <w:rPr>
                <w:b/>
                <w:color w:val="auto"/>
                <w:sz w:val="24"/>
                <w:highlight w:val="none"/>
              </w:rPr>
            </w:pPr>
          </w:p>
          <w:p w14:paraId="6831581C">
            <w:pPr>
              <w:pStyle w:val="44"/>
              <w:rPr>
                <w:b/>
                <w:color w:val="auto"/>
                <w:sz w:val="24"/>
                <w:highlight w:val="none"/>
              </w:rPr>
            </w:pPr>
          </w:p>
          <w:p w14:paraId="71482F3B">
            <w:pPr>
              <w:rPr>
                <w:b/>
                <w:color w:val="auto"/>
                <w:sz w:val="24"/>
                <w:highlight w:val="none"/>
              </w:rPr>
            </w:pPr>
          </w:p>
          <w:p w14:paraId="3AE8582F">
            <w:pPr>
              <w:pStyle w:val="44"/>
              <w:rPr>
                <w:b/>
                <w:color w:val="auto"/>
                <w:sz w:val="24"/>
                <w:highlight w:val="none"/>
              </w:rPr>
            </w:pPr>
          </w:p>
          <w:p w14:paraId="7A38A73B">
            <w:pPr>
              <w:rPr>
                <w:b/>
                <w:color w:val="auto"/>
                <w:sz w:val="24"/>
                <w:highlight w:val="none"/>
              </w:rPr>
            </w:pPr>
          </w:p>
          <w:p w14:paraId="7BDC7AFB">
            <w:pPr>
              <w:pStyle w:val="44"/>
              <w:rPr>
                <w:b/>
                <w:color w:val="auto"/>
                <w:sz w:val="24"/>
                <w:highlight w:val="none"/>
              </w:rPr>
            </w:pPr>
          </w:p>
          <w:p w14:paraId="5F30725E">
            <w:pPr>
              <w:pStyle w:val="44"/>
              <w:rPr>
                <w:b/>
                <w:color w:val="auto"/>
                <w:sz w:val="24"/>
                <w:highlight w:val="none"/>
              </w:rPr>
            </w:pPr>
          </w:p>
          <w:p w14:paraId="0D980341">
            <w:pPr>
              <w:rPr>
                <w:b/>
                <w:color w:val="auto"/>
                <w:sz w:val="24"/>
                <w:highlight w:val="none"/>
              </w:rPr>
            </w:pPr>
          </w:p>
          <w:p w14:paraId="13D7E05E">
            <w:pPr>
              <w:pStyle w:val="30"/>
              <w:rPr>
                <w:b/>
                <w:color w:val="auto"/>
                <w:sz w:val="24"/>
                <w:highlight w:val="none"/>
              </w:rPr>
            </w:pPr>
          </w:p>
          <w:p w14:paraId="227FF94B">
            <w:pPr>
              <w:pStyle w:val="29"/>
              <w:rPr>
                <w:b/>
                <w:color w:val="auto"/>
                <w:sz w:val="24"/>
                <w:highlight w:val="none"/>
              </w:rPr>
            </w:pPr>
          </w:p>
          <w:p w14:paraId="1E764D37">
            <w:pPr>
              <w:rPr>
                <w:highlight w:val="none"/>
              </w:rPr>
            </w:pPr>
          </w:p>
          <w:p w14:paraId="2305D2CA">
            <w:pPr>
              <w:rPr>
                <w:b/>
                <w:color w:val="auto"/>
                <w:sz w:val="24"/>
                <w:highlight w:val="none"/>
              </w:rPr>
            </w:pPr>
          </w:p>
          <w:p w14:paraId="1500E2B1">
            <w:pPr>
              <w:pStyle w:val="44"/>
              <w:rPr>
                <w:b/>
                <w:color w:val="auto"/>
                <w:sz w:val="24"/>
                <w:highlight w:val="none"/>
              </w:rPr>
            </w:pPr>
          </w:p>
          <w:p w14:paraId="40C1C9D9">
            <w:pPr>
              <w:rPr>
                <w:b/>
                <w:color w:val="auto"/>
                <w:sz w:val="24"/>
                <w:highlight w:val="none"/>
              </w:rPr>
            </w:pPr>
          </w:p>
          <w:p w14:paraId="46FEF427">
            <w:pPr>
              <w:pStyle w:val="44"/>
              <w:rPr>
                <w:b/>
                <w:color w:val="auto"/>
                <w:sz w:val="24"/>
                <w:highlight w:val="none"/>
              </w:rPr>
            </w:pPr>
          </w:p>
          <w:p w14:paraId="3A1551BF">
            <w:pPr>
              <w:pStyle w:val="44"/>
              <w:rPr>
                <w:color w:val="auto"/>
                <w:highlight w:val="none"/>
              </w:rPr>
            </w:pPr>
          </w:p>
          <w:p w14:paraId="6288BAE9">
            <w:pPr>
              <w:spacing w:line="360" w:lineRule="auto"/>
              <w:rPr>
                <w:color w:val="auto"/>
                <w:sz w:val="24"/>
                <w:highlight w:val="none"/>
              </w:rPr>
            </w:pPr>
          </w:p>
        </w:tc>
      </w:tr>
    </w:tbl>
    <w:p w14:paraId="53C1D3FB">
      <w:pPr>
        <w:rPr>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6348739A">
      <w:pPr>
        <w:pStyle w:val="26"/>
        <w:adjustRightInd w:val="0"/>
        <w:snapToGrid w:val="0"/>
        <w:spacing w:before="0" w:beforeAutospacing="0" w:after="0" w:afterAutospacing="0" w:line="360" w:lineRule="auto"/>
        <w:outlineLvl w:val="0"/>
        <w:rPr>
          <w:rFonts w:hint="eastAsia" w:ascii="Times New Roman" w:hAnsi="Times New Roman" w:eastAsia="宋体" w:cs="Times New Roman"/>
          <w:b/>
          <w:bCs/>
          <w:color w:val="000000"/>
          <w:kern w:val="44"/>
          <w:sz w:val="30"/>
          <w:szCs w:val="30"/>
          <w:highlight w:val="none"/>
          <w:lang w:val="en-US" w:eastAsia="zh-CN"/>
        </w:rPr>
      </w:pPr>
      <w:bookmarkStart w:id="47" w:name="_Toc27836"/>
      <w:bookmarkStart w:id="48" w:name="_Toc22869"/>
      <w:bookmarkStart w:id="49" w:name="_Toc266"/>
      <w:bookmarkStart w:id="50" w:name="_Toc2568"/>
      <w:bookmarkStart w:id="51" w:name="_Toc26092"/>
      <w:bookmarkStart w:id="52" w:name="_Toc27980"/>
      <w:r>
        <w:rPr>
          <w:rFonts w:hint="eastAsia" w:ascii="Times New Roman" w:hAnsi="Times New Roman" w:eastAsia="宋体" w:cs="Times New Roman"/>
          <w:b/>
          <w:bCs/>
          <w:color w:val="000000"/>
          <w:kern w:val="44"/>
          <w:sz w:val="30"/>
          <w:szCs w:val="30"/>
          <w:highlight w:val="none"/>
        </w:rPr>
        <w:t>附</w:t>
      </w:r>
      <w:r>
        <w:rPr>
          <w:rFonts w:hint="eastAsia" w:ascii="Times New Roman" w:hAnsi="Times New Roman" w:eastAsia="宋体" w:cs="Times New Roman"/>
          <w:b/>
          <w:bCs/>
          <w:color w:val="000000"/>
          <w:kern w:val="44"/>
          <w:sz w:val="30"/>
          <w:szCs w:val="30"/>
          <w:highlight w:val="none"/>
          <w:lang w:eastAsia="zh-CN"/>
        </w:rPr>
        <w:t>图</w:t>
      </w:r>
      <w:r>
        <w:rPr>
          <w:rFonts w:hint="eastAsia" w:ascii="Times New Roman" w:hAnsi="Times New Roman" w:eastAsia="宋体" w:cs="Times New Roman"/>
          <w:b/>
          <w:bCs/>
          <w:color w:val="000000"/>
          <w:kern w:val="44"/>
          <w:sz w:val="30"/>
          <w:szCs w:val="30"/>
          <w:highlight w:val="none"/>
        </w:rPr>
        <w:t>1</w:t>
      </w:r>
      <w:r>
        <w:rPr>
          <w:rFonts w:hint="eastAsia" w:ascii="Times New Roman" w:hAnsi="Times New Roman" w:eastAsia="宋体" w:cs="Times New Roman"/>
          <w:b/>
          <w:bCs/>
          <w:color w:val="000000"/>
          <w:kern w:val="44"/>
          <w:sz w:val="30"/>
          <w:szCs w:val="30"/>
          <w:highlight w:val="none"/>
          <w:lang w:val="en-US" w:eastAsia="zh-CN"/>
        </w:rPr>
        <w:t>项目地理位置图</w:t>
      </w:r>
      <w:bookmarkEnd w:id="47"/>
      <w:bookmarkEnd w:id="48"/>
      <w:bookmarkEnd w:id="49"/>
      <w:bookmarkEnd w:id="50"/>
      <w:bookmarkEnd w:id="51"/>
      <w:bookmarkEnd w:id="52"/>
    </w:p>
    <w:p w14:paraId="6B6C17A1">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center"/>
        <w:textAlignment w:val="auto"/>
        <w:outlineLvl w:val="9"/>
        <w:rPr>
          <w:rFonts w:hint="eastAsia" w:ascii="Times New Roman" w:hAnsi="Times New Roman" w:eastAsia="宋体" w:cs="Times New Roman"/>
          <w:b/>
          <w:bCs/>
          <w:color w:val="000000"/>
          <w:kern w:val="44"/>
          <w:sz w:val="30"/>
          <w:szCs w:val="30"/>
          <w:highlight w:val="none"/>
          <w:lang w:val="en-US" w:eastAsia="zh-CN"/>
        </w:rPr>
      </w:pPr>
      <w:r>
        <w:rPr>
          <w:rFonts w:hint="eastAsia"/>
          <w:color w:val="FF0000"/>
          <w:highlight w:val="none"/>
        </w:rPr>
        <mc:AlternateContent>
          <mc:Choice Requires="wps">
            <w:drawing>
              <wp:anchor distT="0" distB="0" distL="114300" distR="114300" simplePos="0" relativeHeight="251662336" behindDoc="0" locked="0" layoutInCell="1" allowOverlap="1">
                <wp:simplePos x="0" y="0"/>
                <wp:positionH relativeFrom="column">
                  <wp:posOffset>4173855</wp:posOffset>
                </wp:positionH>
                <wp:positionV relativeFrom="paragraph">
                  <wp:posOffset>2512060</wp:posOffset>
                </wp:positionV>
                <wp:extent cx="942975" cy="315595"/>
                <wp:effectExtent l="275590" t="4445" r="19685" b="22860"/>
                <wp:wrapNone/>
                <wp:docPr id="50" name="自选图形 45"/>
                <wp:cNvGraphicFramePr/>
                <a:graphic xmlns:a="http://schemas.openxmlformats.org/drawingml/2006/main">
                  <a:graphicData uri="http://schemas.microsoft.com/office/word/2010/wordprocessingShape">
                    <wps:wsp>
                      <wps:cNvSpPr/>
                      <wps:spPr>
                        <a:xfrm flipV="1">
                          <a:off x="0" y="0"/>
                          <a:ext cx="942975" cy="315595"/>
                        </a:xfrm>
                        <a:prstGeom prst="wedgeRoundRectCallout">
                          <a:avLst>
                            <a:gd name="adj1" fmla="val -76037"/>
                            <a:gd name="adj2" fmla="val -16338"/>
                            <a:gd name="adj3" fmla="val 16667"/>
                          </a:avLst>
                        </a:prstGeom>
                        <a:solidFill>
                          <a:srgbClr val="FFFFFF">
                            <a:alpha val="79999"/>
                          </a:srgbClr>
                        </a:solidFill>
                        <a:ln w="9525" cap="flat" cmpd="sng">
                          <a:solidFill>
                            <a:srgbClr val="FF0000"/>
                          </a:solidFill>
                          <a:prstDash val="solid"/>
                          <a:miter/>
                          <a:headEnd type="none" w="med" len="med"/>
                          <a:tailEnd type="none" w="med" len="med"/>
                        </a:ln>
                      </wps:spPr>
                      <wps:txbx>
                        <w:txbxContent>
                          <w:p w14:paraId="6BE8DAE5">
                            <w:pPr>
                              <w:rPr>
                                <w:b/>
                                <w:bCs/>
                                <w:color w:val="FF0000"/>
                                <w:sz w:val="24"/>
                                <w:szCs w:val="22"/>
                              </w:rPr>
                            </w:pPr>
                            <w:r>
                              <w:rPr>
                                <w:rFonts w:hint="eastAsia"/>
                                <w:b/>
                                <w:bCs/>
                                <w:color w:val="FF0000"/>
                                <w:sz w:val="24"/>
                                <w:szCs w:val="22"/>
                              </w:rPr>
                              <w:t>项目位置</w:t>
                            </w:r>
                          </w:p>
                        </w:txbxContent>
                      </wps:txbx>
                      <wps:bodyPr wrap="square" upright="1"/>
                    </wps:wsp>
                  </a:graphicData>
                </a:graphic>
              </wp:anchor>
            </w:drawing>
          </mc:Choice>
          <mc:Fallback>
            <w:pict>
              <v:shape id="自选图形 45" o:spid="_x0000_s1026" o:spt="62" type="#_x0000_t62" style="position:absolute;left:0pt;flip:y;margin-left:328.65pt;margin-top:197.8pt;height:24.85pt;width:74.25pt;z-index:251662336;mso-width-relative:page;mso-height-relative:page;" fillcolor="#FFFFFF" filled="t" stroked="t" coordsize="21600,21600" o:gfxdata="UEsDBAoAAAAAAIdO4kAAAAAAAAAAAAAAAAAEAAAAZHJzL1BLAwQUAAAACACHTuJA6n9AzdgAAAAL&#10;AQAADwAAAGRycy9kb3ducmV2LnhtbE2PMU/DMBCFdyT+g3VIbNQuqUMa4nSohBBjCx26XeMjiYjP&#10;Ueym5d9jJhhP9+m971WbqxvETFPoPRtYLhQI4sbbnlsDH+8vDwWIEJEtDp7JwDcF2NS3NxWW1l94&#10;R/M+tiKFcCjRQBfjWEoZmo4choUfidPv008OYzqnVtoJLyncDfJRqVw67Dk1dDjStqPma392Btp5&#10;+yYPpIe4WyNyMx1fi8PRmPu7pXoGEeka/2D41U/qUCenkz+zDWIwkOunLKEGsrXOQSSiUDqNORlY&#10;rXQGsq7k/w31D1BLAwQUAAAACACHTuJA+wATe2gCAADxBAAADgAAAGRycy9lMm9Eb2MueG1srVTL&#10;jtMwFN0j8Q+W99Mk7aSdVk1nMaVsEIxmgL0bO4mRX9hu0+7YIb5hdiz5B/ibkeAvuHYypcxIqAu8&#10;iK7tm3PPOb72/HInBdoy67hWBc4GKUZMlZpyVRf43dvV2QVGzhNFidCKFXjPHL5cPH82b82MDXWj&#10;BWUWAYhys9YUuPHezJLElQ2TxA20YQo2K20l8TC1dUItaQFdimSYpuOk1ZYaq0vmHKwuu03cI9pT&#10;AHVV8ZItdbmRTPkO1TJBPEhyDTcOLyLbqmKlf1NVjnkkCgxKffxCEYjX4Zss5mRWW2IaXvYUyCkU&#10;HmmShCsoeoBaEk/QxvInUJKXVjtd+UGpZdIJiY6Aiix95M1tQwyLWsBqZw6mu/8HW77eXlvEaYFz&#10;sEQRCSf+8/O3X5++3N/9uP/+FZ3nwaPWuBmk3ppr288chEHwrrISVYKb99BM0QIQhXbR4f3BYbbz&#10;qITF6flwOskxKmFrlOX5NKInHUyAM9b5l0xLFIICt4zW7EZvFL2Bo7wiQuiNj1XI9pXz0XHa0yb0&#10;Q4ZRJQUc4JYIdDYZp6NJf8JHScO/krLxaHTxNGl0nJSNx+MIBET7uhA9UA0knBacrrgQcWLr9ZWw&#10;CEgUeBVHR1mYhnSrkymMUBVwXJfexcc4QqEWLMuHwTACV62CFodQGjgup+oI+q/KKYyHIsfAgfmS&#10;uKbjEhE6ByT3zMYr0TBCXyiK/N5ARyh4CXAgIxnFSDB4OEIUMz3h4pRMUCoUiAyt1DVPiPxuves7&#10;aq3pHnqxhcsI8j5uiIWaG2N53UAnZFFI+AVuQvSqv7Xhqh3PY4k/L9Xi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Op/QM3YAAAACwEAAA8AAAAAAAAAAQAgAAAAIgAAAGRycy9kb3ducmV2LnhtbFBL&#10;AQIUABQAAAAIAIdO4kD7ABN7aAIAAPEEAAAOAAAAAAAAAAEAIAAAACcBAABkcnMvZTJvRG9jLnht&#10;bFBLBQYAAAAABgAGAFkBAAABBgAAAAA=&#10;" adj="-5624,7271,14400">
                <v:fill on="t" opacity="52428f" focussize="0,0"/>
                <v:stroke color="#FF0000" joinstyle="miter"/>
                <v:imagedata o:title=""/>
                <o:lock v:ext="edit" aspectratio="f"/>
                <v:textbox>
                  <w:txbxContent>
                    <w:p w14:paraId="6BE8DAE5">
                      <w:pPr>
                        <w:rPr>
                          <w:b/>
                          <w:bCs/>
                          <w:color w:val="FF0000"/>
                          <w:sz w:val="24"/>
                          <w:szCs w:val="22"/>
                        </w:rPr>
                      </w:pPr>
                      <w:r>
                        <w:rPr>
                          <w:rFonts w:hint="eastAsia"/>
                          <w:b/>
                          <w:bCs/>
                          <w:color w:val="FF0000"/>
                          <w:sz w:val="24"/>
                          <w:szCs w:val="22"/>
                        </w:rPr>
                        <w:t>项目位置</w:t>
                      </w:r>
                    </w:p>
                  </w:txbxContent>
                </v:textbox>
              </v:shape>
            </w:pict>
          </mc:Fallback>
        </mc:AlternateContent>
      </w:r>
      <w:r>
        <w:rPr>
          <w:highlight w:val="none"/>
        </w:rPr>
        <w:drawing>
          <wp:inline distT="0" distB="0" distL="114300" distR="114300">
            <wp:extent cx="7325995" cy="5170170"/>
            <wp:effectExtent l="0" t="0" r="8255" b="1905"/>
            <wp:docPr id="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3"/>
                    <pic:cNvPicPr>
                      <a:picLocks noChangeAspect="1"/>
                    </pic:cNvPicPr>
                  </pic:nvPicPr>
                  <pic:blipFill>
                    <a:blip r:embed="rId27"/>
                    <a:stretch>
                      <a:fillRect/>
                    </a:stretch>
                  </pic:blipFill>
                  <pic:spPr>
                    <a:xfrm>
                      <a:off x="0" y="0"/>
                      <a:ext cx="7325995" cy="5170170"/>
                    </a:xfrm>
                    <a:prstGeom prst="rect">
                      <a:avLst/>
                    </a:prstGeom>
                    <a:noFill/>
                    <a:ln>
                      <a:noFill/>
                    </a:ln>
                  </pic:spPr>
                </pic:pic>
              </a:graphicData>
            </a:graphic>
          </wp:inline>
        </w:drawing>
      </w:r>
    </w:p>
    <w:p w14:paraId="1316C0D3">
      <w:pPr>
        <w:pStyle w:val="26"/>
        <w:adjustRightInd w:val="0"/>
        <w:snapToGrid w:val="0"/>
        <w:spacing w:before="0" w:beforeAutospacing="0" w:after="0" w:afterAutospacing="0" w:line="360" w:lineRule="auto"/>
        <w:outlineLvl w:val="0"/>
        <w:rPr>
          <w:rFonts w:hint="eastAsia" w:ascii="Times New Roman" w:hAnsi="Times New Roman" w:eastAsia="宋体" w:cs="Times New Roman"/>
          <w:b/>
          <w:bCs/>
          <w:color w:val="000000"/>
          <w:kern w:val="44"/>
          <w:sz w:val="30"/>
          <w:szCs w:val="30"/>
          <w:highlight w:val="none"/>
          <w:lang w:val="en-US" w:eastAsia="zh-CN"/>
        </w:rPr>
      </w:pPr>
      <w:bookmarkStart w:id="53" w:name="_Toc6698"/>
      <w:bookmarkStart w:id="54" w:name="_Toc25535"/>
      <w:r>
        <w:rPr>
          <w:rFonts w:hint="eastAsia" w:ascii="Times New Roman" w:hAnsi="Times New Roman" w:eastAsia="宋体" w:cs="Times New Roman"/>
          <w:b/>
          <w:bCs/>
          <w:color w:val="000000"/>
          <w:kern w:val="44"/>
          <w:sz w:val="30"/>
          <w:szCs w:val="30"/>
          <w:highlight w:val="none"/>
        </w:rPr>
        <w:t>附</w:t>
      </w:r>
      <w:r>
        <w:rPr>
          <w:rFonts w:hint="eastAsia" w:ascii="Times New Roman" w:hAnsi="Times New Roman" w:eastAsia="宋体" w:cs="Times New Roman"/>
          <w:b/>
          <w:bCs/>
          <w:color w:val="000000"/>
          <w:kern w:val="44"/>
          <w:sz w:val="30"/>
          <w:szCs w:val="30"/>
          <w:highlight w:val="none"/>
          <w:lang w:eastAsia="zh-CN"/>
        </w:rPr>
        <w:t>图</w:t>
      </w:r>
      <w:r>
        <w:rPr>
          <w:rFonts w:hint="eastAsia" w:ascii="Times New Roman" w:hAnsi="Times New Roman" w:eastAsia="宋体" w:cs="Times New Roman"/>
          <w:b/>
          <w:bCs/>
          <w:color w:val="000000"/>
          <w:kern w:val="44"/>
          <w:sz w:val="30"/>
          <w:szCs w:val="30"/>
          <w:highlight w:val="none"/>
          <w:lang w:val="en-US" w:eastAsia="zh-CN"/>
        </w:rPr>
        <w:t>2</w:t>
      </w:r>
      <w:r>
        <w:rPr>
          <w:rFonts w:hint="eastAsia" w:ascii="Times New Roman" w:hAnsi="Times New Roman" w:cs="Times New Roman"/>
          <w:b/>
          <w:bCs/>
          <w:color w:val="000000"/>
          <w:kern w:val="44"/>
          <w:sz w:val="30"/>
          <w:szCs w:val="30"/>
          <w:highlight w:val="none"/>
          <w:lang w:val="en-US" w:eastAsia="zh-CN"/>
        </w:rPr>
        <w:t>本</w:t>
      </w:r>
      <w:r>
        <w:rPr>
          <w:rFonts w:hint="eastAsia" w:ascii="Times New Roman" w:hAnsi="Times New Roman" w:eastAsia="宋体" w:cs="Times New Roman"/>
          <w:b/>
          <w:bCs/>
          <w:color w:val="000000"/>
          <w:kern w:val="44"/>
          <w:sz w:val="30"/>
          <w:szCs w:val="30"/>
          <w:highlight w:val="none"/>
          <w:lang w:val="en-US" w:eastAsia="zh-CN"/>
        </w:rPr>
        <w:t>项目四至图</w:t>
      </w:r>
      <w:bookmarkEnd w:id="53"/>
      <w:bookmarkEnd w:id="54"/>
    </w:p>
    <w:p w14:paraId="00B1EDFB">
      <w:pPr>
        <w:pStyle w:val="26"/>
        <w:adjustRightInd w:val="0"/>
        <w:snapToGrid w:val="0"/>
        <w:spacing w:before="0" w:beforeAutospacing="0" w:after="0" w:afterAutospacing="0" w:line="360" w:lineRule="auto"/>
        <w:jc w:val="center"/>
        <w:outlineLvl w:val="0"/>
        <w:rPr>
          <w:rFonts w:hint="eastAsia" w:eastAsia="宋体"/>
          <w:highlight w:val="none"/>
          <w:lang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bookmarkStart w:id="55" w:name="_Toc24146"/>
      <w:bookmarkStart w:id="56" w:name="_Toc7329"/>
      <w:bookmarkStart w:id="57" w:name="_Toc18596"/>
      <w:r>
        <w:rPr>
          <w:rFonts w:hint="eastAsia" w:eastAsia="宋体"/>
          <w:highlight w:val="none"/>
          <w:lang w:eastAsia="zh-CN"/>
        </w:rPr>
        <w:object>
          <v:shape id="_x0000_i1033" o:spt="75" type="#_x0000_t75" style="height:397.9pt;width:557.55pt;" o:ole="t" filled="f" o:preferrelative="t" stroked="f" coordsize="21600,21600">
            <v:path/>
            <v:fill on="f" focussize="0,0"/>
            <v:stroke on="f"/>
            <v:imagedata r:id="rId29" o:title=""/>
            <o:lock v:ext="edit" aspectratio="t"/>
            <w10:wrap type="none"/>
            <w10:anchorlock/>
          </v:shape>
          <o:OLEObject Type="Embed" ProgID="Visio.Drawing.11" ShapeID="_x0000_i1033" DrawAspect="Content" ObjectID="_1468075733" r:id="rId28">
            <o:LockedField>false</o:LockedField>
          </o:OLEObject>
        </w:object>
      </w:r>
      <w:bookmarkEnd w:id="55"/>
      <w:bookmarkEnd w:id="56"/>
      <w:bookmarkEnd w:id="57"/>
    </w:p>
    <w:p w14:paraId="514B7236">
      <w:pPr>
        <w:pStyle w:val="109"/>
        <w:keepNext w:val="0"/>
        <w:keepLines w:val="0"/>
        <w:pageBreakBefore w:val="0"/>
        <w:widowControl w:val="0"/>
        <w:tabs>
          <w:tab w:val="left" w:pos="5269"/>
        </w:tabs>
        <w:kinsoku/>
        <w:wordWrap/>
        <w:overflowPunct/>
        <w:topLinePunct w:val="0"/>
        <w:autoSpaceDE/>
        <w:autoSpaceDN/>
        <w:bidi w:val="0"/>
        <w:adjustRightInd/>
        <w:snapToGrid/>
        <w:jc w:val="both"/>
        <w:textAlignment w:val="auto"/>
        <w:outlineLvl w:val="0"/>
        <w:rPr>
          <w:rFonts w:hint="eastAsia" w:ascii="Times New Roman" w:hAnsi="Times New Roman" w:eastAsia="宋体" w:cs="Times New Roman"/>
          <w:b/>
          <w:bCs/>
          <w:color w:val="000000"/>
          <w:kern w:val="44"/>
          <w:sz w:val="30"/>
          <w:szCs w:val="30"/>
          <w:highlight w:val="none"/>
          <w:lang w:eastAsia="zh-CN"/>
        </w:rPr>
      </w:pPr>
      <w:bookmarkStart w:id="58" w:name="_Toc235"/>
      <w:bookmarkStart w:id="59" w:name="_Toc16288"/>
      <w:bookmarkStart w:id="60" w:name="_Toc15448"/>
      <w:bookmarkStart w:id="61" w:name="_Toc9127"/>
      <w:bookmarkStart w:id="62" w:name="_Toc26385"/>
      <w:bookmarkStart w:id="63" w:name="_Toc17546"/>
      <w:bookmarkStart w:id="64" w:name="_Toc19490"/>
      <w:r>
        <w:rPr>
          <w:rFonts w:hint="eastAsia" w:ascii="Times New Roman" w:hAnsi="Times New Roman" w:eastAsia="宋体" w:cs="Times New Roman"/>
          <w:b/>
          <w:bCs/>
          <w:color w:val="000000"/>
          <w:kern w:val="44"/>
          <w:sz w:val="30"/>
          <w:szCs w:val="30"/>
          <w:highlight w:val="none"/>
        </w:rPr>
        <w:t>附</w:t>
      </w:r>
      <w:r>
        <w:rPr>
          <w:rFonts w:hint="eastAsia" w:ascii="Times New Roman" w:hAnsi="Times New Roman" w:eastAsia="宋体" w:cs="Times New Roman"/>
          <w:b/>
          <w:bCs/>
          <w:color w:val="000000"/>
          <w:kern w:val="44"/>
          <w:sz w:val="30"/>
          <w:szCs w:val="30"/>
          <w:highlight w:val="none"/>
          <w:lang w:eastAsia="zh-CN"/>
        </w:rPr>
        <w:t>图</w:t>
      </w:r>
      <w:r>
        <w:rPr>
          <w:rFonts w:hint="eastAsia" w:ascii="Times New Roman" w:hAnsi="Times New Roman" w:cs="Times New Roman"/>
          <w:b/>
          <w:bCs/>
          <w:color w:val="000000"/>
          <w:kern w:val="44"/>
          <w:sz w:val="30"/>
          <w:szCs w:val="30"/>
          <w:highlight w:val="none"/>
          <w:lang w:val="en-US" w:eastAsia="zh-CN"/>
        </w:rPr>
        <w:t>3</w:t>
      </w:r>
      <w:r>
        <w:rPr>
          <w:rFonts w:hint="eastAsia" w:ascii="Times New Roman" w:hAnsi="Times New Roman" w:eastAsia="宋体" w:cs="Times New Roman"/>
          <w:b/>
          <w:bCs/>
          <w:color w:val="000000"/>
          <w:kern w:val="44"/>
          <w:sz w:val="30"/>
          <w:szCs w:val="30"/>
          <w:highlight w:val="none"/>
        </w:rPr>
        <w:t>平面布置示意图</w:t>
      </w:r>
      <w:bookmarkEnd w:id="58"/>
      <w:bookmarkEnd w:id="59"/>
      <w:bookmarkEnd w:id="60"/>
      <w:bookmarkEnd w:id="61"/>
      <w:bookmarkEnd w:id="62"/>
      <w:bookmarkEnd w:id="63"/>
    </w:p>
    <w:p w14:paraId="0C33AA14">
      <w:pPr>
        <w:pStyle w:val="109"/>
        <w:numPr>
          <w:ilvl w:val="0"/>
          <w:numId w:val="0"/>
        </w:numPr>
        <w:tabs>
          <w:tab w:val="left" w:pos="1134"/>
        </w:tabs>
        <w:jc w:val="center"/>
        <w:rPr>
          <w:rFonts w:hint="eastAsia" w:ascii="Times New Roman" w:hAnsi="Times New Roman" w:eastAsia="宋体" w:cs="Times New Roman"/>
          <w:b/>
          <w:bCs/>
          <w:color w:val="000000"/>
          <w:kern w:val="44"/>
          <w:sz w:val="30"/>
          <w:szCs w:val="30"/>
          <w:highlight w:val="none"/>
          <w:lang w:eastAsia="zh-CN"/>
        </w:rPr>
        <w:sectPr>
          <w:pgSz w:w="11906" w:h="16838"/>
          <w:pgMar w:top="1134" w:right="850" w:bottom="1134" w:left="680" w:header="851" w:footer="992" w:gutter="0"/>
          <w:paperSrc w:first="7"/>
          <w:pgBorders>
            <w:top w:val="none" w:sz="0" w:space="0"/>
            <w:left w:val="none" w:sz="0" w:space="0"/>
            <w:bottom w:val="none" w:sz="0" w:space="0"/>
            <w:right w:val="none" w:sz="0" w:space="0"/>
          </w:pgBorders>
          <w:cols w:space="720" w:num="1"/>
          <w:docGrid w:linePitch="312" w:charSpace="0"/>
        </w:sectPr>
      </w:pPr>
      <w:r>
        <w:rPr>
          <w:rFonts w:hint="eastAsia" w:ascii="Times New Roman" w:hAnsi="Times New Roman" w:eastAsia="宋体" w:cs="Times New Roman"/>
          <w:b/>
          <w:bCs/>
          <w:color w:val="000000"/>
          <w:kern w:val="44"/>
          <w:sz w:val="30"/>
          <w:szCs w:val="30"/>
          <w:highlight w:val="none"/>
          <w:lang w:eastAsia="zh-CN"/>
        </w:rPr>
        <w:object>
          <v:shape id="_x0000_i1034" o:spt="75" type="#_x0000_t75" style="height:633pt;width:463.35pt;" o:ole="t" filled="f" o:preferrelative="t" stroked="f" coordsize="21600,21600">
            <v:path/>
            <v:fill on="f" focussize="0,0"/>
            <v:stroke on="f"/>
            <v:imagedata r:id="rId31" o:title=""/>
            <o:lock v:ext="edit" aspectratio="t"/>
            <w10:wrap type="none"/>
            <w10:anchorlock/>
          </v:shape>
          <o:OLEObject Type="Embed" ProgID="Visio.Drawing.11" ShapeID="_x0000_i1034" DrawAspect="Content" ObjectID="_1468075734" r:id="rId30">
            <o:LockedField>false</o:LockedField>
          </o:OLEObject>
        </w:object>
      </w:r>
    </w:p>
    <w:p w14:paraId="0DA1B0FC">
      <w:pPr>
        <w:pStyle w:val="109"/>
        <w:keepNext w:val="0"/>
        <w:keepLines w:val="0"/>
        <w:pageBreakBefore w:val="0"/>
        <w:widowControl w:val="0"/>
        <w:tabs>
          <w:tab w:val="left" w:pos="5269"/>
        </w:tabs>
        <w:kinsoku/>
        <w:wordWrap/>
        <w:overflowPunct/>
        <w:topLinePunct w:val="0"/>
        <w:autoSpaceDE/>
        <w:autoSpaceDN/>
        <w:bidi w:val="0"/>
        <w:adjustRightInd/>
        <w:snapToGrid/>
        <w:jc w:val="both"/>
        <w:textAlignment w:val="auto"/>
        <w:outlineLvl w:val="0"/>
        <w:rPr>
          <w:rFonts w:hint="eastAsia" w:ascii="Times New Roman" w:hAnsi="Times New Roman" w:eastAsia="宋体" w:cs="Times New Roman"/>
          <w:b/>
          <w:bCs/>
          <w:color w:val="000000"/>
          <w:kern w:val="44"/>
          <w:sz w:val="30"/>
          <w:szCs w:val="30"/>
          <w:highlight w:val="none"/>
          <w:lang w:val="en-US" w:eastAsia="zh-CN"/>
        </w:rPr>
      </w:pPr>
      <w:bookmarkStart w:id="65" w:name="_Toc20897"/>
      <w:bookmarkStart w:id="66" w:name="_Toc3846"/>
      <w:r>
        <w:rPr>
          <w:rFonts w:hint="eastAsia" w:ascii="Times New Roman" w:hAnsi="Times New Roman" w:eastAsia="宋体" w:cs="Times New Roman"/>
          <w:b/>
          <w:bCs/>
          <w:color w:val="000000"/>
          <w:kern w:val="44"/>
          <w:sz w:val="30"/>
          <w:szCs w:val="30"/>
          <w:highlight w:val="none"/>
        </w:rPr>
        <w:t>附图</w:t>
      </w:r>
      <w:r>
        <w:rPr>
          <w:rFonts w:hint="eastAsia" w:ascii="Times New Roman" w:hAnsi="Times New Roman" w:cs="Times New Roman"/>
          <w:b/>
          <w:bCs/>
          <w:color w:val="000000"/>
          <w:kern w:val="44"/>
          <w:sz w:val="30"/>
          <w:szCs w:val="30"/>
          <w:highlight w:val="none"/>
          <w:lang w:val="en-US" w:eastAsia="zh-CN"/>
        </w:rPr>
        <w:t>4供热管道示意图</w:t>
      </w:r>
      <w:bookmarkEnd w:id="65"/>
    </w:p>
    <w:p w14:paraId="4BE4BD4D">
      <w:pPr>
        <w:pStyle w:val="26"/>
        <w:adjustRightInd w:val="0"/>
        <w:snapToGrid w:val="0"/>
        <w:spacing w:before="0" w:beforeAutospacing="0" w:after="0" w:afterAutospacing="0" w:line="360" w:lineRule="auto"/>
        <w:jc w:val="center"/>
        <w:outlineLvl w:val="0"/>
        <w:rPr>
          <w:rFonts w:hint="eastAsia" w:ascii="Times New Roman" w:hAnsi="Times New Roman" w:eastAsia="宋体" w:cs="Times New Roman"/>
          <w:b/>
          <w:bCs/>
          <w:color w:val="000000"/>
          <w:kern w:val="44"/>
          <w:sz w:val="30"/>
          <w:szCs w:val="30"/>
          <w:highlight w:val="none"/>
        </w:rPr>
        <w:sectPr>
          <w:pgSz w:w="16838" w:h="11906" w:orient="landscape"/>
          <w:pgMar w:top="1440" w:right="1080" w:bottom="1440" w:left="1080" w:header="851" w:footer="851" w:gutter="0"/>
          <w:pgBorders>
            <w:top w:val="none" w:sz="0" w:space="0"/>
            <w:left w:val="none" w:sz="0" w:space="0"/>
            <w:bottom w:val="none" w:sz="0" w:space="0"/>
            <w:right w:val="none" w:sz="0" w:space="0"/>
          </w:pgBorders>
          <w:cols w:space="720" w:num="1"/>
          <w:docGrid w:linePitch="312" w:charSpace="0"/>
        </w:sectPr>
      </w:pPr>
      <w:bookmarkStart w:id="67" w:name="_Toc13883"/>
      <w:r>
        <w:rPr>
          <w:sz w:val="24"/>
          <w:highlight w:val="none"/>
        </w:rPr>
        <mc:AlternateContent>
          <mc:Choice Requires="wps">
            <w:drawing>
              <wp:anchor distT="0" distB="0" distL="114300" distR="114300" simplePos="0" relativeHeight="251669504" behindDoc="0" locked="0" layoutInCell="1" allowOverlap="1">
                <wp:simplePos x="0" y="0"/>
                <wp:positionH relativeFrom="column">
                  <wp:posOffset>689610</wp:posOffset>
                </wp:positionH>
                <wp:positionV relativeFrom="paragraph">
                  <wp:posOffset>2933700</wp:posOffset>
                </wp:positionV>
                <wp:extent cx="2334260" cy="2715895"/>
                <wp:effectExtent l="12700" t="12700" r="15240" b="14605"/>
                <wp:wrapNone/>
                <wp:docPr id="26" name="矩形 26"/>
                <wp:cNvGraphicFramePr/>
                <a:graphic xmlns:a="http://schemas.openxmlformats.org/drawingml/2006/main">
                  <a:graphicData uri="http://schemas.microsoft.com/office/word/2010/wordprocessingShape">
                    <wps:wsp>
                      <wps:cNvSpPr/>
                      <wps:spPr>
                        <a:xfrm>
                          <a:off x="1508125" y="4021455"/>
                          <a:ext cx="2334260" cy="271589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3pt;margin-top:231pt;height:213.85pt;width:183.8pt;z-index:251669504;v-text-anchor:middle;mso-width-relative:page;mso-height-relative:page;" filled="f" stroked="t" coordsize="21600,21600" o:gfxdata="UEsDBAoAAAAAAIdO4kAAAAAAAAAAAAAAAAAEAAAAZHJzL1BLAwQUAAAACACHTuJAEYV+8NkAAAAL&#10;AQAADwAAAGRycy9kb3ducmV2LnhtbE2PMU/DMBCFdyT+g3VILIjaDZXrhjiVqEQHBiQKSzcnPpKo&#10;sR3FTlP+PcdEx6d7+u57xfbienbGMXbBa1guBDD0dbCdbzR8fb4+KmAxGW9NHzxq+MEI2/L2pjC5&#10;DbP/wPMhNYwgPuZGQ5vSkHMe6xadiYswoKfbdxidSRTHhtvRzAR3Pc+EkNyZztOH1gy4a7E+HSan&#10;odofx516edqn6UES+tS84fus9f3dUjwDS3hJ/2X40yd1KMmpCpO3kfWUhZJU1bCSGY2ixmotM2CV&#10;BqU2a+Blwa83lL9QSwMEFAAAAAgAh07iQJrFHV1uAgAAwwQAAA4AAABkcnMvZTJvRG9jLnhtbK1U&#10;S27bMBDdF+gdCO4bfSLlY0QOjBguCgRNgLTomqYoSwBFsiRtOb1Mge56iB6n6DX6SClxmnaRRb2g&#10;ZzRPb2YeZ3Rxue8l2QnrOq0qmh2llAjFdd2pTUU/fli9OaPEeaZqJrUSFb0Xjl7OX7+6GMxM5LrV&#10;shaWgES52WAq2npvZknieCt65o60EQrBRtueebh2k9SWDWDvZZKn6UkyaFsbq7lwDk+XY5BOjPYl&#10;hLppOi6Wmm97ofzIaoVkHi25tjOOzmO1TSO4v2kaJzyRFUWnPp5IAnsdzmR+wWYby0zb8akE9pIS&#10;nvXUs04h6SPVknlGtrb7i6rvuNVON/6I6z4ZG4mKoIssfabNXcuMiL1AamceRXf/j5a/391a0tUV&#10;zU8oUazHjf/6+v3nj28ED6DOYNwMoDtzayfPwQyt7hvbh380QfaYpDI9y/KSkvuKFmmeFWU5qiv2&#10;nnAA8uPjIj+B8ByI/DQrz84jIjlQGev8W6F7EoyKWlxfVJXtrp1HekAfICGz0qtOyniFUpEBrGWR&#10;hgQMc9lgHmD2Br05taGEyQ0GnnsbKZ2WXR1eD0TObtZX0pIdw5isVil+oXak+wMWci+Za0dcDE0w&#10;qYAOUo3iBGut63tIa/U4c87wVYf3r5nzt8xiyFAo1tDf4GikRvV6sihptf3yr+cBj7tHlJIBQ4vO&#10;Pm+ZFZTIdwpTcZ4VBWh9dIryNIdjn0bWTyNq219pNJxh4Q2PZsB7+WA2VvefsK2LkBUhpjhyjxpO&#10;zpUflwn7zsViEWGYbMP8tbozPJCPN7XYet108RIP6kyiYbaj2NMehuV56kfU4dsz/w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RhX7w2QAAAAsBAAAPAAAAAAAAAAEAIAAAACIAAABkcnMvZG93bnJl&#10;di54bWxQSwECFAAUAAAACACHTuJAmsUdXW4CAADDBAAADgAAAAAAAAABACAAAAAoAQAAZHJzL2Uy&#10;b0RvYy54bWxQSwUGAAAAAAYABgBZAQAACAYAAAAA&#10;">
                <v:fill on="f" focussize="0,0"/>
                <v:stroke weight="2pt" color="#FF0000 [2404]" joinstyle="round"/>
                <v:imagedata o:title=""/>
                <o:lock v:ext="edit" aspectratio="f"/>
              </v:rect>
            </w:pict>
          </mc:Fallback>
        </mc:AlternateContent>
      </w:r>
      <w:r>
        <w:rPr>
          <w:highlight w:val="none"/>
        </w:rPr>
        <w:drawing>
          <wp:inline distT="0" distB="0" distL="114300" distR="114300">
            <wp:extent cx="7681595" cy="5454650"/>
            <wp:effectExtent l="0" t="0" r="5080" b="3175"/>
            <wp:docPr id="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2"/>
                    <pic:cNvPicPr>
                      <a:picLocks noChangeAspect="1"/>
                    </pic:cNvPicPr>
                  </pic:nvPicPr>
                  <pic:blipFill>
                    <a:blip r:embed="rId32"/>
                    <a:srcRect t="2505" r="2238"/>
                    <a:stretch>
                      <a:fillRect/>
                    </a:stretch>
                  </pic:blipFill>
                  <pic:spPr>
                    <a:xfrm>
                      <a:off x="0" y="0"/>
                      <a:ext cx="7681595" cy="5454650"/>
                    </a:xfrm>
                    <a:prstGeom prst="rect">
                      <a:avLst/>
                    </a:prstGeom>
                    <a:noFill/>
                    <a:ln>
                      <a:noFill/>
                    </a:ln>
                  </pic:spPr>
                </pic:pic>
              </a:graphicData>
            </a:graphic>
          </wp:inline>
        </w:drawing>
      </w:r>
      <w:bookmarkEnd w:id="67"/>
    </w:p>
    <w:p w14:paraId="26BF4F04">
      <w:pPr>
        <w:pStyle w:val="26"/>
        <w:adjustRightInd w:val="0"/>
        <w:snapToGrid w:val="0"/>
        <w:spacing w:before="0" w:beforeAutospacing="0" w:after="0" w:afterAutospacing="0" w:line="360" w:lineRule="auto"/>
        <w:outlineLvl w:val="0"/>
        <w:rPr>
          <w:rFonts w:hint="eastAsia" w:ascii="Times New Roman" w:hAnsi="Times New Roman" w:eastAsia="宋体" w:cs="Times New Roman"/>
          <w:b/>
          <w:bCs/>
          <w:color w:val="000000"/>
          <w:kern w:val="44"/>
          <w:sz w:val="30"/>
          <w:szCs w:val="30"/>
          <w:highlight w:val="none"/>
          <w:lang w:val="en-US" w:eastAsia="zh-CN"/>
        </w:rPr>
      </w:pPr>
      <w:bookmarkStart w:id="68" w:name="_Toc17280"/>
      <w:r>
        <w:rPr>
          <w:rFonts w:hint="eastAsia" w:ascii="Times New Roman" w:hAnsi="Times New Roman" w:eastAsia="宋体" w:cs="Times New Roman"/>
          <w:b/>
          <w:bCs/>
          <w:color w:val="000000"/>
          <w:kern w:val="44"/>
          <w:sz w:val="30"/>
          <w:szCs w:val="30"/>
          <w:highlight w:val="none"/>
        </w:rPr>
        <w:t>附图</w:t>
      </w:r>
      <w:bookmarkEnd w:id="64"/>
      <w:r>
        <w:rPr>
          <w:rFonts w:hint="eastAsia" w:ascii="Times New Roman" w:hAnsi="Times New Roman" w:cs="Times New Roman"/>
          <w:b/>
          <w:bCs/>
          <w:color w:val="000000"/>
          <w:kern w:val="44"/>
          <w:sz w:val="30"/>
          <w:szCs w:val="30"/>
          <w:highlight w:val="none"/>
          <w:lang w:val="en-US" w:eastAsia="zh-CN"/>
        </w:rPr>
        <w:t>5</w:t>
      </w:r>
      <w:r>
        <w:rPr>
          <w:rFonts w:hint="eastAsia" w:ascii="Times New Roman" w:hAnsi="Times New Roman" w:eastAsia="宋体" w:cs="Times New Roman"/>
          <w:b/>
          <w:bCs/>
          <w:color w:val="000000"/>
          <w:kern w:val="44"/>
          <w:sz w:val="30"/>
          <w:szCs w:val="30"/>
          <w:highlight w:val="none"/>
          <w:lang w:val="en-US" w:eastAsia="zh-CN"/>
        </w:rPr>
        <w:t>“三线一单”相符性分析图</w:t>
      </w:r>
      <w:bookmarkEnd w:id="66"/>
      <w:bookmarkEnd w:id="68"/>
    </w:p>
    <w:p w14:paraId="06188292">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center"/>
        <w:textAlignment w:val="auto"/>
        <w:outlineLvl w:val="9"/>
        <w:rPr>
          <w:rFonts w:hint="eastAsia" w:eastAsia="宋体"/>
          <w:color w:val="auto"/>
          <w:highlight w:val="none"/>
          <w:lang w:eastAsia="zh-CN"/>
        </w:rPr>
      </w:pPr>
      <w:r>
        <w:rPr>
          <w:color w:val="auto"/>
          <w:sz w:val="21"/>
          <w:highlight w:val="none"/>
        </w:rPr>
        <mc:AlternateContent>
          <mc:Choice Requires="wps">
            <w:drawing>
              <wp:anchor distT="0" distB="0" distL="114300" distR="114300" simplePos="0" relativeHeight="251668480" behindDoc="0" locked="0" layoutInCell="1" allowOverlap="1">
                <wp:simplePos x="0" y="0"/>
                <wp:positionH relativeFrom="column">
                  <wp:posOffset>935355</wp:posOffset>
                </wp:positionH>
                <wp:positionV relativeFrom="paragraph">
                  <wp:posOffset>1235710</wp:posOffset>
                </wp:positionV>
                <wp:extent cx="975360" cy="409575"/>
                <wp:effectExtent l="12700" t="104775" r="142240" b="19050"/>
                <wp:wrapNone/>
                <wp:docPr id="24" name="圆角矩形标注 24"/>
                <wp:cNvGraphicFramePr/>
                <a:graphic xmlns:a="http://schemas.openxmlformats.org/drawingml/2006/main">
                  <a:graphicData uri="http://schemas.microsoft.com/office/word/2010/wordprocessingShape">
                    <wps:wsp>
                      <wps:cNvSpPr/>
                      <wps:spPr>
                        <a:xfrm>
                          <a:off x="0" y="0"/>
                          <a:ext cx="975360" cy="409575"/>
                        </a:xfrm>
                        <a:prstGeom prst="wedgeRoundRectCallout">
                          <a:avLst>
                            <a:gd name="adj1" fmla="val 62955"/>
                            <a:gd name="adj2" fmla="val -72480"/>
                            <a:gd name="adj3" fmla="val 16667"/>
                          </a:avLst>
                        </a:prstGeom>
                        <a:noFill/>
                      </wps:spPr>
                      <wps:style>
                        <a:lnRef idx="2">
                          <a:schemeClr val="dk1"/>
                        </a:lnRef>
                        <a:fillRef idx="1">
                          <a:schemeClr val="lt1"/>
                        </a:fillRef>
                        <a:effectRef idx="0">
                          <a:schemeClr val="dk1"/>
                        </a:effectRef>
                        <a:fontRef idx="minor">
                          <a:schemeClr val="dk1"/>
                        </a:fontRef>
                      </wps:style>
                      <wps:txbx>
                        <w:txbxContent>
                          <w:p w14:paraId="08A75146">
                            <w:pPr>
                              <w:jc w:val="center"/>
                              <w:rPr>
                                <w:rFonts w:hint="default" w:eastAsiaTheme="minorEastAsia"/>
                                <w:lang w:val="en-US" w:eastAsia="zh-CN"/>
                              </w:rPr>
                            </w:pPr>
                            <w:r>
                              <w:rPr>
                                <w:rFonts w:hint="eastAsia"/>
                                <w:b/>
                                <w:bCs/>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73.65pt;margin-top:97.3pt;height:32.25pt;width:76.8pt;z-index:251668480;v-text-anchor:middle;mso-width-relative:page;mso-height-relative:page;" filled="f" stroked="t" coordsize="21600,21600" o:gfxdata="UEsDBAoAAAAAAIdO4kAAAAAAAAAAAAAAAAAEAAAAZHJzL1BLAwQUAAAACACHTuJAGXgCPNoAAAAL&#10;AQAADwAAAGRycy9kb3ducmV2LnhtbE2PwU7DMAyG70i8Q2QkLogl3UqhpekOCMaBw8RA4po2XlvR&#10;OKXJtvL2mBPc/Muffn8u17MbxBGn0HvSkCwUCKTG255aDe9vT9d3IEI0ZM3gCTV8Y4B1dX5WmsL6&#10;E73icRdbwSUUCqOhi3EspAxNh86EhR+ReLf3kzOR49RKO5kTl7tBLpXKpDM98YXOjPjQYfO5OzgN&#10;m+ftR9Y8br5mouEqdbStx5e91pcXiboHEXGOfzD86rM6VOxU+wPZIAbO6e2KUR7yNAPBxEqpHESt&#10;YXmTJyCrUv7/ofoBUEsDBBQAAAAIAIdO4kATY5CYtgIAAFMFAAAOAAAAZHJzL2Uyb0RvYy54bWyt&#10;VM1uEzEQviPxDpbv7SbbTdJE3VRRoiKkikYtiLPj9f4g/2F7sykPAHfOSCAuwJkzj9PCYzD2btul&#10;cOiBHJyZnfE3M9/M+Oh4JzjaMmMrJVM83B9gxCRVWSWLFL94frJ3iJF1RGaEK8lSfMksPp4/fnTU&#10;6BmLVal4xgwCEGlnjU5x6ZyeRZGlJRPE7ivNJBhzZQRxoJoiygxpAF3wKB4MxlGjTKaNosxa+Lpq&#10;jbhDNA8BVHleUbZStBZMuhbVME4clGTLSls8D9nmOaPuLM8tc4inGCp14YQgIG/8Gc2PyKwwRJcV&#10;7VIgD0nhXk2CVBKC3kKtiCOoNtVfUKKiRlmVu32qRNQWEhiBKoaDe9xclESzUAtQbfUt6fb/wdJn&#10;27VBVZbiOMFIEgEdv/rw9teX9z8/frv68fn607vr718RGIGpRtsZXLjQa9NpFkRf9i43wv9DQWgX&#10;2L28ZZftHKLwcToZHYyBdwqmZDAdTUYeM7q7rI11T5gSyAspblhWsHNVy+wc2rgknKvaBZLJ9tS6&#10;wHbWpUyyV0OMcsGheVvC0TiejgI8dKTnE/d99iZxcngzAT2ng77TcDweT7o8u7CQ8U2mPgepTirO&#10;wxxxiRogcpQMfJkEliOHoQRRaCDYygIjwgvYOupMKMQqXmX+ugeyptgsuUGQP3AXfl3gP9x87BWx&#10;ZesXTJ0bl0Cn71HbFS+53WbXtWqjsktotVHtDlhNTyqAOiXWrYkB3iBneBbcGRw5V1CI6iSMSmXe&#10;/Ou794dZBCtGDSwRFPm6JoZhxJ9KmNLpMEkA1gUlGU1iUEzfsulbZC2WCmqHTkJ2QfT+jt+IuVHi&#10;JbweCx8VTERSiN3S2SlL1y43vD+ULRbBDTZNE3cqLzT14G3TFrVTeeX8BHqiWnY6BXYtDGb3Lvhl&#10;7uvB6+4tnP8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GXgCPNoAAAALAQAADwAAAAAAAAABACAA&#10;AAAiAAAAZHJzL2Rvd25yZXYueG1sUEsBAhQAFAAAAAgAh07iQBNjkJi2AgAAUwUAAA4AAAAAAAAA&#10;AQAgAAAAKQEAAGRycy9lMm9Eb2MueG1sUEsFBgAAAAAGAAYAWQEAAFEGAAAAAA==&#10;" adj="24398,-4856,14400">
                <v:fill on="f" focussize="0,0"/>
                <v:stroke weight="2pt" color="#000000 [3200]" joinstyle="round"/>
                <v:imagedata o:title=""/>
                <o:lock v:ext="edit" aspectratio="f"/>
                <v:textbox>
                  <w:txbxContent>
                    <w:p w14:paraId="08A75146">
                      <w:pPr>
                        <w:jc w:val="center"/>
                        <w:rPr>
                          <w:rFonts w:hint="default" w:eastAsiaTheme="minorEastAsia"/>
                          <w:lang w:val="en-US" w:eastAsia="zh-CN"/>
                        </w:rPr>
                      </w:pPr>
                      <w:r>
                        <w:rPr>
                          <w:rFonts w:hint="eastAsia"/>
                          <w:b/>
                          <w:bCs/>
                          <w:lang w:val="en-US" w:eastAsia="zh-CN"/>
                        </w:rPr>
                        <w:t>本项目位置</w:t>
                      </w:r>
                    </w:p>
                  </w:txbxContent>
                </v:textbox>
              </v:shape>
            </w:pict>
          </mc:Fallback>
        </mc:AlternateContent>
      </w:r>
      <w:r>
        <w:rPr>
          <w:color w:val="auto"/>
          <w:sz w:val="28"/>
          <w:highlight w:val="none"/>
        </w:rPr>
        <mc:AlternateContent>
          <mc:Choice Requires="wps">
            <w:drawing>
              <wp:anchor distT="0" distB="0" distL="114300" distR="114300" simplePos="0" relativeHeight="251667456" behindDoc="0" locked="0" layoutInCell="1" allowOverlap="1">
                <wp:simplePos x="0" y="0"/>
                <wp:positionH relativeFrom="column">
                  <wp:posOffset>1958975</wp:posOffset>
                </wp:positionH>
                <wp:positionV relativeFrom="paragraph">
                  <wp:posOffset>1063625</wp:posOffset>
                </wp:positionV>
                <wp:extent cx="162560" cy="135890"/>
                <wp:effectExtent l="4445" t="4445" r="10795" b="12065"/>
                <wp:wrapNone/>
                <wp:docPr id="23" name="五角星 23"/>
                <wp:cNvGraphicFramePr/>
                <a:graphic xmlns:a="http://schemas.openxmlformats.org/drawingml/2006/main">
                  <a:graphicData uri="http://schemas.microsoft.com/office/word/2010/wordprocessingShape">
                    <wps:wsp>
                      <wps:cNvSpPr/>
                      <wps:spPr>
                        <a:xfrm>
                          <a:off x="0" y="0"/>
                          <a:ext cx="162560" cy="135890"/>
                        </a:xfrm>
                        <a:prstGeom prst="star5">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txbx>
                        <w:txbxContent>
                          <w:p w14:paraId="46C2AC3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54.25pt;margin-top:83.75pt;height:10.7pt;width:12.8pt;z-index:251667456;v-text-anchor:middle;mso-width-relative:page;mso-height-relative:page;" fillcolor="#FF0000" filled="t" stroked="t" coordsize="162560,135890" o:gfxdata="UEsDBAoAAAAAAIdO4kAAAAAAAAAAAAAAAAAEAAAAZHJzL1BLAwQUAAAACACHTuJAHpFlNNkAAAAL&#10;AQAADwAAAGRycy9kb3ducmV2LnhtbE2PS0/EMAyE70j8h8hI3NikFLqlNF0hEAeOu8tD3NLG21Q0&#10;TtVkH/x7zAlutmc0/qZenfwoDjjHIZCGbKFAIHXBDtRreN0+X5UgYjJkzRgINXxjhFVzflabyoYj&#10;rfGwSb3gEIqV0eBSmiopY+fQm7gIExJruzB7k3ide2lnc+RwP8prpQrpzUD8wZkJHx12X5u91yC3&#10;L+1n+MjWD0/ufef6tzYWtNT68iJT9yASntKfGX7xGR0aZmrDnmwUo4ZclbdsZaFY8sCOPL/JQLR8&#10;Kcs7kE0t/3dofgBQSwMEFAAAAAgAh07iQOxY4C+DAgAADQUAAA4AAABkcnMvZTJvRG9jLnhtbK1U&#10;S27bMBDdF+gdCO4bWXacOEbkwIjhokDQBEiLrmmKsgTwV5K2nB6j6KK7LHuHnqcoeow+UkriJF1k&#10;US2oGc7jfB5neHq2U5JshfON0QXNDwaUCM1N2eh1QT9+WL6ZUOID0yWTRouC3ghPz2avX522diqG&#10;pjayFI7AifbT1ha0DsFOs8zzWijmD4wVGsbKOMUCVLfOSsdaeFcyGw4GR1lrXGmd4cJ77C46I+09&#10;upc4NFXVcLEwfKOEDp1XJyQLKMnXjfV0lrKtKsHDZVV5EYgsKCoNaUUQyKu4ZrNTNl07ZuuG9ymw&#10;l6TwpCbFGo2g964WLDCycc0zV6rhznhThQNuVNYVkhhBFfngCTfXNbMi1QKqvb0n3f8/t/z99sqR&#10;pizocESJZgo3/uvntz8/vv7+fkuwB4Ja66fAXdsr12seYqx2VzkV/6iD7BKpN/ekil0gHJv50XB8&#10;BLo5TPloPDlJpGcPh63z4a0wikShoOg9N05csu2FD4gI7B0mBvNGNuWykTIpbr06l45sGS54uRzg&#10;iynjyCOY1KQt6Cg/HiMRhq6t0C0QlUXlXq8pYXKNceDBpdCPDvv9GKPJeDGZd6CalaKLPN4P3MGf&#10;JxGLWDBfd0dSiD5XqYGONHfERinsVrue7ZUpb3BJznTd6y1fNnB1wXy4Yg7tCnYx0OESSyUNCjW9&#10;RElt3Jd/7Uc8ughWSlq0P1j4vGFOUCLfafTXSX54GOclKYfj4yEUt29Z7Vv0Rp0bXECOp8PyJEZ8&#10;kHdi5Yz6hLmfx6gwMc0Ru+O7V85DN5Z4ObiYzxMMM2JZuNDXlkfn8cK1mW+CqZrUGJGojp2eP0xJ&#10;4r2f6DiG+3pCPbxis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ekWU02QAAAAsBAAAPAAAAAAAA&#10;AAEAIAAAACIAAABkcnMvZG93bnJldi54bWxQSwECFAAUAAAACACHTuJA7FjgL4MCAAANBQAADgAA&#10;AAAAAAABACAAAAAoAQAAZHJzL2Uyb0RvYy54bWxQSwUGAAAAAAYABgBZAQAAHQYAAAAA&#10;" path="m0,51905l62092,51905,81280,0,100467,51905,162559,51905,112325,83984,131513,135889,81280,103810,31046,135889,50234,83984xe">
                <v:path textboxrect="0,0,162560,135890" o:connectlocs="81280,0;0,51905;31046,135889;131513,135889;162559,51905" o:connectangles="247,164,82,82,0"/>
                <v:fill on="t" focussize="0,0"/>
                <v:stroke weight="0.25pt" color="#385D8A [3204]" joinstyle="round"/>
                <v:imagedata o:title=""/>
                <o:lock v:ext="edit" aspectratio="f"/>
                <v:textbox>
                  <w:txbxContent>
                    <w:p w14:paraId="46C2AC37">
                      <w:pPr>
                        <w:jc w:val="center"/>
                      </w:pPr>
                    </w:p>
                  </w:txbxContent>
                </v:textbox>
              </v:shape>
            </w:pict>
          </mc:Fallback>
        </mc:AlternateContent>
      </w:r>
      <w:r>
        <w:rPr>
          <w:rFonts w:hint="eastAsia" w:eastAsia="宋体"/>
          <w:color w:val="auto"/>
          <w:highlight w:val="none"/>
          <w:lang w:eastAsia="zh-CN"/>
        </w:rPr>
        <w:drawing>
          <wp:inline distT="0" distB="0" distL="114300" distR="114300">
            <wp:extent cx="6970395" cy="4929505"/>
            <wp:effectExtent l="0" t="0" r="1905" b="10795"/>
            <wp:docPr id="4" name="图片 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1"/>
                    <pic:cNvPicPr>
                      <a:picLocks noChangeAspect="1"/>
                    </pic:cNvPicPr>
                  </pic:nvPicPr>
                  <pic:blipFill>
                    <a:blip r:embed="rId33"/>
                    <a:stretch>
                      <a:fillRect/>
                    </a:stretch>
                  </pic:blipFill>
                  <pic:spPr>
                    <a:xfrm>
                      <a:off x="0" y="0"/>
                      <a:ext cx="6970395" cy="4929505"/>
                    </a:xfrm>
                    <a:prstGeom prst="rect">
                      <a:avLst/>
                    </a:prstGeom>
                  </pic:spPr>
                </pic:pic>
              </a:graphicData>
            </a:graphic>
          </wp:inline>
        </w:drawing>
      </w:r>
    </w:p>
    <w:p w14:paraId="2FE8CA21">
      <w:pPr>
        <w:pStyle w:val="23"/>
        <w:keepNext w:val="0"/>
        <w:keepLines w:val="0"/>
        <w:pageBreakBefore w:val="0"/>
        <w:widowControl w:val="0"/>
        <w:numPr>
          <w:ilvl w:val="0"/>
          <w:numId w:val="8"/>
        </w:numPr>
        <w:kinsoku/>
        <w:wordWrap/>
        <w:overflowPunct/>
        <w:topLinePunct w:val="0"/>
        <w:autoSpaceDE/>
        <w:autoSpaceDN/>
        <w:bidi w:val="0"/>
        <w:adjustRightInd/>
        <w:snapToGrid/>
        <w:ind w:left="0" w:hanging="229" w:hangingChars="95"/>
        <w:jc w:val="center"/>
        <w:textAlignment w:val="auto"/>
        <w:rPr>
          <w:rFonts w:hint="eastAsia" w:ascii="Times New Roman" w:hAnsi="Times New Roman" w:eastAsia="宋体" w:cs="Times New Roman"/>
          <w:b/>
          <w:bCs/>
          <w:color w:val="000000"/>
          <w:kern w:val="44"/>
          <w:sz w:val="24"/>
          <w:szCs w:val="24"/>
          <w:highlight w:val="none"/>
          <w:lang w:val="en-US" w:eastAsia="zh-CN" w:bidi="ar-SA"/>
        </w:rPr>
      </w:pPr>
      <w:r>
        <w:rPr>
          <w:rFonts w:hint="eastAsia" w:ascii="宋体" w:hAnsi="宋体" w:eastAsia="宋体" w:cs="宋体"/>
          <w:b/>
          <w:bCs/>
          <w:i w:val="0"/>
          <w:iCs w:val="0"/>
          <w:caps w:val="0"/>
          <w:color w:val="auto"/>
          <w:spacing w:val="0"/>
          <w:sz w:val="24"/>
          <w:szCs w:val="24"/>
          <w:highlight w:val="none"/>
          <w:u w:val="none"/>
          <w:shd w:val="clear" w:color="auto" w:fill="FFFFFF"/>
          <w:lang w:val="en-US" w:eastAsia="zh-CN"/>
        </w:rPr>
        <w:t>韶关市环境管控单元图</w:t>
      </w:r>
    </w:p>
    <w:p w14:paraId="0BE88FD1">
      <w:pPr>
        <w:pStyle w:val="23"/>
        <w:widowControl w:val="0"/>
        <w:numPr>
          <w:ilvl w:val="0"/>
          <w:numId w:val="0"/>
        </w:numPr>
        <w:contextualSpacing/>
        <w:jc w:val="center"/>
        <w:rPr>
          <w:b/>
          <w:bCs/>
          <w:highlight w:val="none"/>
        </w:rPr>
      </w:pPr>
      <w:r>
        <w:rPr>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4128770</wp:posOffset>
                </wp:positionH>
                <wp:positionV relativeFrom="paragraph">
                  <wp:posOffset>1215390</wp:posOffset>
                </wp:positionV>
                <wp:extent cx="799465" cy="299720"/>
                <wp:effectExtent l="49530" t="4445" r="8255" b="286385"/>
                <wp:wrapNone/>
                <wp:docPr id="36" name="矩形标注 36"/>
                <wp:cNvGraphicFramePr/>
                <a:graphic xmlns:a="http://schemas.openxmlformats.org/drawingml/2006/main">
                  <a:graphicData uri="http://schemas.microsoft.com/office/word/2010/wordprocessingShape">
                    <wps:wsp>
                      <wps:cNvSpPr/>
                      <wps:spPr>
                        <a:xfrm>
                          <a:off x="4925695" y="4312920"/>
                          <a:ext cx="799465" cy="299720"/>
                        </a:xfrm>
                        <a:prstGeom prst="wedgeRectCallout">
                          <a:avLst>
                            <a:gd name="adj1" fmla="val -54046"/>
                            <a:gd name="adj2" fmla="val 138921"/>
                          </a:avLst>
                        </a:prstGeom>
                        <a:noFill/>
                        <a:ln w="9525" cap="flat" cmpd="sng">
                          <a:solidFill>
                            <a:srgbClr val="FF0000"/>
                          </a:solidFill>
                          <a:prstDash val="solid"/>
                          <a:miter/>
                          <a:headEnd type="none" w="med" len="med"/>
                          <a:tailEnd type="none" w="med" len="med"/>
                        </a:ln>
                        <a:effectLst/>
                      </wps:spPr>
                      <wps:txbx>
                        <w:txbxContent>
                          <w:p w14:paraId="12D4BD60">
                            <w:pPr>
                              <w:spacing w:line="240" w:lineRule="auto"/>
                              <w:rPr>
                                <w:b/>
                                <w:bCs/>
                                <w:color w:val="FF0000"/>
                                <w:sz w:val="21"/>
                                <w:szCs w:val="21"/>
                              </w:rPr>
                            </w:pPr>
                            <w:r>
                              <w:rPr>
                                <w:rFonts w:hint="eastAsia"/>
                                <w:b/>
                                <w:bCs/>
                                <w:color w:val="FF0000"/>
                                <w:sz w:val="21"/>
                                <w:szCs w:val="21"/>
                              </w:rPr>
                              <w:t>项目位置</w:t>
                            </w:r>
                          </w:p>
                        </w:txbxContent>
                      </wps:txbx>
                      <wps:bodyPr upright="1"/>
                    </wps:wsp>
                  </a:graphicData>
                </a:graphic>
              </wp:anchor>
            </w:drawing>
          </mc:Choice>
          <mc:Fallback>
            <w:pict>
              <v:shape id="_x0000_s1026" o:spid="_x0000_s1026" o:spt="61" type="#_x0000_t61" style="position:absolute;left:0pt;margin-left:325.1pt;margin-top:95.7pt;height:23.6pt;width:62.95pt;z-index:251661312;mso-width-relative:page;mso-height-relative:page;" filled="f" stroked="t" coordsize="21600,21600" o:gfxdata="UEsDBAoAAAAAAIdO4kAAAAAAAAAAAAAAAAAEAAAAZHJzL1BLAwQUAAAACACHTuJAsnXqbdwAAAAL&#10;AQAADwAAAGRycy9kb3ducmV2LnhtbE2PwU7DMBBE70j8g7VIXBC1EyApIU4lKkqEeqhoK86ubZKI&#10;eB3FblP+nuUEx9U8zbwtF2fXs5MdQ+dRQjITwCxqbzpsJOx3q9s5sBAVGtV7tBK+bYBFdXlRqsL4&#10;Cd/taRsbRiUYCiWhjXEoOA+6tU6FmR8sUvbpR6cinWPDzagmKnc9T4XIuFMd0kKrBrtsrf7aHh2N&#10;rPTm4y3eLOv6JV9P9Wb9+qxzKa+vEvEELNpz/IPhV5/UoSKngz+iCayXkD2IlFAKHpN7YETkeZYA&#10;O0hI7+YZ8Krk/3+ofgBQSwMEFAAAAAgAh07iQGADDURLAgAAgAQAAA4AAABkcnMvZTJvRG9jLnht&#10;bK1US5LTMBDdU8UdVNpP/Mlnxq44s5gQNhRMMXAAxZJtUfqVpMTJCTgGFCtYs+Y4DNegJZuZMGyy&#10;wAu7pX563f265eX1QQq0Z9ZxrSqcTVKMmKo15aqt8Pt3m4srjJwnihKhFavwkTl8vXr+bNmbkuW6&#10;04Iyi4BEubI3Fe68N2WSuLpjkriJNkyBs9FWEg9L2ybUkh7YpUjyNF0kvbbUWF0z52B3PTjxyGjP&#10;IdRNw2u21vVOMuUHVssE8VCS67hxeBWzbRpW+zdN45hHosJQqY9vCAL2NryT1ZKUrSWm4/WYAjkn&#10;hSc1ScIVBH2gWhNP0M7yf6gkr612uvGTWstkKCQqAlVk6RNt7jpiWKwFpHbmQXT3/2jr1/tbizit&#10;8HSBkSISOv7r07efP77cf/54//0rgm3QqDeuBOidubXjyoEZCj40VoYvlIIOFZ4V+XxRzDE6gj3N&#10;8iIfNWYHj2oAXBbFbAH+GgB5UVwO/uSRyFjnXzItUTAq3DPasrfQxxsihN75qDLZv3I+yk3HnAn9&#10;kGHUSAHd2xOBLuazdBZTh56cgPJTUDa9KvIs1AfxR06w/mQQAii94ULEKREK9RUu5nnInsDkNzBx&#10;YEoD6jnVxsycFpyGI+Gws+32RlgECVV4s0nhGYP9BQvx1sR1Ay66AoyUknsW9CZlxwh9oSjyRwMN&#10;UnAxcUhGMoqRYHCPgxWRnnBxDhLqFCpQs3hLQE84noQ+D50Nlj9sD7AbzK2mRxiUnbG87aAtg2rB&#10;A4MZ9RsvUZj803UkffxxrH4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snXqbdwAAAALAQAADwAA&#10;AAAAAAABACAAAAAiAAAAZHJzL2Rvd25yZXYueG1sUEsBAhQAFAAAAAgAh07iQGADDURLAgAAgAQA&#10;AA4AAAAAAAAAAQAgAAAAKwEAAGRycy9lMm9Eb2MueG1sUEsFBgAAAAAGAAYAWQEAAOgFAAAAAA==&#10;" adj="-874,40807">
                <v:fill on="f" focussize="0,0"/>
                <v:stroke color="#FF0000" joinstyle="miter"/>
                <v:imagedata o:title=""/>
                <o:lock v:ext="edit" aspectratio="f"/>
                <v:textbox>
                  <w:txbxContent>
                    <w:p w14:paraId="12D4BD60">
                      <w:pPr>
                        <w:spacing w:line="240" w:lineRule="auto"/>
                        <w:rPr>
                          <w:b/>
                          <w:bCs/>
                          <w:color w:val="FF0000"/>
                          <w:sz w:val="21"/>
                          <w:szCs w:val="21"/>
                        </w:rPr>
                      </w:pPr>
                      <w:r>
                        <w:rPr>
                          <w:rFonts w:hint="eastAsia"/>
                          <w:b/>
                          <w:bCs/>
                          <w:color w:val="FF0000"/>
                          <w:sz w:val="21"/>
                          <w:szCs w:val="21"/>
                        </w:rPr>
                        <w:t>项目位置</w:t>
                      </w:r>
                    </w:p>
                  </w:txbxContent>
                </v:textbox>
              </v:shape>
            </w:pict>
          </mc:Fallback>
        </mc:AlternateContent>
      </w:r>
      <w:r>
        <w:rPr>
          <w:highlight w:val="none"/>
        </w:rPr>
        <w:drawing>
          <wp:inline distT="0" distB="0" distL="114300" distR="114300">
            <wp:extent cx="9290050" cy="4440555"/>
            <wp:effectExtent l="0" t="0" r="0" b="0"/>
            <wp:docPr id="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5"/>
                    <pic:cNvPicPr>
                      <a:picLocks noChangeAspect="1"/>
                    </pic:cNvPicPr>
                  </pic:nvPicPr>
                  <pic:blipFill>
                    <a:blip r:embed="rId34"/>
                    <a:srcRect b="5487"/>
                    <a:stretch>
                      <a:fillRect/>
                    </a:stretch>
                  </pic:blipFill>
                  <pic:spPr>
                    <a:xfrm>
                      <a:off x="0" y="0"/>
                      <a:ext cx="9290050" cy="4440555"/>
                    </a:xfrm>
                    <a:prstGeom prst="rect">
                      <a:avLst/>
                    </a:prstGeom>
                    <a:noFill/>
                    <a:ln>
                      <a:noFill/>
                    </a:ln>
                  </pic:spPr>
                </pic:pic>
              </a:graphicData>
            </a:graphic>
          </wp:inline>
        </w:drawing>
      </w:r>
    </w:p>
    <w:p w14:paraId="61D7C23C">
      <w:pPr>
        <w:pStyle w:val="23"/>
        <w:numPr>
          <w:ilvl w:val="0"/>
          <w:numId w:val="8"/>
        </w:numPr>
        <w:ind w:left="199" w:hanging="229" w:hangingChars="95"/>
        <w:jc w:val="center"/>
        <w:rPr>
          <w:rFonts w:hint="eastAsia" w:ascii="Times New Roman" w:hAnsi="Times New Roman" w:eastAsia="宋体" w:cs="Times New Roman"/>
          <w:b/>
          <w:bCs/>
          <w:color w:val="000000"/>
          <w:kern w:val="44"/>
          <w:sz w:val="24"/>
          <w:szCs w:val="24"/>
          <w:highlight w:val="none"/>
          <w:lang w:val="en-US" w:eastAsia="zh-CN" w:bidi="ar-SA"/>
        </w:rPr>
      </w:pPr>
      <w:r>
        <w:rPr>
          <w:rFonts w:hint="eastAsia" w:ascii="Times New Roman" w:hAnsi="Times New Roman" w:eastAsia="宋体" w:cs="Times New Roman"/>
          <w:b/>
          <w:bCs/>
          <w:color w:val="000000"/>
          <w:kern w:val="44"/>
          <w:sz w:val="24"/>
          <w:szCs w:val="24"/>
          <w:highlight w:val="none"/>
          <w:lang w:val="en-US" w:eastAsia="zh-CN" w:bidi="ar-SA"/>
        </w:rPr>
        <w:t>陆域环境管控单元图</w:t>
      </w:r>
    </w:p>
    <w:p w14:paraId="2A0F0683">
      <w:pPr>
        <w:pStyle w:val="23"/>
        <w:widowControl w:val="0"/>
        <w:numPr>
          <w:ilvl w:val="0"/>
          <w:numId w:val="0"/>
        </w:numPr>
        <w:contextualSpacing/>
        <w:jc w:val="center"/>
        <w:rPr>
          <w:rFonts w:hint="eastAsia" w:ascii="Times New Roman" w:hAnsi="Times New Roman" w:eastAsia="宋体" w:cs="Times New Roman"/>
          <w:b/>
          <w:bCs/>
          <w:color w:val="000000"/>
          <w:kern w:val="44"/>
          <w:sz w:val="24"/>
          <w:szCs w:val="24"/>
          <w:highlight w:val="none"/>
          <w:lang w:val="en-US" w:eastAsia="zh-CN" w:bidi="ar-SA"/>
        </w:rPr>
      </w:pPr>
    </w:p>
    <w:p w14:paraId="7ED59F59">
      <w:pPr>
        <w:pStyle w:val="23"/>
        <w:widowControl w:val="0"/>
        <w:numPr>
          <w:ilvl w:val="0"/>
          <w:numId w:val="0"/>
        </w:numPr>
        <w:contextualSpacing/>
        <w:jc w:val="center"/>
        <w:rPr>
          <w:highlight w:val="none"/>
        </w:rPr>
      </w:pPr>
      <w:r>
        <w:rPr>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4517390</wp:posOffset>
                </wp:positionH>
                <wp:positionV relativeFrom="paragraph">
                  <wp:posOffset>1196340</wp:posOffset>
                </wp:positionV>
                <wp:extent cx="799465" cy="299720"/>
                <wp:effectExtent l="49530" t="4445" r="8255" b="286385"/>
                <wp:wrapNone/>
                <wp:docPr id="8" name="矩形标注 8"/>
                <wp:cNvGraphicFramePr/>
                <a:graphic xmlns:a="http://schemas.openxmlformats.org/drawingml/2006/main">
                  <a:graphicData uri="http://schemas.microsoft.com/office/word/2010/wordprocessingShape">
                    <wps:wsp>
                      <wps:cNvSpPr/>
                      <wps:spPr>
                        <a:xfrm>
                          <a:off x="0" y="0"/>
                          <a:ext cx="799465" cy="299720"/>
                        </a:xfrm>
                        <a:prstGeom prst="wedgeRectCallout">
                          <a:avLst>
                            <a:gd name="adj1" fmla="val -54046"/>
                            <a:gd name="adj2" fmla="val 138921"/>
                          </a:avLst>
                        </a:prstGeom>
                        <a:noFill/>
                        <a:ln w="9525" cap="flat" cmpd="sng">
                          <a:solidFill>
                            <a:srgbClr val="FF0000"/>
                          </a:solidFill>
                          <a:prstDash val="solid"/>
                          <a:miter/>
                          <a:headEnd type="none" w="med" len="med"/>
                          <a:tailEnd type="none" w="med" len="med"/>
                        </a:ln>
                        <a:effectLst/>
                      </wps:spPr>
                      <wps:txbx>
                        <w:txbxContent>
                          <w:p w14:paraId="1645A14C">
                            <w:pPr>
                              <w:spacing w:line="240" w:lineRule="auto"/>
                              <w:rPr>
                                <w:b/>
                                <w:bCs/>
                                <w:color w:val="FF0000"/>
                                <w:sz w:val="21"/>
                                <w:szCs w:val="21"/>
                              </w:rPr>
                            </w:pPr>
                            <w:r>
                              <w:rPr>
                                <w:rFonts w:hint="eastAsia"/>
                                <w:b/>
                                <w:bCs/>
                                <w:color w:val="FF0000"/>
                                <w:sz w:val="21"/>
                                <w:szCs w:val="21"/>
                              </w:rPr>
                              <w:t>项目位置</w:t>
                            </w:r>
                          </w:p>
                        </w:txbxContent>
                      </wps:txbx>
                      <wps:bodyPr upright="1"/>
                    </wps:wsp>
                  </a:graphicData>
                </a:graphic>
              </wp:anchor>
            </w:drawing>
          </mc:Choice>
          <mc:Fallback>
            <w:pict>
              <v:shape id="_x0000_s1026" o:spid="_x0000_s1026" o:spt="61" type="#_x0000_t61" style="position:absolute;left:0pt;margin-left:355.7pt;margin-top:94.2pt;height:23.6pt;width:62.95pt;z-index:251664384;mso-width-relative:page;mso-height-relative:page;" filled="f" stroked="t" coordsize="21600,21600" o:gfxdata="UEsDBAoAAAAAAIdO4kAAAAAAAAAAAAAAAAAEAAAAZHJzL1BLAwQUAAAACACHTuJAbsSeqtsAAAAL&#10;AQAADwAAAGRycy9kb3ducmV2LnhtbE2PTUvDQBCG74L/YRnBi7SbNNqEmE3BYg3SQ7EVz9vsmASz&#10;syG7beq/dzzpbYb34f0oVhfbizOOvnOkIJ5HIJBqZzpqFLwfNrMMhA+ajO4doYJv9LAqr68KnRs3&#10;0Rue96ERbEI+1wraEIZcSl+3aLWfuwGJtU83Wh34HRtpRj2xue3lIoqW0uqOOKHVA65brL/2J8sh&#10;m3r38Rru1lX1nG6nard9eapTpW5v4ugRRMBL+IPhtz5Xh5I7Hd2JjBe9gjSO7xllIcv4YCJL0gTE&#10;UcEieViCLAv5f0P5A1BLAwQUAAAACACHTuJA/zg7NjwCAAByBAAADgAAAGRycy9lMm9Eb2MueG1s&#10;rVTNctMwEL4zwztodG/smKRNMnF6aAgXBjoUHkCRZFuM/kZSYucJeAwYTvTMmcehvAYr2aShXHLA&#10;B3ulXX377bcrL687JdGeOy+MLvF4lGPENTVM6LrEH95vLmYY+UA0I9JoXuID9/h69fzZsrULXpjG&#10;SMYdAhDtF60tcROCXWSZpw1XxI+M5RqclXGKBFi6OmOOtICuZFbk+WXWGsesM5R7D7vr3okHRHcO&#10;oKkqQfna0J3iOvSojksSoCTfCOvxKrGtKk7D26ryPCBZYqg0pDckAXsb39lqSRa1I7YRdKBAzqHw&#10;pCZFhIakR6g1CQTtnPgHSgnqjDdVGFGjsr6QpAhUMc6faHPXEMtTLSC1t0fR/f+DpW/2tw4JVmJo&#10;uyYKGv7r8/3PH18fvnx6+P4NzaJCrfULCLyzt25YeTBjuV3lVPxCIahLqh6OqvIuIAqbV/P55HKK&#10;EQVXMZ9fFUn17PGwdT684kahaJS45azm76BzN0RKswtJV7J/7UMSmA00Cfs4xqhSEvq1JxJdTCf5&#10;5HJo6ElQcRo0fjGbF+MYBPkHTLD+MIgJtNkIKdNcSI3aEs+nRWRPYNYrmDEwlQW9vK4TM2+kYPFI&#10;POxdvb2RDgGhEm82OTxDsr/CYr418U0fl1w9cSUCdyl3wwl7qRkKBws90XAVcSSjOMNIcri50UqR&#10;gQh5TiTUKXUkydO9AD2jDLG3fTejFbptB7vR3Bp2gNHYWSfqBtrSqxY9MIpJv+HaxFk/XSfQx1/F&#10;6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uxJ6q2wAAAAsBAAAPAAAAAAAAAAEAIAAAACIAAABk&#10;cnMvZG93bnJldi54bWxQSwECFAAUAAAACACHTuJA/zg7NjwCAAByBAAADgAAAAAAAAABACAAAAAq&#10;AQAAZHJzL2Uyb0RvYy54bWxQSwUGAAAAAAYABgBZAQAA2AUAAAAA&#10;" adj="-874,40807">
                <v:fill on="f" focussize="0,0"/>
                <v:stroke color="#FF0000" joinstyle="miter"/>
                <v:imagedata o:title=""/>
                <o:lock v:ext="edit" aspectratio="f"/>
                <v:textbox>
                  <w:txbxContent>
                    <w:p w14:paraId="1645A14C">
                      <w:pPr>
                        <w:spacing w:line="240" w:lineRule="auto"/>
                        <w:rPr>
                          <w:b/>
                          <w:bCs/>
                          <w:color w:val="FF0000"/>
                          <w:sz w:val="21"/>
                          <w:szCs w:val="21"/>
                        </w:rPr>
                      </w:pPr>
                      <w:r>
                        <w:rPr>
                          <w:rFonts w:hint="eastAsia"/>
                          <w:b/>
                          <w:bCs/>
                          <w:color w:val="FF0000"/>
                          <w:sz w:val="21"/>
                          <w:szCs w:val="21"/>
                        </w:rPr>
                        <w:t>项目位置</w:t>
                      </w:r>
                    </w:p>
                  </w:txbxContent>
                </v:textbox>
              </v:shape>
            </w:pict>
          </mc:Fallback>
        </mc:AlternateContent>
      </w:r>
      <w:r>
        <w:rPr>
          <w:highlight w:val="none"/>
        </w:rPr>
        <w:drawing>
          <wp:inline distT="0" distB="0" distL="114300" distR="114300">
            <wp:extent cx="9309100" cy="4472305"/>
            <wp:effectExtent l="0" t="0" r="6350" b="4445"/>
            <wp:docPr id="1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9"/>
                    <pic:cNvPicPr>
                      <a:picLocks noChangeAspect="1"/>
                    </pic:cNvPicPr>
                  </pic:nvPicPr>
                  <pic:blipFill>
                    <a:blip r:embed="rId35"/>
                    <a:stretch>
                      <a:fillRect/>
                    </a:stretch>
                  </pic:blipFill>
                  <pic:spPr>
                    <a:xfrm>
                      <a:off x="0" y="0"/>
                      <a:ext cx="9309100" cy="4472305"/>
                    </a:xfrm>
                    <a:prstGeom prst="rect">
                      <a:avLst/>
                    </a:prstGeom>
                    <a:noFill/>
                    <a:ln>
                      <a:noFill/>
                    </a:ln>
                  </pic:spPr>
                </pic:pic>
              </a:graphicData>
            </a:graphic>
          </wp:inline>
        </w:drawing>
      </w:r>
    </w:p>
    <w:p w14:paraId="23E8664C">
      <w:pPr>
        <w:pStyle w:val="23"/>
        <w:numPr>
          <w:ilvl w:val="0"/>
          <w:numId w:val="0"/>
        </w:numPr>
        <w:ind w:leftChars="-95"/>
        <w:jc w:val="center"/>
        <w:rPr>
          <w:highlight w:val="none"/>
        </w:rPr>
      </w:pPr>
      <w:r>
        <w:rPr>
          <w:rFonts w:hint="eastAsia" w:cs="Times New Roman"/>
          <w:b/>
          <w:bCs/>
          <w:color w:val="000000"/>
          <w:kern w:val="44"/>
          <w:sz w:val="24"/>
          <w:szCs w:val="24"/>
          <w:highlight w:val="none"/>
          <w:lang w:val="en-US" w:eastAsia="zh-CN" w:bidi="ar-SA"/>
        </w:rPr>
        <w:t>（2）生态空间一般管控区</w:t>
      </w:r>
      <w:r>
        <w:rPr>
          <w:rFonts w:hint="eastAsia" w:ascii="Times New Roman" w:hAnsi="Times New Roman" w:eastAsia="宋体" w:cs="Times New Roman"/>
          <w:b/>
          <w:bCs/>
          <w:color w:val="000000"/>
          <w:kern w:val="44"/>
          <w:sz w:val="24"/>
          <w:szCs w:val="24"/>
          <w:highlight w:val="none"/>
          <w:lang w:val="en-US" w:eastAsia="zh-CN" w:bidi="ar-SA"/>
        </w:rPr>
        <w:t>图</w:t>
      </w:r>
    </w:p>
    <w:p w14:paraId="481CE194">
      <w:pPr>
        <w:pStyle w:val="23"/>
        <w:widowControl w:val="0"/>
        <w:numPr>
          <w:ilvl w:val="0"/>
          <w:numId w:val="0"/>
        </w:numPr>
        <w:contextualSpacing/>
        <w:jc w:val="center"/>
        <w:rPr>
          <w:highlight w:val="none"/>
        </w:rPr>
      </w:pPr>
      <w:r>
        <w:rPr>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4178935</wp:posOffset>
                </wp:positionH>
                <wp:positionV relativeFrom="paragraph">
                  <wp:posOffset>1113155</wp:posOffset>
                </wp:positionV>
                <wp:extent cx="799465" cy="299720"/>
                <wp:effectExtent l="49530" t="4445" r="8255" b="286385"/>
                <wp:wrapNone/>
                <wp:docPr id="9" name="矩形标注 9"/>
                <wp:cNvGraphicFramePr/>
                <a:graphic xmlns:a="http://schemas.openxmlformats.org/drawingml/2006/main">
                  <a:graphicData uri="http://schemas.microsoft.com/office/word/2010/wordprocessingShape">
                    <wps:wsp>
                      <wps:cNvSpPr/>
                      <wps:spPr>
                        <a:xfrm>
                          <a:off x="0" y="0"/>
                          <a:ext cx="799465" cy="299720"/>
                        </a:xfrm>
                        <a:prstGeom prst="wedgeRectCallout">
                          <a:avLst>
                            <a:gd name="adj1" fmla="val -54046"/>
                            <a:gd name="adj2" fmla="val 138921"/>
                          </a:avLst>
                        </a:prstGeom>
                        <a:noFill/>
                        <a:ln w="9525" cap="flat" cmpd="sng">
                          <a:solidFill>
                            <a:srgbClr val="FF0000"/>
                          </a:solidFill>
                          <a:prstDash val="solid"/>
                          <a:miter/>
                          <a:headEnd type="none" w="med" len="med"/>
                          <a:tailEnd type="none" w="med" len="med"/>
                        </a:ln>
                        <a:effectLst/>
                      </wps:spPr>
                      <wps:txbx>
                        <w:txbxContent>
                          <w:p w14:paraId="63C8FCA9">
                            <w:pPr>
                              <w:spacing w:line="240" w:lineRule="auto"/>
                              <w:rPr>
                                <w:b/>
                                <w:bCs/>
                                <w:color w:val="FF0000"/>
                                <w:sz w:val="21"/>
                                <w:szCs w:val="21"/>
                              </w:rPr>
                            </w:pPr>
                            <w:r>
                              <w:rPr>
                                <w:rFonts w:hint="eastAsia"/>
                                <w:b/>
                                <w:bCs/>
                                <w:color w:val="FF0000"/>
                                <w:sz w:val="21"/>
                                <w:szCs w:val="21"/>
                              </w:rPr>
                              <w:t>项目位置</w:t>
                            </w:r>
                          </w:p>
                        </w:txbxContent>
                      </wps:txbx>
                      <wps:bodyPr upright="1"/>
                    </wps:wsp>
                  </a:graphicData>
                </a:graphic>
              </wp:anchor>
            </w:drawing>
          </mc:Choice>
          <mc:Fallback>
            <w:pict>
              <v:shape id="_x0000_s1026" o:spid="_x0000_s1026" o:spt="61" type="#_x0000_t61" style="position:absolute;left:0pt;margin-left:329.05pt;margin-top:87.65pt;height:23.6pt;width:62.95pt;z-index:251665408;mso-width-relative:page;mso-height-relative:page;" filled="f" stroked="t" coordsize="21600,21600" o:gfxdata="UEsDBAoAAAAAAIdO4kAAAAAAAAAAAAAAAAAEAAAAZHJzL1BLAwQUAAAACACHTuJAYC/zO9sAAAAL&#10;AQAADwAAAGRycy9kb3ducmV2LnhtbE2PQUvDQBSE74L/YXmCF7GbRNOEmE3BYg3SQ7GK5232mQSz&#10;b0N229R/7/Okx2GGmW/K1dkO4oST7x0piBcRCKTGmZ5aBe9vm9schA+ajB4coYJv9LCqLi9KXRg3&#10;0yue9qEVXEK+0Aq6EMZCSt90aLVfuBGJvU83WR1YTq00k5653A4yiaKltLonXuj0iOsOm6/90fLI&#10;ptl9vISbdV0/Zdu53m2fH5tMqeurOHoAEfAc/sLwi8/oUDHTwR3JeDEoWKZ5zFE2svQOBCey/J7f&#10;HRQkSZKCrEr5/0P1A1BLAwQUAAAACACHTuJAAwx8yzwCAAByBAAADgAAAGRycy9lMm9Eb2MueG1s&#10;rVTNctMwEL4zwztodG/smCStM3F6aAgXBjoUHkCRZFuM/kZS4uQJeAwYTvTMmcehvAYr2aShXHLA&#10;B3ulXX377bcrL673SqIdd14YXeHxKMeIa2qY0E2FP7xfX1xh5APRjEijeYUP3OPr5fNni87OeWFa&#10;Ixl3CEC0n3e2wm0Idp5lnrZcET8ylmtw1sYpEmDpmow50gG6klmR57OsM45ZZyj3HnZXvRMPiO4c&#10;QFPXgvKVoVvFdehRHZckQEm+FdbjZWJb15yGt3XteUCywlBpSG9IAvYmvrPlgswbR2wr6ECBnEPh&#10;SU2KCA1Jj1ArEgjaOvEPlBLUGW/qMKJGZX0hSRGoYpw/0eauJZanWkBqb4+i+/8HS9/sbh0SrMIl&#10;RpooaPivz/c/f3x9+PLp4fs3VEaFOuvnEHhnb92w8mDGcve1U/ELhaB9UvVwVJXvA6KweVmWk9kU&#10;Iwquoiwvi6R69njYOh9ecaNQNCrccdbwd9C5GyKl2YakK9m99iEJzAaahH0cY1QrCf3aEYkuppN8&#10;MhsaehJUnAaNX1yVxTgGQf4BE6w/DGICbdZCyjQXUqMOhJkWkT2BWa9hxsBUFvTyuknMvJGCxSPx&#10;sHfN5kY6BIQqvF7n8AzJ/gqL+VbEt31ccvXElQjcpdwtJ+ylZigcLPREw1XEkYziDCPJ4eZGK0UG&#10;IuQ5kVCn1JEkT/cC9IwyxN723YxW2G/2sBvNjWEHGI2tdaJpoS29atEDo5j0G65NnPXTdQJ9/FUs&#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gL/M72wAAAAsBAAAPAAAAAAAAAAEAIAAAACIAAABk&#10;cnMvZG93bnJldi54bWxQSwECFAAUAAAACACHTuJAAwx8yzwCAAByBAAADgAAAAAAAAABACAAAAAq&#10;AQAAZHJzL2Uyb0RvYy54bWxQSwUGAAAAAAYABgBZAQAA2AUAAAAA&#10;" adj="-874,40807">
                <v:fill on="f" focussize="0,0"/>
                <v:stroke color="#FF0000" joinstyle="miter"/>
                <v:imagedata o:title=""/>
                <o:lock v:ext="edit" aspectratio="f"/>
                <v:textbox>
                  <w:txbxContent>
                    <w:p w14:paraId="63C8FCA9">
                      <w:pPr>
                        <w:spacing w:line="240" w:lineRule="auto"/>
                        <w:rPr>
                          <w:b/>
                          <w:bCs/>
                          <w:color w:val="FF0000"/>
                          <w:sz w:val="21"/>
                          <w:szCs w:val="21"/>
                        </w:rPr>
                      </w:pPr>
                      <w:r>
                        <w:rPr>
                          <w:rFonts w:hint="eastAsia"/>
                          <w:b/>
                          <w:bCs/>
                          <w:color w:val="FF0000"/>
                          <w:sz w:val="21"/>
                          <w:szCs w:val="21"/>
                        </w:rPr>
                        <w:t>项目位置</w:t>
                      </w:r>
                    </w:p>
                  </w:txbxContent>
                </v:textbox>
              </v:shape>
            </w:pict>
          </mc:Fallback>
        </mc:AlternateContent>
      </w:r>
      <w:r>
        <w:rPr>
          <w:highlight w:val="none"/>
        </w:rPr>
        <w:drawing>
          <wp:inline distT="0" distB="0" distL="114300" distR="114300">
            <wp:extent cx="9297035" cy="4465320"/>
            <wp:effectExtent l="0" t="0" r="8890" b="1905"/>
            <wp:docPr id="1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7"/>
                    <pic:cNvPicPr>
                      <a:picLocks noChangeAspect="1"/>
                    </pic:cNvPicPr>
                  </pic:nvPicPr>
                  <pic:blipFill>
                    <a:blip r:embed="rId36"/>
                    <a:stretch>
                      <a:fillRect/>
                    </a:stretch>
                  </pic:blipFill>
                  <pic:spPr>
                    <a:xfrm>
                      <a:off x="0" y="0"/>
                      <a:ext cx="9297035" cy="4465320"/>
                    </a:xfrm>
                    <a:prstGeom prst="rect">
                      <a:avLst/>
                    </a:prstGeom>
                    <a:noFill/>
                    <a:ln>
                      <a:noFill/>
                    </a:ln>
                  </pic:spPr>
                </pic:pic>
              </a:graphicData>
            </a:graphic>
          </wp:inline>
        </w:drawing>
      </w:r>
    </w:p>
    <w:p w14:paraId="1493B8AC">
      <w:pPr>
        <w:pStyle w:val="23"/>
        <w:numPr>
          <w:ilvl w:val="0"/>
          <w:numId w:val="0"/>
        </w:numPr>
        <w:ind w:leftChars="-95"/>
        <w:jc w:val="center"/>
        <w:rPr>
          <w:rFonts w:hint="eastAsia" w:cs="Times New Roman"/>
          <w:b/>
          <w:bCs/>
          <w:color w:val="000000"/>
          <w:kern w:val="44"/>
          <w:sz w:val="24"/>
          <w:szCs w:val="24"/>
          <w:highlight w:val="none"/>
          <w:lang w:val="en-US" w:eastAsia="zh-CN" w:bidi="ar-SA"/>
        </w:rPr>
      </w:pPr>
      <w:r>
        <w:rPr>
          <w:rFonts w:hint="eastAsia" w:cs="Times New Roman"/>
          <w:b/>
          <w:bCs/>
          <w:color w:val="000000"/>
          <w:kern w:val="44"/>
          <w:sz w:val="24"/>
          <w:szCs w:val="24"/>
          <w:highlight w:val="none"/>
          <w:lang w:val="en-US" w:eastAsia="zh-CN" w:bidi="ar-SA"/>
        </w:rPr>
        <w:t>（3）水环境一般管控区图</w:t>
      </w:r>
    </w:p>
    <w:p w14:paraId="0AA59E59">
      <w:pPr>
        <w:pStyle w:val="23"/>
        <w:widowControl w:val="0"/>
        <w:numPr>
          <w:ilvl w:val="0"/>
          <w:numId w:val="0"/>
        </w:numPr>
        <w:contextualSpacing/>
        <w:jc w:val="center"/>
        <w:rPr>
          <w:highlight w:val="none"/>
        </w:rPr>
      </w:pPr>
      <w:r>
        <w:rPr>
          <w:color w:val="auto"/>
          <w:highlight w:val="none"/>
        </w:rPr>
        <mc:AlternateContent>
          <mc:Choice Requires="wps">
            <w:drawing>
              <wp:anchor distT="0" distB="0" distL="114300" distR="114300" simplePos="0" relativeHeight="251666432" behindDoc="0" locked="0" layoutInCell="1" allowOverlap="1">
                <wp:simplePos x="0" y="0"/>
                <wp:positionH relativeFrom="column">
                  <wp:posOffset>4507865</wp:posOffset>
                </wp:positionH>
                <wp:positionV relativeFrom="paragraph">
                  <wp:posOffset>1176655</wp:posOffset>
                </wp:positionV>
                <wp:extent cx="799465" cy="299720"/>
                <wp:effectExtent l="49530" t="4445" r="8255" b="286385"/>
                <wp:wrapNone/>
                <wp:docPr id="14" name="矩形标注 14"/>
                <wp:cNvGraphicFramePr/>
                <a:graphic xmlns:a="http://schemas.openxmlformats.org/drawingml/2006/main">
                  <a:graphicData uri="http://schemas.microsoft.com/office/word/2010/wordprocessingShape">
                    <wps:wsp>
                      <wps:cNvSpPr/>
                      <wps:spPr>
                        <a:xfrm>
                          <a:off x="0" y="0"/>
                          <a:ext cx="799465" cy="299720"/>
                        </a:xfrm>
                        <a:prstGeom prst="wedgeRectCallout">
                          <a:avLst>
                            <a:gd name="adj1" fmla="val -54046"/>
                            <a:gd name="adj2" fmla="val 138921"/>
                          </a:avLst>
                        </a:prstGeom>
                        <a:noFill/>
                        <a:ln w="9525" cap="flat" cmpd="sng">
                          <a:solidFill>
                            <a:srgbClr val="FF0000"/>
                          </a:solidFill>
                          <a:prstDash val="solid"/>
                          <a:miter/>
                          <a:headEnd type="none" w="med" len="med"/>
                          <a:tailEnd type="none" w="med" len="med"/>
                        </a:ln>
                        <a:effectLst/>
                      </wps:spPr>
                      <wps:txbx>
                        <w:txbxContent>
                          <w:p w14:paraId="386764D5">
                            <w:pPr>
                              <w:spacing w:line="240" w:lineRule="auto"/>
                              <w:rPr>
                                <w:b/>
                                <w:bCs/>
                                <w:color w:val="FF0000"/>
                                <w:sz w:val="21"/>
                                <w:szCs w:val="21"/>
                              </w:rPr>
                            </w:pPr>
                            <w:r>
                              <w:rPr>
                                <w:rFonts w:hint="eastAsia"/>
                                <w:b/>
                                <w:bCs/>
                                <w:color w:val="FF0000"/>
                                <w:sz w:val="21"/>
                                <w:szCs w:val="21"/>
                              </w:rPr>
                              <w:t>项目位置</w:t>
                            </w:r>
                          </w:p>
                        </w:txbxContent>
                      </wps:txbx>
                      <wps:bodyPr upright="1"/>
                    </wps:wsp>
                  </a:graphicData>
                </a:graphic>
              </wp:anchor>
            </w:drawing>
          </mc:Choice>
          <mc:Fallback>
            <w:pict>
              <v:shape id="_x0000_s1026" o:spid="_x0000_s1026" o:spt="61" type="#_x0000_t61" style="position:absolute;left:0pt;margin-left:354.95pt;margin-top:92.65pt;height:23.6pt;width:62.95pt;z-index:251666432;mso-width-relative:page;mso-height-relative:page;" filled="f" stroked="t" coordsize="21600,21600" o:gfxdata="UEsDBAoAAAAAAIdO4kAAAAAAAAAAAAAAAAAEAAAAZHJzL1BLAwQUAAAACACHTuJAwbIyp9wAAAAL&#10;AQAADwAAAGRycy9kb3ducmV2LnhtbE2PQUvDQBSE74L/YXmCF7G7TYhJYzYFizWUHopt8bzNrkkw&#10;+zZkt0399z5PehxmmPmmWF5tzy5m9J1DCfOZAGawdrrDRsLxsH7MgPmgUKveoZHwbTwsy9ubQuXa&#10;TfhuLvvQMCpBnysJbQhDzrmvW2OVn7nBIHmfbrQqkBwbrkc1UbnteSTEE7eqQ1po1WBWram/9mdL&#10;I+t697EJD6uqek23U7Xbvr3UqZT3d3PxDCyYa/gLwy8+oUNJTCd3Ru1ZLyEViwVFyciSGBglsjih&#10;MycJURwlwMuC//9Q/gBQSwMEFAAAAAgAh07iQHmCl9w9AgAAdAQAAA4AAABkcnMvZTJvRG9jLnht&#10;bK1UzXLTMBC+M8M7aHRv7JgkbTJxemgIFwY6FB5AkWRbjP5GUmLnCXgMGE70zJnHobwGK9mkoVxy&#10;wAd7pV19++23Ky+vOyXRnjsvjC7xeJRjxDU1TOi6xB/eby6uMPKBaEak0bzEB+7x9er5s2VrF7ww&#10;jZGMOwQg2i9aW+ImBLvIMk8brogfGcs1OCvjFAmwdHXGHGkBXcmsyPNZ1hrHrDOUew+7696JB0R3&#10;DqCpKkH52tCd4jr0qI5LEqAk3wjr8SqxrSpOw9uq8jwgWWKoNKQ3JAF7G9/ZakkWtSO2EXSgQM6h&#10;8KQmRYSGpEeoNQkE7Zz4B0oJ6ow3VRhRo7K+kKQIVDHOn2hz1xDLUy0gtbdH0f3/g6Vv9rcOCQaT&#10;MMFIEwUd//X5/uePrw9fPj18/4ZgGzRqrV9A6J29dcPKgxkL7iqn4hdKQV3S9XDUlXcBUdi8nM8n&#10;sylGFFzFfH5ZJN2zx8PW+fCKG4WiUeKWs5q/g97dECnNLiRlyf61D0liNvAk7OMYo0pJ6NieSHQx&#10;neST2dDSk6DiNGj84mpejGMQ5B8wwfrDICbQZiOkTJMhNWpLPJ8WkT2Baa9gysBUFhTzuk7MvJGC&#10;xSPxsHf19kY6BIRKvNnk8AzJ/gqL+dbEN31ccvXElQjcpdwNJ+ylZigcLDRFw2XEkYziDCPJ4e5G&#10;K0UGIuQ5kVCn1JEkTzcD9IwyxN723YxW6LYd7EZza9gBhmNnnagbaEuvWvTAMCb9hosTp/10nUAf&#10;fxar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GyMqfcAAAACwEAAA8AAAAAAAAAAQAgAAAAIgAA&#10;AGRycy9kb3ducmV2LnhtbFBLAQIUABQAAAAIAIdO4kB5gpfcPQIAAHQEAAAOAAAAAAAAAAEAIAAA&#10;ACsBAABkcnMvZTJvRG9jLnhtbFBLBQYAAAAABgAGAFkBAADaBQAAAAA=&#10;" adj="-874,40807">
                <v:fill on="f" focussize="0,0"/>
                <v:stroke color="#FF0000" joinstyle="miter"/>
                <v:imagedata o:title=""/>
                <o:lock v:ext="edit" aspectratio="f"/>
                <v:textbox>
                  <w:txbxContent>
                    <w:p w14:paraId="386764D5">
                      <w:pPr>
                        <w:spacing w:line="240" w:lineRule="auto"/>
                        <w:rPr>
                          <w:b/>
                          <w:bCs/>
                          <w:color w:val="FF0000"/>
                          <w:sz w:val="21"/>
                          <w:szCs w:val="21"/>
                        </w:rPr>
                      </w:pPr>
                      <w:r>
                        <w:rPr>
                          <w:rFonts w:hint="eastAsia"/>
                          <w:b/>
                          <w:bCs/>
                          <w:color w:val="FF0000"/>
                          <w:sz w:val="21"/>
                          <w:szCs w:val="21"/>
                        </w:rPr>
                        <w:t>项目位置</w:t>
                      </w:r>
                    </w:p>
                  </w:txbxContent>
                </v:textbox>
              </v:shape>
            </w:pict>
          </mc:Fallback>
        </mc:AlternateContent>
      </w:r>
      <w:r>
        <w:rPr>
          <w:highlight w:val="none"/>
        </w:rPr>
        <w:drawing>
          <wp:inline distT="0" distB="0" distL="114300" distR="114300">
            <wp:extent cx="9311640" cy="4474845"/>
            <wp:effectExtent l="0" t="0" r="3810" b="1905"/>
            <wp:docPr id="1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8"/>
                    <pic:cNvPicPr>
                      <a:picLocks noChangeAspect="1"/>
                    </pic:cNvPicPr>
                  </pic:nvPicPr>
                  <pic:blipFill>
                    <a:blip r:embed="rId37"/>
                    <a:stretch>
                      <a:fillRect/>
                    </a:stretch>
                  </pic:blipFill>
                  <pic:spPr>
                    <a:xfrm>
                      <a:off x="0" y="0"/>
                      <a:ext cx="9311640" cy="4474845"/>
                    </a:xfrm>
                    <a:prstGeom prst="rect">
                      <a:avLst/>
                    </a:prstGeom>
                    <a:noFill/>
                    <a:ln>
                      <a:noFill/>
                    </a:ln>
                  </pic:spPr>
                </pic:pic>
              </a:graphicData>
            </a:graphic>
          </wp:inline>
        </w:drawing>
      </w:r>
    </w:p>
    <w:p w14:paraId="4F4964D7">
      <w:pPr>
        <w:pStyle w:val="23"/>
        <w:numPr>
          <w:ilvl w:val="0"/>
          <w:numId w:val="0"/>
        </w:numPr>
        <w:ind w:leftChars="-95"/>
        <w:jc w:val="center"/>
        <w:rPr>
          <w:highlight w:val="none"/>
        </w:rPr>
      </w:pPr>
      <w:r>
        <w:rPr>
          <w:rFonts w:hint="eastAsia" w:cs="Times New Roman"/>
          <w:b/>
          <w:bCs/>
          <w:color w:val="000000"/>
          <w:kern w:val="44"/>
          <w:sz w:val="24"/>
          <w:szCs w:val="24"/>
          <w:highlight w:val="none"/>
          <w:lang w:val="en-US" w:eastAsia="zh-CN" w:bidi="ar-SA"/>
        </w:rPr>
        <w:t>（4）大气环境一般管控区图</w:t>
      </w:r>
    </w:p>
    <w:p w14:paraId="0E963515">
      <w:pPr>
        <w:pStyle w:val="23"/>
        <w:widowControl w:val="0"/>
        <w:numPr>
          <w:ilvl w:val="0"/>
          <w:numId w:val="0"/>
        </w:numPr>
        <w:contextualSpacing/>
        <w:jc w:val="center"/>
        <w:rPr>
          <w:highlight w:val="none"/>
        </w:rPr>
      </w:pPr>
    </w:p>
    <w:p w14:paraId="7F8D32CF">
      <w:pPr>
        <w:pStyle w:val="23"/>
        <w:widowControl w:val="0"/>
        <w:numPr>
          <w:ilvl w:val="0"/>
          <w:numId w:val="0"/>
        </w:numPr>
        <w:contextualSpacing/>
        <w:jc w:val="center"/>
        <w:rPr>
          <w:rFonts w:hint="eastAsia"/>
          <w:highlight w:val="none"/>
          <w:lang w:val="en-US" w:eastAsia="zh-CN"/>
        </w:rPr>
        <w:sectPr>
          <w:pgSz w:w="16838" w:h="11906" w:orient="landscape"/>
          <w:pgMar w:top="1440" w:right="1080" w:bottom="1440" w:left="1080" w:header="851" w:footer="851" w:gutter="0"/>
          <w:pgBorders>
            <w:top w:val="none" w:sz="0" w:space="0"/>
            <w:left w:val="none" w:sz="0" w:space="0"/>
            <w:bottom w:val="none" w:sz="0" w:space="0"/>
            <w:right w:val="none" w:sz="0" w:space="0"/>
          </w:pgBorders>
          <w:cols w:space="720" w:num="1"/>
          <w:docGrid w:linePitch="312" w:charSpace="0"/>
        </w:sectPr>
      </w:pPr>
    </w:p>
    <w:p w14:paraId="006A0B7F">
      <w:pPr>
        <w:pStyle w:val="26"/>
        <w:adjustRightInd w:val="0"/>
        <w:snapToGrid w:val="0"/>
        <w:spacing w:before="0" w:beforeAutospacing="0" w:after="0" w:afterAutospacing="0" w:line="360" w:lineRule="auto"/>
        <w:outlineLvl w:val="0"/>
        <w:rPr>
          <w:rFonts w:hint="eastAsia" w:ascii="Times New Roman" w:hAnsi="Times New Roman" w:eastAsia="宋体" w:cs="Times New Roman"/>
          <w:b/>
          <w:bCs/>
          <w:color w:val="000000"/>
          <w:kern w:val="44"/>
          <w:sz w:val="30"/>
          <w:szCs w:val="30"/>
          <w:highlight w:val="none"/>
        </w:rPr>
      </w:pPr>
      <w:bookmarkStart w:id="69" w:name="_Toc30083"/>
      <w:bookmarkStart w:id="70" w:name="_Toc12963"/>
      <w:bookmarkStart w:id="71" w:name="_Toc7380"/>
      <w:bookmarkStart w:id="72" w:name="_Toc31549"/>
      <w:bookmarkStart w:id="73" w:name="_Toc8304"/>
      <w:bookmarkStart w:id="74" w:name="_Toc21346"/>
      <w:bookmarkStart w:id="75" w:name="_Toc14894"/>
      <w:bookmarkStart w:id="76" w:name="_Toc2760"/>
      <w:r>
        <w:rPr>
          <w:rFonts w:hint="eastAsia" w:ascii="Times New Roman" w:hAnsi="Times New Roman" w:eastAsia="宋体" w:cs="Times New Roman"/>
          <w:b/>
          <w:bCs/>
          <w:color w:val="000000"/>
          <w:kern w:val="44"/>
          <w:sz w:val="30"/>
          <w:szCs w:val="30"/>
          <w:highlight w:val="none"/>
        </w:rPr>
        <w:t>附</w:t>
      </w:r>
      <w:r>
        <w:rPr>
          <w:rFonts w:hint="eastAsia" w:ascii="Times New Roman" w:hAnsi="Times New Roman" w:eastAsia="宋体" w:cs="Times New Roman"/>
          <w:b/>
          <w:bCs/>
          <w:color w:val="000000"/>
          <w:kern w:val="44"/>
          <w:sz w:val="30"/>
          <w:szCs w:val="30"/>
          <w:highlight w:val="none"/>
          <w:lang w:eastAsia="zh-CN"/>
        </w:rPr>
        <w:t>图</w:t>
      </w:r>
      <w:r>
        <w:rPr>
          <w:rFonts w:hint="eastAsia" w:ascii="Times New Roman" w:hAnsi="Times New Roman" w:cs="Times New Roman"/>
          <w:b/>
          <w:bCs/>
          <w:color w:val="000000"/>
          <w:kern w:val="44"/>
          <w:sz w:val="30"/>
          <w:szCs w:val="30"/>
          <w:highlight w:val="none"/>
          <w:lang w:val="en-US" w:eastAsia="zh-CN"/>
        </w:rPr>
        <w:t>6</w:t>
      </w:r>
      <w:r>
        <w:rPr>
          <w:rFonts w:hint="eastAsia" w:ascii="Times New Roman" w:hAnsi="Times New Roman" w:eastAsia="宋体" w:cs="Times New Roman"/>
          <w:b/>
          <w:bCs/>
          <w:color w:val="000000"/>
          <w:kern w:val="44"/>
          <w:sz w:val="30"/>
          <w:szCs w:val="30"/>
          <w:highlight w:val="none"/>
        </w:rPr>
        <w:t>环境保护目标分布图</w:t>
      </w:r>
      <w:bookmarkEnd w:id="69"/>
      <w:bookmarkEnd w:id="70"/>
      <w:bookmarkEnd w:id="71"/>
      <w:bookmarkEnd w:id="72"/>
      <w:bookmarkEnd w:id="73"/>
      <w:bookmarkEnd w:id="74"/>
    </w:p>
    <w:p w14:paraId="59776EF7">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center"/>
        <w:textAlignment w:val="auto"/>
        <w:outlineLvl w:val="9"/>
        <w:rPr>
          <w:rFonts w:hint="eastAsia" w:ascii="Times New Roman" w:hAnsi="Times New Roman" w:eastAsia="宋体" w:cs="Times New Roman"/>
          <w:color w:val="auto"/>
          <w:highlight w:val="none"/>
          <w:lang w:eastAsia="zh-CN"/>
        </w:rPr>
      </w:pPr>
      <w:r>
        <w:rPr>
          <w:highlight w:val="none"/>
        </w:rPr>
        <w:drawing>
          <wp:inline distT="0" distB="0" distL="114300" distR="114300">
            <wp:extent cx="7318375" cy="5164455"/>
            <wp:effectExtent l="0" t="0" r="6350" b="7620"/>
            <wp:docPr id="1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8"/>
                    <pic:cNvPicPr>
                      <a:picLocks noChangeAspect="1"/>
                    </pic:cNvPicPr>
                  </pic:nvPicPr>
                  <pic:blipFill>
                    <a:blip r:embed="rId38"/>
                    <a:stretch>
                      <a:fillRect/>
                    </a:stretch>
                  </pic:blipFill>
                  <pic:spPr>
                    <a:xfrm>
                      <a:off x="0" y="0"/>
                      <a:ext cx="7318375" cy="5164455"/>
                    </a:xfrm>
                    <a:prstGeom prst="rect">
                      <a:avLst/>
                    </a:prstGeom>
                    <a:noFill/>
                    <a:ln>
                      <a:noFill/>
                    </a:ln>
                  </pic:spPr>
                </pic:pic>
              </a:graphicData>
            </a:graphic>
          </wp:inline>
        </w:drawing>
      </w:r>
    </w:p>
    <w:bookmarkEnd w:id="75"/>
    <w:bookmarkEnd w:id="76"/>
    <w:p w14:paraId="35E27BD7">
      <w:pPr>
        <w:pStyle w:val="109"/>
        <w:bidi w:val="0"/>
        <w:jc w:val="both"/>
        <w:outlineLvl w:val="0"/>
        <w:rPr>
          <w:rFonts w:hint="eastAsia" w:ascii="黑体" w:hAnsi="黑体" w:eastAsia="黑体" w:cs="黑体"/>
          <w:b/>
          <w:bCs/>
          <w:snapToGrid w:val="0"/>
          <w:color w:val="000000" w:themeColor="text1"/>
          <w:sz w:val="28"/>
          <w:szCs w:val="28"/>
          <w:highlight w:val="none"/>
          <w:lang w:val="en-US" w:eastAsia="zh-CN"/>
          <w14:textFill>
            <w14:solidFill>
              <w14:schemeClr w14:val="tx1"/>
            </w14:solidFill>
          </w14:textFill>
        </w:rPr>
        <w:sectPr>
          <w:footerReference r:id="rId7" w:type="first"/>
          <w:footerReference r:id="rId6" w:type="default"/>
          <w:pgSz w:w="16840" w:h="11907" w:orient="landscape"/>
          <w:pgMar w:top="1021" w:right="1440" w:bottom="1134" w:left="1440" w:header="851" w:footer="992" w:gutter="0"/>
          <w:paperSrc w:first="15"/>
          <w:pgBorders>
            <w:top w:val="none" w:sz="0" w:space="0"/>
            <w:left w:val="none" w:sz="0" w:space="0"/>
            <w:bottom w:val="none" w:sz="0" w:space="0"/>
            <w:right w:val="none" w:sz="0" w:space="0"/>
          </w:pgBorders>
          <w:pgNumType w:fmt="decimal"/>
          <w:cols w:space="720" w:num="1"/>
          <w:titlePg/>
          <w:docGrid w:linePitch="312" w:charSpace="0"/>
        </w:sectPr>
      </w:pPr>
      <w:bookmarkStart w:id="77" w:name="_Toc1569"/>
      <w:bookmarkStart w:id="78" w:name="_Toc32316"/>
      <w:bookmarkStart w:id="79" w:name="_Toc3755"/>
    </w:p>
    <w:p w14:paraId="33DEDC27">
      <w:pPr>
        <w:pStyle w:val="109"/>
        <w:bidi w:val="0"/>
        <w:jc w:val="both"/>
        <w:outlineLvl w:val="0"/>
        <w:rPr>
          <w:rFonts w:hint="eastAsia" w:eastAsia="宋体"/>
          <w:color w:val="auto"/>
          <w:highlight w:val="none"/>
          <w:lang w:eastAsia="zh-CN"/>
        </w:rPr>
      </w:pPr>
      <w:bookmarkStart w:id="80" w:name="_Toc2002"/>
      <w:bookmarkStart w:id="81" w:name="_Toc257"/>
      <w:r>
        <w:rPr>
          <w:rFonts w:hint="eastAsia" w:ascii="黑体" w:hAnsi="黑体" w:eastAsia="黑体" w:cs="黑体"/>
          <w:b/>
          <w:bCs/>
          <w:snapToGrid w:val="0"/>
          <w:color w:val="000000" w:themeColor="text1"/>
          <w:sz w:val="28"/>
          <w:szCs w:val="28"/>
          <w:highlight w:val="none"/>
          <w:lang w:val="en-US" w:eastAsia="zh-CN"/>
          <w14:textFill>
            <w14:solidFill>
              <w14:schemeClr w14:val="tx1"/>
            </w14:solidFill>
          </w14:textFill>
        </w:rPr>
        <w:t>附件</w:t>
      </w:r>
      <w:bookmarkEnd w:id="77"/>
      <w:bookmarkEnd w:id="78"/>
      <w:bookmarkEnd w:id="79"/>
      <w:r>
        <w:rPr>
          <w:rFonts w:hint="eastAsia" w:ascii="黑体" w:hAnsi="黑体" w:eastAsia="黑体" w:cs="黑体"/>
          <w:b/>
          <w:bCs/>
          <w:snapToGrid w:val="0"/>
          <w:color w:val="000000" w:themeColor="text1"/>
          <w:sz w:val="28"/>
          <w:szCs w:val="28"/>
          <w:highlight w:val="none"/>
          <w:lang w:val="en-US" w:eastAsia="zh-CN"/>
          <w14:textFill>
            <w14:solidFill>
              <w14:schemeClr w14:val="tx1"/>
            </w14:solidFill>
          </w14:textFill>
        </w:rPr>
        <w:t>1项目备案证</w:t>
      </w:r>
      <w:bookmarkEnd w:id="80"/>
      <w:bookmarkEnd w:id="81"/>
    </w:p>
    <w:p w14:paraId="395AD875">
      <w:pPr>
        <w:jc w:val="center"/>
        <w:rPr>
          <w:highlight w:val="none"/>
        </w:rPr>
      </w:pPr>
      <w:r>
        <w:rPr>
          <w:highlight w:val="none"/>
        </w:rPr>
        <w:drawing>
          <wp:inline distT="0" distB="0" distL="114300" distR="114300">
            <wp:extent cx="6172835" cy="4346575"/>
            <wp:effectExtent l="0" t="0" r="8890" b="6350"/>
            <wp:docPr id="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4"/>
                    <pic:cNvPicPr>
                      <a:picLocks noChangeAspect="1"/>
                    </pic:cNvPicPr>
                  </pic:nvPicPr>
                  <pic:blipFill>
                    <a:blip r:embed="rId39"/>
                    <a:stretch>
                      <a:fillRect/>
                    </a:stretch>
                  </pic:blipFill>
                  <pic:spPr>
                    <a:xfrm>
                      <a:off x="0" y="0"/>
                      <a:ext cx="6172835" cy="4346575"/>
                    </a:xfrm>
                    <a:prstGeom prst="rect">
                      <a:avLst/>
                    </a:prstGeom>
                    <a:noFill/>
                    <a:ln>
                      <a:noFill/>
                    </a:ln>
                  </pic:spPr>
                </pic:pic>
              </a:graphicData>
            </a:graphic>
          </wp:inline>
        </w:drawing>
      </w:r>
    </w:p>
    <w:p w14:paraId="1710F84C">
      <w:pPr>
        <w:pStyle w:val="109"/>
        <w:bidi w:val="0"/>
        <w:jc w:val="both"/>
        <w:outlineLvl w:val="0"/>
        <w:rPr>
          <w:rFonts w:hint="eastAsia" w:ascii="黑体" w:hAnsi="黑体" w:eastAsia="黑体" w:cs="黑体"/>
          <w:b/>
          <w:bCs/>
          <w:snapToGrid w:val="0"/>
          <w:color w:val="000000" w:themeColor="text1"/>
          <w:sz w:val="28"/>
          <w:szCs w:val="28"/>
          <w:highlight w:val="none"/>
          <w:lang w:val="en-US" w:eastAsia="zh-CN"/>
          <w14:textFill>
            <w14:solidFill>
              <w14:schemeClr w14:val="tx1"/>
            </w14:solidFill>
          </w14:textFill>
        </w:rPr>
        <w:sectPr>
          <w:pgSz w:w="11907" w:h="16840"/>
          <w:pgMar w:top="1440" w:right="1134" w:bottom="1440" w:left="1021" w:header="851" w:footer="992" w:gutter="0"/>
          <w:paperSrc w:first="15"/>
          <w:pgBorders>
            <w:top w:val="none" w:sz="0" w:space="0"/>
            <w:left w:val="none" w:sz="0" w:space="0"/>
            <w:bottom w:val="none" w:sz="0" w:space="0"/>
            <w:right w:val="none" w:sz="0" w:space="0"/>
          </w:pgBorders>
          <w:pgNumType w:fmt="decimal"/>
          <w:cols w:space="720" w:num="1"/>
          <w:titlePg/>
          <w:docGrid w:linePitch="312" w:charSpace="0"/>
        </w:sectPr>
      </w:pPr>
    </w:p>
    <w:p w14:paraId="57CE54DC">
      <w:pPr>
        <w:pStyle w:val="109"/>
        <w:bidi w:val="0"/>
        <w:jc w:val="both"/>
        <w:outlineLvl w:val="0"/>
        <w:rPr>
          <w:rFonts w:hint="eastAsia" w:ascii="黑体" w:hAnsi="黑体" w:eastAsia="黑体" w:cs="黑体"/>
          <w:b/>
          <w:bCs/>
          <w:snapToGrid w:val="0"/>
          <w:color w:val="000000" w:themeColor="text1"/>
          <w:sz w:val="28"/>
          <w:szCs w:val="28"/>
          <w:highlight w:val="none"/>
          <w:lang w:val="en-US" w:eastAsia="zh-CN"/>
          <w14:textFill>
            <w14:solidFill>
              <w14:schemeClr w14:val="tx1"/>
            </w14:solidFill>
          </w14:textFill>
        </w:rPr>
      </w:pPr>
      <w:bookmarkStart w:id="82" w:name="_Toc10800"/>
      <w:bookmarkStart w:id="83" w:name="_Toc18471"/>
      <w:r>
        <w:rPr>
          <w:rFonts w:hint="eastAsia" w:ascii="黑体" w:hAnsi="黑体" w:eastAsia="黑体" w:cs="黑体"/>
          <w:b/>
          <w:bCs/>
          <w:snapToGrid w:val="0"/>
          <w:color w:val="000000" w:themeColor="text1"/>
          <w:sz w:val="28"/>
          <w:szCs w:val="28"/>
          <w:highlight w:val="none"/>
          <w:lang w:val="en-US" w:eastAsia="zh-CN"/>
          <w14:textFill>
            <w14:solidFill>
              <w14:schemeClr w14:val="tx1"/>
            </w14:solidFill>
          </w14:textFill>
        </w:rPr>
        <w:t>附件2关于《关于申请先行办理粤湘产业工业园集中供热项目环评手续的请示》的复函</w:t>
      </w:r>
      <w:bookmarkEnd w:id="82"/>
      <w:bookmarkEnd w:id="83"/>
    </w:p>
    <w:p w14:paraId="3F5ECF76">
      <w:pPr>
        <w:pStyle w:val="109"/>
        <w:keepNext w:val="0"/>
        <w:keepLines w:val="0"/>
        <w:pageBreakBefore w:val="0"/>
        <w:widowControl w:val="0"/>
        <w:kinsoku/>
        <w:wordWrap/>
        <w:overflowPunct/>
        <w:topLinePunct w:val="0"/>
        <w:autoSpaceDE/>
        <w:autoSpaceDN/>
        <w:bidi w:val="0"/>
        <w:adjustRightInd/>
        <w:snapToGrid/>
        <w:jc w:val="center"/>
        <w:textAlignment w:val="auto"/>
        <w:outlineLvl w:val="9"/>
        <w:rPr>
          <w:rFonts w:hint="eastAsia" w:ascii="黑体" w:hAnsi="黑体" w:eastAsia="黑体" w:cs="黑体"/>
          <w:b/>
          <w:bCs/>
          <w:snapToGrid w:val="0"/>
          <w:color w:val="000000" w:themeColor="text1"/>
          <w:sz w:val="28"/>
          <w:szCs w:val="28"/>
          <w:highlight w:val="none"/>
          <w:lang w:val="en-US" w:eastAsia="zh-CN"/>
          <w14:textFill>
            <w14:solidFill>
              <w14:schemeClr w14:val="tx1"/>
            </w14:solidFill>
          </w14:textFill>
        </w:rPr>
      </w:pPr>
      <w:r>
        <w:rPr>
          <w:highlight w:val="none"/>
        </w:rPr>
        <w:drawing>
          <wp:inline distT="0" distB="0" distL="114300" distR="114300">
            <wp:extent cx="5280025" cy="7369810"/>
            <wp:effectExtent l="0" t="0" r="6350" b="2540"/>
            <wp:docPr id="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5"/>
                    <pic:cNvPicPr>
                      <a:picLocks noChangeAspect="1"/>
                    </pic:cNvPicPr>
                  </pic:nvPicPr>
                  <pic:blipFill>
                    <a:blip r:embed="rId40"/>
                    <a:stretch>
                      <a:fillRect/>
                    </a:stretch>
                  </pic:blipFill>
                  <pic:spPr>
                    <a:xfrm>
                      <a:off x="0" y="0"/>
                      <a:ext cx="5280025" cy="7369810"/>
                    </a:xfrm>
                    <a:prstGeom prst="rect">
                      <a:avLst/>
                    </a:prstGeom>
                    <a:noFill/>
                    <a:ln>
                      <a:noFill/>
                    </a:ln>
                  </pic:spPr>
                </pic:pic>
              </a:graphicData>
            </a:graphic>
          </wp:inline>
        </w:drawing>
      </w:r>
      <w:r>
        <w:rPr>
          <w:highlight w:val="none"/>
        </w:rPr>
        <w:drawing>
          <wp:inline distT="0" distB="0" distL="114300" distR="114300">
            <wp:extent cx="5029835" cy="7131685"/>
            <wp:effectExtent l="0" t="0" r="8890" b="2540"/>
            <wp:docPr id="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6"/>
                    <pic:cNvPicPr>
                      <a:picLocks noChangeAspect="1"/>
                    </pic:cNvPicPr>
                  </pic:nvPicPr>
                  <pic:blipFill>
                    <a:blip r:embed="rId41"/>
                    <a:stretch>
                      <a:fillRect/>
                    </a:stretch>
                  </pic:blipFill>
                  <pic:spPr>
                    <a:xfrm>
                      <a:off x="0" y="0"/>
                      <a:ext cx="5029835" cy="7131685"/>
                    </a:xfrm>
                    <a:prstGeom prst="rect">
                      <a:avLst/>
                    </a:prstGeom>
                    <a:noFill/>
                    <a:ln>
                      <a:noFill/>
                    </a:ln>
                  </pic:spPr>
                </pic:pic>
              </a:graphicData>
            </a:graphic>
          </wp:inline>
        </w:drawing>
      </w:r>
    </w:p>
    <w:p w14:paraId="13853B5C">
      <w:pPr>
        <w:pStyle w:val="109"/>
        <w:bidi w:val="0"/>
        <w:jc w:val="both"/>
        <w:outlineLvl w:val="0"/>
        <w:rPr>
          <w:rFonts w:hint="eastAsia" w:ascii="黑体" w:hAnsi="黑体" w:eastAsia="黑体" w:cs="黑体"/>
          <w:b/>
          <w:bCs/>
          <w:snapToGrid w:val="0"/>
          <w:color w:val="000000" w:themeColor="text1"/>
          <w:sz w:val="28"/>
          <w:szCs w:val="28"/>
          <w:highlight w:val="none"/>
          <w:lang w:val="en-US" w:eastAsia="zh-CN"/>
          <w14:textFill>
            <w14:solidFill>
              <w14:schemeClr w14:val="tx1"/>
            </w14:solidFill>
          </w14:textFill>
        </w:rPr>
        <w:sectPr>
          <w:pgSz w:w="11907" w:h="16840"/>
          <w:pgMar w:top="1440" w:right="1134" w:bottom="1440" w:left="1021" w:header="851" w:footer="992" w:gutter="0"/>
          <w:paperSrc w:first="15"/>
          <w:pgBorders>
            <w:top w:val="none" w:sz="0" w:space="0"/>
            <w:left w:val="none" w:sz="0" w:space="0"/>
            <w:bottom w:val="none" w:sz="0" w:space="0"/>
            <w:right w:val="none" w:sz="0" w:space="0"/>
          </w:pgBorders>
          <w:pgNumType w:fmt="decimal"/>
          <w:cols w:space="720" w:num="1"/>
          <w:titlePg/>
          <w:docGrid w:linePitch="312" w:charSpace="0"/>
        </w:sectPr>
      </w:pPr>
    </w:p>
    <w:p w14:paraId="5757EC40">
      <w:pPr>
        <w:pStyle w:val="109"/>
        <w:bidi w:val="0"/>
        <w:jc w:val="both"/>
        <w:outlineLvl w:val="0"/>
        <w:rPr>
          <w:rFonts w:hint="default" w:eastAsia="宋体"/>
          <w:color w:val="auto"/>
          <w:highlight w:val="none"/>
          <w:lang w:val="en-US" w:eastAsia="zh-CN"/>
        </w:rPr>
      </w:pPr>
      <w:bookmarkStart w:id="84" w:name="_Toc65"/>
      <w:bookmarkStart w:id="85" w:name="_Toc595"/>
      <w:r>
        <w:rPr>
          <w:rFonts w:hint="eastAsia" w:ascii="黑体" w:hAnsi="黑体" w:eastAsia="黑体" w:cs="黑体"/>
          <w:b/>
          <w:bCs/>
          <w:snapToGrid w:val="0"/>
          <w:color w:val="000000" w:themeColor="text1"/>
          <w:sz w:val="28"/>
          <w:szCs w:val="28"/>
          <w:highlight w:val="none"/>
          <w:lang w:val="en-US" w:eastAsia="zh-CN"/>
          <w14:textFill>
            <w14:solidFill>
              <w14:schemeClr w14:val="tx1"/>
            </w14:solidFill>
          </w14:textFill>
        </w:rPr>
        <w:t>附件3总量复函</w:t>
      </w:r>
      <w:bookmarkEnd w:id="84"/>
      <w:bookmarkEnd w:id="85"/>
    </w:p>
    <w:p w14:paraId="6D6414AD">
      <w:pPr>
        <w:pStyle w:val="109"/>
        <w:bidi w:val="0"/>
        <w:jc w:val="center"/>
        <w:outlineLvl w:val="9"/>
      </w:pPr>
      <w:r>
        <w:drawing>
          <wp:inline distT="0" distB="0" distL="114300" distR="114300">
            <wp:extent cx="5510530" cy="3902075"/>
            <wp:effectExtent l="9525" t="9525" r="13970" b="12700"/>
            <wp:docPr id="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1"/>
                    <pic:cNvPicPr>
                      <a:picLocks noChangeAspect="1"/>
                    </pic:cNvPicPr>
                  </pic:nvPicPr>
                  <pic:blipFill>
                    <a:blip r:embed="rId42"/>
                    <a:stretch>
                      <a:fillRect/>
                    </a:stretch>
                  </pic:blipFill>
                  <pic:spPr>
                    <a:xfrm>
                      <a:off x="0" y="0"/>
                      <a:ext cx="5510530" cy="3902075"/>
                    </a:xfrm>
                    <a:prstGeom prst="rect">
                      <a:avLst/>
                    </a:prstGeom>
                    <a:noFill/>
                    <a:ln>
                      <a:solidFill>
                        <a:schemeClr val="tx1"/>
                      </a:solidFill>
                    </a:ln>
                  </pic:spPr>
                </pic:pic>
              </a:graphicData>
            </a:graphic>
          </wp:inline>
        </w:drawing>
      </w:r>
    </w:p>
    <w:p w14:paraId="5B6F5E5C">
      <w:pPr>
        <w:pStyle w:val="109"/>
        <w:bidi w:val="0"/>
        <w:jc w:val="center"/>
        <w:outlineLvl w:val="9"/>
      </w:pPr>
    </w:p>
    <w:p w14:paraId="24A3F7EF">
      <w:pPr>
        <w:pStyle w:val="109"/>
        <w:bidi w:val="0"/>
        <w:jc w:val="center"/>
        <w:outlineLvl w:val="9"/>
        <w:rPr>
          <w:rFonts w:hint="eastAsia" w:eastAsia="宋体"/>
          <w:color w:val="auto"/>
          <w:highlight w:val="none"/>
          <w:lang w:eastAsia="zh-CN"/>
        </w:rPr>
      </w:pPr>
      <w:r>
        <w:rPr>
          <w:highlight w:val="none"/>
        </w:rPr>
        <w:drawing>
          <wp:inline distT="0" distB="0" distL="114300" distR="114300">
            <wp:extent cx="5658485" cy="4035425"/>
            <wp:effectExtent l="9525" t="9525" r="18415" b="12700"/>
            <wp:docPr id="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6"/>
                    <pic:cNvPicPr>
                      <a:picLocks noChangeAspect="1"/>
                    </pic:cNvPicPr>
                  </pic:nvPicPr>
                  <pic:blipFill>
                    <a:blip r:embed="rId43"/>
                    <a:stretch>
                      <a:fillRect/>
                    </a:stretch>
                  </pic:blipFill>
                  <pic:spPr>
                    <a:xfrm>
                      <a:off x="0" y="0"/>
                      <a:ext cx="5658485" cy="4035425"/>
                    </a:xfrm>
                    <a:prstGeom prst="rect">
                      <a:avLst/>
                    </a:prstGeom>
                    <a:noFill/>
                    <a:ln>
                      <a:solidFill>
                        <a:schemeClr val="tx1"/>
                      </a:solidFill>
                    </a:ln>
                  </pic:spPr>
                </pic:pic>
              </a:graphicData>
            </a:graphic>
          </wp:inline>
        </w:drawing>
      </w:r>
    </w:p>
    <w:p w14:paraId="2903A2C2">
      <w:pPr>
        <w:keepNext w:val="0"/>
        <w:keepLines w:val="0"/>
        <w:pageBreakBefore w:val="0"/>
        <w:widowControl w:val="0"/>
        <w:kinsoku/>
        <w:wordWrap/>
        <w:overflowPunct/>
        <w:topLinePunct w:val="0"/>
        <w:autoSpaceDE/>
        <w:autoSpaceDN/>
        <w:bidi w:val="0"/>
        <w:adjustRightInd/>
        <w:snapToGrid/>
        <w:jc w:val="center"/>
        <w:textAlignment w:val="auto"/>
      </w:pPr>
      <w:r>
        <w:drawing>
          <wp:inline distT="0" distB="0" distL="114300" distR="114300">
            <wp:extent cx="6172835" cy="3985260"/>
            <wp:effectExtent l="9525" t="9525" r="18415" b="15240"/>
            <wp:docPr id="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3"/>
                    <pic:cNvPicPr>
                      <a:picLocks noChangeAspect="1"/>
                    </pic:cNvPicPr>
                  </pic:nvPicPr>
                  <pic:blipFill>
                    <a:blip r:embed="rId44"/>
                    <a:stretch>
                      <a:fillRect/>
                    </a:stretch>
                  </pic:blipFill>
                  <pic:spPr>
                    <a:xfrm>
                      <a:off x="0" y="0"/>
                      <a:ext cx="6172835" cy="3985260"/>
                    </a:xfrm>
                    <a:prstGeom prst="rect">
                      <a:avLst/>
                    </a:prstGeom>
                    <a:noFill/>
                    <a:ln>
                      <a:solidFill>
                        <a:schemeClr val="tx1"/>
                      </a:solidFill>
                    </a:ln>
                  </pic:spPr>
                </pic:pic>
              </a:graphicData>
            </a:graphic>
          </wp:inline>
        </w:drawing>
      </w:r>
    </w:p>
    <w:p w14:paraId="64DC7688">
      <w:pPr>
        <w:keepNext w:val="0"/>
        <w:keepLines w:val="0"/>
        <w:pageBreakBefore w:val="0"/>
        <w:widowControl w:val="0"/>
        <w:kinsoku/>
        <w:wordWrap/>
        <w:overflowPunct/>
        <w:topLinePunct w:val="0"/>
        <w:autoSpaceDE/>
        <w:autoSpaceDN/>
        <w:bidi w:val="0"/>
        <w:adjustRightInd/>
        <w:snapToGrid/>
        <w:jc w:val="center"/>
        <w:textAlignment w:val="auto"/>
      </w:pPr>
    </w:p>
    <w:p w14:paraId="52D4490F">
      <w:pPr>
        <w:keepNext w:val="0"/>
        <w:keepLines w:val="0"/>
        <w:pageBreakBefore w:val="0"/>
        <w:widowControl w:val="0"/>
        <w:kinsoku/>
        <w:wordWrap/>
        <w:overflowPunct/>
        <w:topLinePunct w:val="0"/>
        <w:autoSpaceDE/>
        <w:autoSpaceDN/>
        <w:bidi w:val="0"/>
        <w:adjustRightInd/>
        <w:snapToGrid/>
        <w:jc w:val="center"/>
        <w:textAlignment w:val="auto"/>
        <w:rPr>
          <w:color w:val="auto"/>
          <w:highlight w:val="none"/>
        </w:rPr>
      </w:pPr>
      <w:r>
        <w:drawing>
          <wp:inline distT="0" distB="0" distL="114300" distR="114300">
            <wp:extent cx="6177915" cy="4238625"/>
            <wp:effectExtent l="9525" t="9525" r="13335" b="9525"/>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45"/>
                    <a:stretch>
                      <a:fillRect/>
                    </a:stretch>
                  </pic:blipFill>
                  <pic:spPr>
                    <a:xfrm>
                      <a:off x="0" y="0"/>
                      <a:ext cx="6177915" cy="4238625"/>
                    </a:xfrm>
                    <a:prstGeom prst="rect">
                      <a:avLst/>
                    </a:prstGeom>
                    <a:noFill/>
                    <a:ln>
                      <a:solidFill>
                        <a:schemeClr val="tx1"/>
                      </a:solidFill>
                    </a:ln>
                  </pic:spPr>
                </pic:pic>
              </a:graphicData>
            </a:graphic>
          </wp:inline>
        </w:drawing>
      </w:r>
      <w:r>
        <w:drawing>
          <wp:inline distT="0" distB="0" distL="114300" distR="114300">
            <wp:extent cx="6185535" cy="4337050"/>
            <wp:effectExtent l="9525" t="9525" r="15240" b="15875"/>
            <wp:docPr id="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5"/>
                    <pic:cNvPicPr>
                      <a:picLocks noChangeAspect="1"/>
                    </pic:cNvPicPr>
                  </pic:nvPicPr>
                  <pic:blipFill>
                    <a:blip r:embed="rId46"/>
                    <a:stretch>
                      <a:fillRect/>
                    </a:stretch>
                  </pic:blipFill>
                  <pic:spPr>
                    <a:xfrm>
                      <a:off x="0" y="0"/>
                      <a:ext cx="6185535" cy="4337050"/>
                    </a:xfrm>
                    <a:prstGeom prst="rect">
                      <a:avLst/>
                    </a:prstGeom>
                    <a:noFill/>
                    <a:ln>
                      <a:solidFill>
                        <a:schemeClr val="tx1"/>
                      </a:solidFill>
                    </a:ln>
                  </pic:spPr>
                </pic:pic>
              </a:graphicData>
            </a:graphic>
          </wp:inline>
        </w:drawing>
      </w:r>
      <w:r>
        <w:rPr>
          <w:color w:val="auto"/>
          <w:highlight w:val="none"/>
        </w:rPr>
        <w:br w:type="page"/>
      </w:r>
    </w:p>
    <w:p w14:paraId="0287479F">
      <w:pPr>
        <w:rPr>
          <w:color w:val="auto"/>
          <w:highlight w:val="none"/>
        </w:rPr>
        <w:sectPr>
          <w:pgSz w:w="11907" w:h="16840"/>
          <w:pgMar w:top="1440" w:right="1134" w:bottom="1440" w:left="1021" w:header="851" w:footer="992" w:gutter="0"/>
          <w:paperSrc w:first="15"/>
          <w:pgBorders>
            <w:top w:val="none" w:sz="0" w:space="0"/>
            <w:left w:val="none" w:sz="0" w:space="0"/>
            <w:bottom w:val="none" w:sz="0" w:space="0"/>
            <w:right w:val="none" w:sz="0" w:space="0"/>
          </w:pgBorders>
          <w:pgNumType w:fmt="decimal"/>
          <w:cols w:space="720" w:num="1"/>
          <w:titlePg/>
          <w:docGrid w:linePitch="312" w:charSpace="0"/>
        </w:sectPr>
      </w:pPr>
    </w:p>
    <w:p w14:paraId="16BA9BEC">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textAlignment w:val="auto"/>
        <w:outlineLvl w:val="0"/>
        <w:rPr>
          <w:rFonts w:ascii="Times New Roman" w:hAnsi="Times New Roman" w:eastAsia="黑体"/>
          <w:snapToGrid w:val="0"/>
          <w:color w:val="auto"/>
          <w:sz w:val="28"/>
          <w:szCs w:val="28"/>
          <w:highlight w:val="none"/>
        </w:rPr>
      </w:pPr>
      <w:bookmarkStart w:id="86" w:name="_Toc7611"/>
      <w:bookmarkStart w:id="87" w:name="_Toc6700"/>
      <w:r>
        <w:rPr>
          <w:rFonts w:ascii="Times New Roman" w:hAnsi="Times New Roman" w:eastAsia="黑体"/>
          <w:snapToGrid w:val="0"/>
          <w:color w:val="auto"/>
          <w:sz w:val="28"/>
          <w:szCs w:val="28"/>
          <w:highlight w:val="none"/>
        </w:rPr>
        <w:t>附表</w:t>
      </w:r>
      <w:bookmarkEnd w:id="86"/>
      <w:bookmarkEnd w:id="87"/>
    </w:p>
    <w:p w14:paraId="01D684C4">
      <w:pPr>
        <w:pStyle w:val="26"/>
        <w:adjustRightInd w:val="0"/>
        <w:snapToGrid w:val="0"/>
        <w:spacing w:before="0" w:beforeAutospacing="0" w:after="0" w:afterAutospacing="0" w:line="240" w:lineRule="auto"/>
        <w:jc w:val="center"/>
        <w:outlineLvl w:val="9"/>
        <w:rPr>
          <w:rFonts w:hint="default" w:ascii="Times New Roman" w:hAnsi="Times New Roman" w:cs="Times New Roman"/>
          <w:b/>
          <w:bCs/>
          <w:sz w:val="28"/>
          <w:szCs w:val="28"/>
          <w:highlight w:val="none"/>
        </w:rPr>
      </w:pPr>
      <w:r>
        <w:rPr>
          <w:rFonts w:hint="eastAsia" w:ascii="宋体" w:hAnsi="宋体" w:eastAsia="宋体" w:cs="宋体"/>
          <w:b/>
          <w:bCs/>
          <w:snapToGrid w:val="0"/>
          <w:color w:val="auto"/>
          <w:sz w:val="28"/>
          <w:szCs w:val="28"/>
          <w:highlight w:val="none"/>
        </w:rPr>
        <w:t>建设项目污染物排放量汇总表</w:t>
      </w:r>
      <w:r>
        <w:rPr>
          <w:rFonts w:hint="default" w:ascii="Times New Roman" w:hAnsi="Times New Roman" w:cs="Times New Roman"/>
          <w:b/>
          <w:bCs/>
          <w:sz w:val="28"/>
          <w:szCs w:val="28"/>
          <w:highlight w:val="none"/>
        </w:rPr>
        <w:t>单位t/a</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20"/>
        <w:gridCol w:w="1356"/>
        <w:gridCol w:w="1628"/>
        <w:gridCol w:w="1221"/>
        <w:gridCol w:w="1628"/>
        <w:gridCol w:w="1492"/>
        <w:gridCol w:w="1686"/>
        <w:gridCol w:w="1874"/>
        <w:gridCol w:w="1087"/>
      </w:tblGrid>
      <w:tr w14:paraId="215499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520" w:type="dxa"/>
            <w:tcBorders>
              <w:tl2br w:val="single" w:color="auto" w:sz="4" w:space="0"/>
            </w:tcBorders>
            <w:noWrap w:val="0"/>
            <w:tcMar>
              <w:left w:w="28" w:type="dxa"/>
              <w:right w:w="28" w:type="dxa"/>
            </w:tcMar>
            <w:vAlign w:val="center"/>
          </w:tcPr>
          <w:p w14:paraId="713514F8">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cs="Times New Roman"/>
                <w:b/>
                <w:bCs/>
                <w:snapToGrid w:val="0"/>
                <w:kern w:val="21"/>
                <w:sz w:val="21"/>
                <w:szCs w:val="21"/>
                <w:highlight w:val="none"/>
                <w:lang w:val="en-US" w:eastAsia="zh-CN" w:bidi="ar-SA"/>
              </w:rPr>
              <w:t xml:space="preserve">      </w:t>
            </w:r>
            <w:r>
              <w:rPr>
                <w:rFonts w:hint="default" w:ascii="Times New Roman" w:hAnsi="Times New Roman" w:eastAsia="宋体" w:cs="Times New Roman"/>
                <w:b/>
                <w:bCs/>
                <w:snapToGrid w:val="0"/>
                <w:kern w:val="21"/>
                <w:sz w:val="21"/>
                <w:szCs w:val="21"/>
                <w:highlight w:val="none"/>
                <w:lang w:val="en-US" w:eastAsia="zh-CN" w:bidi="ar-SA"/>
              </w:rPr>
              <w:t>项目</w:t>
            </w:r>
          </w:p>
          <w:p w14:paraId="5D244978">
            <w:pPr>
              <w:widowControl w:val="0"/>
              <w:adjustRightInd w:val="0"/>
              <w:snapToGrid w:val="0"/>
              <w:spacing w:beforeLines="0" w:afterLines="0" w:line="240" w:lineRule="auto"/>
              <w:ind w:firstLine="211" w:firstLineChars="100"/>
              <w:jc w:val="both"/>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分类</w:t>
            </w:r>
          </w:p>
        </w:tc>
        <w:tc>
          <w:tcPr>
            <w:tcW w:w="1356" w:type="dxa"/>
            <w:noWrap w:val="0"/>
            <w:tcMar>
              <w:left w:w="28" w:type="dxa"/>
              <w:right w:w="28" w:type="dxa"/>
            </w:tcMar>
            <w:vAlign w:val="center"/>
          </w:tcPr>
          <w:p w14:paraId="42A392B8">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污染物名称</w:t>
            </w:r>
          </w:p>
        </w:tc>
        <w:tc>
          <w:tcPr>
            <w:tcW w:w="1628" w:type="dxa"/>
            <w:noWrap w:val="0"/>
            <w:tcMar>
              <w:left w:w="28" w:type="dxa"/>
              <w:right w:w="28" w:type="dxa"/>
            </w:tcMar>
            <w:vAlign w:val="center"/>
          </w:tcPr>
          <w:p w14:paraId="1F5F530A">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现有工程</w:t>
            </w:r>
          </w:p>
          <w:p w14:paraId="4D149903">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排放量（固体废物产生量）</w:t>
            </w:r>
            <w:r>
              <w:rPr>
                <w:rFonts w:hint="default" w:ascii="Times New Roman" w:hAnsi="Times New Roman" w:eastAsia="宋体" w:cs="Times New Roman"/>
                <w:b/>
                <w:bCs/>
                <w:snapToGrid w:val="0"/>
                <w:kern w:val="21"/>
                <w:sz w:val="21"/>
                <w:szCs w:val="21"/>
                <w:highlight w:val="none"/>
                <w:lang w:val="en-US" w:eastAsia="zh-CN" w:bidi="ar-SA"/>
              </w:rPr>
              <w:fldChar w:fldCharType="begin"/>
            </w:r>
            <w:r>
              <w:rPr>
                <w:rFonts w:hint="default" w:ascii="Times New Roman" w:hAnsi="Times New Roman" w:eastAsia="宋体" w:cs="Times New Roman"/>
                <w:b/>
                <w:bCs/>
                <w:snapToGrid w:val="0"/>
                <w:kern w:val="21"/>
                <w:sz w:val="21"/>
                <w:szCs w:val="21"/>
                <w:highlight w:val="none"/>
                <w:lang w:val="en-US" w:eastAsia="zh-CN" w:bidi="ar-SA"/>
              </w:rPr>
              <w:instrText xml:space="preserve"> = 1 \* GB3 \* MERGEFORMAT </w:instrText>
            </w:r>
            <w:r>
              <w:rPr>
                <w:rFonts w:hint="default" w:ascii="Times New Roman" w:hAnsi="Times New Roman" w:eastAsia="宋体" w:cs="Times New Roman"/>
                <w:b/>
                <w:bCs/>
                <w:snapToGrid w:val="0"/>
                <w:kern w:val="21"/>
                <w:sz w:val="21"/>
                <w:szCs w:val="21"/>
                <w:highlight w:val="none"/>
                <w:lang w:val="en-US" w:eastAsia="zh-CN" w:bidi="ar-SA"/>
              </w:rPr>
              <w:fldChar w:fldCharType="separate"/>
            </w:r>
            <w:r>
              <w:rPr>
                <w:rFonts w:hint="default" w:ascii="Times New Roman" w:hAnsi="Times New Roman" w:eastAsia="宋体" w:cs="Times New Roman"/>
                <w:b/>
                <w:bCs/>
                <w:snapToGrid w:val="0"/>
                <w:kern w:val="21"/>
                <w:sz w:val="21"/>
                <w:szCs w:val="21"/>
                <w:highlight w:val="none"/>
                <w:lang w:val="en-US" w:eastAsia="zh-CN" w:bidi="ar-SA"/>
              </w:rPr>
              <w:t>①</w:t>
            </w:r>
            <w:r>
              <w:rPr>
                <w:rFonts w:hint="default" w:ascii="Times New Roman" w:hAnsi="Times New Roman" w:eastAsia="宋体" w:cs="Times New Roman"/>
                <w:b/>
                <w:bCs/>
                <w:snapToGrid w:val="0"/>
                <w:kern w:val="21"/>
                <w:sz w:val="21"/>
                <w:szCs w:val="21"/>
                <w:highlight w:val="none"/>
                <w:lang w:val="en-US" w:eastAsia="zh-CN" w:bidi="ar-SA"/>
              </w:rPr>
              <w:fldChar w:fldCharType="end"/>
            </w:r>
          </w:p>
        </w:tc>
        <w:tc>
          <w:tcPr>
            <w:tcW w:w="1221" w:type="dxa"/>
            <w:noWrap w:val="0"/>
            <w:tcMar>
              <w:left w:w="28" w:type="dxa"/>
              <w:right w:w="28" w:type="dxa"/>
            </w:tcMar>
            <w:vAlign w:val="center"/>
          </w:tcPr>
          <w:p w14:paraId="02A3C729">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现有工程</w:t>
            </w:r>
          </w:p>
          <w:p w14:paraId="0871160A">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许可排放量</w:t>
            </w:r>
          </w:p>
          <w:p w14:paraId="49482562">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fldChar w:fldCharType="begin"/>
            </w:r>
            <w:r>
              <w:rPr>
                <w:rFonts w:hint="default" w:ascii="Times New Roman" w:hAnsi="Times New Roman" w:eastAsia="宋体" w:cs="Times New Roman"/>
                <w:b/>
                <w:bCs/>
                <w:snapToGrid w:val="0"/>
                <w:kern w:val="21"/>
                <w:sz w:val="21"/>
                <w:szCs w:val="21"/>
                <w:highlight w:val="none"/>
                <w:lang w:val="en-US" w:eastAsia="zh-CN" w:bidi="ar-SA"/>
              </w:rPr>
              <w:instrText xml:space="preserve"> = 2 \* GB3 \* MERGEFORMAT </w:instrText>
            </w:r>
            <w:r>
              <w:rPr>
                <w:rFonts w:hint="default" w:ascii="Times New Roman" w:hAnsi="Times New Roman" w:eastAsia="宋体" w:cs="Times New Roman"/>
                <w:b/>
                <w:bCs/>
                <w:snapToGrid w:val="0"/>
                <w:kern w:val="21"/>
                <w:sz w:val="21"/>
                <w:szCs w:val="21"/>
                <w:highlight w:val="none"/>
                <w:lang w:val="en-US" w:eastAsia="zh-CN" w:bidi="ar-SA"/>
              </w:rPr>
              <w:fldChar w:fldCharType="separate"/>
            </w:r>
            <w:r>
              <w:rPr>
                <w:rFonts w:hint="default" w:ascii="Times New Roman" w:hAnsi="Times New Roman" w:eastAsia="宋体" w:cs="Times New Roman"/>
                <w:b/>
                <w:bCs/>
                <w:snapToGrid w:val="0"/>
                <w:kern w:val="21"/>
                <w:sz w:val="21"/>
                <w:szCs w:val="21"/>
                <w:highlight w:val="none"/>
                <w:lang w:val="en-US" w:eastAsia="zh-CN" w:bidi="ar-SA"/>
              </w:rPr>
              <w:t>②</w:t>
            </w:r>
            <w:r>
              <w:rPr>
                <w:rFonts w:hint="default" w:ascii="Times New Roman" w:hAnsi="Times New Roman" w:eastAsia="宋体" w:cs="Times New Roman"/>
                <w:b/>
                <w:bCs/>
                <w:snapToGrid w:val="0"/>
                <w:kern w:val="21"/>
                <w:sz w:val="21"/>
                <w:szCs w:val="21"/>
                <w:highlight w:val="none"/>
                <w:lang w:val="en-US" w:eastAsia="zh-CN" w:bidi="ar-SA"/>
              </w:rPr>
              <w:fldChar w:fldCharType="end"/>
            </w:r>
          </w:p>
        </w:tc>
        <w:tc>
          <w:tcPr>
            <w:tcW w:w="1628" w:type="dxa"/>
            <w:noWrap w:val="0"/>
            <w:tcMar>
              <w:left w:w="28" w:type="dxa"/>
              <w:right w:w="28" w:type="dxa"/>
            </w:tcMar>
            <w:vAlign w:val="center"/>
          </w:tcPr>
          <w:p w14:paraId="60B4F84C">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在建工程</w:t>
            </w:r>
          </w:p>
          <w:p w14:paraId="1F186751">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排放量（固体废物产生量）</w:t>
            </w:r>
            <w:r>
              <w:rPr>
                <w:rFonts w:hint="default" w:ascii="Times New Roman" w:hAnsi="Times New Roman" w:eastAsia="宋体" w:cs="Times New Roman"/>
                <w:b/>
                <w:bCs/>
                <w:snapToGrid w:val="0"/>
                <w:kern w:val="21"/>
                <w:sz w:val="21"/>
                <w:szCs w:val="21"/>
                <w:highlight w:val="none"/>
                <w:lang w:val="en-US" w:eastAsia="zh-CN" w:bidi="ar-SA"/>
              </w:rPr>
              <w:fldChar w:fldCharType="begin"/>
            </w:r>
            <w:r>
              <w:rPr>
                <w:rFonts w:hint="default" w:ascii="Times New Roman" w:hAnsi="Times New Roman" w:eastAsia="宋体" w:cs="Times New Roman"/>
                <w:b/>
                <w:bCs/>
                <w:snapToGrid w:val="0"/>
                <w:kern w:val="21"/>
                <w:sz w:val="21"/>
                <w:szCs w:val="21"/>
                <w:highlight w:val="none"/>
                <w:lang w:val="en-US" w:eastAsia="zh-CN" w:bidi="ar-SA"/>
              </w:rPr>
              <w:instrText xml:space="preserve"> = 3 \* GB3 \* MERGEFORMAT </w:instrText>
            </w:r>
            <w:r>
              <w:rPr>
                <w:rFonts w:hint="default" w:ascii="Times New Roman" w:hAnsi="Times New Roman" w:eastAsia="宋体" w:cs="Times New Roman"/>
                <w:b/>
                <w:bCs/>
                <w:snapToGrid w:val="0"/>
                <w:kern w:val="21"/>
                <w:sz w:val="21"/>
                <w:szCs w:val="21"/>
                <w:highlight w:val="none"/>
                <w:lang w:val="en-US" w:eastAsia="zh-CN" w:bidi="ar-SA"/>
              </w:rPr>
              <w:fldChar w:fldCharType="separate"/>
            </w:r>
            <w:r>
              <w:rPr>
                <w:rFonts w:hint="default" w:ascii="Times New Roman" w:hAnsi="Times New Roman" w:eastAsia="宋体" w:cs="Times New Roman"/>
                <w:b/>
                <w:bCs/>
                <w:snapToGrid w:val="0"/>
                <w:kern w:val="21"/>
                <w:sz w:val="21"/>
                <w:szCs w:val="21"/>
                <w:highlight w:val="none"/>
                <w:lang w:val="en-US" w:eastAsia="zh-CN" w:bidi="ar-SA"/>
              </w:rPr>
              <w:t>③</w:t>
            </w:r>
            <w:r>
              <w:rPr>
                <w:rFonts w:hint="default" w:ascii="Times New Roman" w:hAnsi="Times New Roman" w:eastAsia="宋体" w:cs="Times New Roman"/>
                <w:b/>
                <w:bCs/>
                <w:snapToGrid w:val="0"/>
                <w:kern w:val="21"/>
                <w:sz w:val="21"/>
                <w:szCs w:val="21"/>
                <w:highlight w:val="none"/>
                <w:lang w:val="en-US" w:eastAsia="zh-CN" w:bidi="ar-SA"/>
              </w:rPr>
              <w:fldChar w:fldCharType="end"/>
            </w:r>
          </w:p>
        </w:tc>
        <w:tc>
          <w:tcPr>
            <w:tcW w:w="1492" w:type="dxa"/>
            <w:noWrap w:val="0"/>
            <w:tcMar>
              <w:left w:w="28" w:type="dxa"/>
              <w:right w:w="28" w:type="dxa"/>
            </w:tcMar>
            <w:vAlign w:val="center"/>
          </w:tcPr>
          <w:p w14:paraId="234408C4">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本项目</w:t>
            </w:r>
          </w:p>
          <w:p w14:paraId="3EEFCAF9">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排放量（固体废物产生量）</w:t>
            </w:r>
            <w:r>
              <w:rPr>
                <w:rFonts w:hint="default" w:ascii="Times New Roman" w:hAnsi="Times New Roman" w:eastAsia="宋体" w:cs="Times New Roman"/>
                <w:b/>
                <w:bCs/>
                <w:snapToGrid w:val="0"/>
                <w:kern w:val="21"/>
                <w:sz w:val="21"/>
                <w:szCs w:val="21"/>
                <w:highlight w:val="none"/>
                <w:lang w:val="en-US" w:eastAsia="zh-CN" w:bidi="ar-SA"/>
              </w:rPr>
              <w:fldChar w:fldCharType="begin"/>
            </w:r>
            <w:r>
              <w:rPr>
                <w:rFonts w:hint="default" w:ascii="Times New Roman" w:hAnsi="Times New Roman" w:eastAsia="宋体" w:cs="Times New Roman"/>
                <w:b/>
                <w:bCs/>
                <w:snapToGrid w:val="0"/>
                <w:kern w:val="21"/>
                <w:sz w:val="21"/>
                <w:szCs w:val="21"/>
                <w:highlight w:val="none"/>
                <w:lang w:val="en-US" w:eastAsia="zh-CN" w:bidi="ar-SA"/>
              </w:rPr>
              <w:instrText xml:space="preserve"> = 4 \* GB3 \* MERGEFORMAT </w:instrText>
            </w:r>
            <w:r>
              <w:rPr>
                <w:rFonts w:hint="default" w:ascii="Times New Roman" w:hAnsi="Times New Roman" w:eastAsia="宋体" w:cs="Times New Roman"/>
                <w:b/>
                <w:bCs/>
                <w:snapToGrid w:val="0"/>
                <w:kern w:val="21"/>
                <w:sz w:val="21"/>
                <w:szCs w:val="21"/>
                <w:highlight w:val="none"/>
                <w:lang w:val="en-US" w:eastAsia="zh-CN" w:bidi="ar-SA"/>
              </w:rPr>
              <w:fldChar w:fldCharType="separate"/>
            </w:r>
            <w:r>
              <w:rPr>
                <w:rFonts w:hint="default" w:ascii="Times New Roman" w:hAnsi="Times New Roman" w:eastAsia="宋体" w:cs="Times New Roman"/>
                <w:b/>
                <w:bCs/>
                <w:snapToGrid w:val="0"/>
                <w:kern w:val="21"/>
                <w:sz w:val="21"/>
                <w:szCs w:val="21"/>
                <w:highlight w:val="none"/>
                <w:lang w:val="en-US" w:eastAsia="zh-CN" w:bidi="ar-SA"/>
              </w:rPr>
              <w:t>④</w:t>
            </w:r>
            <w:r>
              <w:rPr>
                <w:rFonts w:hint="default" w:ascii="Times New Roman" w:hAnsi="Times New Roman" w:eastAsia="宋体" w:cs="Times New Roman"/>
                <w:b/>
                <w:bCs/>
                <w:snapToGrid w:val="0"/>
                <w:kern w:val="21"/>
                <w:sz w:val="21"/>
                <w:szCs w:val="21"/>
                <w:highlight w:val="none"/>
                <w:lang w:val="en-US" w:eastAsia="zh-CN" w:bidi="ar-SA"/>
              </w:rPr>
              <w:fldChar w:fldCharType="end"/>
            </w:r>
          </w:p>
        </w:tc>
        <w:tc>
          <w:tcPr>
            <w:tcW w:w="1686" w:type="dxa"/>
            <w:noWrap w:val="0"/>
            <w:tcMar>
              <w:left w:w="28" w:type="dxa"/>
              <w:right w:w="28" w:type="dxa"/>
            </w:tcMar>
            <w:vAlign w:val="center"/>
          </w:tcPr>
          <w:p w14:paraId="7A7F9692">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以新带老削减量</w:t>
            </w:r>
          </w:p>
          <w:p w14:paraId="7F4DEB39">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（新建项目不填）</w:t>
            </w:r>
            <w:r>
              <w:rPr>
                <w:rFonts w:hint="default" w:ascii="Times New Roman" w:hAnsi="Times New Roman" w:eastAsia="宋体" w:cs="Times New Roman"/>
                <w:b/>
                <w:bCs/>
                <w:snapToGrid w:val="0"/>
                <w:kern w:val="21"/>
                <w:sz w:val="21"/>
                <w:szCs w:val="21"/>
                <w:highlight w:val="none"/>
                <w:lang w:val="en-US" w:eastAsia="zh-CN" w:bidi="ar-SA"/>
              </w:rPr>
              <w:fldChar w:fldCharType="begin"/>
            </w:r>
            <w:r>
              <w:rPr>
                <w:rFonts w:hint="default" w:ascii="Times New Roman" w:hAnsi="Times New Roman" w:eastAsia="宋体" w:cs="Times New Roman"/>
                <w:b/>
                <w:bCs/>
                <w:snapToGrid w:val="0"/>
                <w:kern w:val="21"/>
                <w:sz w:val="21"/>
                <w:szCs w:val="21"/>
                <w:highlight w:val="none"/>
                <w:lang w:val="en-US" w:eastAsia="zh-CN" w:bidi="ar-SA"/>
              </w:rPr>
              <w:instrText xml:space="preserve"> = 5 \* GB3 \* MERGEFORMAT </w:instrText>
            </w:r>
            <w:r>
              <w:rPr>
                <w:rFonts w:hint="default" w:ascii="Times New Roman" w:hAnsi="Times New Roman" w:eastAsia="宋体" w:cs="Times New Roman"/>
                <w:b/>
                <w:bCs/>
                <w:snapToGrid w:val="0"/>
                <w:kern w:val="21"/>
                <w:sz w:val="21"/>
                <w:szCs w:val="21"/>
                <w:highlight w:val="none"/>
                <w:lang w:val="en-US" w:eastAsia="zh-CN" w:bidi="ar-SA"/>
              </w:rPr>
              <w:fldChar w:fldCharType="separate"/>
            </w:r>
            <w:r>
              <w:rPr>
                <w:rFonts w:hint="default" w:ascii="Times New Roman" w:hAnsi="Times New Roman" w:eastAsia="宋体" w:cs="Times New Roman"/>
                <w:b/>
                <w:bCs/>
                <w:snapToGrid w:val="0"/>
                <w:kern w:val="21"/>
                <w:sz w:val="21"/>
                <w:szCs w:val="21"/>
                <w:highlight w:val="none"/>
                <w:lang w:val="en-US" w:eastAsia="zh-CN" w:bidi="ar-SA"/>
              </w:rPr>
              <w:t>⑤</w:t>
            </w:r>
            <w:r>
              <w:rPr>
                <w:rFonts w:hint="default" w:ascii="Times New Roman" w:hAnsi="Times New Roman" w:eastAsia="宋体" w:cs="Times New Roman"/>
                <w:b/>
                <w:bCs/>
                <w:snapToGrid w:val="0"/>
                <w:kern w:val="21"/>
                <w:sz w:val="21"/>
                <w:szCs w:val="21"/>
                <w:highlight w:val="none"/>
                <w:lang w:val="en-US" w:eastAsia="zh-CN" w:bidi="ar-SA"/>
              </w:rPr>
              <w:fldChar w:fldCharType="end"/>
            </w:r>
          </w:p>
        </w:tc>
        <w:tc>
          <w:tcPr>
            <w:tcW w:w="1874" w:type="dxa"/>
            <w:noWrap w:val="0"/>
            <w:tcMar>
              <w:left w:w="28" w:type="dxa"/>
              <w:right w:w="28" w:type="dxa"/>
            </w:tcMar>
            <w:vAlign w:val="center"/>
          </w:tcPr>
          <w:p w14:paraId="5E7D4538">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本项目建成后</w:t>
            </w:r>
          </w:p>
          <w:p w14:paraId="5EB66D1C">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全厂排放量（固体废物产生量）</w:t>
            </w:r>
            <w:r>
              <w:rPr>
                <w:rFonts w:hint="default" w:ascii="Times New Roman" w:hAnsi="Times New Roman" w:eastAsia="宋体" w:cs="Times New Roman"/>
                <w:b/>
                <w:bCs/>
                <w:snapToGrid w:val="0"/>
                <w:kern w:val="21"/>
                <w:sz w:val="21"/>
                <w:szCs w:val="21"/>
                <w:highlight w:val="none"/>
                <w:lang w:val="en-US" w:eastAsia="zh-CN" w:bidi="ar-SA"/>
              </w:rPr>
              <w:fldChar w:fldCharType="begin"/>
            </w:r>
            <w:r>
              <w:rPr>
                <w:rFonts w:hint="default" w:ascii="Times New Roman" w:hAnsi="Times New Roman" w:eastAsia="宋体" w:cs="Times New Roman"/>
                <w:b/>
                <w:bCs/>
                <w:snapToGrid w:val="0"/>
                <w:kern w:val="21"/>
                <w:sz w:val="21"/>
                <w:szCs w:val="21"/>
                <w:highlight w:val="none"/>
                <w:lang w:val="en-US" w:eastAsia="zh-CN" w:bidi="ar-SA"/>
              </w:rPr>
              <w:instrText xml:space="preserve"> = 6 \* GB3 \* MERGEFORMAT </w:instrText>
            </w:r>
            <w:r>
              <w:rPr>
                <w:rFonts w:hint="default" w:ascii="Times New Roman" w:hAnsi="Times New Roman" w:eastAsia="宋体" w:cs="Times New Roman"/>
                <w:b/>
                <w:bCs/>
                <w:snapToGrid w:val="0"/>
                <w:kern w:val="21"/>
                <w:sz w:val="21"/>
                <w:szCs w:val="21"/>
                <w:highlight w:val="none"/>
                <w:lang w:val="en-US" w:eastAsia="zh-CN" w:bidi="ar-SA"/>
              </w:rPr>
              <w:fldChar w:fldCharType="separate"/>
            </w:r>
            <w:r>
              <w:rPr>
                <w:rFonts w:hint="default" w:ascii="Times New Roman" w:hAnsi="Times New Roman" w:eastAsia="宋体" w:cs="Times New Roman"/>
                <w:b/>
                <w:bCs/>
                <w:snapToGrid w:val="0"/>
                <w:kern w:val="21"/>
                <w:sz w:val="21"/>
                <w:szCs w:val="21"/>
                <w:highlight w:val="none"/>
                <w:lang w:val="en-US" w:eastAsia="zh-CN" w:bidi="ar-SA"/>
              </w:rPr>
              <w:t>⑥</w:t>
            </w:r>
            <w:r>
              <w:rPr>
                <w:rFonts w:hint="default" w:ascii="Times New Roman" w:hAnsi="Times New Roman" w:eastAsia="宋体" w:cs="Times New Roman"/>
                <w:b/>
                <w:bCs/>
                <w:snapToGrid w:val="0"/>
                <w:kern w:val="21"/>
                <w:sz w:val="21"/>
                <w:szCs w:val="21"/>
                <w:highlight w:val="none"/>
                <w:lang w:val="en-US" w:eastAsia="zh-CN" w:bidi="ar-SA"/>
              </w:rPr>
              <w:fldChar w:fldCharType="end"/>
            </w:r>
          </w:p>
        </w:tc>
        <w:tc>
          <w:tcPr>
            <w:tcW w:w="1087" w:type="dxa"/>
            <w:noWrap w:val="0"/>
            <w:tcMar>
              <w:left w:w="28" w:type="dxa"/>
              <w:right w:w="28" w:type="dxa"/>
            </w:tcMar>
            <w:vAlign w:val="center"/>
          </w:tcPr>
          <w:p w14:paraId="7C598E26">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变化量</w:t>
            </w:r>
          </w:p>
          <w:p w14:paraId="366C1DF7">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fldChar w:fldCharType="begin"/>
            </w:r>
            <w:r>
              <w:rPr>
                <w:rFonts w:hint="default" w:ascii="Times New Roman" w:hAnsi="Times New Roman" w:eastAsia="宋体" w:cs="Times New Roman"/>
                <w:b/>
                <w:bCs/>
                <w:snapToGrid w:val="0"/>
                <w:kern w:val="21"/>
                <w:sz w:val="21"/>
                <w:szCs w:val="21"/>
                <w:highlight w:val="none"/>
                <w:lang w:val="en-US" w:eastAsia="zh-CN" w:bidi="ar-SA"/>
              </w:rPr>
              <w:instrText xml:space="preserve"> = 7 \* GB3 \* MERGEFORMAT </w:instrText>
            </w:r>
            <w:r>
              <w:rPr>
                <w:rFonts w:hint="default" w:ascii="Times New Roman" w:hAnsi="Times New Roman" w:eastAsia="宋体" w:cs="Times New Roman"/>
                <w:b/>
                <w:bCs/>
                <w:snapToGrid w:val="0"/>
                <w:kern w:val="21"/>
                <w:sz w:val="21"/>
                <w:szCs w:val="21"/>
                <w:highlight w:val="none"/>
                <w:lang w:val="en-US" w:eastAsia="zh-CN" w:bidi="ar-SA"/>
              </w:rPr>
              <w:fldChar w:fldCharType="separate"/>
            </w:r>
            <w:r>
              <w:rPr>
                <w:rFonts w:hint="default" w:ascii="Times New Roman" w:hAnsi="Times New Roman" w:eastAsia="宋体" w:cs="Times New Roman"/>
                <w:b/>
                <w:bCs/>
                <w:snapToGrid w:val="0"/>
                <w:kern w:val="21"/>
                <w:sz w:val="21"/>
                <w:szCs w:val="21"/>
                <w:highlight w:val="none"/>
                <w:lang w:val="en-US" w:eastAsia="zh-CN" w:bidi="ar-SA"/>
              </w:rPr>
              <w:t>⑦</w:t>
            </w:r>
            <w:r>
              <w:rPr>
                <w:rFonts w:hint="default" w:ascii="Times New Roman" w:hAnsi="Times New Roman" w:eastAsia="宋体" w:cs="Times New Roman"/>
                <w:b/>
                <w:bCs/>
                <w:snapToGrid w:val="0"/>
                <w:kern w:val="21"/>
                <w:sz w:val="21"/>
                <w:szCs w:val="21"/>
                <w:highlight w:val="none"/>
                <w:lang w:val="en-US" w:eastAsia="zh-CN" w:bidi="ar-SA"/>
              </w:rPr>
              <w:fldChar w:fldCharType="end"/>
            </w:r>
          </w:p>
        </w:tc>
      </w:tr>
      <w:tr w14:paraId="334589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520" w:type="dxa"/>
            <w:vMerge w:val="restart"/>
            <w:noWrap w:val="0"/>
            <w:vAlign w:val="center"/>
          </w:tcPr>
          <w:p w14:paraId="77B289F0">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废气</w:t>
            </w:r>
          </w:p>
        </w:tc>
        <w:tc>
          <w:tcPr>
            <w:tcW w:w="1356" w:type="dxa"/>
            <w:noWrap w:val="0"/>
            <w:vAlign w:val="center"/>
          </w:tcPr>
          <w:p w14:paraId="4F7DF910">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颗粒物</w:t>
            </w:r>
          </w:p>
        </w:tc>
        <w:tc>
          <w:tcPr>
            <w:tcW w:w="1628" w:type="dxa"/>
            <w:noWrap w:val="0"/>
            <w:vAlign w:val="center"/>
          </w:tcPr>
          <w:p w14:paraId="5516AA01">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221" w:type="dxa"/>
            <w:noWrap w:val="0"/>
            <w:vAlign w:val="center"/>
          </w:tcPr>
          <w:p w14:paraId="111EAE36">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628" w:type="dxa"/>
            <w:noWrap w:val="0"/>
            <w:vAlign w:val="center"/>
          </w:tcPr>
          <w:p w14:paraId="0C275CA4">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492" w:type="dxa"/>
            <w:noWrap w:val="0"/>
            <w:vAlign w:val="center"/>
          </w:tcPr>
          <w:p w14:paraId="48030445">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cs="Times New Roman"/>
                <w:b/>
                <w:bCs/>
                <w:snapToGrid w:val="0"/>
                <w:kern w:val="21"/>
                <w:sz w:val="21"/>
                <w:szCs w:val="21"/>
                <w:highlight w:val="none"/>
                <w:lang w:val="en-US" w:eastAsia="zh-CN" w:bidi="ar-SA"/>
              </w:rPr>
              <w:t>2.15</w:t>
            </w:r>
          </w:p>
        </w:tc>
        <w:tc>
          <w:tcPr>
            <w:tcW w:w="1686" w:type="dxa"/>
            <w:noWrap w:val="0"/>
            <w:vAlign w:val="center"/>
          </w:tcPr>
          <w:p w14:paraId="32A43A95">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874" w:type="dxa"/>
            <w:noWrap w:val="0"/>
            <w:vAlign w:val="center"/>
          </w:tcPr>
          <w:p w14:paraId="337EFCA3">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cs="Times New Roman"/>
                <w:b/>
                <w:bCs/>
                <w:snapToGrid w:val="0"/>
                <w:kern w:val="21"/>
                <w:sz w:val="21"/>
                <w:szCs w:val="21"/>
                <w:highlight w:val="none"/>
                <w:lang w:val="en-US" w:eastAsia="zh-CN" w:bidi="ar-SA"/>
              </w:rPr>
              <w:t>2.15</w:t>
            </w:r>
          </w:p>
        </w:tc>
        <w:tc>
          <w:tcPr>
            <w:tcW w:w="1087" w:type="dxa"/>
            <w:noWrap w:val="0"/>
            <w:vAlign w:val="center"/>
          </w:tcPr>
          <w:p w14:paraId="2B3B0821">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r>
              <w:rPr>
                <w:rFonts w:hint="eastAsia" w:cs="Times New Roman"/>
                <w:b/>
                <w:bCs/>
                <w:snapToGrid w:val="0"/>
                <w:kern w:val="21"/>
                <w:sz w:val="21"/>
                <w:szCs w:val="21"/>
                <w:highlight w:val="none"/>
                <w:lang w:val="en-US" w:eastAsia="zh-CN" w:bidi="ar-SA"/>
              </w:rPr>
              <w:t>2.15</w:t>
            </w:r>
          </w:p>
        </w:tc>
      </w:tr>
      <w:tr w14:paraId="503C7D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520" w:type="dxa"/>
            <w:vMerge w:val="continue"/>
            <w:noWrap w:val="0"/>
            <w:vAlign w:val="center"/>
          </w:tcPr>
          <w:p w14:paraId="0E1A76A6">
            <w:pPr>
              <w:widowControl w:val="0"/>
              <w:adjustRightInd w:val="0"/>
              <w:snapToGrid w:val="0"/>
              <w:spacing w:beforeLines="0" w:afterLines="0" w:line="240" w:lineRule="auto"/>
              <w:jc w:val="right"/>
              <w:rPr>
                <w:rFonts w:hint="default" w:ascii="Times New Roman" w:hAnsi="Times New Roman" w:eastAsia="宋体" w:cs="Times New Roman"/>
                <w:b/>
                <w:bCs/>
                <w:snapToGrid w:val="0"/>
                <w:kern w:val="21"/>
                <w:sz w:val="21"/>
                <w:szCs w:val="21"/>
                <w:highlight w:val="none"/>
                <w:lang w:val="en-US" w:eastAsia="zh-CN" w:bidi="ar-SA"/>
              </w:rPr>
            </w:pPr>
          </w:p>
        </w:tc>
        <w:tc>
          <w:tcPr>
            <w:tcW w:w="1356" w:type="dxa"/>
            <w:noWrap w:val="0"/>
            <w:vAlign w:val="center"/>
          </w:tcPr>
          <w:p w14:paraId="275FEE04">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SO</w:t>
            </w:r>
            <w:r>
              <w:rPr>
                <w:rFonts w:hint="default" w:ascii="Times New Roman" w:hAnsi="Times New Roman" w:eastAsia="宋体" w:cs="Times New Roman"/>
                <w:b/>
                <w:bCs/>
                <w:snapToGrid w:val="0"/>
                <w:kern w:val="21"/>
                <w:sz w:val="21"/>
                <w:szCs w:val="21"/>
                <w:highlight w:val="none"/>
                <w:vertAlign w:val="subscript"/>
                <w:lang w:val="en-US" w:eastAsia="zh-CN" w:bidi="ar-SA"/>
              </w:rPr>
              <w:t>2</w:t>
            </w:r>
          </w:p>
        </w:tc>
        <w:tc>
          <w:tcPr>
            <w:tcW w:w="1628" w:type="dxa"/>
            <w:noWrap w:val="0"/>
            <w:vAlign w:val="center"/>
          </w:tcPr>
          <w:p w14:paraId="5F229DCD">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221" w:type="dxa"/>
            <w:noWrap w:val="0"/>
            <w:vAlign w:val="center"/>
          </w:tcPr>
          <w:p w14:paraId="78687B34">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628" w:type="dxa"/>
            <w:noWrap w:val="0"/>
            <w:vAlign w:val="center"/>
          </w:tcPr>
          <w:p w14:paraId="7DEE2208">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492" w:type="dxa"/>
            <w:noWrap w:val="0"/>
            <w:vAlign w:val="center"/>
          </w:tcPr>
          <w:p w14:paraId="22E64BDF">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cs="Times New Roman"/>
                <w:b/>
                <w:bCs/>
                <w:snapToGrid w:val="0"/>
                <w:kern w:val="21"/>
                <w:sz w:val="21"/>
                <w:szCs w:val="21"/>
                <w:highlight w:val="none"/>
                <w:lang w:val="en-US" w:eastAsia="zh-CN" w:bidi="ar-SA"/>
              </w:rPr>
              <w:t>2.33</w:t>
            </w:r>
          </w:p>
        </w:tc>
        <w:tc>
          <w:tcPr>
            <w:tcW w:w="1686" w:type="dxa"/>
            <w:noWrap w:val="0"/>
            <w:vAlign w:val="center"/>
          </w:tcPr>
          <w:p w14:paraId="12045D4E">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874" w:type="dxa"/>
            <w:noWrap w:val="0"/>
            <w:vAlign w:val="center"/>
          </w:tcPr>
          <w:p w14:paraId="7DD4B8F2">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cs="Times New Roman"/>
                <w:b/>
                <w:bCs/>
                <w:snapToGrid w:val="0"/>
                <w:kern w:val="21"/>
                <w:sz w:val="21"/>
                <w:szCs w:val="21"/>
                <w:highlight w:val="none"/>
                <w:lang w:val="en-US" w:eastAsia="zh-CN" w:bidi="ar-SA"/>
              </w:rPr>
              <w:t>2.33</w:t>
            </w:r>
          </w:p>
        </w:tc>
        <w:tc>
          <w:tcPr>
            <w:tcW w:w="1087" w:type="dxa"/>
            <w:noWrap w:val="0"/>
            <w:vAlign w:val="center"/>
          </w:tcPr>
          <w:p w14:paraId="3AC00C5E">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r>
              <w:rPr>
                <w:rFonts w:hint="eastAsia" w:cs="Times New Roman"/>
                <w:b/>
                <w:bCs/>
                <w:snapToGrid w:val="0"/>
                <w:kern w:val="21"/>
                <w:sz w:val="21"/>
                <w:szCs w:val="21"/>
                <w:highlight w:val="none"/>
                <w:lang w:val="en-US" w:eastAsia="zh-CN" w:bidi="ar-SA"/>
              </w:rPr>
              <w:t>2.33</w:t>
            </w:r>
          </w:p>
        </w:tc>
      </w:tr>
      <w:tr w14:paraId="600E2C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520" w:type="dxa"/>
            <w:vMerge w:val="continue"/>
            <w:noWrap w:val="0"/>
            <w:vAlign w:val="center"/>
          </w:tcPr>
          <w:p w14:paraId="5F5C2BB2">
            <w:pPr>
              <w:widowControl w:val="0"/>
              <w:adjustRightInd w:val="0"/>
              <w:snapToGrid w:val="0"/>
              <w:spacing w:beforeLines="0" w:afterLines="0" w:line="240" w:lineRule="auto"/>
              <w:jc w:val="right"/>
              <w:rPr>
                <w:rFonts w:hint="default" w:ascii="Times New Roman" w:hAnsi="Times New Roman" w:eastAsia="宋体" w:cs="Times New Roman"/>
                <w:b/>
                <w:bCs/>
                <w:snapToGrid w:val="0"/>
                <w:kern w:val="21"/>
                <w:sz w:val="21"/>
                <w:szCs w:val="21"/>
                <w:highlight w:val="none"/>
                <w:lang w:val="en-US" w:eastAsia="zh-CN" w:bidi="ar-SA"/>
              </w:rPr>
            </w:pPr>
          </w:p>
        </w:tc>
        <w:tc>
          <w:tcPr>
            <w:tcW w:w="1356" w:type="dxa"/>
            <w:noWrap w:val="0"/>
            <w:vAlign w:val="center"/>
          </w:tcPr>
          <w:p w14:paraId="4AAE7C74">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NO</w:t>
            </w:r>
            <w:r>
              <w:rPr>
                <w:rFonts w:hint="default" w:ascii="Times New Roman" w:hAnsi="Times New Roman" w:eastAsia="宋体" w:cs="Times New Roman"/>
                <w:b/>
                <w:bCs/>
                <w:snapToGrid w:val="0"/>
                <w:kern w:val="21"/>
                <w:sz w:val="21"/>
                <w:szCs w:val="21"/>
                <w:highlight w:val="none"/>
                <w:vertAlign w:val="subscript"/>
                <w:lang w:val="en-US" w:eastAsia="zh-CN" w:bidi="ar-SA"/>
              </w:rPr>
              <w:t>X</w:t>
            </w:r>
          </w:p>
        </w:tc>
        <w:tc>
          <w:tcPr>
            <w:tcW w:w="1628" w:type="dxa"/>
            <w:noWrap w:val="0"/>
            <w:vAlign w:val="center"/>
          </w:tcPr>
          <w:p w14:paraId="35086CCA">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221" w:type="dxa"/>
            <w:noWrap w:val="0"/>
            <w:vAlign w:val="center"/>
          </w:tcPr>
          <w:p w14:paraId="2AEF4147">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628" w:type="dxa"/>
            <w:noWrap w:val="0"/>
            <w:vAlign w:val="center"/>
          </w:tcPr>
          <w:p w14:paraId="49C26172">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492" w:type="dxa"/>
            <w:noWrap w:val="0"/>
            <w:vAlign w:val="center"/>
          </w:tcPr>
          <w:p w14:paraId="013A6E44">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cs="Times New Roman"/>
                <w:b/>
                <w:bCs/>
                <w:snapToGrid w:val="0"/>
                <w:kern w:val="21"/>
                <w:sz w:val="21"/>
                <w:szCs w:val="21"/>
                <w:highlight w:val="none"/>
                <w:lang w:val="en-US" w:eastAsia="zh-CN" w:bidi="ar-SA"/>
              </w:rPr>
              <w:t>11.37</w:t>
            </w:r>
          </w:p>
        </w:tc>
        <w:tc>
          <w:tcPr>
            <w:tcW w:w="1686" w:type="dxa"/>
            <w:noWrap w:val="0"/>
            <w:vAlign w:val="center"/>
          </w:tcPr>
          <w:p w14:paraId="6D35FC3C">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874" w:type="dxa"/>
            <w:noWrap w:val="0"/>
            <w:vAlign w:val="center"/>
          </w:tcPr>
          <w:p w14:paraId="338060F5">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cs="Times New Roman"/>
                <w:b/>
                <w:bCs/>
                <w:snapToGrid w:val="0"/>
                <w:kern w:val="21"/>
                <w:sz w:val="21"/>
                <w:szCs w:val="21"/>
                <w:highlight w:val="none"/>
                <w:lang w:val="en-US" w:eastAsia="zh-CN" w:bidi="ar-SA"/>
              </w:rPr>
              <w:t>11.37</w:t>
            </w:r>
          </w:p>
        </w:tc>
        <w:tc>
          <w:tcPr>
            <w:tcW w:w="1087" w:type="dxa"/>
            <w:noWrap w:val="0"/>
            <w:vAlign w:val="center"/>
          </w:tcPr>
          <w:p w14:paraId="4188526B">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r>
              <w:rPr>
                <w:rFonts w:hint="eastAsia" w:cs="Times New Roman"/>
                <w:b/>
                <w:bCs/>
                <w:snapToGrid w:val="0"/>
                <w:kern w:val="21"/>
                <w:sz w:val="21"/>
                <w:szCs w:val="21"/>
                <w:highlight w:val="none"/>
                <w:lang w:val="en-US" w:eastAsia="zh-CN" w:bidi="ar-SA"/>
              </w:rPr>
              <w:t>11.37</w:t>
            </w:r>
          </w:p>
        </w:tc>
      </w:tr>
      <w:tr w14:paraId="47FC51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520" w:type="dxa"/>
            <w:vMerge w:val="continue"/>
            <w:noWrap w:val="0"/>
            <w:vAlign w:val="center"/>
          </w:tcPr>
          <w:p w14:paraId="6C8C4330">
            <w:pPr>
              <w:widowControl w:val="0"/>
              <w:adjustRightInd w:val="0"/>
              <w:snapToGrid w:val="0"/>
              <w:spacing w:beforeLines="0" w:afterLines="0" w:line="240" w:lineRule="auto"/>
              <w:jc w:val="right"/>
              <w:rPr>
                <w:rFonts w:hint="default" w:ascii="Times New Roman" w:hAnsi="Times New Roman" w:eastAsia="宋体" w:cs="Times New Roman"/>
                <w:b/>
                <w:bCs/>
                <w:snapToGrid w:val="0"/>
                <w:kern w:val="21"/>
                <w:sz w:val="21"/>
                <w:szCs w:val="21"/>
                <w:highlight w:val="none"/>
                <w:lang w:val="en-US" w:eastAsia="zh-CN" w:bidi="ar-SA"/>
              </w:rPr>
            </w:pPr>
          </w:p>
        </w:tc>
        <w:tc>
          <w:tcPr>
            <w:tcW w:w="1356" w:type="dxa"/>
            <w:noWrap w:val="0"/>
            <w:vAlign w:val="center"/>
          </w:tcPr>
          <w:p w14:paraId="4097A52F">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CO</w:t>
            </w:r>
          </w:p>
        </w:tc>
        <w:tc>
          <w:tcPr>
            <w:tcW w:w="1628" w:type="dxa"/>
            <w:noWrap w:val="0"/>
            <w:vAlign w:val="center"/>
          </w:tcPr>
          <w:p w14:paraId="0858C786">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221" w:type="dxa"/>
            <w:noWrap w:val="0"/>
            <w:vAlign w:val="center"/>
          </w:tcPr>
          <w:p w14:paraId="52A9ED58">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628" w:type="dxa"/>
            <w:noWrap w:val="0"/>
            <w:vAlign w:val="center"/>
          </w:tcPr>
          <w:p w14:paraId="7FE9BAF2">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492" w:type="dxa"/>
            <w:noWrap w:val="0"/>
            <w:vAlign w:val="center"/>
          </w:tcPr>
          <w:p w14:paraId="55FE3401">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cs="Times New Roman"/>
                <w:b/>
                <w:bCs/>
                <w:snapToGrid w:val="0"/>
                <w:kern w:val="21"/>
                <w:sz w:val="21"/>
                <w:szCs w:val="21"/>
                <w:highlight w:val="none"/>
                <w:lang w:val="en-US" w:eastAsia="zh-CN" w:bidi="ar-SA"/>
              </w:rPr>
              <w:t>27.99</w:t>
            </w:r>
          </w:p>
        </w:tc>
        <w:tc>
          <w:tcPr>
            <w:tcW w:w="1686" w:type="dxa"/>
            <w:noWrap w:val="0"/>
            <w:vAlign w:val="center"/>
          </w:tcPr>
          <w:p w14:paraId="172119F1">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874" w:type="dxa"/>
            <w:noWrap w:val="0"/>
            <w:vAlign w:val="center"/>
          </w:tcPr>
          <w:p w14:paraId="012BC436">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cs="Times New Roman"/>
                <w:b/>
                <w:bCs/>
                <w:snapToGrid w:val="0"/>
                <w:kern w:val="21"/>
                <w:sz w:val="21"/>
                <w:szCs w:val="21"/>
                <w:highlight w:val="none"/>
                <w:lang w:val="en-US" w:eastAsia="zh-CN" w:bidi="ar-SA"/>
              </w:rPr>
              <w:t>27.99</w:t>
            </w:r>
          </w:p>
        </w:tc>
        <w:tc>
          <w:tcPr>
            <w:tcW w:w="1087" w:type="dxa"/>
            <w:noWrap w:val="0"/>
            <w:vAlign w:val="center"/>
          </w:tcPr>
          <w:p w14:paraId="73772606">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r>
              <w:rPr>
                <w:rFonts w:hint="eastAsia" w:cs="Times New Roman"/>
                <w:b/>
                <w:bCs/>
                <w:snapToGrid w:val="0"/>
                <w:kern w:val="21"/>
                <w:sz w:val="21"/>
                <w:szCs w:val="21"/>
                <w:highlight w:val="none"/>
                <w:lang w:val="en-US" w:eastAsia="zh-CN" w:bidi="ar-SA"/>
              </w:rPr>
              <w:t>27.99</w:t>
            </w:r>
          </w:p>
        </w:tc>
      </w:tr>
      <w:tr w14:paraId="0A91A0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520" w:type="dxa"/>
            <w:vMerge w:val="continue"/>
            <w:noWrap w:val="0"/>
            <w:vAlign w:val="center"/>
          </w:tcPr>
          <w:p w14:paraId="12FABE3F">
            <w:pPr>
              <w:widowControl w:val="0"/>
              <w:adjustRightInd w:val="0"/>
              <w:snapToGrid w:val="0"/>
              <w:spacing w:beforeLines="0" w:afterLines="0" w:line="240" w:lineRule="auto"/>
              <w:jc w:val="right"/>
              <w:rPr>
                <w:rFonts w:hint="default" w:ascii="Times New Roman" w:hAnsi="Times New Roman" w:eastAsia="宋体" w:cs="Times New Roman"/>
                <w:b/>
                <w:bCs/>
                <w:snapToGrid w:val="0"/>
                <w:kern w:val="21"/>
                <w:sz w:val="21"/>
                <w:szCs w:val="21"/>
                <w:highlight w:val="none"/>
                <w:lang w:val="en-US" w:eastAsia="zh-CN" w:bidi="ar-SA"/>
              </w:rPr>
            </w:pPr>
          </w:p>
        </w:tc>
        <w:tc>
          <w:tcPr>
            <w:tcW w:w="1356" w:type="dxa"/>
            <w:noWrap w:val="0"/>
            <w:vAlign w:val="center"/>
          </w:tcPr>
          <w:p w14:paraId="416CEFF8">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氨</w:t>
            </w:r>
          </w:p>
        </w:tc>
        <w:tc>
          <w:tcPr>
            <w:tcW w:w="1628" w:type="dxa"/>
            <w:noWrap w:val="0"/>
            <w:vAlign w:val="center"/>
          </w:tcPr>
          <w:p w14:paraId="1A6405F6">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221" w:type="dxa"/>
            <w:noWrap w:val="0"/>
            <w:vAlign w:val="center"/>
          </w:tcPr>
          <w:p w14:paraId="20DC007B">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628" w:type="dxa"/>
            <w:noWrap w:val="0"/>
            <w:vAlign w:val="center"/>
          </w:tcPr>
          <w:p w14:paraId="7A8314D0">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492" w:type="dxa"/>
            <w:noWrap w:val="0"/>
            <w:vAlign w:val="center"/>
          </w:tcPr>
          <w:p w14:paraId="00DC9686">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ascii="Times New Roman" w:hAnsi="Times New Roman" w:cs="Times New Roman"/>
                <w:b/>
                <w:bCs/>
                <w:snapToGrid w:val="0"/>
                <w:kern w:val="21"/>
                <w:sz w:val="21"/>
                <w:szCs w:val="21"/>
                <w:highlight w:val="none"/>
                <w:lang w:val="en-US" w:eastAsia="zh-CN" w:bidi="ar-SA"/>
              </w:rPr>
              <w:t>0.3</w:t>
            </w:r>
            <w:r>
              <w:rPr>
                <w:rFonts w:hint="eastAsia" w:cs="Times New Roman"/>
                <w:b/>
                <w:bCs/>
                <w:snapToGrid w:val="0"/>
                <w:kern w:val="21"/>
                <w:sz w:val="21"/>
                <w:szCs w:val="21"/>
                <w:highlight w:val="none"/>
                <w:lang w:val="en-US" w:eastAsia="zh-CN" w:bidi="ar-SA"/>
              </w:rPr>
              <w:t>8</w:t>
            </w:r>
          </w:p>
        </w:tc>
        <w:tc>
          <w:tcPr>
            <w:tcW w:w="1686" w:type="dxa"/>
            <w:noWrap w:val="0"/>
            <w:vAlign w:val="center"/>
          </w:tcPr>
          <w:p w14:paraId="74DA932F">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ascii="Times New Roman" w:hAnsi="Times New Roman" w:cs="Times New Roman"/>
                <w:b/>
                <w:bCs/>
                <w:snapToGrid w:val="0"/>
                <w:kern w:val="21"/>
                <w:sz w:val="21"/>
                <w:szCs w:val="21"/>
                <w:highlight w:val="none"/>
                <w:lang w:val="en-US" w:eastAsia="zh-CN" w:bidi="ar-SA"/>
              </w:rPr>
              <w:t>—</w:t>
            </w:r>
          </w:p>
        </w:tc>
        <w:tc>
          <w:tcPr>
            <w:tcW w:w="1874" w:type="dxa"/>
            <w:noWrap w:val="0"/>
            <w:vAlign w:val="center"/>
          </w:tcPr>
          <w:p w14:paraId="3AF77233">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ascii="Times New Roman" w:hAnsi="Times New Roman" w:cs="Times New Roman"/>
                <w:b/>
                <w:bCs/>
                <w:snapToGrid w:val="0"/>
                <w:kern w:val="21"/>
                <w:sz w:val="21"/>
                <w:szCs w:val="21"/>
                <w:highlight w:val="none"/>
                <w:lang w:val="en-US" w:eastAsia="zh-CN" w:bidi="ar-SA"/>
              </w:rPr>
              <w:t>0.3</w:t>
            </w:r>
            <w:r>
              <w:rPr>
                <w:rFonts w:hint="eastAsia" w:cs="Times New Roman"/>
                <w:b/>
                <w:bCs/>
                <w:snapToGrid w:val="0"/>
                <w:kern w:val="21"/>
                <w:sz w:val="21"/>
                <w:szCs w:val="21"/>
                <w:highlight w:val="none"/>
                <w:lang w:val="en-US" w:eastAsia="zh-CN" w:bidi="ar-SA"/>
              </w:rPr>
              <w:t>8</w:t>
            </w:r>
          </w:p>
        </w:tc>
        <w:tc>
          <w:tcPr>
            <w:tcW w:w="1087" w:type="dxa"/>
            <w:noWrap w:val="0"/>
            <w:vAlign w:val="center"/>
          </w:tcPr>
          <w:p w14:paraId="5B46A321">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ascii="Times New Roman" w:hAnsi="Times New Roman" w:cs="Times New Roman"/>
                <w:b/>
                <w:bCs/>
                <w:snapToGrid w:val="0"/>
                <w:kern w:val="21"/>
                <w:sz w:val="21"/>
                <w:szCs w:val="21"/>
                <w:highlight w:val="none"/>
                <w:lang w:val="en-US" w:eastAsia="zh-CN" w:bidi="ar-SA"/>
              </w:rPr>
              <w:t>+0.3</w:t>
            </w:r>
            <w:r>
              <w:rPr>
                <w:rFonts w:hint="eastAsia" w:cs="Times New Roman"/>
                <w:b/>
                <w:bCs/>
                <w:snapToGrid w:val="0"/>
                <w:kern w:val="21"/>
                <w:sz w:val="21"/>
                <w:szCs w:val="21"/>
                <w:highlight w:val="none"/>
                <w:lang w:val="en-US" w:eastAsia="zh-CN" w:bidi="ar-SA"/>
              </w:rPr>
              <w:t>8</w:t>
            </w:r>
          </w:p>
        </w:tc>
      </w:tr>
      <w:tr w14:paraId="722346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520" w:type="dxa"/>
            <w:vMerge w:val="restart"/>
            <w:noWrap w:val="0"/>
            <w:vAlign w:val="center"/>
          </w:tcPr>
          <w:p w14:paraId="4F9A949A">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废水</w:t>
            </w:r>
          </w:p>
        </w:tc>
        <w:tc>
          <w:tcPr>
            <w:tcW w:w="1356" w:type="dxa"/>
            <w:noWrap w:val="0"/>
            <w:vAlign w:val="center"/>
          </w:tcPr>
          <w:p w14:paraId="11BA0BB3">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COD</w:t>
            </w:r>
            <w:r>
              <w:rPr>
                <w:rFonts w:hint="default" w:ascii="Times New Roman" w:hAnsi="Times New Roman" w:eastAsia="宋体" w:cs="Times New Roman"/>
                <w:b/>
                <w:bCs/>
                <w:snapToGrid w:val="0"/>
                <w:kern w:val="21"/>
                <w:sz w:val="21"/>
                <w:szCs w:val="21"/>
                <w:highlight w:val="none"/>
                <w:vertAlign w:val="subscript"/>
                <w:lang w:val="en-US" w:eastAsia="zh-CN" w:bidi="ar-SA"/>
              </w:rPr>
              <w:t>Cr</w:t>
            </w:r>
          </w:p>
        </w:tc>
        <w:tc>
          <w:tcPr>
            <w:tcW w:w="1628" w:type="dxa"/>
            <w:noWrap w:val="0"/>
            <w:vAlign w:val="center"/>
          </w:tcPr>
          <w:p w14:paraId="55370F61">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221" w:type="dxa"/>
            <w:noWrap w:val="0"/>
            <w:vAlign w:val="center"/>
          </w:tcPr>
          <w:p w14:paraId="57947030">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628" w:type="dxa"/>
            <w:noWrap w:val="0"/>
            <w:vAlign w:val="center"/>
          </w:tcPr>
          <w:p w14:paraId="03DFCDFD">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492" w:type="dxa"/>
            <w:noWrap w:val="0"/>
            <w:vAlign w:val="center"/>
          </w:tcPr>
          <w:p w14:paraId="03844811">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cs="Times New Roman"/>
                <w:b/>
                <w:bCs/>
                <w:snapToGrid w:val="0"/>
                <w:kern w:val="21"/>
                <w:sz w:val="21"/>
                <w:szCs w:val="21"/>
                <w:highlight w:val="none"/>
                <w:lang w:val="en-US" w:eastAsia="zh-CN" w:bidi="ar-SA"/>
              </w:rPr>
              <w:t>0.214</w:t>
            </w:r>
          </w:p>
        </w:tc>
        <w:tc>
          <w:tcPr>
            <w:tcW w:w="1686" w:type="dxa"/>
            <w:noWrap w:val="0"/>
            <w:vAlign w:val="center"/>
          </w:tcPr>
          <w:p w14:paraId="3284B062">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874" w:type="dxa"/>
            <w:noWrap w:val="0"/>
            <w:vAlign w:val="center"/>
          </w:tcPr>
          <w:p w14:paraId="2C734872">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cs="Times New Roman"/>
                <w:b/>
                <w:bCs/>
                <w:snapToGrid w:val="0"/>
                <w:kern w:val="21"/>
                <w:sz w:val="21"/>
                <w:szCs w:val="21"/>
                <w:highlight w:val="none"/>
                <w:lang w:val="en-US" w:eastAsia="zh-CN" w:bidi="ar-SA"/>
              </w:rPr>
              <w:t>0.214</w:t>
            </w:r>
          </w:p>
        </w:tc>
        <w:tc>
          <w:tcPr>
            <w:tcW w:w="1087" w:type="dxa"/>
            <w:noWrap w:val="0"/>
            <w:vAlign w:val="center"/>
          </w:tcPr>
          <w:p w14:paraId="51021C75">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cs="Times New Roman"/>
                <w:b/>
                <w:bCs/>
                <w:snapToGrid w:val="0"/>
                <w:kern w:val="21"/>
                <w:sz w:val="21"/>
                <w:szCs w:val="21"/>
                <w:highlight w:val="none"/>
                <w:lang w:val="en-US" w:eastAsia="zh-CN" w:bidi="ar-SA"/>
              </w:rPr>
              <w:t>+0.214</w:t>
            </w:r>
          </w:p>
        </w:tc>
      </w:tr>
      <w:tr w14:paraId="45BB45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520" w:type="dxa"/>
            <w:vMerge w:val="continue"/>
            <w:noWrap w:val="0"/>
            <w:vAlign w:val="center"/>
          </w:tcPr>
          <w:p w14:paraId="450D284E">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p>
        </w:tc>
        <w:tc>
          <w:tcPr>
            <w:tcW w:w="1356" w:type="dxa"/>
            <w:noWrap w:val="0"/>
            <w:vAlign w:val="center"/>
          </w:tcPr>
          <w:p w14:paraId="6F12C53C">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NH</w:t>
            </w:r>
            <w:r>
              <w:rPr>
                <w:rFonts w:hint="default" w:ascii="Times New Roman" w:hAnsi="Times New Roman" w:eastAsia="宋体" w:cs="Times New Roman"/>
                <w:b/>
                <w:bCs/>
                <w:snapToGrid w:val="0"/>
                <w:kern w:val="21"/>
                <w:sz w:val="21"/>
                <w:szCs w:val="21"/>
                <w:highlight w:val="none"/>
                <w:vertAlign w:val="subscript"/>
                <w:lang w:val="en-US" w:eastAsia="zh-CN" w:bidi="ar-SA"/>
              </w:rPr>
              <w:t>3</w:t>
            </w:r>
            <w:r>
              <w:rPr>
                <w:rFonts w:hint="default" w:ascii="Times New Roman" w:hAnsi="Times New Roman" w:eastAsia="宋体" w:cs="Times New Roman"/>
                <w:b/>
                <w:bCs/>
                <w:snapToGrid w:val="0"/>
                <w:kern w:val="21"/>
                <w:sz w:val="21"/>
                <w:szCs w:val="21"/>
                <w:highlight w:val="none"/>
                <w:lang w:val="en-US" w:eastAsia="zh-CN" w:bidi="ar-SA"/>
              </w:rPr>
              <w:t>-N</w:t>
            </w:r>
          </w:p>
        </w:tc>
        <w:tc>
          <w:tcPr>
            <w:tcW w:w="1628" w:type="dxa"/>
            <w:noWrap w:val="0"/>
            <w:vAlign w:val="center"/>
          </w:tcPr>
          <w:p w14:paraId="3BB53049">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221" w:type="dxa"/>
            <w:noWrap w:val="0"/>
            <w:vAlign w:val="center"/>
          </w:tcPr>
          <w:p w14:paraId="0ABF14A2">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628" w:type="dxa"/>
            <w:noWrap w:val="0"/>
            <w:vAlign w:val="center"/>
          </w:tcPr>
          <w:p w14:paraId="547B0A50">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492" w:type="dxa"/>
            <w:noWrap w:val="0"/>
            <w:vAlign w:val="center"/>
          </w:tcPr>
          <w:p w14:paraId="62F66B9D">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cs="Times New Roman"/>
                <w:b/>
                <w:bCs/>
                <w:snapToGrid w:val="0"/>
                <w:kern w:val="21"/>
                <w:sz w:val="21"/>
                <w:szCs w:val="21"/>
                <w:highlight w:val="none"/>
                <w:lang w:val="en-US" w:eastAsia="zh-CN" w:bidi="ar-SA"/>
              </w:rPr>
              <w:t>0.018</w:t>
            </w:r>
          </w:p>
        </w:tc>
        <w:tc>
          <w:tcPr>
            <w:tcW w:w="1686" w:type="dxa"/>
            <w:noWrap w:val="0"/>
            <w:vAlign w:val="center"/>
          </w:tcPr>
          <w:p w14:paraId="64C0A462">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874" w:type="dxa"/>
            <w:noWrap w:val="0"/>
            <w:vAlign w:val="center"/>
          </w:tcPr>
          <w:p w14:paraId="556B91EB">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cs="Times New Roman"/>
                <w:b/>
                <w:bCs/>
                <w:snapToGrid w:val="0"/>
                <w:kern w:val="21"/>
                <w:sz w:val="21"/>
                <w:szCs w:val="21"/>
                <w:highlight w:val="none"/>
                <w:lang w:val="en-US" w:eastAsia="zh-CN" w:bidi="ar-SA"/>
              </w:rPr>
              <w:t>0.018</w:t>
            </w:r>
          </w:p>
        </w:tc>
        <w:tc>
          <w:tcPr>
            <w:tcW w:w="1087" w:type="dxa"/>
            <w:noWrap w:val="0"/>
            <w:vAlign w:val="center"/>
          </w:tcPr>
          <w:p w14:paraId="1A5F5F9C">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cs="Times New Roman"/>
                <w:b/>
                <w:bCs/>
                <w:snapToGrid w:val="0"/>
                <w:kern w:val="21"/>
                <w:sz w:val="21"/>
                <w:szCs w:val="21"/>
                <w:highlight w:val="none"/>
                <w:lang w:val="en-US" w:eastAsia="zh-CN" w:bidi="ar-SA"/>
              </w:rPr>
              <w:t>+0.018</w:t>
            </w:r>
          </w:p>
        </w:tc>
      </w:tr>
      <w:tr w14:paraId="5CAC76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520" w:type="dxa"/>
            <w:vMerge w:val="restart"/>
            <w:noWrap w:val="0"/>
            <w:vAlign w:val="center"/>
          </w:tcPr>
          <w:p w14:paraId="58608216">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工业固体废物</w:t>
            </w:r>
          </w:p>
        </w:tc>
        <w:tc>
          <w:tcPr>
            <w:tcW w:w="1356" w:type="dxa"/>
            <w:noWrap w:val="0"/>
            <w:vAlign w:val="center"/>
          </w:tcPr>
          <w:p w14:paraId="7C61EF44">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一般固废</w:t>
            </w:r>
          </w:p>
        </w:tc>
        <w:tc>
          <w:tcPr>
            <w:tcW w:w="1628" w:type="dxa"/>
            <w:noWrap w:val="0"/>
            <w:vAlign w:val="center"/>
          </w:tcPr>
          <w:p w14:paraId="1AF90575">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221" w:type="dxa"/>
            <w:noWrap w:val="0"/>
            <w:vAlign w:val="center"/>
          </w:tcPr>
          <w:p w14:paraId="1891F726">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628" w:type="dxa"/>
            <w:noWrap w:val="0"/>
            <w:vAlign w:val="center"/>
          </w:tcPr>
          <w:p w14:paraId="030001B8">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492" w:type="dxa"/>
            <w:shd w:val="clear" w:color="auto" w:fill="auto"/>
            <w:noWrap w:val="0"/>
            <w:vAlign w:val="center"/>
          </w:tcPr>
          <w:p w14:paraId="32AEA58F">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cs="Times New Roman"/>
                <w:b/>
                <w:bCs/>
                <w:snapToGrid w:val="0"/>
                <w:kern w:val="21"/>
                <w:sz w:val="21"/>
                <w:szCs w:val="21"/>
                <w:highlight w:val="none"/>
                <w:lang w:val="en-US" w:eastAsia="zh-CN" w:bidi="ar-SA"/>
              </w:rPr>
              <w:t>2012.16</w:t>
            </w:r>
          </w:p>
        </w:tc>
        <w:tc>
          <w:tcPr>
            <w:tcW w:w="1686" w:type="dxa"/>
            <w:noWrap w:val="0"/>
            <w:vAlign w:val="center"/>
          </w:tcPr>
          <w:p w14:paraId="5677E882">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p>
        </w:tc>
        <w:tc>
          <w:tcPr>
            <w:tcW w:w="1874" w:type="dxa"/>
            <w:noWrap w:val="0"/>
            <w:vAlign w:val="center"/>
          </w:tcPr>
          <w:p w14:paraId="0D5A62CC">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cs="Times New Roman"/>
                <w:b/>
                <w:bCs/>
                <w:snapToGrid w:val="0"/>
                <w:kern w:val="21"/>
                <w:sz w:val="21"/>
                <w:szCs w:val="21"/>
                <w:highlight w:val="none"/>
                <w:lang w:val="en-US" w:eastAsia="zh-CN" w:bidi="ar-SA"/>
              </w:rPr>
              <w:t>2012.16</w:t>
            </w:r>
          </w:p>
        </w:tc>
        <w:tc>
          <w:tcPr>
            <w:tcW w:w="1087" w:type="dxa"/>
            <w:noWrap w:val="0"/>
            <w:vAlign w:val="center"/>
          </w:tcPr>
          <w:p w14:paraId="06B9DD65">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cs="Times New Roman"/>
                <w:b/>
                <w:bCs/>
                <w:snapToGrid w:val="0"/>
                <w:kern w:val="21"/>
                <w:sz w:val="21"/>
                <w:szCs w:val="21"/>
                <w:highlight w:val="none"/>
                <w:lang w:val="en-US" w:eastAsia="zh-CN" w:bidi="ar-SA"/>
              </w:rPr>
              <w:t>+2012.16</w:t>
            </w:r>
          </w:p>
        </w:tc>
      </w:tr>
      <w:tr w14:paraId="54078A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520" w:type="dxa"/>
            <w:vMerge w:val="continue"/>
            <w:noWrap w:val="0"/>
            <w:vAlign w:val="center"/>
          </w:tcPr>
          <w:p w14:paraId="640A71F3">
            <w:pPr>
              <w:widowControl w:val="0"/>
              <w:adjustRightInd w:val="0"/>
              <w:snapToGrid w:val="0"/>
              <w:spacing w:beforeLines="0" w:afterLines="0" w:line="240" w:lineRule="auto"/>
              <w:jc w:val="right"/>
              <w:rPr>
                <w:rFonts w:hint="default" w:ascii="Times New Roman" w:hAnsi="Times New Roman" w:eastAsia="宋体" w:cs="Times New Roman"/>
                <w:b/>
                <w:bCs/>
                <w:snapToGrid w:val="0"/>
                <w:kern w:val="21"/>
                <w:sz w:val="21"/>
                <w:szCs w:val="21"/>
                <w:highlight w:val="none"/>
                <w:lang w:val="en-US" w:eastAsia="zh-CN" w:bidi="ar-SA"/>
              </w:rPr>
            </w:pPr>
          </w:p>
        </w:tc>
        <w:tc>
          <w:tcPr>
            <w:tcW w:w="1356" w:type="dxa"/>
            <w:noWrap w:val="0"/>
            <w:vAlign w:val="center"/>
          </w:tcPr>
          <w:p w14:paraId="099DCBCC">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危险废物</w:t>
            </w:r>
          </w:p>
        </w:tc>
        <w:tc>
          <w:tcPr>
            <w:tcW w:w="1628" w:type="dxa"/>
            <w:noWrap w:val="0"/>
            <w:vAlign w:val="center"/>
          </w:tcPr>
          <w:p w14:paraId="53CBB3B7">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p>
        </w:tc>
        <w:tc>
          <w:tcPr>
            <w:tcW w:w="1221" w:type="dxa"/>
            <w:noWrap w:val="0"/>
            <w:vAlign w:val="center"/>
          </w:tcPr>
          <w:p w14:paraId="72911270">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p>
        </w:tc>
        <w:tc>
          <w:tcPr>
            <w:tcW w:w="1628" w:type="dxa"/>
            <w:noWrap w:val="0"/>
            <w:vAlign w:val="center"/>
          </w:tcPr>
          <w:p w14:paraId="1963184A">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p>
        </w:tc>
        <w:tc>
          <w:tcPr>
            <w:tcW w:w="1492" w:type="dxa"/>
            <w:noWrap w:val="0"/>
            <w:vAlign w:val="center"/>
          </w:tcPr>
          <w:p w14:paraId="09549160">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cs="Times New Roman"/>
                <w:b/>
                <w:bCs/>
                <w:snapToGrid w:val="0"/>
                <w:kern w:val="21"/>
                <w:sz w:val="21"/>
                <w:szCs w:val="21"/>
                <w:highlight w:val="none"/>
                <w:lang w:val="en-US" w:eastAsia="zh-CN" w:bidi="ar-SA"/>
              </w:rPr>
              <w:t>1.85</w:t>
            </w:r>
          </w:p>
        </w:tc>
        <w:tc>
          <w:tcPr>
            <w:tcW w:w="1686" w:type="dxa"/>
            <w:noWrap w:val="0"/>
            <w:vAlign w:val="center"/>
          </w:tcPr>
          <w:p w14:paraId="25C735E8">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p>
        </w:tc>
        <w:tc>
          <w:tcPr>
            <w:tcW w:w="1874" w:type="dxa"/>
            <w:noWrap w:val="0"/>
            <w:vAlign w:val="center"/>
          </w:tcPr>
          <w:p w14:paraId="433C76BB">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eastAsia" w:cs="Times New Roman"/>
                <w:b/>
                <w:bCs/>
                <w:snapToGrid w:val="0"/>
                <w:kern w:val="21"/>
                <w:sz w:val="21"/>
                <w:szCs w:val="21"/>
                <w:highlight w:val="none"/>
                <w:lang w:val="en-US" w:eastAsia="zh-CN" w:bidi="ar-SA"/>
              </w:rPr>
              <w:t>1.85</w:t>
            </w:r>
          </w:p>
        </w:tc>
        <w:tc>
          <w:tcPr>
            <w:tcW w:w="1087" w:type="dxa"/>
            <w:noWrap w:val="0"/>
            <w:vAlign w:val="center"/>
          </w:tcPr>
          <w:p w14:paraId="3A1CCE97">
            <w:pPr>
              <w:widowControl w:val="0"/>
              <w:adjustRightInd w:val="0"/>
              <w:snapToGrid w:val="0"/>
              <w:spacing w:beforeLines="0" w:afterLines="0" w:line="240" w:lineRule="auto"/>
              <w:jc w:val="center"/>
              <w:rPr>
                <w:rFonts w:hint="default" w:ascii="Times New Roman" w:hAnsi="Times New Roman" w:eastAsia="宋体" w:cs="Times New Roman"/>
                <w:b/>
                <w:bCs/>
                <w:snapToGrid w:val="0"/>
                <w:kern w:val="21"/>
                <w:sz w:val="21"/>
                <w:szCs w:val="21"/>
                <w:highlight w:val="none"/>
                <w:lang w:val="en-US" w:eastAsia="zh-CN" w:bidi="ar-SA"/>
              </w:rPr>
            </w:pPr>
            <w:r>
              <w:rPr>
                <w:rFonts w:hint="default" w:ascii="Times New Roman" w:hAnsi="Times New Roman" w:eastAsia="宋体" w:cs="Times New Roman"/>
                <w:b/>
                <w:bCs/>
                <w:snapToGrid w:val="0"/>
                <w:kern w:val="21"/>
                <w:sz w:val="21"/>
                <w:szCs w:val="21"/>
                <w:highlight w:val="none"/>
                <w:lang w:val="en-US" w:eastAsia="zh-CN" w:bidi="ar-SA"/>
              </w:rPr>
              <w:t>+</w:t>
            </w:r>
            <w:r>
              <w:rPr>
                <w:rFonts w:hint="eastAsia" w:cs="Times New Roman"/>
                <w:b/>
                <w:bCs/>
                <w:snapToGrid w:val="0"/>
                <w:kern w:val="21"/>
                <w:sz w:val="21"/>
                <w:szCs w:val="21"/>
                <w:highlight w:val="none"/>
                <w:lang w:val="en-US" w:eastAsia="zh-CN" w:bidi="ar-SA"/>
              </w:rPr>
              <w:t>1.85</w:t>
            </w:r>
          </w:p>
        </w:tc>
      </w:tr>
    </w:tbl>
    <w:p w14:paraId="28D40D53">
      <w:pPr>
        <w:pStyle w:val="54"/>
        <w:spacing w:before="192" w:beforeLines="80" w:after="24"/>
        <w:jc w:val="left"/>
        <w:rPr>
          <w:rFonts w:hint="eastAsia" w:ascii="Times New Roman" w:eastAsia="宋体"/>
          <w:snapToGrid w:val="0"/>
          <w:color w:val="auto"/>
          <w:spacing w:val="-6"/>
          <w:kern w:val="21"/>
          <w:szCs w:val="21"/>
          <w:highlight w:val="none"/>
          <w:lang w:val="en-US" w:eastAsia="zh-CN"/>
        </w:rPr>
      </w:pPr>
      <w:r>
        <w:rPr>
          <w:rFonts w:ascii="Times New Roman"/>
          <w:snapToGrid w:val="0"/>
          <w:color w:val="auto"/>
          <w:kern w:val="21"/>
          <w:szCs w:val="21"/>
          <w:highlight w:val="none"/>
        </w:rPr>
        <w:t>注：</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6 \* GB3 \* MERGEFORMAT </w:instrText>
      </w:r>
      <w:r>
        <w:rPr>
          <w:rFonts w:ascii="Times New Roman"/>
          <w:snapToGrid w:val="0"/>
          <w:color w:val="auto"/>
          <w:spacing w:val="-16"/>
          <w:kern w:val="21"/>
          <w:szCs w:val="21"/>
          <w:highlight w:val="none"/>
        </w:rPr>
        <w:fldChar w:fldCharType="separate"/>
      </w:r>
      <w:r>
        <w:rPr>
          <w:rFonts w:hint="eastAsia" w:hAnsi="宋体" w:cs="宋体"/>
          <w:color w:val="auto"/>
          <w:szCs w:val="21"/>
          <w:highlight w:val="none"/>
        </w:rPr>
        <w:t>⑥</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1 \* GB3 \* MERGEFORMAT </w:instrText>
      </w:r>
      <w:r>
        <w:rPr>
          <w:rFonts w:ascii="Times New Roman"/>
          <w:snapToGrid w:val="0"/>
          <w:color w:val="auto"/>
          <w:spacing w:val="-6"/>
          <w:kern w:val="21"/>
          <w:szCs w:val="21"/>
          <w:highlight w:val="none"/>
        </w:rPr>
        <w:fldChar w:fldCharType="separate"/>
      </w:r>
      <w:r>
        <w:rPr>
          <w:rFonts w:hint="eastAsia" w:hAnsi="宋体" w:cs="宋体"/>
          <w:color w:val="auto"/>
          <w:szCs w:val="21"/>
          <w:highlight w:val="none"/>
        </w:rPr>
        <w:t>①</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3 \* GB3 \* MERGEFORMAT </w:instrText>
      </w:r>
      <w:r>
        <w:rPr>
          <w:rFonts w:ascii="Times New Roman"/>
          <w:snapToGrid w:val="0"/>
          <w:color w:val="auto"/>
          <w:spacing w:val="-6"/>
          <w:kern w:val="21"/>
          <w:szCs w:val="21"/>
          <w:highlight w:val="none"/>
        </w:rPr>
        <w:fldChar w:fldCharType="separate"/>
      </w:r>
      <w:r>
        <w:rPr>
          <w:rFonts w:hint="eastAsia" w:hAnsi="宋体" w:cs="宋体"/>
          <w:color w:val="auto"/>
          <w:szCs w:val="21"/>
          <w:highlight w:val="none"/>
        </w:rPr>
        <w:t>③</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4 \* GB3 \* MERGEFORMAT </w:instrText>
      </w:r>
      <w:r>
        <w:rPr>
          <w:rFonts w:ascii="Times New Roman"/>
          <w:snapToGrid w:val="0"/>
          <w:color w:val="auto"/>
          <w:spacing w:val="-6"/>
          <w:kern w:val="21"/>
          <w:szCs w:val="21"/>
          <w:highlight w:val="none"/>
        </w:rPr>
        <w:fldChar w:fldCharType="separate"/>
      </w:r>
      <w:r>
        <w:rPr>
          <w:rFonts w:hint="eastAsia" w:hAnsi="宋体" w:cs="宋体"/>
          <w:color w:val="auto"/>
          <w:szCs w:val="21"/>
          <w:highlight w:val="none"/>
        </w:rPr>
        <w:t>④</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5 \* GB3 \* MERGEFORMAT </w:instrText>
      </w:r>
      <w:r>
        <w:rPr>
          <w:rFonts w:ascii="Times New Roman"/>
          <w:snapToGrid w:val="0"/>
          <w:color w:val="auto"/>
          <w:spacing w:val="-16"/>
          <w:kern w:val="21"/>
          <w:szCs w:val="21"/>
          <w:highlight w:val="none"/>
        </w:rPr>
        <w:fldChar w:fldCharType="separate"/>
      </w:r>
      <w:r>
        <w:rPr>
          <w:rFonts w:hint="eastAsia" w:hAnsi="宋体" w:cs="宋体"/>
          <w:color w:val="auto"/>
          <w:szCs w:val="21"/>
          <w:highlight w:val="none"/>
        </w:rPr>
        <w:t>⑤</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7 \* GB3 \* MERGEFORMAT </w:instrText>
      </w:r>
      <w:r>
        <w:rPr>
          <w:rFonts w:ascii="Times New Roman"/>
          <w:snapToGrid w:val="0"/>
          <w:color w:val="auto"/>
          <w:spacing w:val="-6"/>
          <w:kern w:val="21"/>
          <w:szCs w:val="21"/>
          <w:highlight w:val="none"/>
        </w:rPr>
        <w:fldChar w:fldCharType="separate"/>
      </w:r>
      <w:r>
        <w:rPr>
          <w:rFonts w:hint="eastAsia" w:hAnsi="宋体" w:cs="宋体"/>
          <w:color w:val="auto"/>
          <w:szCs w:val="21"/>
          <w:highlight w:val="none"/>
        </w:rPr>
        <w:t>⑦</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6 \* GB3 \* MERGEFORMAT </w:instrText>
      </w:r>
      <w:r>
        <w:rPr>
          <w:rFonts w:ascii="Times New Roman"/>
          <w:snapToGrid w:val="0"/>
          <w:color w:val="auto"/>
          <w:spacing w:val="-16"/>
          <w:kern w:val="21"/>
          <w:szCs w:val="21"/>
          <w:highlight w:val="none"/>
        </w:rPr>
        <w:fldChar w:fldCharType="separate"/>
      </w:r>
      <w:r>
        <w:rPr>
          <w:rFonts w:hint="eastAsia" w:hAnsi="宋体" w:cs="宋体"/>
          <w:color w:val="auto"/>
          <w:szCs w:val="21"/>
          <w:highlight w:val="none"/>
        </w:rPr>
        <w:t>⑥</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1 \* GB3 \* MERGEFORMAT </w:instrText>
      </w:r>
      <w:r>
        <w:rPr>
          <w:rFonts w:ascii="Times New Roman"/>
          <w:snapToGrid w:val="0"/>
          <w:color w:val="auto"/>
          <w:spacing w:val="-6"/>
          <w:kern w:val="21"/>
          <w:szCs w:val="21"/>
          <w:highlight w:val="none"/>
        </w:rPr>
        <w:fldChar w:fldCharType="separate"/>
      </w:r>
      <w:r>
        <w:rPr>
          <w:rFonts w:hint="eastAsia" w:hAnsi="宋体" w:cs="宋体"/>
          <w:color w:val="auto"/>
          <w:szCs w:val="21"/>
          <w:highlight w:val="none"/>
        </w:rPr>
        <w:t>①</w:t>
      </w:r>
      <w:r>
        <w:rPr>
          <w:rFonts w:ascii="Times New Roman"/>
          <w:snapToGrid w:val="0"/>
          <w:color w:val="auto"/>
          <w:spacing w:val="-6"/>
          <w:kern w:val="21"/>
          <w:szCs w:val="21"/>
          <w:highlight w:val="none"/>
        </w:rPr>
        <w:fldChar w:fldCharType="end"/>
      </w:r>
    </w:p>
    <w:sectPr>
      <w:footerReference r:id="rId8"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F"/>
    <w:family w:val="modern"/>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5653C54A-9B11-48FE-BAA7-655F42866C11}"/>
  </w:font>
  <w:font w:name="Courier New">
    <w:panose1 w:val="02070309020205020404"/>
    <w:charset w:val="01"/>
    <w:family w:val="modern"/>
    <w:pitch w:val="default"/>
    <w:sig w:usb0="E0002EFF" w:usb1="C0007843" w:usb2="00000009" w:usb3="00000000" w:csb0="400001FF" w:csb1="FFFF0000"/>
    <w:embedRegular r:id="rId2" w:fontKey="{9C5ADCC9-6CF3-4CB7-BB04-668D6ECD9356}"/>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3" w:fontKey="{595D7730-6DC1-4E32-B0ED-0560BCE1DA18}"/>
  </w:font>
  <w:font w:name="方正宋三简体">
    <w:panose1 w:val="02000000000000000000"/>
    <w:charset w:val="86"/>
    <w:family w:val="auto"/>
    <w:pitch w:val="default"/>
    <w:sig w:usb0="00000001" w:usb1="08000000" w:usb2="00000000" w:usb3="00000000" w:csb0="00040000" w:csb1="00000000"/>
    <w:embedRegular r:id="rId4" w:fontKey="{D5D1CE19-B736-4307-81AD-A3DB1BC869C3}"/>
  </w:font>
  <w:font w:name="Cambria">
    <w:panose1 w:val="02040503050406030204"/>
    <w:charset w:val="00"/>
    <w:family w:val="roman"/>
    <w:pitch w:val="default"/>
    <w:sig w:usb0="E00006FF" w:usb1="420024FF" w:usb2="02000000" w:usb3="00000000" w:csb0="2000019F" w:csb1="00000000"/>
  </w:font>
  <w:font w:name="楷体_GB2312">
    <w:panose1 w:val="02010609030101010101"/>
    <w:charset w:val="86"/>
    <w:family w:val="modern"/>
    <w:pitch w:val="default"/>
    <w:sig w:usb0="00000001" w:usb1="080E0000" w:usb2="00000000" w:usb3="00000000" w:csb0="00040000" w:csb1="00000000"/>
    <w:embedRegular r:id="rId5" w:fontKey="{B37D185D-B98D-4FEF-BCCB-26D696FC6752}"/>
  </w:font>
  <w:font w:name="仿宋_GB2312">
    <w:panose1 w:val="02010609030101010101"/>
    <w:charset w:val="86"/>
    <w:family w:val="modern"/>
    <w:pitch w:val="default"/>
    <w:sig w:usb0="00000001" w:usb1="080E0000" w:usb2="00000000" w:usb3="00000000" w:csb0="00040000" w:csb1="00000000"/>
    <w:embedRegular r:id="rId6" w:fontKey="{8745CEB3-393F-4E4F-B0F3-D7C5E2F2A053}"/>
  </w:font>
  <w:font w:name="Arial Unicode MS">
    <w:panose1 w:val="020B0604020202020204"/>
    <w:charset w:val="86"/>
    <w:family w:val="swiss"/>
    <w:pitch w:val="default"/>
    <w:sig w:usb0="FFFFFFFF" w:usb1="E9FFFFFF" w:usb2="0000003F" w:usb3="00000000" w:csb0="603F01FF" w:csb1="FFFF0000"/>
    <w:embedRegular r:id="rId7" w:fontKey="{73D47786-57EA-4016-ADD4-C9CDD46B387E}"/>
  </w:font>
  <w:font w:name="Tahoma">
    <w:panose1 w:val="020B0604030504040204"/>
    <w:charset w:val="00"/>
    <w:family w:val="swiss"/>
    <w:pitch w:val="default"/>
    <w:sig w:usb0="E1002EFF" w:usb1="C000605B" w:usb2="00000029" w:usb3="00000000" w:csb0="200101FF" w:csb1="20280000"/>
    <w:embedRegular r:id="rId8" w:fontKey="{15A73F54-A675-4825-86E6-FCE99C423578}"/>
  </w:font>
  <w:font w:name="MingLiU">
    <w:altName w:val="PMingLiU-ExtB"/>
    <w:panose1 w:val="02020509000000000000"/>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等线">
    <w:panose1 w:val="02010600030101010101"/>
    <w:charset w:val="86"/>
    <w:family w:val="auto"/>
    <w:pitch w:val="default"/>
    <w:sig w:usb0="A00002BF" w:usb1="38CF7CFA" w:usb2="00000016" w:usb3="00000000" w:csb0="0004000F" w:csb1="00000000"/>
    <w:embedRegular r:id="rId9" w:fontKey="{62704A50-0AB0-4471-9170-5C077A346DFA}"/>
  </w:font>
  <w:font w:name="仿宋">
    <w:panose1 w:val="02010609060101010101"/>
    <w:charset w:val="86"/>
    <w:family w:val="auto"/>
    <w:pitch w:val="default"/>
    <w:sig w:usb0="800002BF" w:usb1="38CF7CFA" w:usb2="00000016" w:usb3="00000000" w:csb0="00040001" w:csb1="00000000"/>
    <w:embedRegular r:id="rId10" w:fontKey="{3C742AEF-E789-4F17-B877-DBFCF8A18DB9}"/>
  </w:font>
  <w:font w:name="Wingdings 2">
    <w:panose1 w:val="05020102010507070707"/>
    <w:charset w:val="02"/>
    <w:family w:val="roman"/>
    <w:pitch w:val="default"/>
    <w:sig w:usb0="00000000" w:usb1="00000000" w:usb2="00000000" w:usb3="00000000" w:csb0="80000000" w:csb1="00000000"/>
    <w:embedRegular r:id="rId11" w:fontKey="{F5D11D72-0D30-42F1-AAA1-F937E37BBB56}"/>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C3D6CA">
    <w:pPr>
      <w:pStyle w:val="20"/>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4A592C">
                          <w:pPr>
                            <w:pStyle w:val="20"/>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9bQWsy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tBazICAABjBAAADgAAAAAAAAABACAAAAAfAQAAZHJzL2Uyb0RvYy54bWxQSwUG&#10;AAAAAAYABgBZAQAAwwUAAAAA&#10;">
              <v:fill on="f" focussize="0,0"/>
              <v:stroke on="f" weight="0.5pt"/>
              <v:imagedata o:title=""/>
              <o:lock v:ext="edit" aspectratio="f"/>
              <v:textbox inset="0mm,0mm,0mm,0mm" style="mso-fit-shape-to-text:t;">
                <w:txbxContent>
                  <w:p w14:paraId="654A592C">
                    <w:pPr>
                      <w:pStyle w:val="20"/>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172E9C">
    <w:pPr>
      <w:pStyle w:val="20"/>
      <w:framePr w:wrap="around" w:vAnchor="text" w:hAnchor="margin" w:xAlign="center" w:y="1"/>
      <w:rPr>
        <w:rStyle w:val="36"/>
      </w:rPr>
    </w:pPr>
    <w:r>
      <w:fldChar w:fldCharType="begin"/>
    </w:r>
    <w:r>
      <w:rPr>
        <w:rStyle w:val="36"/>
      </w:rPr>
      <w:instrText xml:space="preserve">PAGE  </w:instrText>
    </w:r>
    <w:r>
      <w:fldChar w:fldCharType="end"/>
    </w:r>
  </w:p>
  <w:p w14:paraId="2EFAB9DB">
    <w:pPr>
      <w:pStyle w:val="2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42BCEC">
    <w:pPr>
      <w:pStyle w:val="20"/>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B20C97">
                          <w:pPr>
                            <w:pStyle w:val="20"/>
                            <w:jc w:val="center"/>
                            <w:rPr>
                              <w:rStyle w:val="36"/>
                              <w:rFonts w:ascii="宋体" w:hAnsi="宋体"/>
                              <w:sz w:val="28"/>
                              <w:szCs w:val="28"/>
                            </w:rPr>
                          </w:pPr>
                          <w:r>
                            <w:rPr>
                              <w:rStyle w:val="36"/>
                              <w:rFonts w:hint="eastAsia" w:ascii="宋体" w:hAnsi="宋体"/>
                              <w:sz w:val="28"/>
                              <w:szCs w:val="28"/>
                            </w:rPr>
                            <w:t>—</w:t>
                          </w:r>
                          <w:r>
                            <w:rPr>
                              <w:rStyle w:val="36"/>
                              <w:rFonts w:ascii="宋体" w:hAnsi="宋体"/>
                              <w:sz w:val="26"/>
                              <w:szCs w:val="26"/>
                            </w:rPr>
                            <w:fldChar w:fldCharType="begin"/>
                          </w:r>
                          <w:r>
                            <w:rPr>
                              <w:rStyle w:val="36"/>
                              <w:rFonts w:ascii="宋体" w:hAnsi="宋体"/>
                              <w:sz w:val="26"/>
                              <w:szCs w:val="26"/>
                            </w:rPr>
                            <w:instrText xml:space="preserve">PAGE  </w:instrText>
                          </w:r>
                          <w:r>
                            <w:rPr>
                              <w:rStyle w:val="36"/>
                              <w:rFonts w:ascii="宋体" w:hAnsi="宋体"/>
                              <w:sz w:val="26"/>
                              <w:szCs w:val="26"/>
                            </w:rPr>
                            <w:fldChar w:fldCharType="separate"/>
                          </w:r>
                          <w:r>
                            <w:rPr>
                              <w:rStyle w:val="36"/>
                              <w:rFonts w:ascii="宋体" w:hAnsi="宋体"/>
                              <w:sz w:val="26"/>
                              <w:szCs w:val="26"/>
                            </w:rPr>
                            <w:t>1</w:t>
                          </w:r>
                          <w:r>
                            <w:rPr>
                              <w:rStyle w:val="36"/>
                              <w:rFonts w:ascii="宋体" w:hAnsi="宋体"/>
                              <w:sz w:val="26"/>
                              <w:szCs w:val="26"/>
                            </w:rPr>
                            <w:fldChar w:fldCharType="end"/>
                          </w:r>
                          <w:r>
                            <w:rPr>
                              <w:rStyle w:val="36"/>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R3mO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GJYRoVv3z/dvnx&#10;6/LzK8EZBKpdmCNu5xAZm7e2QdsM5wGHiXdTep2+YETgB9b5Kq9oIuHp0mw6m43h4vANG+Bnj9ed&#10;D/GdsJokI6ce9WtlZadtiF3oEJKyGbuRSrU1VIbUOb15/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HeY5jICAABjBAAADgAAAAAAAAABACAAAAAfAQAAZHJzL2Uyb0RvYy54bWxQSwUG&#10;AAAAAAYABgBZAQAAwwUAAAAA&#10;">
              <v:fill on="f" focussize="0,0"/>
              <v:stroke on="f" weight="0.5pt"/>
              <v:imagedata o:title=""/>
              <o:lock v:ext="edit" aspectratio="f"/>
              <v:textbox inset="0mm,0mm,0mm,0mm" style="mso-fit-shape-to-text:t;">
                <w:txbxContent>
                  <w:p w14:paraId="20B20C97">
                    <w:pPr>
                      <w:pStyle w:val="20"/>
                      <w:jc w:val="center"/>
                      <w:rPr>
                        <w:rStyle w:val="36"/>
                        <w:rFonts w:ascii="宋体" w:hAnsi="宋体"/>
                        <w:sz w:val="28"/>
                        <w:szCs w:val="28"/>
                      </w:rPr>
                    </w:pPr>
                    <w:r>
                      <w:rPr>
                        <w:rStyle w:val="36"/>
                        <w:rFonts w:hint="eastAsia" w:ascii="宋体" w:hAnsi="宋体"/>
                        <w:sz w:val="28"/>
                        <w:szCs w:val="28"/>
                      </w:rPr>
                      <w:t>—</w:t>
                    </w:r>
                    <w:r>
                      <w:rPr>
                        <w:rStyle w:val="36"/>
                        <w:rFonts w:ascii="宋体" w:hAnsi="宋体"/>
                        <w:sz w:val="26"/>
                        <w:szCs w:val="26"/>
                      </w:rPr>
                      <w:fldChar w:fldCharType="begin"/>
                    </w:r>
                    <w:r>
                      <w:rPr>
                        <w:rStyle w:val="36"/>
                        <w:rFonts w:ascii="宋体" w:hAnsi="宋体"/>
                        <w:sz w:val="26"/>
                        <w:szCs w:val="26"/>
                      </w:rPr>
                      <w:instrText xml:space="preserve">PAGE  </w:instrText>
                    </w:r>
                    <w:r>
                      <w:rPr>
                        <w:rStyle w:val="36"/>
                        <w:rFonts w:ascii="宋体" w:hAnsi="宋体"/>
                        <w:sz w:val="26"/>
                        <w:szCs w:val="26"/>
                      </w:rPr>
                      <w:fldChar w:fldCharType="separate"/>
                    </w:r>
                    <w:r>
                      <w:rPr>
                        <w:rStyle w:val="36"/>
                        <w:rFonts w:ascii="宋体" w:hAnsi="宋体"/>
                        <w:sz w:val="26"/>
                        <w:szCs w:val="26"/>
                      </w:rPr>
                      <w:t>1</w:t>
                    </w:r>
                    <w:r>
                      <w:rPr>
                        <w:rStyle w:val="36"/>
                        <w:rFonts w:ascii="宋体" w:hAnsi="宋体"/>
                        <w:sz w:val="26"/>
                        <w:szCs w:val="26"/>
                      </w:rPr>
                      <w:fldChar w:fldCharType="end"/>
                    </w:r>
                    <w:r>
                      <w:rPr>
                        <w:rStyle w:val="36"/>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9E2477">
    <w:pPr>
      <w:pStyle w:val="20"/>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F70102A">
                          <w:pPr>
                            <w:pStyle w:val="20"/>
                          </w:pPr>
                          <w:r>
                            <w:t>—</w:t>
                          </w:r>
                          <w:r>
                            <w:fldChar w:fldCharType="begin"/>
                          </w:r>
                          <w:r>
                            <w:instrText xml:space="preserve"> PAGE  \* MERGEFORMAT </w:instrText>
                          </w:r>
                          <w:r>
                            <w:fldChar w:fldCharType="separate"/>
                          </w:r>
                          <w:r>
                            <w:t>77</w:t>
                          </w:r>
                          <w:r>
                            <w:fldChar w:fldCharType="end"/>
                          </w:r>
                          <w:r>
                            <w:t>—</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CNVTskBAACbAwAADgAAAGRycy9lMm9Eb2MueG1srVPNjtMwEL6vxDtY&#10;vlNnK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X2DkjhuceLnnz/Ovx7PD98J&#10;+lCgPkCNeXcBM9Pw3g+4NrMf0Jl5Dyra/EVGBOOIdbrIK4dERH60Wq5WFYYExuYL4rOn5yFC+iC9&#10;JdloaMT5FVn58ROkMXVOydWcv9XGlBka95cDMbOH5d7HHrOVht0wEdr59oR8ehx9Qx1uOiXmo0Nl&#10;sb80G3E2drNxCFHvu7JGuR6Ed4eETZTecoURdiqMMyvspv3KS/HnvWQ9/VOb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BgI1VOyQEAAJsDAAAOAAAAAAAAAAEAIAAAAB4BAABkcnMvZTJvRG9j&#10;LnhtbFBLBQYAAAAABgAGAFkBAABZBQAAAAA=&#10;">
              <v:fill on="f" focussize="0,0"/>
              <v:stroke on="f"/>
              <v:imagedata o:title=""/>
              <o:lock v:ext="edit" aspectratio="f"/>
              <v:textbox inset="0mm,0mm,0mm,0mm" style="mso-fit-shape-to-text:t;">
                <w:txbxContent>
                  <w:p w14:paraId="1F70102A">
                    <w:pPr>
                      <w:pStyle w:val="20"/>
                    </w:pPr>
                    <w:r>
                      <w:t>—</w:t>
                    </w:r>
                    <w:r>
                      <w:fldChar w:fldCharType="begin"/>
                    </w:r>
                    <w:r>
                      <w:instrText xml:space="preserve"> PAGE  \* MERGEFORMAT </w:instrText>
                    </w:r>
                    <w:r>
                      <w:fldChar w:fldCharType="separate"/>
                    </w:r>
                    <w:r>
                      <w:t>77</w:t>
                    </w:r>
                    <w:r>
                      <w:fldChar w:fldCharType="end"/>
                    </w:r>
                    <w:r>
                      <w:t>—</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489CE7">
    <w:pPr>
      <w:pStyle w:val="2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0BD9E05">
                          <w:pPr>
                            <w:pStyle w:val="20"/>
                          </w:pPr>
                          <w:r>
                            <w:t>—</w:t>
                          </w:r>
                          <w:r>
                            <w:fldChar w:fldCharType="begin"/>
                          </w:r>
                          <w:r>
                            <w:instrText xml:space="preserve"> PAGE  \* MERGEFORMAT </w:instrText>
                          </w:r>
                          <w:r>
                            <w:fldChar w:fldCharType="separate"/>
                          </w:r>
                          <w:r>
                            <w:t>1</w:t>
                          </w:r>
                          <w:r>
                            <w:fldChar w:fldCharType="end"/>
                          </w:r>
                          <w:r>
                            <w:t>—</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MMV+MkBAACbAwAADgAAAGRycy9lMm9Eb2MueG1srVPNjtMwEL4j8Q6W&#10;79RpkVAVNV3tqlqEhABp4QFcx24s+U8et0lfAN6AExfuPFefg7GTdGG57IGLM54ZfzPfN5PNzWAN&#10;OckI2ruGLhcVJdIJ32p3aOiXz/ev1pRA4q7lxjvZ0LMEerN9+WLTh1qufOdNKyNBEAd1HxrapRRq&#10;xkB00nJY+CAdBpWPlie8xgNrI+8R3Rq2qqo3rPexDdELCYDe3RikE2J8DqBXSgu58+JopUsjapSG&#10;J6QEnQ5At6VbpaRIH5UCmYhpKDJN5cQiaO/zybYbXh8iD50WUwv8OS084WS5dlj0CrXjiZNj1P9A&#10;WS2iB6/SQnjLRiJFEWSxrJ5o89DxIAsXlBrCVXT4f7Diw+lTJLpt6OslJY5bnPjl+7fLj1+Xn18J&#10;+lCgPkCNeQ8BM9Nw5wdcm9kP6My8BxVt/iIjgnGU93yVVw6JiPxovVqvKwwJjM0XxGePz0OE9FZ6&#10;S7LR0IjzK7Ly03tIY+qckqs5f6+NKTM07i8HYmYPy72PPWYrDfthIrT37Rn59Dj6hjrcdErMO4fK&#10;5i2ZjTgb+9k4hqgPXVmjXA/C7TFhE6W3XGGEnQrjzAq7ab/yUvx5L1mP/9T2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kwxX4yQEAAJsDAAAOAAAAAAAAAAEAIAAAAB4BAABkcnMvZTJvRG9j&#10;LnhtbFBLBQYAAAAABgAGAFkBAABZBQAAAAA=&#10;">
              <v:fill on="f" focussize="0,0"/>
              <v:stroke on="f"/>
              <v:imagedata o:title=""/>
              <o:lock v:ext="edit" aspectratio="f"/>
              <v:textbox inset="0mm,0mm,0mm,0mm" style="mso-fit-shape-to-text:t;">
                <w:txbxContent>
                  <w:p w14:paraId="50BD9E05">
                    <w:pPr>
                      <w:pStyle w:val="20"/>
                    </w:pPr>
                    <w:r>
                      <w:t>—</w:t>
                    </w:r>
                    <w:r>
                      <w:fldChar w:fldCharType="begin"/>
                    </w:r>
                    <w:r>
                      <w:instrText xml:space="preserve"> PAGE  \* MERGEFORMAT </w:instrText>
                    </w:r>
                    <w:r>
                      <w:fldChar w:fldCharType="separate"/>
                    </w:r>
                    <w:r>
                      <w:t>1</w:t>
                    </w:r>
                    <w:r>
                      <w:fldChar w:fldCharType="end"/>
                    </w:r>
                    <w:r>
                      <w:t>—</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FF2AC5">
    <w:pPr>
      <w:pStyle w:val="20"/>
      <w:ind w:right="360" w:firstLine="360"/>
      <w:jc w:val="cente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959E14">
                          <w:pPr>
                            <w:pStyle w:val="20"/>
                            <w:rPr>
                              <w:rStyle w:val="36"/>
                              <w:rFonts w:ascii="宋体" w:hAnsi="宋体"/>
                              <w:sz w:val="28"/>
                              <w:szCs w:val="28"/>
                            </w:rPr>
                          </w:pPr>
                          <w:r>
                            <w:rPr>
                              <w:rStyle w:val="36"/>
                              <w:rFonts w:hint="eastAsia" w:ascii="宋体" w:hAnsi="宋体"/>
                              <w:sz w:val="28"/>
                              <w:szCs w:val="28"/>
                            </w:rPr>
                            <w:t>—</w:t>
                          </w:r>
                          <w:r>
                            <w:rPr>
                              <w:rStyle w:val="36"/>
                              <w:rFonts w:ascii="宋体" w:hAnsi="宋体"/>
                              <w:sz w:val="26"/>
                              <w:szCs w:val="26"/>
                            </w:rPr>
                            <w:fldChar w:fldCharType="begin"/>
                          </w:r>
                          <w:r>
                            <w:rPr>
                              <w:rStyle w:val="36"/>
                              <w:rFonts w:ascii="宋体" w:hAnsi="宋体"/>
                              <w:sz w:val="26"/>
                              <w:szCs w:val="26"/>
                            </w:rPr>
                            <w:instrText xml:space="preserve">PAGE  </w:instrText>
                          </w:r>
                          <w:r>
                            <w:rPr>
                              <w:rStyle w:val="36"/>
                              <w:rFonts w:ascii="宋体" w:hAnsi="宋体"/>
                              <w:sz w:val="26"/>
                              <w:szCs w:val="26"/>
                            </w:rPr>
                            <w:fldChar w:fldCharType="separate"/>
                          </w:r>
                          <w:r>
                            <w:rPr>
                              <w:rStyle w:val="36"/>
                              <w:rFonts w:ascii="宋体" w:hAnsi="宋体"/>
                              <w:sz w:val="26"/>
                              <w:szCs w:val="26"/>
                            </w:rPr>
                            <w:t>81</w:t>
                          </w:r>
                          <w:r>
                            <w:rPr>
                              <w:rStyle w:val="36"/>
                              <w:rFonts w:ascii="宋体" w:hAnsi="宋体"/>
                              <w:sz w:val="26"/>
                              <w:szCs w:val="26"/>
                            </w:rPr>
                            <w:fldChar w:fldCharType="end"/>
                          </w:r>
                          <w:r>
                            <w:rPr>
                              <w:rStyle w:val="36"/>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bfDwky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6YQSwzQ6fvn+7fLj&#10;1+XnV4IzCFS7MEfcziEyNm9tg7EZzgMOE++m9Dp9wYjAD3nPV3lFEwlPl2bT2WwMF4dv2AA/e7zu&#10;fIjvhNUkGTn16F8rKzttQ+xCh5CUzdiNVKrtoTKkzunN6zfj9sLVA3BlkCOR6IpNVmz2Tc9sb4sz&#10;iHnbzUZwfCORfMtCfGAew4CC8VziPZZSWSSxvUVJZf2Xf52nePQIXkpqDFdODd4SJeq9Qe8AGAfD&#10;D8Z+MMxR31lMK9qBWloTF3xUg1l6qz/jDa1SDriY4ciU0ziYd7EbcLxBLlarNujovDxU3QVMnmNx&#10;a3aOpzRJyOBWxwgxW42TQJ0qvW6YvbZL/TtJw/3nvo16/Dcs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t8PCTICAABjBAAADgAAAAAAAAABACAAAAAfAQAAZHJzL2Uyb0RvYy54bWxQSwUG&#10;AAAAAAYABgBZAQAAwwUAAAAA&#10;">
              <v:fill on="f" focussize="0,0"/>
              <v:stroke on="f" weight="0.5pt"/>
              <v:imagedata o:title=""/>
              <o:lock v:ext="edit" aspectratio="f"/>
              <v:textbox inset="0mm,0mm,0mm,0mm" style="mso-fit-shape-to-text:t;">
                <w:txbxContent>
                  <w:p w14:paraId="0E959E14">
                    <w:pPr>
                      <w:pStyle w:val="20"/>
                      <w:rPr>
                        <w:rStyle w:val="36"/>
                        <w:rFonts w:ascii="宋体" w:hAnsi="宋体"/>
                        <w:sz w:val="28"/>
                        <w:szCs w:val="28"/>
                      </w:rPr>
                    </w:pPr>
                    <w:r>
                      <w:rPr>
                        <w:rStyle w:val="36"/>
                        <w:rFonts w:hint="eastAsia" w:ascii="宋体" w:hAnsi="宋体"/>
                        <w:sz w:val="28"/>
                        <w:szCs w:val="28"/>
                      </w:rPr>
                      <w:t>—</w:t>
                    </w:r>
                    <w:r>
                      <w:rPr>
                        <w:rStyle w:val="36"/>
                        <w:rFonts w:ascii="宋体" w:hAnsi="宋体"/>
                        <w:sz w:val="26"/>
                        <w:szCs w:val="26"/>
                      </w:rPr>
                      <w:fldChar w:fldCharType="begin"/>
                    </w:r>
                    <w:r>
                      <w:rPr>
                        <w:rStyle w:val="36"/>
                        <w:rFonts w:ascii="宋体" w:hAnsi="宋体"/>
                        <w:sz w:val="26"/>
                        <w:szCs w:val="26"/>
                      </w:rPr>
                      <w:instrText xml:space="preserve">PAGE  </w:instrText>
                    </w:r>
                    <w:r>
                      <w:rPr>
                        <w:rStyle w:val="36"/>
                        <w:rFonts w:ascii="宋体" w:hAnsi="宋体"/>
                        <w:sz w:val="26"/>
                        <w:szCs w:val="26"/>
                      </w:rPr>
                      <w:fldChar w:fldCharType="separate"/>
                    </w:r>
                    <w:r>
                      <w:rPr>
                        <w:rStyle w:val="36"/>
                        <w:rFonts w:ascii="宋体" w:hAnsi="宋体"/>
                        <w:sz w:val="26"/>
                        <w:szCs w:val="26"/>
                      </w:rPr>
                      <w:t>81</w:t>
                    </w:r>
                    <w:r>
                      <w:rPr>
                        <w:rStyle w:val="36"/>
                        <w:rFonts w:ascii="宋体" w:hAnsi="宋体"/>
                        <w:sz w:val="26"/>
                        <w:szCs w:val="26"/>
                      </w:rPr>
                      <w:fldChar w:fldCharType="end"/>
                    </w:r>
                    <w:r>
                      <w:rPr>
                        <w:rStyle w:val="36"/>
                        <w:rFonts w:hint="eastAsia" w:ascii="宋体" w:hAnsi="宋体"/>
                        <w:sz w:val="28"/>
                        <w:szCs w:val="28"/>
                      </w:rPr>
                      <w:t>—</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B89301"/>
    <w:multiLevelType w:val="singleLevel"/>
    <w:tmpl w:val="87B89301"/>
    <w:lvl w:ilvl="0" w:tentative="0">
      <w:start w:val="1"/>
      <w:numFmt w:val="upperLetter"/>
      <w:suff w:val="nothing"/>
      <w:lvlText w:val="%1、"/>
      <w:lvlJc w:val="left"/>
    </w:lvl>
  </w:abstractNum>
  <w:abstractNum w:abstractNumId="1">
    <w:nsid w:val="9E9BEE65"/>
    <w:multiLevelType w:val="singleLevel"/>
    <w:tmpl w:val="9E9BEE65"/>
    <w:lvl w:ilvl="0" w:tentative="0">
      <w:start w:val="4"/>
      <w:numFmt w:val="chineseCounting"/>
      <w:suff w:val="nothing"/>
      <w:lvlText w:val="%1、"/>
      <w:lvlJc w:val="left"/>
      <w:rPr>
        <w:rFonts w:hint="eastAsia"/>
      </w:rPr>
    </w:lvl>
  </w:abstractNum>
  <w:abstractNum w:abstractNumId="2">
    <w:nsid w:val="EF42009F"/>
    <w:multiLevelType w:val="singleLevel"/>
    <w:tmpl w:val="EF42009F"/>
    <w:lvl w:ilvl="0" w:tentative="0">
      <w:start w:val="1"/>
      <w:numFmt w:val="decimal"/>
      <w:suff w:val="nothing"/>
      <w:lvlText w:val="（%1）"/>
      <w:lvlJc w:val="left"/>
    </w:lvl>
  </w:abstractNum>
  <w:abstractNum w:abstractNumId="3">
    <w:nsid w:val="F64FDD30"/>
    <w:multiLevelType w:val="singleLevel"/>
    <w:tmpl w:val="F64FDD30"/>
    <w:lvl w:ilvl="0" w:tentative="0">
      <w:start w:val="1"/>
      <w:numFmt w:val="decimal"/>
      <w:suff w:val="nothing"/>
      <w:lvlText w:val="（%1）"/>
      <w:lvlJc w:val="left"/>
    </w:lvl>
  </w:abstractNum>
  <w:abstractNum w:abstractNumId="4">
    <w:nsid w:val="000B8149"/>
    <w:multiLevelType w:val="singleLevel"/>
    <w:tmpl w:val="000B8149"/>
    <w:lvl w:ilvl="0" w:tentative="0">
      <w:start w:val="6"/>
      <w:numFmt w:val="decimal"/>
      <w:suff w:val="nothing"/>
      <w:lvlText w:val="%1、"/>
      <w:lvlJc w:val="left"/>
    </w:lvl>
  </w:abstractNum>
  <w:abstractNum w:abstractNumId="5">
    <w:nsid w:val="17B4E722"/>
    <w:multiLevelType w:val="singleLevel"/>
    <w:tmpl w:val="17B4E722"/>
    <w:lvl w:ilvl="0" w:tentative="0">
      <w:start w:val="1"/>
      <w:numFmt w:val="chineseCounting"/>
      <w:suff w:val="nothing"/>
      <w:lvlText w:val="（%1）"/>
      <w:lvlJc w:val="left"/>
      <w:rPr>
        <w:rFonts w:hint="eastAsia"/>
      </w:rPr>
    </w:lvl>
  </w:abstractNum>
  <w:abstractNum w:abstractNumId="6">
    <w:nsid w:val="338E41DC"/>
    <w:multiLevelType w:val="singleLevel"/>
    <w:tmpl w:val="338E41DC"/>
    <w:lvl w:ilvl="0" w:tentative="0">
      <w:start w:val="1"/>
      <w:numFmt w:val="decimal"/>
      <w:suff w:val="nothing"/>
      <w:lvlText w:val="（%1）"/>
      <w:lvlJc w:val="left"/>
    </w:lvl>
  </w:abstractNum>
  <w:abstractNum w:abstractNumId="7">
    <w:nsid w:val="35BB6A79"/>
    <w:multiLevelType w:val="singleLevel"/>
    <w:tmpl w:val="35BB6A79"/>
    <w:lvl w:ilvl="0" w:tentative="0">
      <w:start w:val="1"/>
      <w:numFmt w:val="decimal"/>
      <w:suff w:val="nothing"/>
      <w:lvlText w:val="（%1）"/>
      <w:lvlJc w:val="left"/>
    </w:lvl>
  </w:abstractNum>
  <w:num w:numId="1">
    <w:abstractNumId w:val="4"/>
  </w:num>
  <w:num w:numId="2">
    <w:abstractNumId w:val="3"/>
  </w:num>
  <w:num w:numId="3">
    <w:abstractNumId w:val="7"/>
  </w:num>
  <w:num w:numId="4">
    <w:abstractNumId w:val="5"/>
  </w:num>
  <w:num w:numId="5">
    <w:abstractNumId w:val="1"/>
  </w:num>
  <w:num w:numId="6">
    <w:abstractNumId w:val="6"/>
  </w:num>
  <w:num w:numId="7">
    <w:abstractNumId w:val="0"/>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BlZmYwMDkzZjM1MTc1YzRlOGI3NzM0YmE0ZjUxYTIifQ=="/>
  </w:docVars>
  <w:rsids>
    <w:rsidRoot w:val="00172A27"/>
    <w:rsid w:val="000060B3"/>
    <w:rsid w:val="00026FA2"/>
    <w:rsid w:val="00027416"/>
    <w:rsid w:val="000332A8"/>
    <w:rsid w:val="0004364B"/>
    <w:rsid w:val="0005706F"/>
    <w:rsid w:val="00061968"/>
    <w:rsid w:val="00061B1F"/>
    <w:rsid w:val="00063098"/>
    <w:rsid w:val="000733C4"/>
    <w:rsid w:val="00074783"/>
    <w:rsid w:val="0008070B"/>
    <w:rsid w:val="000810AC"/>
    <w:rsid w:val="00081A02"/>
    <w:rsid w:val="00082231"/>
    <w:rsid w:val="00082D6A"/>
    <w:rsid w:val="00092D38"/>
    <w:rsid w:val="0009377B"/>
    <w:rsid w:val="000A20C9"/>
    <w:rsid w:val="000A65FE"/>
    <w:rsid w:val="000B058F"/>
    <w:rsid w:val="000B4467"/>
    <w:rsid w:val="000B4DB9"/>
    <w:rsid w:val="000C09AC"/>
    <w:rsid w:val="000C66C5"/>
    <w:rsid w:val="000C767F"/>
    <w:rsid w:val="000D5A44"/>
    <w:rsid w:val="000E0C91"/>
    <w:rsid w:val="000E2C43"/>
    <w:rsid w:val="000E3ED2"/>
    <w:rsid w:val="000E5ED5"/>
    <w:rsid w:val="000E6F5D"/>
    <w:rsid w:val="000F235C"/>
    <w:rsid w:val="000F67DD"/>
    <w:rsid w:val="00101C4E"/>
    <w:rsid w:val="00112863"/>
    <w:rsid w:val="00131EC5"/>
    <w:rsid w:val="00131F42"/>
    <w:rsid w:val="001357F1"/>
    <w:rsid w:val="00140FA8"/>
    <w:rsid w:val="00142FEB"/>
    <w:rsid w:val="00143A2D"/>
    <w:rsid w:val="00145A41"/>
    <w:rsid w:val="00150EAD"/>
    <w:rsid w:val="00151675"/>
    <w:rsid w:val="00157435"/>
    <w:rsid w:val="0017504D"/>
    <w:rsid w:val="0017671A"/>
    <w:rsid w:val="00177422"/>
    <w:rsid w:val="00184590"/>
    <w:rsid w:val="001870D1"/>
    <w:rsid w:val="0018781E"/>
    <w:rsid w:val="0019262D"/>
    <w:rsid w:val="001948A0"/>
    <w:rsid w:val="001A1B35"/>
    <w:rsid w:val="001A48A2"/>
    <w:rsid w:val="001A6F61"/>
    <w:rsid w:val="001B72B8"/>
    <w:rsid w:val="001C65C4"/>
    <w:rsid w:val="001C69B3"/>
    <w:rsid w:val="001D5595"/>
    <w:rsid w:val="001D7874"/>
    <w:rsid w:val="001D7F22"/>
    <w:rsid w:val="001E3E75"/>
    <w:rsid w:val="001E6E6C"/>
    <w:rsid w:val="001F0F17"/>
    <w:rsid w:val="001F3347"/>
    <w:rsid w:val="001F69E4"/>
    <w:rsid w:val="002125B4"/>
    <w:rsid w:val="002155B8"/>
    <w:rsid w:val="002160DE"/>
    <w:rsid w:val="00224839"/>
    <w:rsid w:val="002249B2"/>
    <w:rsid w:val="002255CA"/>
    <w:rsid w:val="00226574"/>
    <w:rsid w:val="002278EC"/>
    <w:rsid w:val="0023280E"/>
    <w:rsid w:val="002377D1"/>
    <w:rsid w:val="00240EB8"/>
    <w:rsid w:val="0024153B"/>
    <w:rsid w:val="002506BC"/>
    <w:rsid w:val="00254345"/>
    <w:rsid w:val="0025448B"/>
    <w:rsid w:val="00264557"/>
    <w:rsid w:val="002712A8"/>
    <w:rsid w:val="002805AB"/>
    <w:rsid w:val="00284204"/>
    <w:rsid w:val="00291773"/>
    <w:rsid w:val="002A168C"/>
    <w:rsid w:val="002A3DC7"/>
    <w:rsid w:val="002B1335"/>
    <w:rsid w:val="002B49E2"/>
    <w:rsid w:val="002B7B00"/>
    <w:rsid w:val="002B7C44"/>
    <w:rsid w:val="002C2B17"/>
    <w:rsid w:val="002D3DD0"/>
    <w:rsid w:val="002E1F3A"/>
    <w:rsid w:val="002E298A"/>
    <w:rsid w:val="002F0B0D"/>
    <w:rsid w:val="00301978"/>
    <w:rsid w:val="0030332C"/>
    <w:rsid w:val="003051C2"/>
    <w:rsid w:val="00312296"/>
    <w:rsid w:val="00314F0E"/>
    <w:rsid w:val="00321D8E"/>
    <w:rsid w:val="00322D52"/>
    <w:rsid w:val="00325928"/>
    <w:rsid w:val="00332863"/>
    <w:rsid w:val="0033684D"/>
    <w:rsid w:val="00337B42"/>
    <w:rsid w:val="00341B42"/>
    <w:rsid w:val="0034348F"/>
    <w:rsid w:val="00356653"/>
    <w:rsid w:val="0035743F"/>
    <w:rsid w:val="00357BE2"/>
    <w:rsid w:val="0036170C"/>
    <w:rsid w:val="00362596"/>
    <w:rsid w:val="00366E0F"/>
    <w:rsid w:val="003714BC"/>
    <w:rsid w:val="0037286C"/>
    <w:rsid w:val="00373F19"/>
    <w:rsid w:val="00381A72"/>
    <w:rsid w:val="00382A5C"/>
    <w:rsid w:val="00384676"/>
    <w:rsid w:val="00390857"/>
    <w:rsid w:val="003A1500"/>
    <w:rsid w:val="003A4BF3"/>
    <w:rsid w:val="003A517E"/>
    <w:rsid w:val="003B30A6"/>
    <w:rsid w:val="003B420D"/>
    <w:rsid w:val="003C5B0B"/>
    <w:rsid w:val="003C6C16"/>
    <w:rsid w:val="003D13B7"/>
    <w:rsid w:val="003D794D"/>
    <w:rsid w:val="003E3058"/>
    <w:rsid w:val="003E76A9"/>
    <w:rsid w:val="003F0809"/>
    <w:rsid w:val="003F4C5D"/>
    <w:rsid w:val="003F6A8C"/>
    <w:rsid w:val="003F755C"/>
    <w:rsid w:val="004006D8"/>
    <w:rsid w:val="00401E77"/>
    <w:rsid w:val="00406F01"/>
    <w:rsid w:val="00416D50"/>
    <w:rsid w:val="00416FD5"/>
    <w:rsid w:val="00417772"/>
    <w:rsid w:val="00420E6A"/>
    <w:rsid w:val="00425A9E"/>
    <w:rsid w:val="00426D6B"/>
    <w:rsid w:val="004318A0"/>
    <w:rsid w:val="00431E6C"/>
    <w:rsid w:val="00433714"/>
    <w:rsid w:val="00433CE7"/>
    <w:rsid w:val="004437DB"/>
    <w:rsid w:val="00447228"/>
    <w:rsid w:val="00452738"/>
    <w:rsid w:val="00456091"/>
    <w:rsid w:val="00466321"/>
    <w:rsid w:val="00470DD3"/>
    <w:rsid w:val="00482210"/>
    <w:rsid w:val="00482DF3"/>
    <w:rsid w:val="00484B9B"/>
    <w:rsid w:val="004855F6"/>
    <w:rsid w:val="0048661E"/>
    <w:rsid w:val="00494670"/>
    <w:rsid w:val="004A0BD7"/>
    <w:rsid w:val="004A3473"/>
    <w:rsid w:val="004A3823"/>
    <w:rsid w:val="004C747F"/>
    <w:rsid w:val="004D1165"/>
    <w:rsid w:val="004D7BFC"/>
    <w:rsid w:val="004E6662"/>
    <w:rsid w:val="004E6946"/>
    <w:rsid w:val="004F1AD8"/>
    <w:rsid w:val="004F1C86"/>
    <w:rsid w:val="004F6C6D"/>
    <w:rsid w:val="005039CB"/>
    <w:rsid w:val="0050558F"/>
    <w:rsid w:val="00506286"/>
    <w:rsid w:val="00510813"/>
    <w:rsid w:val="00511990"/>
    <w:rsid w:val="00511DE0"/>
    <w:rsid w:val="00514870"/>
    <w:rsid w:val="00514B9B"/>
    <w:rsid w:val="00517F02"/>
    <w:rsid w:val="00524303"/>
    <w:rsid w:val="005258A2"/>
    <w:rsid w:val="005401AE"/>
    <w:rsid w:val="005406B3"/>
    <w:rsid w:val="00542439"/>
    <w:rsid w:val="00542E07"/>
    <w:rsid w:val="00545424"/>
    <w:rsid w:val="00554A7B"/>
    <w:rsid w:val="0055572C"/>
    <w:rsid w:val="005605FE"/>
    <w:rsid w:val="0056106A"/>
    <w:rsid w:val="0056672C"/>
    <w:rsid w:val="005720AE"/>
    <w:rsid w:val="00573AF0"/>
    <w:rsid w:val="00594D77"/>
    <w:rsid w:val="005969E4"/>
    <w:rsid w:val="005A06B7"/>
    <w:rsid w:val="005A1759"/>
    <w:rsid w:val="005A4071"/>
    <w:rsid w:val="005A68A7"/>
    <w:rsid w:val="005B7A70"/>
    <w:rsid w:val="005D36AB"/>
    <w:rsid w:val="005E16C8"/>
    <w:rsid w:val="005F07A8"/>
    <w:rsid w:val="006046AC"/>
    <w:rsid w:val="00613B17"/>
    <w:rsid w:val="00617232"/>
    <w:rsid w:val="00617CC3"/>
    <w:rsid w:val="00625B6E"/>
    <w:rsid w:val="006377A6"/>
    <w:rsid w:val="00637A3D"/>
    <w:rsid w:val="006411EF"/>
    <w:rsid w:val="0065038A"/>
    <w:rsid w:val="00652DEA"/>
    <w:rsid w:val="006678F8"/>
    <w:rsid w:val="006748B8"/>
    <w:rsid w:val="006775C3"/>
    <w:rsid w:val="00687AD8"/>
    <w:rsid w:val="0069290A"/>
    <w:rsid w:val="006973F0"/>
    <w:rsid w:val="0069775A"/>
    <w:rsid w:val="00697813"/>
    <w:rsid w:val="006A3EE8"/>
    <w:rsid w:val="006A72BF"/>
    <w:rsid w:val="006B03F2"/>
    <w:rsid w:val="006B0F63"/>
    <w:rsid w:val="006B21A8"/>
    <w:rsid w:val="006B37DC"/>
    <w:rsid w:val="006B4F68"/>
    <w:rsid w:val="006B7F5B"/>
    <w:rsid w:val="006C0592"/>
    <w:rsid w:val="006C272E"/>
    <w:rsid w:val="006C5479"/>
    <w:rsid w:val="006D13B5"/>
    <w:rsid w:val="006D2CF2"/>
    <w:rsid w:val="006E12FF"/>
    <w:rsid w:val="006E607E"/>
    <w:rsid w:val="006E7DD9"/>
    <w:rsid w:val="00706C5D"/>
    <w:rsid w:val="00712648"/>
    <w:rsid w:val="00713BFF"/>
    <w:rsid w:val="00724F54"/>
    <w:rsid w:val="00732922"/>
    <w:rsid w:val="0075162E"/>
    <w:rsid w:val="00754034"/>
    <w:rsid w:val="00755101"/>
    <w:rsid w:val="007562D8"/>
    <w:rsid w:val="00756556"/>
    <w:rsid w:val="0075682F"/>
    <w:rsid w:val="00756CFB"/>
    <w:rsid w:val="007618C4"/>
    <w:rsid w:val="00767980"/>
    <w:rsid w:val="00770B19"/>
    <w:rsid w:val="0077463F"/>
    <w:rsid w:val="0078115C"/>
    <w:rsid w:val="007836EA"/>
    <w:rsid w:val="00784CDA"/>
    <w:rsid w:val="00786B98"/>
    <w:rsid w:val="007906C4"/>
    <w:rsid w:val="007940EA"/>
    <w:rsid w:val="007967E8"/>
    <w:rsid w:val="007A191D"/>
    <w:rsid w:val="007A2170"/>
    <w:rsid w:val="007A22BF"/>
    <w:rsid w:val="007A3323"/>
    <w:rsid w:val="007A5F70"/>
    <w:rsid w:val="007A7CD8"/>
    <w:rsid w:val="007B3527"/>
    <w:rsid w:val="007B4EB6"/>
    <w:rsid w:val="007B72B8"/>
    <w:rsid w:val="007B7A58"/>
    <w:rsid w:val="007C21B5"/>
    <w:rsid w:val="007E2580"/>
    <w:rsid w:val="007E29A2"/>
    <w:rsid w:val="007E4BD2"/>
    <w:rsid w:val="007E6F6F"/>
    <w:rsid w:val="00801393"/>
    <w:rsid w:val="00801F7F"/>
    <w:rsid w:val="00802DE1"/>
    <w:rsid w:val="00802F88"/>
    <w:rsid w:val="0081293E"/>
    <w:rsid w:val="008132E0"/>
    <w:rsid w:val="00813A2F"/>
    <w:rsid w:val="00815465"/>
    <w:rsid w:val="00815F8A"/>
    <w:rsid w:val="00817E9A"/>
    <w:rsid w:val="00823573"/>
    <w:rsid w:val="00830162"/>
    <w:rsid w:val="008306BD"/>
    <w:rsid w:val="00831A80"/>
    <w:rsid w:val="00833743"/>
    <w:rsid w:val="008340A4"/>
    <w:rsid w:val="008434BB"/>
    <w:rsid w:val="0087135F"/>
    <w:rsid w:val="00872D94"/>
    <w:rsid w:val="00877399"/>
    <w:rsid w:val="00880364"/>
    <w:rsid w:val="00891592"/>
    <w:rsid w:val="00891E9E"/>
    <w:rsid w:val="008971CA"/>
    <w:rsid w:val="008A2F68"/>
    <w:rsid w:val="008B4A37"/>
    <w:rsid w:val="008B4FA6"/>
    <w:rsid w:val="008B5282"/>
    <w:rsid w:val="008B7C17"/>
    <w:rsid w:val="008C2D01"/>
    <w:rsid w:val="008C40E6"/>
    <w:rsid w:val="008C4C3C"/>
    <w:rsid w:val="008C6605"/>
    <w:rsid w:val="008C6E1A"/>
    <w:rsid w:val="008D0F7A"/>
    <w:rsid w:val="008D68E4"/>
    <w:rsid w:val="008E0506"/>
    <w:rsid w:val="008E0CFF"/>
    <w:rsid w:val="008E4E3A"/>
    <w:rsid w:val="008E5D6B"/>
    <w:rsid w:val="008E76F0"/>
    <w:rsid w:val="008F15FE"/>
    <w:rsid w:val="008F2D29"/>
    <w:rsid w:val="008F5187"/>
    <w:rsid w:val="008F60D8"/>
    <w:rsid w:val="00902727"/>
    <w:rsid w:val="0090312B"/>
    <w:rsid w:val="0090332D"/>
    <w:rsid w:val="00904814"/>
    <w:rsid w:val="0091736D"/>
    <w:rsid w:val="009204F9"/>
    <w:rsid w:val="0093037A"/>
    <w:rsid w:val="00934590"/>
    <w:rsid w:val="0094154D"/>
    <w:rsid w:val="00941565"/>
    <w:rsid w:val="00946200"/>
    <w:rsid w:val="0095155F"/>
    <w:rsid w:val="00951833"/>
    <w:rsid w:val="00954429"/>
    <w:rsid w:val="009563CE"/>
    <w:rsid w:val="00976328"/>
    <w:rsid w:val="0097680D"/>
    <w:rsid w:val="00981D10"/>
    <w:rsid w:val="00982438"/>
    <w:rsid w:val="0098404C"/>
    <w:rsid w:val="00984946"/>
    <w:rsid w:val="00985283"/>
    <w:rsid w:val="00993F52"/>
    <w:rsid w:val="00995992"/>
    <w:rsid w:val="00995B20"/>
    <w:rsid w:val="009A03E5"/>
    <w:rsid w:val="009A0F3B"/>
    <w:rsid w:val="009A1BB4"/>
    <w:rsid w:val="009A2628"/>
    <w:rsid w:val="009A3200"/>
    <w:rsid w:val="009B0897"/>
    <w:rsid w:val="009B14A4"/>
    <w:rsid w:val="009B4435"/>
    <w:rsid w:val="009B7BD9"/>
    <w:rsid w:val="009C307B"/>
    <w:rsid w:val="009C7DD5"/>
    <w:rsid w:val="009E227D"/>
    <w:rsid w:val="009E5019"/>
    <w:rsid w:val="009F376C"/>
    <w:rsid w:val="00A04F1B"/>
    <w:rsid w:val="00A0501B"/>
    <w:rsid w:val="00A14947"/>
    <w:rsid w:val="00A31A82"/>
    <w:rsid w:val="00A32A83"/>
    <w:rsid w:val="00A368DB"/>
    <w:rsid w:val="00A423AA"/>
    <w:rsid w:val="00A51191"/>
    <w:rsid w:val="00A524E6"/>
    <w:rsid w:val="00A53EC6"/>
    <w:rsid w:val="00A5491E"/>
    <w:rsid w:val="00A55C0F"/>
    <w:rsid w:val="00A60722"/>
    <w:rsid w:val="00A75D9F"/>
    <w:rsid w:val="00A86172"/>
    <w:rsid w:val="00A8713F"/>
    <w:rsid w:val="00A9048E"/>
    <w:rsid w:val="00A90BA1"/>
    <w:rsid w:val="00A94CD1"/>
    <w:rsid w:val="00A97A9A"/>
    <w:rsid w:val="00AA0671"/>
    <w:rsid w:val="00AA2531"/>
    <w:rsid w:val="00AB1E09"/>
    <w:rsid w:val="00AB5330"/>
    <w:rsid w:val="00AB5890"/>
    <w:rsid w:val="00AB7304"/>
    <w:rsid w:val="00AB7747"/>
    <w:rsid w:val="00AC14CE"/>
    <w:rsid w:val="00AC2A56"/>
    <w:rsid w:val="00AC7BA6"/>
    <w:rsid w:val="00AD055E"/>
    <w:rsid w:val="00AD0F6D"/>
    <w:rsid w:val="00AD47A7"/>
    <w:rsid w:val="00AF0CBF"/>
    <w:rsid w:val="00AF1AFF"/>
    <w:rsid w:val="00AF257F"/>
    <w:rsid w:val="00AF33CF"/>
    <w:rsid w:val="00AF4D50"/>
    <w:rsid w:val="00AF5022"/>
    <w:rsid w:val="00AF6179"/>
    <w:rsid w:val="00B039E3"/>
    <w:rsid w:val="00B1295A"/>
    <w:rsid w:val="00B15636"/>
    <w:rsid w:val="00B20A45"/>
    <w:rsid w:val="00B22C5C"/>
    <w:rsid w:val="00B24F30"/>
    <w:rsid w:val="00B31ABF"/>
    <w:rsid w:val="00B33BE3"/>
    <w:rsid w:val="00B36487"/>
    <w:rsid w:val="00B41CDB"/>
    <w:rsid w:val="00B439C6"/>
    <w:rsid w:val="00B53B5D"/>
    <w:rsid w:val="00B5606C"/>
    <w:rsid w:val="00B57B44"/>
    <w:rsid w:val="00B6055E"/>
    <w:rsid w:val="00B6317D"/>
    <w:rsid w:val="00B67FC1"/>
    <w:rsid w:val="00B7723F"/>
    <w:rsid w:val="00B80534"/>
    <w:rsid w:val="00B8433C"/>
    <w:rsid w:val="00B87491"/>
    <w:rsid w:val="00B87E0B"/>
    <w:rsid w:val="00B906D8"/>
    <w:rsid w:val="00B93775"/>
    <w:rsid w:val="00BA1FD1"/>
    <w:rsid w:val="00BA29E9"/>
    <w:rsid w:val="00BA7142"/>
    <w:rsid w:val="00BB237C"/>
    <w:rsid w:val="00BB41A3"/>
    <w:rsid w:val="00BC32DC"/>
    <w:rsid w:val="00BC35B6"/>
    <w:rsid w:val="00BC377D"/>
    <w:rsid w:val="00BC4B44"/>
    <w:rsid w:val="00BD0978"/>
    <w:rsid w:val="00BD1B51"/>
    <w:rsid w:val="00BD4596"/>
    <w:rsid w:val="00BE1405"/>
    <w:rsid w:val="00BE209A"/>
    <w:rsid w:val="00BE312D"/>
    <w:rsid w:val="00BF1C20"/>
    <w:rsid w:val="00BF3332"/>
    <w:rsid w:val="00BF7B5E"/>
    <w:rsid w:val="00C10578"/>
    <w:rsid w:val="00C11C4C"/>
    <w:rsid w:val="00C1250E"/>
    <w:rsid w:val="00C135BC"/>
    <w:rsid w:val="00C15C95"/>
    <w:rsid w:val="00C2596A"/>
    <w:rsid w:val="00C27537"/>
    <w:rsid w:val="00C3036F"/>
    <w:rsid w:val="00C328FE"/>
    <w:rsid w:val="00C33507"/>
    <w:rsid w:val="00C35CFD"/>
    <w:rsid w:val="00C4409D"/>
    <w:rsid w:val="00C44E72"/>
    <w:rsid w:val="00C45A06"/>
    <w:rsid w:val="00C47E5B"/>
    <w:rsid w:val="00C61E4B"/>
    <w:rsid w:val="00C62637"/>
    <w:rsid w:val="00C62FA7"/>
    <w:rsid w:val="00C64BFF"/>
    <w:rsid w:val="00C704E9"/>
    <w:rsid w:val="00C727D9"/>
    <w:rsid w:val="00C763C9"/>
    <w:rsid w:val="00C80057"/>
    <w:rsid w:val="00C82232"/>
    <w:rsid w:val="00C82913"/>
    <w:rsid w:val="00C86A0D"/>
    <w:rsid w:val="00C954DA"/>
    <w:rsid w:val="00C972B1"/>
    <w:rsid w:val="00CA2CCE"/>
    <w:rsid w:val="00CA43FD"/>
    <w:rsid w:val="00CA6392"/>
    <w:rsid w:val="00CA7C2F"/>
    <w:rsid w:val="00CA7EF8"/>
    <w:rsid w:val="00CB2722"/>
    <w:rsid w:val="00CC0200"/>
    <w:rsid w:val="00CC489B"/>
    <w:rsid w:val="00CD2BCD"/>
    <w:rsid w:val="00CD3A4C"/>
    <w:rsid w:val="00CD616F"/>
    <w:rsid w:val="00CE10E9"/>
    <w:rsid w:val="00CE2910"/>
    <w:rsid w:val="00CE5393"/>
    <w:rsid w:val="00CF36BE"/>
    <w:rsid w:val="00CF6000"/>
    <w:rsid w:val="00D003F3"/>
    <w:rsid w:val="00D0364F"/>
    <w:rsid w:val="00D06834"/>
    <w:rsid w:val="00D308ED"/>
    <w:rsid w:val="00D364EA"/>
    <w:rsid w:val="00D36D86"/>
    <w:rsid w:val="00D428AA"/>
    <w:rsid w:val="00D50A34"/>
    <w:rsid w:val="00D53EFA"/>
    <w:rsid w:val="00D94A7C"/>
    <w:rsid w:val="00D95896"/>
    <w:rsid w:val="00DA1FE2"/>
    <w:rsid w:val="00DA22FF"/>
    <w:rsid w:val="00DB163A"/>
    <w:rsid w:val="00DB2384"/>
    <w:rsid w:val="00DB2983"/>
    <w:rsid w:val="00DC1257"/>
    <w:rsid w:val="00DC3DC0"/>
    <w:rsid w:val="00DC3F41"/>
    <w:rsid w:val="00DC5B2B"/>
    <w:rsid w:val="00DD318D"/>
    <w:rsid w:val="00DF2E12"/>
    <w:rsid w:val="00DF4B33"/>
    <w:rsid w:val="00DF514A"/>
    <w:rsid w:val="00DF6690"/>
    <w:rsid w:val="00DF6804"/>
    <w:rsid w:val="00E0358D"/>
    <w:rsid w:val="00E04323"/>
    <w:rsid w:val="00E070A2"/>
    <w:rsid w:val="00E14EEC"/>
    <w:rsid w:val="00E2656A"/>
    <w:rsid w:val="00E412D0"/>
    <w:rsid w:val="00E47303"/>
    <w:rsid w:val="00E56322"/>
    <w:rsid w:val="00E60982"/>
    <w:rsid w:val="00E62C62"/>
    <w:rsid w:val="00E654C1"/>
    <w:rsid w:val="00E65D97"/>
    <w:rsid w:val="00E72A5A"/>
    <w:rsid w:val="00E73354"/>
    <w:rsid w:val="00E9242D"/>
    <w:rsid w:val="00E97EFC"/>
    <w:rsid w:val="00EA6746"/>
    <w:rsid w:val="00EB5255"/>
    <w:rsid w:val="00EB5C47"/>
    <w:rsid w:val="00EB77B5"/>
    <w:rsid w:val="00ED0639"/>
    <w:rsid w:val="00ED43BF"/>
    <w:rsid w:val="00EF4755"/>
    <w:rsid w:val="00EF7135"/>
    <w:rsid w:val="00F027DB"/>
    <w:rsid w:val="00F03F0E"/>
    <w:rsid w:val="00F047CE"/>
    <w:rsid w:val="00F12D9D"/>
    <w:rsid w:val="00F14A7A"/>
    <w:rsid w:val="00F22985"/>
    <w:rsid w:val="00F3383E"/>
    <w:rsid w:val="00F36532"/>
    <w:rsid w:val="00F415D5"/>
    <w:rsid w:val="00F465A7"/>
    <w:rsid w:val="00F50B7C"/>
    <w:rsid w:val="00F550E6"/>
    <w:rsid w:val="00F6609A"/>
    <w:rsid w:val="00F73E62"/>
    <w:rsid w:val="00F74345"/>
    <w:rsid w:val="00F76B8A"/>
    <w:rsid w:val="00F80A0A"/>
    <w:rsid w:val="00F82B19"/>
    <w:rsid w:val="00F87382"/>
    <w:rsid w:val="00F9212D"/>
    <w:rsid w:val="00F92B99"/>
    <w:rsid w:val="00F94073"/>
    <w:rsid w:val="00F965DA"/>
    <w:rsid w:val="00FA406A"/>
    <w:rsid w:val="00FB503A"/>
    <w:rsid w:val="00FB516C"/>
    <w:rsid w:val="00FC1E48"/>
    <w:rsid w:val="00FD0236"/>
    <w:rsid w:val="00FD18F4"/>
    <w:rsid w:val="00FD54DB"/>
    <w:rsid w:val="00FD5658"/>
    <w:rsid w:val="00FD619F"/>
    <w:rsid w:val="00FE13B2"/>
    <w:rsid w:val="00FE48AF"/>
    <w:rsid w:val="01171976"/>
    <w:rsid w:val="01290F7E"/>
    <w:rsid w:val="015D1E09"/>
    <w:rsid w:val="016240EF"/>
    <w:rsid w:val="016363BF"/>
    <w:rsid w:val="01703BFB"/>
    <w:rsid w:val="01865798"/>
    <w:rsid w:val="019D115B"/>
    <w:rsid w:val="019E0DF7"/>
    <w:rsid w:val="01A06E9D"/>
    <w:rsid w:val="01BF330B"/>
    <w:rsid w:val="01BF6960"/>
    <w:rsid w:val="01E50D53"/>
    <w:rsid w:val="01EC2A48"/>
    <w:rsid w:val="02262AC6"/>
    <w:rsid w:val="02420569"/>
    <w:rsid w:val="024570F7"/>
    <w:rsid w:val="024B69A3"/>
    <w:rsid w:val="02554CA2"/>
    <w:rsid w:val="02697903"/>
    <w:rsid w:val="0279781F"/>
    <w:rsid w:val="029C2AA6"/>
    <w:rsid w:val="029F34E7"/>
    <w:rsid w:val="02B2285A"/>
    <w:rsid w:val="02C20B70"/>
    <w:rsid w:val="02D65680"/>
    <w:rsid w:val="02EE138C"/>
    <w:rsid w:val="02F96569"/>
    <w:rsid w:val="0303229F"/>
    <w:rsid w:val="03165BDF"/>
    <w:rsid w:val="03376471"/>
    <w:rsid w:val="033C2484"/>
    <w:rsid w:val="033F7AFD"/>
    <w:rsid w:val="034A3564"/>
    <w:rsid w:val="03666B17"/>
    <w:rsid w:val="03C055D4"/>
    <w:rsid w:val="03DF4818"/>
    <w:rsid w:val="03EA7B21"/>
    <w:rsid w:val="03FC7C13"/>
    <w:rsid w:val="03FD04DD"/>
    <w:rsid w:val="042B0B95"/>
    <w:rsid w:val="04417EF7"/>
    <w:rsid w:val="04737D17"/>
    <w:rsid w:val="04B22E55"/>
    <w:rsid w:val="04BC5D9C"/>
    <w:rsid w:val="04C11604"/>
    <w:rsid w:val="04D06D2A"/>
    <w:rsid w:val="04F14FB2"/>
    <w:rsid w:val="04FF2CAB"/>
    <w:rsid w:val="05276229"/>
    <w:rsid w:val="052B0501"/>
    <w:rsid w:val="053A20CA"/>
    <w:rsid w:val="056766CD"/>
    <w:rsid w:val="05694EE3"/>
    <w:rsid w:val="05900C26"/>
    <w:rsid w:val="05C23886"/>
    <w:rsid w:val="05D67331"/>
    <w:rsid w:val="05F83EAE"/>
    <w:rsid w:val="06343A74"/>
    <w:rsid w:val="063E7D85"/>
    <w:rsid w:val="064356AE"/>
    <w:rsid w:val="064F32AC"/>
    <w:rsid w:val="06A12A32"/>
    <w:rsid w:val="06A74256"/>
    <w:rsid w:val="06C62F02"/>
    <w:rsid w:val="070D42E3"/>
    <w:rsid w:val="071C0D73"/>
    <w:rsid w:val="07293586"/>
    <w:rsid w:val="07295285"/>
    <w:rsid w:val="07312791"/>
    <w:rsid w:val="07636392"/>
    <w:rsid w:val="07725C39"/>
    <w:rsid w:val="07762690"/>
    <w:rsid w:val="07770C56"/>
    <w:rsid w:val="077A6838"/>
    <w:rsid w:val="079528D4"/>
    <w:rsid w:val="07A32DC8"/>
    <w:rsid w:val="07F3065A"/>
    <w:rsid w:val="082A0FC8"/>
    <w:rsid w:val="084037EA"/>
    <w:rsid w:val="084C6E97"/>
    <w:rsid w:val="08632B0D"/>
    <w:rsid w:val="08712189"/>
    <w:rsid w:val="087755DA"/>
    <w:rsid w:val="089A15B8"/>
    <w:rsid w:val="08B3271C"/>
    <w:rsid w:val="08E4407A"/>
    <w:rsid w:val="08E57BC2"/>
    <w:rsid w:val="09076BBA"/>
    <w:rsid w:val="092217DD"/>
    <w:rsid w:val="09355067"/>
    <w:rsid w:val="09365D14"/>
    <w:rsid w:val="093A7294"/>
    <w:rsid w:val="096D6B7C"/>
    <w:rsid w:val="09842C00"/>
    <w:rsid w:val="09847C7D"/>
    <w:rsid w:val="09D43B87"/>
    <w:rsid w:val="09DB60D9"/>
    <w:rsid w:val="0A026BAE"/>
    <w:rsid w:val="0A263993"/>
    <w:rsid w:val="0A2D3AC2"/>
    <w:rsid w:val="0A4438F8"/>
    <w:rsid w:val="0A543EB9"/>
    <w:rsid w:val="0A60366D"/>
    <w:rsid w:val="0A6B087F"/>
    <w:rsid w:val="0AA755DF"/>
    <w:rsid w:val="0AAF719D"/>
    <w:rsid w:val="0AE53B72"/>
    <w:rsid w:val="0AF65D7F"/>
    <w:rsid w:val="0B09418A"/>
    <w:rsid w:val="0B120D44"/>
    <w:rsid w:val="0B9E00CC"/>
    <w:rsid w:val="0BD27BF6"/>
    <w:rsid w:val="0C030E89"/>
    <w:rsid w:val="0C056FA1"/>
    <w:rsid w:val="0C1A62B7"/>
    <w:rsid w:val="0C390FAC"/>
    <w:rsid w:val="0C3B3C7D"/>
    <w:rsid w:val="0C515146"/>
    <w:rsid w:val="0C592B13"/>
    <w:rsid w:val="0C6F39D4"/>
    <w:rsid w:val="0C746CE6"/>
    <w:rsid w:val="0C901EDF"/>
    <w:rsid w:val="0CAB2EAE"/>
    <w:rsid w:val="0CB32ABD"/>
    <w:rsid w:val="0CBC29E1"/>
    <w:rsid w:val="0D54487F"/>
    <w:rsid w:val="0D594DB5"/>
    <w:rsid w:val="0D621C7D"/>
    <w:rsid w:val="0D6276FC"/>
    <w:rsid w:val="0D633C24"/>
    <w:rsid w:val="0D840089"/>
    <w:rsid w:val="0D8E04F1"/>
    <w:rsid w:val="0D904269"/>
    <w:rsid w:val="0DAC3EA8"/>
    <w:rsid w:val="0DB12659"/>
    <w:rsid w:val="0DBD0262"/>
    <w:rsid w:val="0DC61A39"/>
    <w:rsid w:val="0DF32607"/>
    <w:rsid w:val="0DFA4468"/>
    <w:rsid w:val="0DFC36AD"/>
    <w:rsid w:val="0DFD6180"/>
    <w:rsid w:val="0E107158"/>
    <w:rsid w:val="0E2A36F2"/>
    <w:rsid w:val="0E3348A1"/>
    <w:rsid w:val="0E510B0A"/>
    <w:rsid w:val="0E5C71D9"/>
    <w:rsid w:val="0E6F3A69"/>
    <w:rsid w:val="0E73034D"/>
    <w:rsid w:val="0E814D1D"/>
    <w:rsid w:val="0EA0228A"/>
    <w:rsid w:val="0EA7186A"/>
    <w:rsid w:val="0EAB6B37"/>
    <w:rsid w:val="0EAC6429"/>
    <w:rsid w:val="0EB237CD"/>
    <w:rsid w:val="0ECF42B5"/>
    <w:rsid w:val="0ED8690F"/>
    <w:rsid w:val="0EF81057"/>
    <w:rsid w:val="0F0B7E91"/>
    <w:rsid w:val="0F13775A"/>
    <w:rsid w:val="0F3C33C3"/>
    <w:rsid w:val="0F420447"/>
    <w:rsid w:val="0F5842CF"/>
    <w:rsid w:val="0F5F45FE"/>
    <w:rsid w:val="0F735212"/>
    <w:rsid w:val="0F7E390C"/>
    <w:rsid w:val="0F9A112B"/>
    <w:rsid w:val="0FA40C71"/>
    <w:rsid w:val="0FBE7F96"/>
    <w:rsid w:val="0FE3449A"/>
    <w:rsid w:val="0FE93152"/>
    <w:rsid w:val="0FEE39FB"/>
    <w:rsid w:val="0FF66EBC"/>
    <w:rsid w:val="1016091C"/>
    <w:rsid w:val="10433815"/>
    <w:rsid w:val="106D2F64"/>
    <w:rsid w:val="10B56EB1"/>
    <w:rsid w:val="10B63710"/>
    <w:rsid w:val="10F0383C"/>
    <w:rsid w:val="10F10820"/>
    <w:rsid w:val="111C2F7A"/>
    <w:rsid w:val="1122167C"/>
    <w:rsid w:val="112F0D98"/>
    <w:rsid w:val="11393235"/>
    <w:rsid w:val="11466AA4"/>
    <w:rsid w:val="11665CA1"/>
    <w:rsid w:val="116D7FB1"/>
    <w:rsid w:val="1183214F"/>
    <w:rsid w:val="118440E5"/>
    <w:rsid w:val="118F081A"/>
    <w:rsid w:val="11C66BAC"/>
    <w:rsid w:val="12240C4D"/>
    <w:rsid w:val="12535865"/>
    <w:rsid w:val="127563A0"/>
    <w:rsid w:val="1279351E"/>
    <w:rsid w:val="127C732A"/>
    <w:rsid w:val="12B16826"/>
    <w:rsid w:val="136441CE"/>
    <w:rsid w:val="13693592"/>
    <w:rsid w:val="137B0979"/>
    <w:rsid w:val="13951726"/>
    <w:rsid w:val="1399374C"/>
    <w:rsid w:val="13DA4490"/>
    <w:rsid w:val="141A488D"/>
    <w:rsid w:val="141C65F1"/>
    <w:rsid w:val="142379A2"/>
    <w:rsid w:val="14396509"/>
    <w:rsid w:val="14403941"/>
    <w:rsid w:val="144B713C"/>
    <w:rsid w:val="14507D3E"/>
    <w:rsid w:val="14874384"/>
    <w:rsid w:val="14CC1A93"/>
    <w:rsid w:val="14DD2C3C"/>
    <w:rsid w:val="14E9592D"/>
    <w:rsid w:val="150C6CE0"/>
    <w:rsid w:val="151076E3"/>
    <w:rsid w:val="151463C7"/>
    <w:rsid w:val="15884955"/>
    <w:rsid w:val="159021B4"/>
    <w:rsid w:val="15B72110"/>
    <w:rsid w:val="15C06D47"/>
    <w:rsid w:val="15C5699A"/>
    <w:rsid w:val="15F92CEB"/>
    <w:rsid w:val="16087E1D"/>
    <w:rsid w:val="160E416C"/>
    <w:rsid w:val="161377E5"/>
    <w:rsid w:val="165578F0"/>
    <w:rsid w:val="168129A1"/>
    <w:rsid w:val="16E41182"/>
    <w:rsid w:val="171B6ECA"/>
    <w:rsid w:val="17320D25"/>
    <w:rsid w:val="17393BB8"/>
    <w:rsid w:val="17457E73"/>
    <w:rsid w:val="17701D14"/>
    <w:rsid w:val="17735226"/>
    <w:rsid w:val="17A6237C"/>
    <w:rsid w:val="17BD7C74"/>
    <w:rsid w:val="17D82A95"/>
    <w:rsid w:val="17E31BD2"/>
    <w:rsid w:val="17F56A77"/>
    <w:rsid w:val="183D2B26"/>
    <w:rsid w:val="186D4D5D"/>
    <w:rsid w:val="18753FB7"/>
    <w:rsid w:val="188041FC"/>
    <w:rsid w:val="189837F8"/>
    <w:rsid w:val="189F624C"/>
    <w:rsid w:val="18D92F68"/>
    <w:rsid w:val="194859F8"/>
    <w:rsid w:val="19637EB1"/>
    <w:rsid w:val="19A45C5B"/>
    <w:rsid w:val="19BC102D"/>
    <w:rsid w:val="19EA107B"/>
    <w:rsid w:val="1A143B2C"/>
    <w:rsid w:val="1A1C66C0"/>
    <w:rsid w:val="1A1F2E70"/>
    <w:rsid w:val="1A42393B"/>
    <w:rsid w:val="1A491FFE"/>
    <w:rsid w:val="1A5B2DB5"/>
    <w:rsid w:val="1A766595"/>
    <w:rsid w:val="1A7A1882"/>
    <w:rsid w:val="1AAD45DE"/>
    <w:rsid w:val="1AB03E05"/>
    <w:rsid w:val="1AD42D15"/>
    <w:rsid w:val="1AE9431C"/>
    <w:rsid w:val="1AF26D6C"/>
    <w:rsid w:val="1B046F80"/>
    <w:rsid w:val="1B086E06"/>
    <w:rsid w:val="1B1F48E2"/>
    <w:rsid w:val="1B3267B5"/>
    <w:rsid w:val="1B40161D"/>
    <w:rsid w:val="1B441859"/>
    <w:rsid w:val="1B485100"/>
    <w:rsid w:val="1B6606B1"/>
    <w:rsid w:val="1BC752FA"/>
    <w:rsid w:val="1BD01A6A"/>
    <w:rsid w:val="1BD20669"/>
    <w:rsid w:val="1C0C40FC"/>
    <w:rsid w:val="1C1358B7"/>
    <w:rsid w:val="1C197B20"/>
    <w:rsid w:val="1C2017E4"/>
    <w:rsid w:val="1C3D2FE2"/>
    <w:rsid w:val="1C5E7925"/>
    <w:rsid w:val="1C7134B8"/>
    <w:rsid w:val="1C88046B"/>
    <w:rsid w:val="1CAB4C1C"/>
    <w:rsid w:val="1CBC4D67"/>
    <w:rsid w:val="1CFD070F"/>
    <w:rsid w:val="1D122F6D"/>
    <w:rsid w:val="1D1316E8"/>
    <w:rsid w:val="1D175E0D"/>
    <w:rsid w:val="1D3A40EA"/>
    <w:rsid w:val="1D5F6196"/>
    <w:rsid w:val="1D6132A5"/>
    <w:rsid w:val="1D6611AE"/>
    <w:rsid w:val="1D7960B0"/>
    <w:rsid w:val="1D8E56D5"/>
    <w:rsid w:val="1DBC4267"/>
    <w:rsid w:val="1E067C30"/>
    <w:rsid w:val="1E5D3CF4"/>
    <w:rsid w:val="1E7A43DA"/>
    <w:rsid w:val="1E834C72"/>
    <w:rsid w:val="1E9D2C31"/>
    <w:rsid w:val="1EA27958"/>
    <w:rsid w:val="1ECF3483"/>
    <w:rsid w:val="1ED27D5F"/>
    <w:rsid w:val="1EF35632"/>
    <w:rsid w:val="1F1E10DC"/>
    <w:rsid w:val="1F427DD9"/>
    <w:rsid w:val="1FA15E62"/>
    <w:rsid w:val="1FBC2A67"/>
    <w:rsid w:val="1FE7539E"/>
    <w:rsid w:val="20043BC6"/>
    <w:rsid w:val="20600C0B"/>
    <w:rsid w:val="20671BE0"/>
    <w:rsid w:val="206F4571"/>
    <w:rsid w:val="208E0AFB"/>
    <w:rsid w:val="20963CB8"/>
    <w:rsid w:val="20A21F12"/>
    <w:rsid w:val="20A81A1B"/>
    <w:rsid w:val="20B07FB6"/>
    <w:rsid w:val="20B646FB"/>
    <w:rsid w:val="20C86DCC"/>
    <w:rsid w:val="20D25E6C"/>
    <w:rsid w:val="20D61A5A"/>
    <w:rsid w:val="20DD4062"/>
    <w:rsid w:val="20E71004"/>
    <w:rsid w:val="211D776A"/>
    <w:rsid w:val="213B74B1"/>
    <w:rsid w:val="215A2310"/>
    <w:rsid w:val="21621418"/>
    <w:rsid w:val="218B174F"/>
    <w:rsid w:val="219B3C61"/>
    <w:rsid w:val="21C82A4D"/>
    <w:rsid w:val="21DE318A"/>
    <w:rsid w:val="21DE5D36"/>
    <w:rsid w:val="21EC0B91"/>
    <w:rsid w:val="21EF5B80"/>
    <w:rsid w:val="220516ED"/>
    <w:rsid w:val="22214E8B"/>
    <w:rsid w:val="22576990"/>
    <w:rsid w:val="225C596D"/>
    <w:rsid w:val="22A87B44"/>
    <w:rsid w:val="22CF7377"/>
    <w:rsid w:val="22D221CB"/>
    <w:rsid w:val="22DC398E"/>
    <w:rsid w:val="22DF2E6C"/>
    <w:rsid w:val="22E1320B"/>
    <w:rsid w:val="22F47480"/>
    <w:rsid w:val="23276D68"/>
    <w:rsid w:val="237B69CA"/>
    <w:rsid w:val="23A3516A"/>
    <w:rsid w:val="23C852A1"/>
    <w:rsid w:val="23DE1C48"/>
    <w:rsid w:val="240210CD"/>
    <w:rsid w:val="246D6DB3"/>
    <w:rsid w:val="24763566"/>
    <w:rsid w:val="2486131C"/>
    <w:rsid w:val="249318AF"/>
    <w:rsid w:val="24A1060E"/>
    <w:rsid w:val="24B03FEC"/>
    <w:rsid w:val="24B403E6"/>
    <w:rsid w:val="24BF09F7"/>
    <w:rsid w:val="24C305A6"/>
    <w:rsid w:val="24C56831"/>
    <w:rsid w:val="24CE594B"/>
    <w:rsid w:val="24E721C7"/>
    <w:rsid w:val="24E862E1"/>
    <w:rsid w:val="25246EFD"/>
    <w:rsid w:val="252D53FE"/>
    <w:rsid w:val="25944CA2"/>
    <w:rsid w:val="259F017E"/>
    <w:rsid w:val="25B64D4B"/>
    <w:rsid w:val="25BA5ED0"/>
    <w:rsid w:val="25CD4044"/>
    <w:rsid w:val="25D37F32"/>
    <w:rsid w:val="25EC2D81"/>
    <w:rsid w:val="26022801"/>
    <w:rsid w:val="26204162"/>
    <w:rsid w:val="26754E87"/>
    <w:rsid w:val="268017F6"/>
    <w:rsid w:val="26896F8C"/>
    <w:rsid w:val="268D50C1"/>
    <w:rsid w:val="26A10986"/>
    <w:rsid w:val="26B446CD"/>
    <w:rsid w:val="26B918B8"/>
    <w:rsid w:val="26D80E26"/>
    <w:rsid w:val="26E90C4E"/>
    <w:rsid w:val="270F5DA7"/>
    <w:rsid w:val="271F363E"/>
    <w:rsid w:val="273E4272"/>
    <w:rsid w:val="277057A2"/>
    <w:rsid w:val="27716A62"/>
    <w:rsid w:val="27786524"/>
    <w:rsid w:val="277D45DB"/>
    <w:rsid w:val="2785793C"/>
    <w:rsid w:val="27A02EA3"/>
    <w:rsid w:val="27A61D9F"/>
    <w:rsid w:val="27A85F06"/>
    <w:rsid w:val="27B239AE"/>
    <w:rsid w:val="27B254C3"/>
    <w:rsid w:val="27C013B1"/>
    <w:rsid w:val="27D71778"/>
    <w:rsid w:val="27E5475E"/>
    <w:rsid w:val="27F34465"/>
    <w:rsid w:val="28595625"/>
    <w:rsid w:val="28BF304F"/>
    <w:rsid w:val="28D80661"/>
    <w:rsid w:val="291476A5"/>
    <w:rsid w:val="29206EB8"/>
    <w:rsid w:val="292562B6"/>
    <w:rsid w:val="29595666"/>
    <w:rsid w:val="296028EA"/>
    <w:rsid w:val="29874881"/>
    <w:rsid w:val="29A90737"/>
    <w:rsid w:val="29E325E0"/>
    <w:rsid w:val="2A452503"/>
    <w:rsid w:val="2A457A67"/>
    <w:rsid w:val="2A763392"/>
    <w:rsid w:val="2A87609D"/>
    <w:rsid w:val="2A976733"/>
    <w:rsid w:val="2AB32EED"/>
    <w:rsid w:val="2AF91A98"/>
    <w:rsid w:val="2B5202B1"/>
    <w:rsid w:val="2B5B15BB"/>
    <w:rsid w:val="2B801B81"/>
    <w:rsid w:val="2B9E7541"/>
    <w:rsid w:val="2BA42DC4"/>
    <w:rsid w:val="2BA936A8"/>
    <w:rsid w:val="2BB0070D"/>
    <w:rsid w:val="2BB42DFF"/>
    <w:rsid w:val="2BB440E7"/>
    <w:rsid w:val="2BB60EE7"/>
    <w:rsid w:val="2BD3410D"/>
    <w:rsid w:val="2BDA6A14"/>
    <w:rsid w:val="2BE13AE1"/>
    <w:rsid w:val="2C0812BC"/>
    <w:rsid w:val="2C1A4694"/>
    <w:rsid w:val="2C1D0F66"/>
    <w:rsid w:val="2C2F6D80"/>
    <w:rsid w:val="2C315A5A"/>
    <w:rsid w:val="2C4B1C25"/>
    <w:rsid w:val="2C622D10"/>
    <w:rsid w:val="2C8402E5"/>
    <w:rsid w:val="2C9F4AD7"/>
    <w:rsid w:val="2CA92DCF"/>
    <w:rsid w:val="2CD61FB0"/>
    <w:rsid w:val="2CF9263C"/>
    <w:rsid w:val="2D25712D"/>
    <w:rsid w:val="2D527BAF"/>
    <w:rsid w:val="2D9E2EF0"/>
    <w:rsid w:val="2D9E56F5"/>
    <w:rsid w:val="2DA624F2"/>
    <w:rsid w:val="2DA6505B"/>
    <w:rsid w:val="2E007B92"/>
    <w:rsid w:val="2E38530E"/>
    <w:rsid w:val="2E496776"/>
    <w:rsid w:val="2E664D9E"/>
    <w:rsid w:val="2E667F96"/>
    <w:rsid w:val="2E8226AB"/>
    <w:rsid w:val="2E886266"/>
    <w:rsid w:val="2E99767C"/>
    <w:rsid w:val="2ECF3BF0"/>
    <w:rsid w:val="2EFF1945"/>
    <w:rsid w:val="2F083808"/>
    <w:rsid w:val="2F084123"/>
    <w:rsid w:val="2F141827"/>
    <w:rsid w:val="2F1E030A"/>
    <w:rsid w:val="2F6173BC"/>
    <w:rsid w:val="2F7A239C"/>
    <w:rsid w:val="2F94493E"/>
    <w:rsid w:val="2FA032A8"/>
    <w:rsid w:val="2FB120F1"/>
    <w:rsid w:val="2FB31BE0"/>
    <w:rsid w:val="2FB31D6C"/>
    <w:rsid w:val="2FC376E5"/>
    <w:rsid w:val="2FD065E6"/>
    <w:rsid w:val="2FD6237A"/>
    <w:rsid w:val="2FD96870"/>
    <w:rsid w:val="302E5CD8"/>
    <w:rsid w:val="30580BC9"/>
    <w:rsid w:val="305B624D"/>
    <w:rsid w:val="30631457"/>
    <w:rsid w:val="30821B5C"/>
    <w:rsid w:val="309C4B4F"/>
    <w:rsid w:val="30A05CC2"/>
    <w:rsid w:val="30A22051"/>
    <w:rsid w:val="30C50109"/>
    <w:rsid w:val="30C91462"/>
    <w:rsid w:val="30D00355"/>
    <w:rsid w:val="30F46739"/>
    <w:rsid w:val="30F7693A"/>
    <w:rsid w:val="30F84A1B"/>
    <w:rsid w:val="31051496"/>
    <w:rsid w:val="311E2ED7"/>
    <w:rsid w:val="315619EE"/>
    <w:rsid w:val="315C449C"/>
    <w:rsid w:val="31790B2C"/>
    <w:rsid w:val="31AA504A"/>
    <w:rsid w:val="31B82709"/>
    <w:rsid w:val="31D05482"/>
    <w:rsid w:val="31D909A0"/>
    <w:rsid w:val="31E27622"/>
    <w:rsid w:val="31E95F2C"/>
    <w:rsid w:val="32280BEC"/>
    <w:rsid w:val="322E454A"/>
    <w:rsid w:val="32400B34"/>
    <w:rsid w:val="32897B2A"/>
    <w:rsid w:val="329E6876"/>
    <w:rsid w:val="330C0FF8"/>
    <w:rsid w:val="330F16FF"/>
    <w:rsid w:val="330F4227"/>
    <w:rsid w:val="332A091D"/>
    <w:rsid w:val="332D7CE1"/>
    <w:rsid w:val="333015F2"/>
    <w:rsid w:val="333C7B51"/>
    <w:rsid w:val="334B6320"/>
    <w:rsid w:val="33667859"/>
    <w:rsid w:val="33694ECA"/>
    <w:rsid w:val="33C7374A"/>
    <w:rsid w:val="33D713A7"/>
    <w:rsid w:val="33D934D4"/>
    <w:rsid w:val="33F71E1E"/>
    <w:rsid w:val="33FE2F6A"/>
    <w:rsid w:val="340D0144"/>
    <w:rsid w:val="340E07E5"/>
    <w:rsid w:val="341449FD"/>
    <w:rsid w:val="341C0C24"/>
    <w:rsid w:val="34235BF7"/>
    <w:rsid w:val="34366C11"/>
    <w:rsid w:val="34643D42"/>
    <w:rsid w:val="346D7F46"/>
    <w:rsid w:val="34A51E43"/>
    <w:rsid w:val="34DE05A8"/>
    <w:rsid w:val="357945E5"/>
    <w:rsid w:val="358C5FA8"/>
    <w:rsid w:val="35B4454E"/>
    <w:rsid w:val="35C15DF1"/>
    <w:rsid w:val="35EA791D"/>
    <w:rsid w:val="35EB74C6"/>
    <w:rsid w:val="35FC59CA"/>
    <w:rsid w:val="36074A7F"/>
    <w:rsid w:val="360E3985"/>
    <w:rsid w:val="3670118D"/>
    <w:rsid w:val="36923549"/>
    <w:rsid w:val="36B64719"/>
    <w:rsid w:val="36B75FBF"/>
    <w:rsid w:val="36BD0C45"/>
    <w:rsid w:val="36D45493"/>
    <w:rsid w:val="37265C89"/>
    <w:rsid w:val="375F3092"/>
    <w:rsid w:val="37602012"/>
    <w:rsid w:val="3769169A"/>
    <w:rsid w:val="37BE3EFE"/>
    <w:rsid w:val="37D76629"/>
    <w:rsid w:val="37E00298"/>
    <w:rsid w:val="37E25A58"/>
    <w:rsid w:val="3807235E"/>
    <w:rsid w:val="38302627"/>
    <w:rsid w:val="3837071E"/>
    <w:rsid w:val="384B5BCC"/>
    <w:rsid w:val="384F1592"/>
    <w:rsid w:val="38572095"/>
    <w:rsid w:val="38B302F9"/>
    <w:rsid w:val="38BC6C05"/>
    <w:rsid w:val="38BF3C54"/>
    <w:rsid w:val="38CA5FD2"/>
    <w:rsid w:val="38EF36EF"/>
    <w:rsid w:val="38F12CD3"/>
    <w:rsid w:val="38F66FC2"/>
    <w:rsid w:val="38F94775"/>
    <w:rsid w:val="392971ED"/>
    <w:rsid w:val="39311E3A"/>
    <w:rsid w:val="39325651"/>
    <w:rsid w:val="395214DA"/>
    <w:rsid w:val="395E7D16"/>
    <w:rsid w:val="397C551E"/>
    <w:rsid w:val="397F500E"/>
    <w:rsid w:val="398D0B4E"/>
    <w:rsid w:val="399E3F8A"/>
    <w:rsid w:val="39A100E3"/>
    <w:rsid w:val="39A94468"/>
    <w:rsid w:val="39BD3DA7"/>
    <w:rsid w:val="39E6087D"/>
    <w:rsid w:val="3A3A0575"/>
    <w:rsid w:val="3A5D43AD"/>
    <w:rsid w:val="3A7915F2"/>
    <w:rsid w:val="3A872856"/>
    <w:rsid w:val="3A8E169C"/>
    <w:rsid w:val="3AA17F6B"/>
    <w:rsid w:val="3AC72F22"/>
    <w:rsid w:val="3ACA4067"/>
    <w:rsid w:val="3B3763D1"/>
    <w:rsid w:val="3B3855C2"/>
    <w:rsid w:val="3B4815F8"/>
    <w:rsid w:val="3B857D57"/>
    <w:rsid w:val="3BE30CA3"/>
    <w:rsid w:val="3C17375E"/>
    <w:rsid w:val="3C1C0666"/>
    <w:rsid w:val="3C2F6E1E"/>
    <w:rsid w:val="3C3A5584"/>
    <w:rsid w:val="3C455B7B"/>
    <w:rsid w:val="3C4B5C8C"/>
    <w:rsid w:val="3C4F64BA"/>
    <w:rsid w:val="3C9B7F6A"/>
    <w:rsid w:val="3CDA245A"/>
    <w:rsid w:val="3D0A0A1F"/>
    <w:rsid w:val="3D1E06B7"/>
    <w:rsid w:val="3D8E75CE"/>
    <w:rsid w:val="3DAC4155"/>
    <w:rsid w:val="3DF15DAF"/>
    <w:rsid w:val="3E1C0D69"/>
    <w:rsid w:val="3E1D7F61"/>
    <w:rsid w:val="3E2148E6"/>
    <w:rsid w:val="3E2207F6"/>
    <w:rsid w:val="3E265A58"/>
    <w:rsid w:val="3E28568B"/>
    <w:rsid w:val="3E3C5675"/>
    <w:rsid w:val="3E4C4F9C"/>
    <w:rsid w:val="3E583E58"/>
    <w:rsid w:val="3E934A22"/>
    <w:rsid w:val="3E9F147B"/>
    <w:rsid w:val="3EBF23B6"/>
    <w:rsid w:val="3ECF5CF6"/>
    <w:rsid w:val="3EDA0523"/>
    <w:rsid w:val="3EE953E0"/>
    <w:rsid w:val="3EEF0184"/>
    <w:rsid w:val="3EF31818"/>
    <w:rsid w:val="3F08216E"/>
    <w:rsid w:val="3F10212B"/>
    <w:rsid w:val="3F305B50"/>
    <w:rsid w:val="3F365A5E"/>
    <w:rsid w:val="3F4257CA"/>
    <w:rsid w:val="3F45482E"/>
    <w:rsid w:val="3F527CCA"/>
    <w:rsid w:val="3F6251B6"/>
    <w:rsid w:val="3F786887"/>
    <w:rsid w:val="3FA96941"/>
    <w:rsid w:val="3FB15F16"/>
    <w:rsid w:val="401C6509"/>
    <w:rsid w:val="401D10DD"/>
    <w:rsid w:val="402414FF"/>
    <w:rsid w:val="40381DD6"/>
    <w:rsid w:val="404B3BBD"/>
    <w:rsid w:val="40657EF7"/>
    <w:rsid w:val="407A6407"/>
    <w:rsid w:val="407A65F4"/>
    <w:rsid w:val="40934073"/>
    <w:rsid w:val="40AB5128"/>
    <w:rsid w:val="40C14718"/>
    <w:rsid w:val="40DD6E9D"/>
    <w:rsid w:val="40E80114"/>
    <w:rsid w:val="41142B73"/>
    <w:rsid w:val="412521B3"/>
    <w:rsid w:val="4129607E"/>
    <w:rsid w:val="416C561F"/>
    <w:rsid w:val="41987F6D"/>
    <w:rsid w:val="41A251B4"/>
    <w:rsid w:val="41B0748D"/>
    <w:rsid w:val="41CE6B33"/>
    <w:rsid w:val="41D34DD1"/>
    <w:rsid w:val="41DC5013"/>
    <w:rsid w:val="41EB71EB"/>
    <w:rsid w:val="41EE4ADF"/>
    <w:rsid w:val="41F37AC2"/>
    <w:rsid w:val="4200449D"/>
    <w:rsid w:val="422706E3"/>
    <w:rsid w:val="423A3BCC"/>
    <w:rsid w:val="4246203E"/>
    <w:rsid w:val="424E57D2"/>
    <w:rsid w:val="42535421"/>
    <w:rsid w:val="427412F5"/>
    <w:rsid w:val="42755BA1"/>
    <w:rsid w:val="42832E56"/>
    <w:rsid w:val="42B26C49"/>
    <w:rsid w:val="42B45D29"/>
    <w:rsid w:val="42D57A4D"/>
    <w:rsid w:val="42EC4206"/>
    <w:rsid w:val="42F24A9E"/>
    <w:rsid w:val="42F90864"/>
    <w:rsid w:val="433A6FE6"/>
    <w:rsid w:val="43480868"/>
    <w:rsid w:val="434E07ED"/>
    <w:rsid w:val="4350713C"/>
    <w:rsid w:val="436653E0"/>
    <w:rsid w:val="43896E3F"/>
    <w:rsid w:val="439416B6"/>
    <w:rsid w:val="439D6344"/>
    <w:rsid w:val="43C4431A"/>
    <w:rsid w:val="43C6581B"/>
    <w:rsid w:val="43CF26EE"/>
    <w:rsid w:val="43DA44A5"/>
    <w:rsid w:val="43DC1687"/>
    <w:rsid w:val="43FE4B66"/>
    <w:rsid w:val="43FF1225"/>
    <w:rsid w:val="443F0C42"/>
    <w:rsid w:val="44472EDA"/>
    <w:rsid w:val="448365F0"/>
    <w:rsid w:val="448F7007"/>
    <w:rsid w:val="44997ACB"/>
    <w:rsid w:val="44B951CC"/>
    <w:rsid w:val="44BD4C26"/>
    <w:rsid w:val="44CD14E0"/>
    <w:rsid w:val="44F20B0B"/>
    <w:rsid w:val="450E02F1"/>
    <w:rsid w:val="452E5F4C"/>
    <w:rsid w:val="45612018"/>
    <w:rsid w:val="458946E9"/>
    <w:rsid w:val="45A47C0E"/>
    <w:rsid w:val="45AC635D"/>
    <w:rsid w:val="45D3296A"/>
    <w:rsid w:val="462A58EF"/>
    <w:rsid w:val="46577FD6"/>
    <w:rsid w:val="46594306"/>
    <w:rsid w:val="46652DCE"/>
    <w:rsid w:val="46893B07"/>
    <w:rsid w:val="469464ED"/>
    <w:rsid w:val="4699366B"/>
    <w:rsid w:val="46B74385"/>
    <w:rsid w:val="46BC5EB3"/>
    <w:rsid w:val="46D955A7"/>
    <w:rsid w:val="46F95548"/>
    <w:rsid w:val="470F0DFB"/>
    <w:rsid w:val="47133957"/>
    <w:rsid w:val="47642B69"/>
    <w:rsid w:val="476A0343"/>
    <w:rsid w:val="478C3F2D"/>
    <w:rsid w:val="47A07E0C"/>
    <w:rsid w:val="47A331A5"/>
    <w:rsid w:val="47B2416D"/>
    <w:rsid w:val="47B5582E"/>
    <w:rsid w:val="47D6754C"/>
    <w:rsid w:val="47E21344"/>
    <w:rsid w:val="47F16D30"/>
    <w:rsid w:val="47FB383F"/>
    <w:rsid w:val="484E4529"/>
    <w:rsid w:val="4870272E"/>
    <w:rsid w:val="487D6BBD"/>
    <w:rsid w:val="48CC3B08"/>
    <w:rsid w:val="48CE4910"/>
    <w:rsid w:val="49033A22"/>
    <w:rsid w:val="491503F7"/>
    <w:rsid w:val="492514EC"/>
    <w:rsid w:val="493C6A78"/>
    <w:rsid w:val="493D0D9F"/>
    <w:rsid w:val="494224DF"/>
    <w:rsid w:val="496F2E06"/>
    <w:rsid w:val="49741A38"/>
    <w:rsid w:val="49750012"/>
    <w:rsid w:val="49753D38"/>
    <w:rsid w:val="49A43AF3"/>
    <w:rsid w:val="49BE3973"/>
    <w:rsid w:val="49C95408"/>
    <w:rsid w:val="49DC7715"/>
    <w:rsid w:val="49E57CB8"/>
    <w:rsid w:val="49E6619A"/>
    <w:rsid w:val="49EC224C"/>
    <w:rsid w:val="4A023139"/>
    <w:rsid w:val="4A13211E"/>
    <w:rsid w:val="4A1E63E9"/>
    <w:rsid w:val="4A3036C1"/>
    <w:rsid w:val="4A45195C"/>
    <w:rsid w:val="4A5551B9"/>
    <w:rsid w:val="4A5A67DD"/>
    <w:rsid w:val="4A5D2427"/>
    <w:rsid w:val="4A6D4A0F"/>
    <w:rsid w:val="4A6F2535"/>
    <w:rsid w:val="4A7B576F"/>
    <w:rsid w:val="4A82374C"/>
    <w:rsid w:val="4A925E92"/>
    <w:rsid w:val="4AF561A9"/>
    <w:rsid w:val="4B0B204A"/>
    <w:rsid w:val="4B134641"/>
    <w:rsid w:val="4B194F4C"/>
    <w:rsid w:val="4B1A4B97"/>
    <w:rsid w:val="4B4120C2"/>
    <w:rsid w:val="4B481971"/>
    <w:rsid w:val="4B7524D4"/>
    <w:rsid w:val="4B7B79AF"/>
    <w:rsid w:val="4B977527"/>
    <w:rsid w:val="4BBD5522"/>
    <w:rsid w:val="4BE66C01"/>
    <w:rsid w:val="4C1E31AA"/>
    <w:rsid w:val="4C4A0649"/>
    <w:rsid w:val="4C6244F4"/>
    <w:rsid w:val="4C712030"/>
    <w:rsid w:val="4C7E5ECA"/>
    <w:rsid w:val="4C8279A0"/>
    <w:rsid w:val="4C861A40"/>
    <w:rsid w:val="4C876AA5"/>
    <w:rsid w:val="4C9D5CFE"/>
    <w:rsid w:val="4CAA019C"/>
    <w:rsid w:val="4CB30CC7"/>
    <w:rsid w:val="4CC0224B"/>
    <w:rsid w:val="4CE23492"/>
    <w:rsid w:val="4D0C6761"/>
    <w:rsid w:val="4D0E00FB"/>
    <w:rsid w:val="4D176606"/>
    <w:rsid w:val="4D184030"/>
    <w:rsid w:val="4D1F04EA"/>
    <w:rsid w:val="4D2D62A3"/>
    <w:rsid w:val="4D890A38"/>
    <w:rsid w:val="4DC70F72"/>
    <w:rsid w:val="4DD30376"/>
    <w:rsid w:val="4DE67188"/>
    <w:rsid w:val="4DEC4FB0"/>
    <w:rsid w:val="4DFC5678"/>
    <w:rsid w:val="4E075D8A"/>
    <w:rsid w:val="4E0C07CA"/>
    <w:rsid w:val="4E3929EB"/>
    <w:rsid w:val="4E524648"/>
    <w:rsid w:val="4E5B4F82"/>
    <w:rsid w:val="4E7F1ABF"/>
    <w:rsid w:val="4E9A4EE0"/>
    <w:rsid w:val="4E9C3B15"/>
    <w:rsid w:val="4EA07161"/>
    <w:rsid w:val="4EAC3D58"/>
    <w:rsid w:val="4EBE383F"/>
    <w:rsid w:val="4EC00FAD"/>
    <w:rsid w:val="4ED212E5"/>
    <w:rsid w:val="4F1307D5"/>
    <w:rsid w:val="4F14001F"/>
    <w:rsid w:val="4F1F2582"/>
    <w:rsid w:val="4F2B795A"/>
    <w:rsid w:val="4F3E2B01"/>
    <w:rsid w:val="4F4E4E0F"/>
    <w:rsid w:val="4F5A08DF"/>
    <w:rsid w:val="4F693E71"/>
    <w:rsid w:val="4F9843DC"/>
    <w:rsid w:val="4FC62A8C"/>
    <w:rsid w:val="4FD25A40"/>
    <w:rsid w:val="4FD46FD4"/>
    <w:rsid w:val="4FD863CB"/>
    <w:rsid w:val="4FE20F0D"/>
    <w:rsid w:val="4FE51552"/>
    <w:rsid w:val="4FEF27CF"/>
    <w:rsid w:val="4FFA4F97"/>
    <w:rsid w:val="502142D2"/>
    <w:rsid w:val="5044744B"/>
    <w:rsid w:val="50504C4B"/>
    <w:rsid w:val="50685E16"/>
    <w:rsid w:val="506A5C5F"/>
    <w:rsid w:val="509C6E7C"/>
    <w:rsid w:val="50A4078B"/>
    <w:rsid w:val="50AA1EB9"/>
    <w:rsid w:val="50B2343B"/>
    <w:rsid w:val="50C3182D"/>
    <w:rsid w:val="50CA036D"/>
    <w:rsid w:val="50D56C11"/>
    <w:rsid w:val="51132A40"/>
    <w:rsid w:val="51313E5B"/>
    <w:rsid w:val="514209A3"/>
    <w:rsid w:val="5162104E"/>
    <w:rsid w:val="517D2D8A"/>
    <w:rsid w:val="518035FA"/>
    <w:rsid w:val="51B3395D"/>
    <w:rsid w:val="51BE6A9C"/>
    <w:rsid w:val="51C445AB"/>
    <w:rsid w:val="5217598C"/>
    <w:rsid w:val="525B431E"/>
    <w:rsid w:val="52732719"/>
    <w:rsid w:val="527F63E5"/>
    <w:rsid w:val="528643B9"/>
    <w:rsid w:val="5294763D"/>
    <w:rsid w:val="52A644BE"/>
    <w:rsid w:val="52BA7FF7"/>
    <w:rsid w:val="52DA1E30"/>
    <w:rsid w:val="530F3707"/>
    <w:rsid w:val="533B1B4E"/>
    <w:rsid w:val="53700CCB"/>
    <w:rsid w:val="538B11BD"/>
    <w:rsid w:val="53935EF4"/>
    <w:rsid w:val="53972BE2"/>
    <w:rsid w:val="53A039CC"/>
    <w:rsid w:val="53A1505A"/>
    <w:rsid w:val="53AB0A82"/>
    <w:rsid w:val="53C43B4A"/>
    <w:rsid w:val="53CB000B"/>
    <w:rsid w:val="53CF4D5F"/>
    <w:rsid w:val="53D00022"/>
    <w:rsid w:val="54063E08"/>
    <w:rsid w:val="540852BF"/>
    <w:rsid w:val="540D7087"/>
    <w:rsid w:val="54341624"/>
    <w:rsid w:val="543437E8"/>
    <w:rsid w:val="543E0DCC"/>
    <w:rsid w:val="54416DE8"/>
    <w:rsid w:val="544A7FF6"/>
    <w:rsid w:val="54676C55"/>
    <w:rsid w:val="546A4D26"/>
    <w:rsid w:val="546E328B"/>
    <w:rsid w:val="54705701"/>
    <w:rsid w:val="54837309"/>
    <w:rsid w:val="54BB1FA4"/>
    <w:rsid w:val="54D63DF6"/>
    <w:rsid w:val="54F73313"/>
    <w:rsid w:val="54F80955"/>
    <w:rsid w:val="552B174F"/>
    <w:rsid w:val="555170A7"/>
    <w:rsid w:val="55627866"/>
    <w:rsid w:val="55655DDB"/>
    <w:rsid w:val="5587536D"/>
    <w:rsid w:val="558903AA"/>
    <w:rsid w:val="559B174B"/>
    <w:rsid w:val="55A0759B"/>
    <w:rsid w:val="55CE0CF4"/>
    <w:rsid w:val="55DD0C9B"/>
    <w:rsid w:val="560145DA"/>
    <w:rsid w:val="56017A3B"/>
    <w:rsid w:val="56101F2F"/>
    <w:rsid w:val="56350AD7"/>
    <w:rsid w:val="565F2201"/>
    <w:rsid w:val="56612DD5"/>
    <w:rsid w:val="567F77D7"/>
    <w:rsid w:val="56B22A9C"/>
    <w:rsid w:val="56D976B4"/>
    <w:rsid w:val="56DC15F1"/>
    <w:rsid w:val="56FA170A"/>
    <w:rsid w:val="56FA5424"/>
    <w:rsid w:val="5714379A"/>
    <w:rsid w:val="572823EA"/>
    <w:rsid w:val="574F48F8"/>
    <w:rsid w:val="575B4FB5"/>
    <w:rsid w:val="575D4617"/>
    <w:rsid w:val="57A6578D"/>
    <w:rsid w:val="57B72A76"/>
    <w:rsid w:val="57C04E79"/>
    <w:rsid w:val="57C3426C"/>
    <w:rsid w:val="57CB0665"/>
    <w:rsid w:val="57CE1F93"/>
    <w:rsid w:val="58067FE4"/>
    <w:rsid w:val="58236986"/>
    <w:rsid w:val="584E7C2E"/>
    <w:rsid w:val="588743D1"/>
    <w:rsid w:val="5887701A"/>
    <w:rsid w:val="5890055A"/>
    <w:rsid w:val="58915A54"/>
    <w:rsid w:val="589C52E0"/>
    <w:rsid w:val="58B41BF5"/>
    <w:rsid w:val="58FD3402"/>
    <w:rsid w:val="5906737F"/>
    <w:rsid w:val="59526D3A"/>
    <w:rsid w:val="59534047"/>
    <w:rsid w:val="59995821"/>
    <w:rsid w:val="59B50C6B"/>
    <w:rsid w:val="59B64B36"/>
    <w:rsid w:val="59C0439F"/>
    <w:rsid w:val="59C76F8F"/>
    <w:rsid w:val="59CC3500"/>
    <w:rsid w:val="59D75633"/>
    <w:rsid w:val="5A2D3058"/>
    <w:rsid w:val="5A4A548B"/>
    <w:rsid w:val="5A4E2167"/>
    <w:rsid w:val="5A53777D"/>
    <w:rsid w:val="5A820063"/>
    <w:rsid w:val="5A883DC9"/>
    <w:rsid w:val="5ABE2233"/>
    <w:rsid w:val="5ACA6A3C"/>
    <w:rsid w:val="5B0D7D83"/>
    <w:rsid w:val="5BA71CCA"/>
    <w:rsid w:val="5BA80916"/>
    <w:rsid w:val="5BC12EF0"/>
    <w:rsid w:val="5BC75919"/>
    <w:rsid w:val="5BDF5D95"/>
    <w:rsid w:val="5BF54C70"/>
    <w:rsid w:val="5BFE7528"/>
    <w:rsid w:val="5C330298"/>
    <w:rsid w:val="5C483727"/>
    <w:rsid w:val="5C5617A7"/>
    <w:rsid w:val="5D0C1C1B"/>
    <w:rsid w:val="5D203C75"/>
    <w:rsid w:val="5D4F58EB"/>
    <w:rsid w:val="5D535812"/>
    <w:rsid w:val="5D6E287A"/>
    <w:rsid w:val="5D8A1A5B"/>
    <w:rsid w:val="5D980A18"/>
    <w:rsid w:val="5DB66536"/>
    <w:rsid w:val="5DBF43F6"/>
    <w:rsid w:val="5DD45079"/>
    <w:rsid w:val="5DDF47D8"/>
    <w:rsid w:val="5DF26F75"/>
    <w:rsid w:val="5DF40215"/>
    <w:rsid w:val="5E055A2C"/>
    <w:rsid w:val="5E1D4155"/>
    <w:rsid w:val="5E2467F1"/>
    <w:rsid w:val="5E374633"/>
    <w:rsid w:val="5E6C4B68"/>
    <w:rsid w:val="5E712C9F"/>
    <w:rsid w:val="5E9A077C"/>
    <w:rsid w:val="5EAC1B52"/>
    <w:rsid w:val="5EC96260"/>
    <w:rsid w:val="5ECC0E4A"/>
    <w:rsid w:val="5ED748BF"/>
    <w:rsid w:val="5EF46062"/>
    <w:rsid w:val="5F143B7A"/>
    <w:rsid w:val="5F1A2B43"/>
    <w:rsid w:val="5F3B0C81"/>
    <w:rsid w:val="5F654690"/>
    <w:rsid w:val="5F775CBC"/>
    <w:rsid w:val="5F840719"/>
    <w:rsid w:val="5FB67DC2"/>
    <w:rsid w:val="5FB837BB"/>
    <w:rsid w:val="60026112"/>
    <w:rsid w:val="60032F94"/>
    <w:rsid w:val="6008100A"/>
    <w:rsid w:val="60122975"/>
    <w:rsid w:val="603C3064"/>
    <w:rsid w:val="60953FFB"/>
    <w:rsid w:val="60CC405A"/>
    <w:rsid w:val="611561AE"/>
    <w:rsid w:val="61185177"/>
    <w:rsid w:val="61522052"/>
    <w:rsid w:val="61993472"/>
    <w:rsid w:val="61BB27C1"/>
    <w:rsid w:val="61E215D8"/>
    <w:rsid w:val="621B3775"/>
    <w:rsid w:val="621E3EBC"/>
    <w:rsid w:val="622B368F"/>
    <w:rsid w:val="62351364"/>
    <w:rsid w:val="62364782"/>
    <w:rsid w:val="627B1DB5"/>
    <w:rsid w:val="62876C8A"/>
    <w:rsid w:val="629238D0"/>
    <w:rsid w:val="62D55C1C"/>
    <w:rsid w:val="62FA2DB1"/>
    <w:rsid w:val="63005835"/>
    <w:rsid w:val="632239E5"/>
    <w:rsid w:val="63581709"/>
    <w:rsid w:val="6394356A"/>
    <w:rsid w:val="639A303C"/>
    <w:rsid w:val="63C61B2C"/>
    <w:rsid w:val="63D40BE9"/>
    <w:rsid w:val="63E36016"/>
    <w:rsid w:val="63F45964"/>
    <w:rsid w:val="64102431"/>
    <w:rsid w:val="641948FB"/>
    <w:rsid w:val="64264155"/>
    <w:rsid w:val="6445282D"/>
    <w:rsid w:val="645A070C"/>
    <w:rsid w:val="6489157D"/>
    <w:rsid w:val="648C2001"/>
    <w:rsid w:val="64946690"/>
    <w:rsid w:val="64A5243A"/>
    <w:rsid w:val="64C33752"/>
    <w:rsid w:val="64DC3C48"/>
    <w:rsid w:val="64E33DF4"/>
    <w:rsid w:val="64F531DE"/>
    <w:rsid w:val="650E35CB"/>
    <w:rsid w:val="65373578"/>
    <w:rsid w:val="653B27AC"/>
    <w:rsid w:val="65464D59"/>
    <w:rsid w:val="655E7A09"/>
    <w:rsid w:val="658E3D60"/>
    <w:rsid w:val="65CA3F03"/>
    <w:rsid w:val="66311304"/>
    <w:rsid w:val="663C33DA"/>
    <w:rsid w:val="66507267"/>
    <w:rsid w:val="667354DB"/>
    <w:rsid w:val="668A3BC1"/>
    <w:rsid w:val="66E14C58"/>
    <w:rsid w:val="671F124A"/>
    <w:rsid w:val="67281D73"/>
    <w:rsid w:val="673E5311"/>
    <w:rsid w:val="677A33C6"/>
    <w:rsid w:val="67A254AF"/>
    <w:rsid w:val="67A27F96"/>
    <w:rsid w:val="67BC3137"/>
    <w:rsid w:val="67CF0CE4"/>
    <w:rsid w:val="67D25675"/>
    <w:rsid w:val="67D4542D"/>
    <w:rsid w:val="67DC234C"/>
    <w:rsid w:val="67EE02D3"/>
    <w:rsid w:val="67F9234D"/>
    <w:rsid w:val="681F6961"/>
    <w:rsid w:val="684823E6"/>
    <w:rsid w:val="685166B2"/>
    <w:rsid w:val="685968A7"/>
    <w:rsid w:val="68610A2F"/>
    <w:rsid w:val="68703BF0"/>
    <w:rsid w:val="68805514"/>
    <w:rsid w:val="68A13DAA"/>
    <w:rsid w:val="68DB3B49"/>
    <w:rsid w:val="68E36170"/>
    <w:rsid w:val="68FA6A99"/>
    <w:rsid w:val="691441D6"/>
    <w:rsid w:val="69316E2F"/>
    <w:rsid w:val="6941668D"/>
    <w:rsid w:val="694D1EF5"/>
    <w:rsid w:val="694E2071"/>
    <w:rsid w:val="69766163"/>
    <w:rsid w:val="697A3B33"/>
    <w:rsid w:val="698A0BF2"/>
    <w:rsid w:val="699D0A15"/>
    <w:rsid w:val="69CA24B5"/>
    <w:rsid w:val="69D44760"/>
    <w:rsid w:val="69D510E1"/>
    <w:rsid w:val="69DE2E1C"/>
    <w:rsid w:val="6A2730CF"/>
    <w:rsid w:val="6A384DED"/>
    <w:rsid w:val="6A520EC7"/>
    <w:rsid w:val="6A6B508C"/>
    <w:rsid w:val="6A8A5A9F"/>
    <w:rsid w:val="6A902A03"/>
    <w:rsid w:val="6AB21C0E"/>
    <w:rsid w:val="6ACB7804"/>
    <w:rsid w:val="6AE040BD"/>
    <w:rsid w:val="6AF87E20"/>
    <w:rsid w:val="6AFE3DEE"/>
    <w:rsid w:val="6B322639"/>
    <w:rsid w:val="6B765B75"/>
    <w:rsid w:val="6BBD3F31"/>
    <w:rsid w:val="6BDE1E9C"/>
    <w:rsid w:val="6BF52045"/>
    <w:rsid w:val="6C636C38"/>
    <w:rsid w:val="6C85112B"/>
    <w:rsid w:val="6C8C0B02"/>
    <w:rsid w:val="6C8C4DFA"/>
    <w:rsid w:val="6CB06CB1"/>
    <w:rsid w:val="6CB542C8"/>
    <w:rsid w:val="6CF10002"/>
    <w:rsid w:val="6CF14CC8"/>
    <w:rsid w:val="6D016014"/>
    <w:rsid w:val="6D0A2E73"/>
    <w:rsid w:val="6D0C6233"/>
    <w:rsid w:val="6D3E078B"/>
    <w:rsid w:val="6D471016"/>
    <w:rsid w:val="6D526817"/>
    <w:rsid w:val="6D8B62EE"/>
    <w:rsid w:val="6D942805"/>
    <w:rsid w:val="6DB34098"/>
    <w:rsid w:val="6DB545B6"/>
    <w:rsid w:val="6DCA5B51"/>
    <w:rsid w:val="6DD52CA1"/>
    <w:rsid w:val="6DD82315"/>
    <w:rsid w:val="6DE02FB4"/>
    <w:rsid w:val="6DEB57EC"/>
    <w:rsid w:val="6E514CED"/>
    <w:rsid w:val="6E6D5FE7"/>
    <w:rsid w:val="6EB563D5"/>
    <w:rsid w:val="6EB64310"/>
    <w:rsid w:val="6ED92677"/>
    <w:rsid w:val="6EE008AD"/>
    <w:rsid w:val="6F10611E"/>
    <w:rsid w:val="6F225983"/>
    <w:rsid w:val="6F254D36"/>
    <w:rsid w:val="6F4B4941"/>
    <w:rsid w:val="6F76030E"/>
    <w:rsid w:val="6F937017"/>
    <w:rsid w:val="6FB90D9A"/>
    <w:rsid w:val="6FD47011"/>
    <w:rsid w:val="6FF13869"/>
    <w:rsid w:val="6FFC5590"/>
    <w:rsid w:val="701B787F"/>
    <w:rsid w:val="701E6CED"/>
    <w:rsid w:val="70645DE9"/>
    <w:rsid w:val="706D1DD0"/>
    <w:rsid w:val="7078022E"/>
    <w:rsid w:val="70856B87"/>
    <w:rsid w:val="70D527EE"/>
    <w:rsid w:val="70E8640E"/>
    <w:rsid w:val="70F21646"/>
    <w:rsid w:val="70FE48E0"/>
    <w:rsid w:val="71066F02"/>
    <w:rsid w:val="710B1590"/>
    <w:rsid w:val="71220684"/>
    <w:rsid w:val="71591F6A"/>
    <w:rsid w:val="715B5300"/>
    <w:rsid w:val="719B3940"/>
    <w:rsid w:val="71A31B56"/>
    <w:rsid w:val="71D27F8A"/>
    <w:rsid w:val="72451C4A"/>
    <w:rsid w:val="72552BD8"/>
    <w:rsid w:val="72553024"/>
    <w:rsid w:val="72640322"/>
    <w:rsid w:val="72666734"/>
    <w:rsid w:val="72A911B4"/>
    <w:rsid w:val="73044F29"/>
    <w:rsid w:val="73122968"/>
    <w:rsid w:val="731F5D5E"/>
    <w:rsid w:val="73325CDB"/>
    <w:rsid w:val="73452683"/>
    <w:rsid w:val="73635D7F"/>
    <w:rsid w:val="73644352"/>
    <w:rsid w:val="7371222A"/>
    <w:rsid w:val="7377413B"/>
    <w:rsid w:val="73B37250"/>
    <w:rsid w:val="73C51AD5"/>
    <w:rsid w:val="73CF2113"/>
    <w:rsid w:val="74125E4D"/>
    <w:rsid w:val="741E793C"/>
    <w:rsid w:val="744E128A"/>
    <w:rsid w:val="745E3944"/>
    <w:rsid w:val="74607905"/>
    <w:rsid w:val="747A0724"/>
    <w:rsid w:val="74A7141D"/>
    <w:rsid w:val="74A91922"/>
    <w:rsid w:val="74EB38E9"/>
    <w:rsid w:val="74F50266"/>
    <w:rsid w:val="75010FA0"/>
    <w:rsid w:val="750347AE"/>
    <w:rsid w:val="75037798"/>
    <w:rsid w:val="75354072"/>
    <w:rsid w:val="753E7790"/>
    <w:rsid w:val="755A16C5"/>
    <w:rsid w:val="75692F6A"/>
    <w:rsid w:val="757462FA"/>
    <w:rsid w:val="758746AD"/>
    <w:rsid w:val="75BA46FD"/>
    <w:rsid w:val="75D579EA"/>
    <w:rsid w:val="7635099D"/>
    <w:rsid w:val="76B42A42"/>
    <w:rsid w:val="76B65490"/>
    <w:rsid w:val="76CB48CE"/>
    <w:rsid w:val="76ED63C6"/>
    <w:rsid w:val="7705139A"/>
    <w:rsid w:val="771A5453"/>
    <w:rsid w:val="77361E52"/>
    <w:rsid w:val="77453ACA"/>
    <w:rsid w:val="774A5E48"/>
    <w:rsid w:val="777001A6"/>
    <w:rsid w:val="77735147"/>
    <w:rsid w:val="77762421"/>
    <w:rsid w:val="7782124A"/>
    <w:rsid w:val="7796177D"/>
    <w:rsid w:val="779C055E"/>
    <w:rsid w:val="77B56B1F"/>
    <w:rsid w:val="77C27899"/>
    <w:rsid w:val="780F09F4"/>
    <w:rsid w:val="78267C29"/>
    <w:rsid w:val="783466CF"/>
    <w:rsid w:val="785B2BE5"/>
    <w:rsid w:val="785C65C4"/>
    <w:rsid w:val="78841A51"/>
    <w:rsid w:val="78901E6A"/>
    <w:rsid w:val="789E3E62"/>
    <w:rsid w:val="78A90480"/>
    <w:rsid w:val="78AA7771"/>
    <w:rsid w:val="793C10F0"/>
    <w:rsid w:val="79750E4A"/>
    <w:rsid w:val="799C4845"/>
    <w:rsid w:val="799E3CBD"/>
    <w:rsid w:val="79B01388"/>
    <w:rsid w:val="79BD2539"/>
    <w:rsid w:val="79CD4EBF"/>
    <w:rsid w:val="79F84DBC"/>
    <w:rsid w:val="7A1302CF"/>
    <w:rsid w:val="7A145FB8"/>
    <w:rsid w:val="7A2A367D"/>
    <w:rsid w:val="7A364017"/>
    <w:rsid w:val="7A455272"/>
    <w:rsid w:val="7A8265E1"/>
    <w:rsid w:val="7A9B5654"/>
    <w:rsid w:val="7AF72D5A"/>
    <w:rsid w:val="7B0E3521"/>
    <w:rsid w:val="7B1A6E15"/>
    <w:rsid w:val="7B216369"/>
    <w:rsid w:val="7B5E7D55"/>
    <w:rsid w:val="7B686D42"/>
    <w:rsid w:val="7B7470FC"/>
    <w:rsid w:val="7B841746"/>
    <w:rsid w:val="7B8D2885"/>
    <w:rsid w:val="7BBA55C0"/>
    <w:rsid w:val="7BE85DDA"/>
    <w:rsid w:val="7C00263B"/>
    <w:rsid w:val="7C076AB1"/>
    <w:rsid w:val="7C144055"/>
    <w:rsid w:val="7C2D49EB"/>
    <w:rsid w:val="7C492337"/>
    <w:rsid w:val="7C6132EF"/>
    <w:rsid w:val="7C637ABB"/>
    <w:rsid w:val="7C6C5AC7"/>
    <w:rsid w:val="7C8D1044"/>
    <w:rsid w:val="7CB87E02"/>
    <w:rsid w:val="7CC6544B"/>
    <w:rsid w:val="7CD62F25"/>
    <w:rsid w:val="7D0239FF"/>
    <w:rsid w:val="7D204178"/>
    <w:rsid w:val="7D3C766F"/>
    <w:rsid w:val="7D4764C0"/>
    <w:rsid w:val="7D580A83"/>
    <w:rsid w:val="7D5E40CD"/>
    <w:rsid w:val="7D9A72EE"/>
    <w:rsid w:val="7DA56EF7"/>
    <w:rsid w:val="7DC656AF"/>
    <w:rsid w:val="7DCD56F2"/>
    <w:rsid w:val="7E3E5AF7"/>
    <w:rsid w:val="7E796D4F"/>
    <w:rsid w:val="7E797D79"/>
    <w:rsid w:val="7EBF6249"/>
    <w:rsid w:val="7EFA4890"/>
    <w:rsid w:val="7F001CE7"/>
    <w:rsid w:val="7F061181"/>
    <w:rsid w:val="7F3C3D99"/>
    <w:rsid w:val="7F4A08A0"/>
    <w:rsid w:val="7F5F44A1"/>
    <w:rsid w:val="7F803DFE"/>
    <w:rsid w:val="7FCB24BC"/>
    <w:rsid w:val="7FE47E50"/>
    <w:rsid w:val="7FF1407D"/>
    <w:rsid w:val="7FF27DE7"/>
    <w:rsid w:val="7FF47AE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0" w:semiHidden="0" w:name="heading 2" w:locked="1"/>
    <w:lsdException w:qFormat="1" w:uiPriority="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0" w:semiHidden="0" w:name="toc 2" w:locked="1"/>
    <w:lsdException w:qFormat="1" w:uiPriority="39" w:semiHidden="0" w:name="toc 3" w:locked="1"/>
    <w:lsdException w:unhideWhenUsed="0" w:uiPriority="0" w:semiHidden="0" w:name="toc 4" w:locked="1"/>
    <w:lsdException w:qFormat="1" w:unhideWhenUsed="0" w:uiPriority="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qFormat="1"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qFormat="1"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qFormat="1" w:uiPriority="0" w:semiHidden="0" w:name="Body Text 3" w:locked="1"/>
    <w:lsdException w:qFormat="1" w:unhideWhenUsed="0" w:uiPriority="0" w:semiHidden="0" w:name="Body Text Indent 2" w:locked="1"/>
    <w:lsdException w:unhideWhenUsed="0" w:uiPriority="0" w:semiHidden="0" w:name="Body Text Indent 3" w:locked="1"/>
    <w:lsdException w:qFormat="1" w:unhideWhenUsed="0" w:uiPriority="0" w:semiHidden="0" w:name="Block Text" w:locked="1"/>
    <w:lsdException w:qFormat="1" w:unhideWhenUsed="0"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qFormat="1"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semiHidden="0" w:name="Balloon Text"/>
    <w:lsdException w:qFormat="1" w:unhideWhenUsed="0" w:uiPriority="0" w:semiHidden="0" w:name="Table Grid"/>
    <w:lsdException w:qFormat="1" w:unhideWhenUsed="0" w:uiPriority="0" w:semiHidden="0" w:name="Table Theme" w:locked="1"/>
    <w:lsdException w:qFormat="1"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104"/>
    <w:qFormat/>
    <w:locked/>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70"/>
    <w:qFormat/>
    <w:locked/>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link w:val="71"/>
    <w:semiHidden/>
    <w:unhideWhenUsed/>
    <w:qFormat/>
    <w:locked/>
    <w:uiPriority w:val="0"/>
    <w:pPr>
      <w:keepNext/>
      <w:keepLines/>
      <w:spacing w:before="260" w:after="260" w:line="416" w:lineRule="auto"/>
      <w:outlineLvl w:val="2"/>
    </w:pPr>
    <w:rPr>
      <w:b/>
      <w:bCs/>
      <w:sz w:val="32"/>
      <w:szCs w:val="32"/>
    </w:rPr>
  </w:style>
  <w:style w:type="paragraph" w:styleId="5">
    <w:name w:val="heading 4"/>
    <w:basedOn w:val="1"/>
    <w:next w:val="1"/>
    <w:qFormat/>
    <w:locked/>
    <w:uiPriority w:val="0"/>
    <w:pPr>
      <w:keepNext/>
      <w:keepLines/>
      <w:spacing w:before="280" w:after="290" w:line="376" w:lineRule="auto"/>
      <w:outlineLvl w:val="3"/>
    </w:pPr>
    <w:rPr>
      <w:rFonts w:ascii="Arial" w:hAnsi="Arial" w:eastAsia="黑体"/>
      <w:b/>
      <w:bCs/>
      <w:sz w:val="28"/>
      <w:szCs w:val="28"/>
    </w:rPr>
  </w:style>
  <w:style w:type="character" w:default="1" w:styleId="34">
    <w:name w:val="Default Paragraph Font"/>
    <w:semiHidden/>
    <w:unhideWhenUsed/>
    <w:qFormat/>
    <w:uiPriority w:val="1"/>
  </w:style>
  <w:style w:type="table" w:default="1" w:styleId="3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link w:val="73"/>
    <w:qFormat/>
    <w:locked/>
    <w:uiPriority w:val="0"/>
    <w:pPr>
      <w:ind w:firstLine="420" w:firstLineChars="200"/>
    </w:pPr>
  </w:style>
  <w:style w:type="paragraph" w:styleId="7">
    <w:name w:val="caption"/>
    <w:basedOn w:val="1"/>
    <w:next w:val="1"/>
    <w:link w:val="74"/>
    <w:qFormat/>
    <w:locked/>
    <w:uiPriority w:val="0"/>
    <w:pPr>
      <w:widowControl/>
      <w:spacing w:before="152" w:after="160"/>
      <w:jc w:val="center"/>
    </w:pPr>
    <w:rPr>
      <w:rFonts w:ascii="黑体" w:hAnsi="宋体" w:eastAsia="黑体" w:cs="Arial"/>
      <w:kern w:val="0"/>
      <w:sz w:val="24"/>
      <w:szCs w:val="20"/>
    </w:rPr>
  </w:style>
  <w:style w:type="paragraph" w:styleId="8">
    <w:name w:val="Document Map"/>
    <w:basedOn w:val="1"/>
    <w:link w:val="84"/>
    <w:qFormat/>
    <w:locked/>
    <w:uiPriority w:val="0"/>
    <w:pPr>
      <w:shd w:val="clear" w:color="auto" w:fill="000080"/>
    </w:pPr>
    <w:rPr>
      <w:szCs w:val="20"/>
    </w:rPr>
  </w:style>
  <w:style w:type="paragraph" w:styleId="9">
    <w:name w:val="annotation text"/>
    <w:basedOn w:val="1"/>
    <w:link w:val="52"/>
    <w:qFormat/>
    <w:uiPriority w:val="0"/>
    <w:pPr>
      <w:jc w:val="left"/>
    </w:pPr>
    <w:rPr>
      <w:kern w:val="0"/>
      <w:sz w:val="24"/>
      <w:szCs w:val="20"/>
    </w:rPr>
  </w:style>
  <w:style w:type="paragraph" w:styleId="10">
    <w:name w:val="Body Text 3"/>
    <w:basedOn w:val="1"/>
    <w:link w:val="127"/>
    <w:unhideWhenUsed/>
    <w:qFormat/>
    <w:locked/>
    <w:uiPriority w:val="0"/>
    <w:pPr>
      <w:spacing w:after="120"/>
    </w:pPr>
    <w:rPr>
      <w:sz w:val="16"/>
      <w:szCs w:val="16"/>
    </w:rPr>
  </w:style>
  <w:style w:type="paragraph" w:styleId="11">
    <w:name w:val="Body Text"/>
    <w:basedOn w:val="1"/>
    <w:link w:val="51"/>
    <w:qFormat/>
    <w:uiPriority w:val="0"/>
    <w:pPr>
      <w:widowControl/>
      <w:snapToGrid w:val="0"/>
      <w:spacing w:before="60" w:after="160" w:line="259" w:lineRule="auto"/>
      <w:ind w:right="113"/>
    </w:pPr>
    <w:rPr>
      <w:kern w:val="0"/>
      <w:sz w:val="18"/>
      <w:szCs w:val="20"/>
    </w:rPr>
  </w:style>
  <w:style w:type="paragraph" w:styleId="12">
    <w:name w:val="Body Text Indent"/>
    <w:basedOn w:val="1"/>
    <w:link w:val="60"/>
    <w:qFormat/>
    <w:uiPriority w:val="0"/>
    <w:pPr>
      <w:spacing w:after="120"/>
      <w:ind w:left="420" w:leftChars="200"/>
    </w:pPr>
    <w:rPr>
      <w:kern w:val="0"/>
      <w:sz w:val="24"/>
      <w:szCs w:val="20"/>
    </w:rPr>
  </w:style>
  <w:style w:type="paragraph" w:styleId="13">
    <w:name w:val="Block Text"/>
    <w:basedOn w:val="1"/>
    <w:qFormat/>
    <w:locked/>
    <w:uiPriority w:val="0"/>
    <w:pPr>
      <w:spacing w:after="120" w:line="360" w:lineRule="auto"/>
      <w:ind w:left="1440" w:leftChars="700" w:right="1440" w:rightChars="700" w:firstLine="200" w:firstLineChars="200"/>
    </w:pPr>
    <w:rPr>
      <w:rFonts w:ascii="方正宋三简体" w:hAnsi="方正宋三简体" w:cs="方正宋三简体"/>
      <w:sz w:val="24"/>
    </w:rPr>
  </w:style>
  <w:style w:type="paragraph" w:styleId="14">
    <w:name w:val="toc 5"/>
    <w:basedOn w:val="1"/>
    <w:next w:val="1"/>
    <w:semiHidden/>
    <w:qFormat/>
    <w:locked/>
    <w:uiPriority w:val="0"/>
    <w:pPr>
      <w:spacing w:line="360" w:lineRule="auto"/>
      <w:ind w:left="960" w:firstLine="200" w:firstLineChars="200"/>
      <w:jc w:val="left"/>
    </w:pPr>
    <w:rPr>
      <w:sz w:val="18"/>
      <w:szCs w:val="18"/>
    </w:rPr>
  </w:style>
  <w:style w:type="paragraph" w:styleId="15">
    <w:name w:val="toc 3"/>
    <w:basedOn w:val="1"/>
    <w:next w:val="1"/>
    <w:unhideWhenUsed/>
    <w:qFormat/>
    <w:locked/>
    <w:uiPriority w:val="39"/>
    <w:pPr>
      <w:ind w:left="840" w:leftChars="400"/>
    </w:pPr>
    <w:rPr>
      <w:szCs w:val="20"/>
    </w:rPr>
  </w:style>
  <w:style w:type="paragraph" w:styleId="16">
    <w:name w:val="Plain Text"/>
    <w:basedOn w:val="1"/>
    <w:next w:val="1"/>
    <w:link w:val="65"/>
    <w:qFormat/>
    <w:locked/>
    <w:uiPriority w:val="0"/>
    <w:rPr>
      <w:rFonts w:ascii="宋体" w:hAnsi="Courier New" w:cs="Courier New"/>
      <w:szCs w:val="21"/>
    </w:rPr>
  </w:style>
  <w:style w:type="paragraph" w:styleId="17">
    <w:name w:val="Date"/>
    <w:basedOn w:val="1"/>
    <w:next w:val="1"/>
    <w:link w:val="47"/>
    <w:qFormat/>
    <w:uiPriority w:val="0"/>
    <w:pPr>
      <w:ind w:left="100" w:leftChars="2500"/>
    </w:pPr>
    <w:rPr>
      <w:kern w:val="0"/>
      <w:sz w:val="24"/>
      <w:szCs w:val="20"/>
    </w:rPr>
  </w:style>
  <w:style w:type="paragraph" w:styleId="18">
    <w:name w:val="Body Text Indent 2"/>
    <w:basedOn w:val="1"/>
    <w:link w:val="69"/>
    <w:qFormat/>
    <w:locked/>
    <w:uiPriority w:val="0"/>
    <w:pPr>
      <w:spacing w:after="120" w:line="480" w:lineRule="auto"/>
      <w:ind w:left="420" w:leftChars="200"/>
    </w:pPr>
  </w:style>
  <w:style w:type="paragraph" w:styleId="19">
    <w:name w:val="Balloon Text"/>
    <w:basedOn w:val="1"/>
    <w:link w:val="56"/>
    <w:qFormat/>
    <w:uiPriority w:val="0"/>
    <w:rPr>
      <w:kern w:val="0"/>
      <w:sz w:val="18"/>
      <w:szCs w:val="20"/>
    </w:rPr>
  </w:style>
  <w:style w:type="paragraph" w:styleId="20">
    <w:name w:val="footer"/>
    <w:basedOn w:val="1"/>
    <w:link w:val="46"/>
    <w:qFormat/>
    <w:uiPriority w:val="99"/>
    <w:pPr>
      <w:tabs>
        <w:tab w:val="center" w:pos="4153"/>
        <w:tab w:val="right" w:pos="8306"/>
      </w:tabs>
      <w:snapToGrid w:val="0"/>
      <w:jc w:val="left"/>
    </w:pPr>
    <w:rPr>
      <w:kern w:val="0"/>
      <w:sz w:val="18"/>
      <w:szCs w:val="20"/>
    </w:rPr>
  </w:style>
  <w:style w:type="paragraph" w:styleId="21">
    <w:name w:val="header"/>
    <w:basedOn w:val="1"/>
    <w:link w:val="58"/>
    <w:qFormat/>
    <w:uiPriority w:val="0"/>
    <w:pPr>
      <w:pBdr>
        <w:bottom w:val="single" w:color="auto" w:sz="6" w:space="1"/>
      </w:pBdr>
      <w:tabs>
        <w:tab w:val="center" w:pos="4153"/>
        <w:tab w:val="right" w:pos="8306"/>
      </w:tabs>
      <w:snapToGrid w:val="0"/>
      <w:jc w:val="center"/>
    </w:pPr>
    <w:rPr>
      <w:kern w:val="0"/>
      <w:sz w:val="18"/>
      <w:szCs w:val="20"/>
    </w:rPr>
  </w:style>
  <w:style w:type="paragraph" w:styleId="22">
    <w:name w:val="toc 1"/>
    <w:basedOn w:val="1"/>
    <w:next w:val="1"/>
    <w:qFormat/>
    <w:locked/>
    <w:uiPriority w:val="39"/>
    <w:rPr>
      <w:szCs w:val="20"/>
    </w:rPr>
  </w:style>
  <w:style w:type="paragraph" w:styleId="23">
    <w:name w:val="List"/>
    <w:basedOn w:val="1"/>
    <w:qFormat/>
    <w:locked/>
    <w:uiPriority w:val="0"/>
    <w:pPr>
      <w:ind w:left="200" w:hanging="200" w:hangingChars="200"/>
      <w:contextualSpacing/>
    </w:pPr>
  </w:style>
  <w:style w:type="paragraph" w:styleId="24">
    <w:name w:val="toc 2"/>
    <w:basedOn w:val="1"/>
    <w:next w:val="1"/>
    <w:qFormat/>
    <w:locked/>
    <w:uiPriority w:val="0"/>
    <w:pPr>
      <w:ind w:left="420" w:leftChars="200"/>
    </w:pPr>
  </w:style>
  <w:style w:type="paragraph" w:styleId="25">
    <w:name w:val="HTML Preformatted"/>
    <w:basedOn w:val="1"/>
    <w:link w:val="68"/>
    <w:qFormat/>
    <w:locked/>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hAnsi="Courier New" w:eastAsia="黑体" w:cs="Courier New"/>
      <w:kern w:val="0"/>
      <w:sz w:val="20"/>
      <w:szCs w:val="20"/>
    </w:rPr>
  </w:style>
  <w:style w:type="paragraph" w:styleId="26">
    <w:name w:val="Normal (Web)"/>
    <w:basedOn w:val="1"/>
    <w:link w:val="49"/>
    <w:qFormat/>
    <w:uiPriority w:val="0"/>
    <w:pPr>
      <w:widowControl/>
      <w:spacing w:before="100" w:beforeAutospacing="1" w:after="100" w:afterAutospacing="1"/>
      <w:jc w:val="left"/>
    </w:pPr>
    <w:rPr>
      <w:rFonts w:ascii="宋体" w:hAnsi="宋体"/>
      <w:kern w:val="0"/>
      <w:sz w:val="24"/>
      <w:szCs w:val="20"/>
    </w:rPr>
  </w:style>
  <w:style w:type="paragraph" w:styleId="27">
    <w:name w:val="Title"/>
    <w:basedOn w:val="1"/>
    <w:next w:val="1"/>
    <w:link w:val="105"/>
    <w:qFormat/>
    <w:locked/>
    <w:uiPriority w:val="0"/>
    <w:pPr>
      <w:spacing w:before="240" w:after="60"/>
      <w:jc w:val="center"/>
      <w:outlineLvl w:val="0"/>
    </w:pPr>
    <w:rPr>
      <w:rFonts w:asciiTheme="majorHAnsi" w:hAnsiTheme="majorHAnsi" w:cstheme="majorBidi"/>
      <w:b/>
      <w:bCs/>
      <w:sz w:val="32"/>
      <w:szCs w:val="32"/>
    </w:rPr>
  </w:style>
  <w:style w:type="paragraph" w:styleId="28">
    <w:name w:val="annotation subject"/>
    <w:basedOn w:val="9"/>
    <w:next w:val="9"/>
    <w:link w:val="57"/>
    <w:semiHidden/>
    <w:qFormat/>
    <w:uiPriority w:val="0"/>
    <w:rPr>
      <w:b/>
    </w:rPr>
  </w:style>
  <w:style w:type="paragraph" w:styleId="29">
    <w:name w:val="Body Text First Indent"/>
    <w:basedOn w:val="11"/>
    <w:next w:val="1"/>
    <w:link w:val="100"/>
    <w:qFormat/>
    <w:locked/>
    <w:uiPriority w:val="0"/>
    <w:pPr>
      <w:widowControl w:val="0"/>
      <w:snapToGrid/>
      <w:spacing w:before="0" w:after="120" w:line="240" w:lineRule="auto"/>
      <w:ind w:right="0" w:firstLine="420" w:firstLineChars="100"/>
    </w:pPr>
    <w:rPr>
      <w:kern w:val="2"/>
      <w:sz w:val="21"/>
    </w:rPr>
  </w:style>
  <w:style w:type="paragraph" w:styleId="30">
    <w:name w:val="Body Text First Indent 2"/>
    <w:basedOn w:val="12"/>
    <w:next w:val="29"/>
    <w:link w:val="83"/>
    <w:qFormat/>
    <w:locked/>
    <w:uiPriority w:val="0"/>
    <w:pPr>
      <w:ind w:firstLine="420" w:firstLineChars="200"/>
    </w:pPr>
    <w:rPr>
      <w:kern w:val="2"/>
      <w:sz w:val="21"/>
    </w:rPr>
  </w:style>
  <w:style w:type="table" w:styleId="32">
    <w:name w:val="Table Grid"/>
    <w:basedOn w:val="3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3">
    <w:name w:val="Table Theme"/>
    <w:basedOn w:val="31"/>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blStylePr w:type="firstRow">
      <w:tcPr>
        <w:tcBorders>
          <w:top w:val="single" w:color="auto" w:sz="12" w:space="0"/>
          <w:left w:val="nil"/>
          <w:bottom w:val="nil"/>
          <w:right w:val="nil"/>
          <w:insideH w:val="nil"/>
          <w:insideV w:val="nil"/>
          <w:tl2br w:val="nil"/>
          <w:tr2bl w:val="nil"/>
        </w:tcBorders>
      </w:tcPr>
    </w:tblStylePr>
    <w:tblStylePr w:type="lastRow">
      <w:tcPr>
        <w:tcBorders>
          <w:top w:val="nil"/>
          <w:left w:val="nil"/>
          <w:bottom w:val="single" w:color="auto" w:sz="12" w:space="0"/>
          <w:right w:val="nil"/>
          <w:insideH w:val="nil"/>
          <w:insideV w:val="nil"/>
          <w:tl2br w:val="nil"/>
          <w:tr2bl w:val="nil"/>
        </w:tcBorders>
      </w:tcPr>
    </w:tblStylePr>
    <w:tblStylePr w:type="firstCol">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tcPr>
    </w:tblStylePr>
  </w:style>
  <w:style w:type="character" w:styleId="35">
    <w:name w:val="Strong"/>
    <w:qFormat/>
    <w:locked/>
    <w:uiPriority w:val="0"/>
    <w:rPr>
      <w:b/>
      <w:bCs/>
    </w:rPr>
  </w:style>
  <w:style w:type="character" w:styleId="36">
    <w:name w:val="page number"/>
    <w:basedOn w:val="34"/>
    <w:qFormat/>
    <w:locked/>
    <w:uiPriority w:val="0"/>
  </w:style>
  <w:style w:type="character" w:styleId="37">
    <w:name w:val="Emphasis"/>
    <w:qFormat/>
    <w:locked/>
    <w:uiPriority w:val="0"/>
    <w:rPr>
      <w:rFonts w:ascii="宋体" w:hAnsi="宋体" w:eastAsia="Times New Roman"/>
      <w:i/>
      <w:sz w:val="21"/>
    </w:rPr>
  </w:style>
  <w:style w:type="character" w:styleId="38">
    <w:name w:val="HTML Typewriter"/>
    <w:qFormat/>
    <w:locked/>
    <w:uiPriority w:val="0"/>
    <w:rPr>
      <w:rFonts w:ascii="宋体" w:hAnsi="宋体" w:eastAsia="宋体"/>
      <w:sz w:val="24"/>
    </w:rPr>
  </w:style>
  <w:style w:type="character" w:styleId="39">
    <w:name w:val="Hyperlink"/>
    <w:qFormat/>
    <w:locked/>
    <w:uiPriority w:val="99"/>
    <w:rPr>
      <w:color w:val="136EC2"/>
      <w:u w:val="single"/>
    </w:rPr>
  </w:style>
  <w:style w:type="character" w:styleId="40">
    <w:name w:val="annotation reference"/>
    <w:semiHidden/>
    <w:qFormat/>
    <w:uiPriority w:val="0"/>
    <w:rPr>
      <w:sz w:val="21"/>
    </w:rPr>
  </w:style>
  <w:style w:type="paragraph" w:customStyle="1" w:styleId="41">
    <w:name w:val="Default2"/>
    <w:basedOn w:val="42"/>
    <w:next w:val="1"/>
    <w:semiHidden/>
    <w:qFormat/>
    <w:uiPriority w:val="0"/>
    <w:pPr>
      <w:autoSpaceDE w:val="0"/>
      <w:autoSpaceDN w:val="0"/>
    </w:pPr>
    <w:rPr>
      <w:rFonts w:ascii="楷体_GB2312" w:hAnsi="Times New Roman" w:eastAsia="宋体" w:cs="楷体_GB2312"/>
      <w:color w:val="000000"/>
      <w:szCs w:val="24"/>
    </w:rPr>
  </w:style>
  <w:style w:type="paragraph" w:customStyle="1" w:styleId="42">
    <w:name w:val="纯文本11"/>
    <w:basedOn w:val="1"/>
    <w:qFormat/>
    <w:uiPriority w:val="0"/>
    <w:pPr>
      <w:adjustRightInd w:val="0"/>
      <w:textAlignment w:val="baseline"/>
    </w:pPr>
    <w:rPr>
      <w:rFonts w:ascii="宋体" w:hAnsi="Courier New"/>
      <w:szCs w:val="20"/>
    </w:rPr>
  </w:style>
  <w:style w:type="paragraph" w:customStyle="1" w:styleId="43">
    <w:name w:val="正文 首行缩进:  2 字符"/>
    <w:basedOn w:val="1"/>
    <w:qFormat/>
    <w:uiPriority w:val="0"/>
    <w:pPr>
      <w:spacing w:before="0" w:line="240" w:lineRule="auto"/>
      <w:ind w:firstLine="579" w:firstLineChars="200"/>
    </w:pPr>
    <w:rPr>
      <w:rFonts w:ascii="Times New Roman" w:hAnsi="Times New Roman" w:cs="宋体"/>
      <w:sz w:val="28"/>
      <w:szCs w:val="20"/>
    </w:rPr>
  </w:style>
  <w:style w:type="paragraph" w:customStyle="1" w:styleId="44">
    <w:name w:val="Default"/>
    <w:basedOn w:val="45"/>
    <w:next w:val="1"/>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45">
    <w:name w:val="纯文本1"/>
    <w:basedOn w:val="1"/>
    <w:semiHidden/>
    <w:qFormat/>
    <w:uiPriority w:val="0"/>
    <w:pPr>
      <w:adjustRightInd w:val="0"/>
      <w:textAlignment w:val="baseline"/>
    </w:pPr>
    <w:rPr>
      <w:rFonts w:ascii="宋体" w:hAnsi="Courier New"/>
    </w:rPr>
  </w:style>
  <w:style w:type="character" w:customStyle="1" w:styleId="46">
    <w:name w:val="页脚 Char"/>
    <w:link w:val="20"/>
    <w:qFormat/>
    <w:locked/>
    <w:uiPriority w:val="99"/>
    <w:rPr>
      <w:sz w:val="18"/>
    </w:rPr>
  </w:style>
  <w:style w:type="character" w:customStyle="1" w:styleId="47">
    <w:name w:val="日期 Char"/>
    <w:link w:val="17"/>
    <w:qFormat/>
    <w:locked/>
    <w:uiPriority w:val="0"/>
    <w:rPr>
      <w:rFonts w:ascii="Times New Roman" w:hAnsi="Times New Roman" w:eastAsia="宋体"/>
      <w:sz w:val="24"/>
    </w:rPr>
  </w:style>
  <w:style w:type="character" w:customStyle="1" w:styleId="48">
    <w:name w:val="页脚 字符"/>
    <w:basedOn w:val="34"/>
    <w:qFormat/>
    <w:uiPriority w:val="99"/>
  </w:style>
  <w:style w:type="character" w:customStyle="1" w:styleId="49">
    <w:name w:val="普通(网站) Char"/>
    <w:link w:val="26"/>
    <w:qFormat/>
    <w:locked/>
    <w:uiPriority w:val="0"/>
    <w:rPr>
      <w:rFonts w:ascii="宋体" w:hAnsi="宋体" w:eastAsia="宋体"/>
      <w:sz w:val="24"/>
    </w:rPr>
  </w:style>
  <w:style w:type="character" w:customStyle="1" w:styleId="50">
    <w:name w:val="正文文本 字符1"/>
    <w:semiHidden/>
    <w:qFormat/>
    <w:uiPriority w:val="0"/>
    <w:rPr>
      <w:rFonts w:ascii="Times New Roman" w:hAnsi="Times New Roman" w:eastAsia="宋体"/>
      <w:sz w:val="24"/>
    </w:rPr>
  </w:style>
  <w:style w:type="character" w:customStyle="1" w:styleId="51">
    <w:name w:val="正文文本 Char"/>
    <w:link w:val="11"/>
    <w:qFormat/>
    <w:locked/>
    <w:uiPriority w:val="0"/>
    <w:rPr>
      <w:sz w:val="18"/>
    </w:rPr>
  </w:style>
  <w:style w:type="character" w:customStyle="1" w:styleId="52">
    <w:name w:val="批注文字 Char"/>
    <w:link w:val="9"/>
    <w:qFormat/>
    <w:locked/>
    <w:uiPriority w:val="0"/>
    <w:rPr>
      <w:rFonts w:ascii="Times New Roman" w:hAnsi="Times New Roman" w:eastAsia="宋体"/>
      <w:sz w:val="24"/>
    </w:rPr>
  </w:style>
  <w:style w:type="character" w:customStyle="1" w:styleId="53">
    <w:name w:val="表格 Char"/>
    <w:link w:val="54"/>
    <w:qFormat/>
    <w:locked/>
    <w:uiPriority w:val="0"/>
    <w:rPr>
      <w:rFonts w:ascii="宋体"/>
      <w:sz w:val="21"/>
    </w:rPr>
  </w:style>
  <w:style w:type="paragraph" w:customStyle="1" w:styleId="54">
    <w:name w:val="表格"/>
    <w:basedOn w:val="6"/>
    <w:link w:val="53"/>
    <w:qFormat/>
    <w:uiPriority w:val="0"/>
    <w:pPr>
      <w:adjustRightInd w:val="0"/>
      <w:snapToGrid w:val="0"/>
      <w:spacing w:beforeLines="10" w:afterLines="10" w:line="259" w:lineRule="auto"/>
      <w:jc w:val="center"/>
    </w:pPr>
    <w:rPr>
      <w:rFonts w:ascii="宋体"/>
      <w:kern w:val="0"/>
      <w:szCs w:val="20"/>
    </w:rPr>
  </w:style>
  <w:style w:type="character" w:customStyle="1" w:styleId="55">
    <w:name w:val="日期 字符"/>
    <w:semiHidden/>
    <w:qFormat/>
    <w:uiPriority w:val="0"/>
    <w:rPr>
      <w:rFonts w:ascii="Times New Roman" w:hAnsi="Times New Roman" w:eastAsia="宋体"/>
      <w:sz w:val="24"/>
    </w:rPr>
  </w:style>
  <w:style w:type="character" w:customStyle="1" w:styleId="56">
    <w:name w:val="批注框文本 Char"/>
    <w:link w:val="19"/>
    <w:qFormat/>
    <w:locked/>
    <w:uiPriority w:val="0"/>
    <w:rPr>
      <w:rFonts w:ascii="Times New Roman" w:hAnsi="Times New Roman" w:eastAsia="宋体"/>
      <w:sz w:val="18"/>
    </w:rPr>
  </w:style>
  <w:style w:type="character" w:customStyle="1" w:styleId="57">
    <w:name w:val="批注主题 Char"/>
    <w:link w:val="28"/>
    <w:semiHidden/>
    <w:qFormat/>
    <w:locked/>
    <w:uiPriority w:val="0"/>
    <w:rPr>
      <w:rFonts w:ascii="Times New Roman" w:hAnsi="Times New Roman" w:eastAsia="宋体"/>
      <w:b/>
      <w:kern w:val="2"/>
      <w:sz w:val="24"/>
    </w:rPr>
  </w:style>
  <w:style w:type="character" w:customStyle="1" w:styleId="58">
    <w:name w:val="页眉 Char"/>
    <w:link w:val="21"/>
    <w:qFormat/>
    <w:locked/>
    <w:uiPriority w:val="0"/>
    <w:rPr>
      <w:sz w:val="18"/>
    </w:rPr>
  </w:style>
  <w:style w:type="character" w:customStyle="1" w:styleId="59">
    <w:name w:val="批注文字 字符1"/>
    <w:semiHidden/>
    <w:qFormat/>
    <w:uiPriority w:val="0"/>
    <w:rPr>
      <w:rFonts w:ascii="Times New Roman" w:hAnsi="Times New Roman" w:eastAsia="宋体"/>
      <w:sz w:val="24"/>
    </w:rPr>
  </w:style>
  <w:style w:type="character" w:customStyle="1" w:styleId="60">
    <w:name w:val="正文文本缩进 Char"/>
    <w:link w:val="12"/>
    <w:qFormat/>
    <w:locked/>
    <w:uiPriority w:val="0"/>
    <w:rPr>
      <w:rFonts w:ascii="Times New Roman" w:hAnsi="Times New Roman" w:eastAsia="宋体"/>
      <w:sz w:val="24"/>
    </w:rPr>
  </w:style>
  <w:style w:type="paragraph" w:customStyle="1" w:styleId="6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2">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3">
    <w:name w:val="BBB"/>
    <w:basedOn w:val="1"/>
    <w:qFormat/>
    <w:uiPriority w:val="99"/>
    <w:pPr>
      <w:widowControl/>
      <w:jc w:val="center"/>
    </w:pPr>
    <w:rPr>
      <w:rFonts w:ascii="宋体" w:hAnsi="宋体" w:eastAsiaTheme="minorEastAsia" w:cstheme="minorBidi"/>
      <w:color w:val="000000"/>
      <w:kern w:val="0"/>
      <w:szCs w:val="20"/>
    </w:rPr>
  </w:style>
  <w:style w:type="paragraph" w:customStyle="1" w:styleId="64">
    <w:name w:val="AAA"/>
    <w:basedOn w:val="1"/>
    <w:qFormat/>
    <w:uiPriority w:val="0"/>
    <w:pPr>
      <w:ind w:firstLine="200" w:firstLineChars="200"/>
      <w:contextualSpacing/>
    </w:pPr>
    <w:rPr>
      <w:rFonts w:ascii="宋体" w:hAnsi="宋体" w:eastAsiaTheme="minorEastAsia" w:cstheme="minorBidi"/>
      <w:snapToGrid w:val="0"/>
      <w:color w:val="000000"/>
      <w:kern w:val="0"/>
      <w:sz w:val="24"/>
      <w:szCs w:val="20"/>
    </w:rPr>
  </w:style>
  <w:style w:type="character" w:customStyle="1" w:styleId="65">
    <w:name w:val="纯文本 Char"/>
    <w:link w:val="16"/>
    <w:qFormat/>
    <w:uiPriority w:val="0"/>
    <w:rPr>
      <w:rFonts w:ascii="宋体" w:hAnsi="Courier New" w:cs="Courier New"/>
      <w:kern w:val="2"/>
      <w:sz w:val="21"/>
      <w:szCs w:val="21"/>
    </w:rPr>
  </w:style>
  <w:style w:type="character" w:customStyle="1" w:styleId="66">
    <w:name w:val="纯文本 Char1"/>
    <w:basedOn w:val="34"/>
    <w:qFormat/>
    <w:uiPriority w:val="0"/>
    <w:rPr>
      <w:rFonts w:ascii="宋体" w:hAnsi="Courier New" w:cs="Courier New"/>
      <w:kern w:val="2"/>
      <w:sz w:val="21"/>
      <w:szCs w:val="21"/>
    </w:rPr>
  </w:style>
  <w:style w:type="table" w:customStyle="1" w:styleId="67">
    <w:name w:val="报告书标准表格"/>
    <w:basedOn w:val="31"/>
    <w:qFormat/>
    <w:uiPriority w:val="0"/>
    <w:pPr>
      <w:jc w:val="center"/>
    </w:pPr>
    <w:rPr>
      <w:rFonts w:eastAsia="Times New Roman"/>
      <w:sz w:val="21"/>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character" w:customStyle="1" w:styleId="68">
    <w:name w:val="HTML 预设格式 Char"/>
    <w:basedOn w:val="34"/>
    <w:link w:val="25"/>
    <w:qFormat/>
    <w:uiPriority w:val="0"/>
    <w:rPr>
      <w:rFonts w:ascii="黑体" w:hAnsi="Courier New" w:eastAsia="黑体" w:cs="Courier New"/>
    </w:rPr>
  </w:style>
  <w:style w:type="character" w:customStyle="1" w:styleId="69">
    <w:name w:val="正文文本缩进 2 Char"/>
    <w:basedOn w:val="34"/>
    <w:link w:val="18"/>
    <w:qFormat/>
    <w:uiPriority w:val="0"/>
    <w:rPr>
      <w:kern w:val="2"/>
      <w:sz w:val="21"/>
      <w:szCs w:val="24"/>
    </w:rPr>
  </w:style>
  <w:style w:type="character" w:customStyle="1" w:styleId="70">
    <w:name w:val="标题 2 Char"/>
    <w:basedOn w:val="34"/>
    <w:link w:val="3"/>
    <w:qFormat/>
    <w:uiPriority w:val="0"/>
    <w:rPr>
      <w:rFonts w:ascii="Arial" w:hAnsi="Arial" w:eastAsia="黑体"/>
      <w:b/>
      <w:bCs/>
      <w:kern w:val="2"/>
      <w:sz w:val="32"/>
      <w:szCs w:val="32"/>
    </w:rPr>
  </w:style>
  <w:style w:type="character" w:customStyle="1" w:styleId="71">
    <w:name w:val="标题 3 Char"/>
    <w:basedOn w:val="34"/>
    <w:link w:val="4"/>
    <w:semiHidden/>
    <w:qFormat/>
    <w:uiPriority w:val="0"/>
    <w:rPr>
      <w:b/>
      <w:bCs/>
      <w:kern w:val="2"/>
      <w:sz w:val="32"/>
      <w:szCs w:val="32"/>
    </w:rPr>
  </w:style>
  <w:style w:type="character" w:customStyle="1" w:styleId="72">
    <w:name w:val="font61"/>
    <w:qFormat/>
    <w:uiPriority w:val="0"/>
    <w:rPr>
      <w:rFonts w:hint="eastAsia" w:ascii="宋体" w:hAnsi="宋体" w:eastAsia="宋体" w:cs="宋体"/>
      <w:b/>
      <w:color w:val="000000"/>
      <w:sz w:val="21"/>
      <w:szCs w:val="21"/>
      <w:u w:val="none"/>
    </w:rPr>
  </w:style>
  <w:style w:type="character" w:customStyle="1" w:styleId="73">
    <w:name w:val="正文缩进 Char"/>
    <w:link w:val="6"/>
    <w:qFormat/>
    <w:uiPriority w:val="0"/>
    <w:rPr>
      <w:kern w:val="2"/>
      <w:sz w:val="21"/>
      <w:szCs w:val="24"/>
    </w:rPr>
  </w:style>
  <w:style w:type="character" w:customStyle="1" w:styleId="74">
    <w:name w:val="题注 Char"/>
    <w:link w:val="7"/>
    <w:qFormat/>
    <w:uiPriority w:val="0"/>
    <w:rPr>
      <w:rFonts w:ascii="黑体" w:hAnsi="宋体" w:eastAsia="黑体" w:cs="Arial"/>
      <w:sz w:val="24"/>
    </w:rPr>
  </w:style>
  <w:style w:type="character" w:customStyle="1" w:styleId="75">
    <w:name w:val="0-Meng Char"/>
    <w:basedOn w:val="34"/>
    <w:link w:val="76"/>
    <w:qFormat/>
    <w:uiPriority w:val="0"/>
    <w:rPr>
      <w:rFonts w:ascii="方正宋三简体" w:hAnsi="方正宋三简体" w:cs="方正宋三简体"/>
      <w:sz w:val="24"/>
      <w:szCs w:val="24"/>
    </w:rPr>
  </w:style>
  <w:style w:type="paragraph" w:customStyle="1" w:styleId="76">
    <w:name w:val="0-Meng"/>
    <w:basedOn w:val="77"/>
    <w:next w:val="1"/>
    <w:link w:val="75"/>
    <w:qFormat/>
    <w:uiPriority w:val="0"/>
    <w:pPr>
      <w:ind w:firstLine="200"/>
    </w:pPr>
    <w:rPr>
      <w:rFonts w:ascii="方正宋三简体" w:hAnsi="方正宋三简体" w:cs="方正宋三简体"/>
      <w:b w:val="0"/>
      <w:kern w:val="0"/>
      <w:sz w:val="24"/>
      <w:szCs w:val="24"/>
    </w:rPr>
  </w:style>
  <w:style w:type="paragraph" w:customStyle="1" w:styleId="77">
    <w:name w:val="Char1"/>
    <w:basedOn w:val="1"/>
    <w:qFormat/>
    <w:uiPriority w:val="0"/>
    <w:pPr>
      <w:snapToGrid w:val="0"/>
      <w:spacing w:line="360" w:lineRule="auto"/>
      <w:ind w:firstLine="529" w:firstLineChars="200"/>
    </w:pPr>
    <w:rPr>
      <w:rFonts w:ascii="宋体" w:hAnsi="宋体"/>
      <w:b/>
      <w:szCs w:val="20"/>
    </w:rPr>
  </w:style>
  <w:style w:type="character" w:customStyle="1" w:styleId="78">
    <w:name w:val="font11"/>
    <w:basedOn w:val="34"/>
    <w:qFormat/>
    <w:uiPriority w:val="0"/>
    <w:rPr>
      <w:rFonts w:hint="default" w:ascii="Times New Roman" w:hAnsi="Times New Roman" w:cs="Times New Roman"/>
      <w:b/>
      <w:color w:val="000000"/>
      <w:sz w:val="21"/>
      <w:szCs w:val="21"/>
      <w:u w:val="none"/>
      <w:vertAlign w:val="subscript"/>
    </w:rPr>
  </w:style>
  <w:style w:type="character" w:customStyle="1" w:styleId="79">
    <w:name w:val="Meng Char"/>
    <w:link w:val="80"/>
    <w:qFormat/>
    <w:uiPriority w:val="0"/>
    <w:rPr>
      <w:rFonts w:hAnsi="宋体"/>
      <w:sz w:val="24"/>
      <w:szCs w:val="24"/>
    </w:rPr>
  </w:style>
  <w:style w:type="paragraph" w:customStyle="1" w:styleId="80">
    <w:name w:val="Meng"/>
    <w:basedOn w:val="1"/>
    <w:link w:val="79"/>
    <w:qFormat/>
    <w:uiPriority w:val="0"/>
    <w:pPr>
      <w:spacing w:line="360" w:lineRule="auto"/>
      <w:ind w:firstLine="200" w:firstLineChars="200"/>
    </w:pPr>
    <w:rPr>
      <w:rFonts w:hAnsi="宋体"/>
      <w:kern w:val="0"/>
      <w:sz w:val="24"/>
    </w:rPr>
  </w:style>
  <w:style w:type="character" w:customStyle="1" w:styleId="81">
    <w:name w:val="size13"/>
    <w:basedOn w:val="34"/>
    <w:qFormat/>
    <w:uiPriority w:val="0"/>
    <w:rPr>
      <w:sz w:val="24"/>
      <w:szCs w:val="20"/>
    </w:rPr>
  </w:style>
  <w:style w:type="character" w:customStyle="1" w:styleId="82">
    <w:name w:val="font51"/>
    <w:qFormat/>
    <w:uiPriority w:val="0"/>
    <w:rPr>
      <w:rFonts w:hint="default" w:ascii="Times New Roman" w:hAnsi="Times New Roman" w:cs="Times New Roman"/>
      <w:b/>
      <w:color w:val="000000"/>
      <w:sz w:val="21"/>
      <w:szCs w:val="21"/>
      <w:u w:val="none"/>
    </w:rPr>
  </w:style>
  <w:style w:type="character" w:customStyle="1" w:styleId="83">
    <w:name w:val="正文首行缩进 2 Char"/>
    <w:basedOn w:val="60"/>
    <w:link w:val="30"/>
    <w:qFormat/>
    <w:uiPriority w:val="0"/>
    <w:rPr>
      <w:rFonts w:ascii="Times New Roman" w:hAnsi="Times New Roman" w:eastAsia="宋体"/>
      <w:kern w:val="2"/>
      <w:sz w:val="21"/>
    </w:rPr>
  </w:style>
  <w:style w:type="character" w:customStyle="1" w:styleId="84">
    <w:name w:val="文档结构图 Char"/>
    <w:basedOn w:val="34"/>
    <w:link w:val="8"/>
    <w:qFormat/>
    <w:uiPriority w:val="0"/>
    <w:rPr>
      <w:kern w:val="2"/>
      <w:sz w:val="21"/>
      <w:shd w:val="clear" w:color="auto" w:fill="000080"/>
    </w:rPr>
  </w:style>
  <w:style w:type="paragraph" w:customStyle="1" w:styleId="85">
    <w:name w:val="中文报告书样式"/>
    <w:basedOn w:val="1"/>
    <w:qFormat/>
    <w:uiPriority w:val="0"/>
    <w:pPr>
      <w:adjustRightInd w:val="0"/>
      <w:spacing w:line="420" w:lineRule="atLeast"/>
      <w:textAlignment w:val="baseline"/>
    </w:pPr>
    <w:rPr>
      <w:kern w:val="24"/>
      <w:sz w:val="24"/>
      <w:szCs w:val="20"/>
    </w:rPr>
  </w:style>
  <w:style w:type="paragraph" w:customStyle="1" w:styleId="86">
    <w:name w:val="Char"/>
    <w:basedOn w:val="1"/>
    <w:qFormat/>
    <w:uiPriority w:val="0"/>
  </w:style>
  <w:style w:type="paragraph" w:customStyle="1" w:styleId="87">
    <w:name w:val="Char Char Char Char"/>
    <w:basedOn w:val="1"/>
    <w:qFormat/>
    <w:uiPriority w:val="0"/>
    <w:pPr>
      <w:ind w:firstLine="480" w:firstLineChars="200"/>
    </w:pPr>
    <w:rPr>
      <w:rFonts w:ascii="宋体"/>
      <w:sz w:val="28"/>
    </w:rPr>
  </w:style>
  <w:style w:type="paragraph" w:customStyle="1" w:styleId="88">
    <w:name w:val="Char1 Char Char Char Char Char Char"/>
    <w:basedOn w:val="1"/>
    <w:semiHidden/>
    <w:qFormat/>
    <w:uiPriority w:val="0"/>
    <w:pPr>
      <w:spacing w:before="50" w:beforeLines="50" w:after="50" w:afterLines="50" w:line="360" w:lineRule="auto"/>
      <w:ind w:firstLine="200" w:firstLineChars="200"/>
    </w:pPr>
    <w:rPr>
      <w:rFonts w:ascii="宋体" w:hAnsi="宋体" w:cs="宋体"/>
      <w:sz w:val="24"/>
    </w:rPr>
  </w:style>
  <w:style w:type="paragraph" w:customStyle="1" w:styleId="89">
    <w:name w:val="样式 首行缩进"/>
    <w:basedOn w:val="1"/>
    <w:qFormat/>
    <w:uiPriority w:val="0"/>
    <w:pPr>
      <w:ind w:firstLine="551"/>
    </w:pPr>
    <w:rPr>
      <w:rFonts w:ascii="仿宋_GB2312" w:eastAsia="仿宋_GB2312" w:cs="宋体"/>
      <w:sz w:val="28"/>
      <w:szCs w:val="20"/>
    </w:rPr>
  </w:style>
  <w:style w:type="paragraph" w:customStyle="1" w:styleId="90">
    <w:name w:val="正文（韶关规划）"/>
    <w:basedOn w:val="30"/>
    <w:qFormat/>
    <w:uiPriority w:val="0"/>
    <w:pPr>
      <w:tabs>
        <w:tab w:val="left" w:pos="7996"/>
      </w:tabs>
      <w:autoSpaceDE w:val="0"/>
      <w:autoSpaceDN w:val="0"/>
      <w:adjustRightInd w:val="0"/>
      <w:snapToGrid w:val="0"/>
      <w:spacing w:before="156" w:beforeLines="50" w:line="360" w:lineRule="auto"/>
      <w:ind w:left="0" w:leftChars="0" w:firstLine="480"/>
      <w:jc w:val="left"/>
    </w:pPr>
    <w:rPr>
      <w:rFonts w:ascii="宋体" w:hAnsi="宋体"/>
      <w:kern w:val="0"/>
      <w:sz w:val="24"/>
      <w:szCs w:val="24"/>
    </w:rPr>
  </w:style>
  <w:style w:type="paragraph" w:customStyle="1" w:styleId="91">
    <w:name w:val="font7"/>
    <w:basedOn w:val="1"/>
    <w:qFormat/>
    <w:uiPriority w:val="0"/>
    <w:pPr>
      <w:widowControl/>
      <w:spacing w:before="100" w:beforeAutospacing="1" w:after="100" w:afterAutospacing="1"/>
      <w:jc w:val="left"/>
    </w:pPr>
    <w:rPr>
      <w:rFonts w:hint="eastAsia" w:ascii="仿宋_GB2312" w:hAnsi="宋体" w:eastAsia="仿宋_GB2312"/>
      <w:kern w:val="0"/>
      <w:sz w:val="20"/>
      <w:szCs w:val="20"/>
    </w:rPr>
  </w:style>
  <w:style w:type="paragraph" w:customStyle="1" w:styleId="92">
    <w:name w:val="Char1 Char Char1 Char"/>
    <w:basedOn w:val="1"/>
    <w:qFormat/>
    <w:uiPriority w:val="0"/>
    <w:pPr>
      <w:adjustRightInd w:val="0"/>
      <w:snapToGrid w:val="0"/>
      <w:spacing w:line="400" w:lineRule="exact"/>
      <w:ind w:firstLine="200" w:firstLineChars="200"/>
    </w:pPr>
    <w:rPr>
      <w:sz w:val="24"/>
      <w:szCs w:val="20"/>
    </w:rPr>
  </w:style>
  <w:style w:type="paragraph" w:customStyle="1" w:styleId="93">
    <w:name w:val="xl24"/>
    <w:basedOn w:val="1"/>
    <w:qFormat/>
    <w:uiPriority w:val="0"/>
    <w:pPr>
      <w:widowControl/>
      <w:spacing w:before="100" w:beforeAutospacing="1" w:after="100" w:afterAutospacing="1"/>
      <w:jc w:val="center"/>
    </w:pPr>
    <w:rPr>
      <w:rFonts w:ascii="Arial Unicode MS" w:hAnsi="Arial Unicode MS" w:eastAsia="Arial Unicode MS" w:cs="Arial Unicode MS"/>
      <w:kern w:val="0"/>
      <w:sz w:val="24"/>
    </w:rPr>
  </w:style>
  <w:style w:type="paragraph" w:customStyle="1" w:styleId="94">
    <w:name w:val="ZW"/>
    <w:basedOn w:val="1"/>
    <w:qFormat/>
    <w:uiPriority w:val="0"/>
    <w:pPr>
      <w:spacing w:line="360" w:lineRule="auto"/>
      <w:ind w:firstLine="512" w:firstLineChars="200"/>
    </w:pPr>
    <w:rPr>
      <w:spacing w:val="6"/>
      <w:kern w:val="0"/>
      <w:sz w:val="24"/>
    </w:rPr>
  </w:style>
  <w:style w:type="paragraph" w:customStyle="1" w:styleId="95">
    <w:name w:val="表格内容（左）"/>
    <w:basedOn w:val="1"/>
    <w:qFormat/>
    <w:uiPriority w:val="0"/>
    <w:pPr>
      <w:spacing w:line="0" w:lineRule="atLeast"/>
      <w:jc w:val="left"/>
    </w:pPr>
    <w:rPr>
      <w:rFonts w:ascii="仿宋_GB2312" w:eastAsia="仿宋_GB2312" w:cs="宋体"/>
      <w:szCs w:val="21"/>
    </w:rPr>
  </w:style>
  <w:style w:type="table" w:customStyle="1" w:styleId="96">
    <w:name w:val="表格样式1"/>
    <w:basedOn w:val="32"/>
    <w:qFormat/>
    <w:uiPriority w:val="0"/>
    <w:pPr>
      <w:widowControl w:val="0"/>
      <w:jc w:val="both"/>
    </w:pPr>
    <w:tblPr>
      <w:tblBorders>
        <w:top w:val="single" w:color="auto" w:sz="12" w:space="0"/>
        <w:left w:val="single" w:color="auto" w:sz="12" w:space="0"/>
        <w:bottom w:val="single" w:color="auto" w:sz="12" w:space="0"/>
        <w:right w:val="single" w:color="auto" w:sz="12" w:space="0"/>
      </w:tblBorders>
      <w:tblCellMar>
        <w:top w:w="0" w:type="dxa"/>
        <w:left w:w="108" w:type="dxa"/>
        <w:bottom w:w="0" w:type="dxa"/>
        <w:right w:w="108" w:type="dxa"/>
      </w:tblCellMar>
    </w:tblPr>
  </w:style>
  <w:style w:type="character" w:styleId="97">
    <w:name w:val="Placeholder Text"/>
    <w:basedOn w:val="34"/>
    <w:unhideWhenUsed/>
    <w:qFormat/>
    <w:uiPriority w:val="99"/>
    <w:rPr>
      <w:color w:val="808080"/>
    </w:rPr>
  </w:style>
  <w:style w:type="paragraph" w:customStyle="1" w:styleId="98">
    <w:name w:val="正文1"/>
    <w:basedOn w:val="1"/>
    <w:link w:val="99"/>
    <w:qFormat/>
    <w:uiPriority w:val="0"/>
    <w:pPr>
      <w:adjustRightInd w:val="0"/>
      <w:spacing w:line="480" w:lineRule="exact"/>
      <w:textAlignment w:val="baseline"/>
    </w:pPr>
    <w:rPr>
      <w:spacing w:val="-2"/>
      <w:kern w:val="0"/>
      <w:sz w:val="28"/>
      <w:szCs w:val="20"/>
    </w:rPr>
  </w:style>
  <w:style w:type="character" w:customStyle="1" w:styleId="99">
    <w:name w:val="正文 Char"/>
    <w:link w:val="98"/>
    <w:qFormat/>
    <w:uiPriority w:val="0"/>
    <w:rPr>
      <w:spacing w:val="-2"/>
      <w:sz w:val="28"/>
    </w:rPr>
  </w:style>
  <w:style w:type="character" w:customStyle="1" w:styleId="100">
    <w:name w:val="正文首行缩进 Char"/>
    <w:link w:val="29"/>
    <w:qFormat/>
    <w:uiPriority w:val="0"/>
    <w:rPr>
      <w:kern w:val="2"/>
      <w:sz w:val="21"/>
    </w:rPr>
  </w:style>
  <w:style w:type="character" w:customStyle="1" w:styleId="101">
    <w:name w:val="正文首行缩进 Char1"/>
    <w:basedOn w:val="51"/>
    <w:qFormat/>
    <w:uiPriority w:val="0"/>
    <w:rPr>
      <w:kern w:val="2"/>
      <w:sz w:val="21"/>
      <w:szCs w:val="24"/>
    </w:rPr>
  </w:style>
  <w:style w:type="paragraph" w:customStyle="1" w:styleId="102">
    <w:name w:val="黏贴"/>
    <w:qFormat/>
    <w:uiPriority w:val="0"/>
    <w:rPr>
      <w:rFonts w:ascii="方正宋三简体" w:hAnsi="方正宋三简体" w:eastAsia="楷体_GB2312" w:cs="方正宋三简体"/>
      <w:kern w:val="2"/>
      <w:sz w:val="18"/>
      <w:szCs w:val="24"/>
      <w:lang w:val="en-US" w:eastAsia="zh-CN" w:bidi="ar-SA"/>
    </w:rPr>
  </w:style>
  <w:style w:type="paragraph" w:customStyle="1" w:styleId="103">
    <w:name w:val="普通(网站)1"/>
    <w:basedOn w:val="1"/>
    <w:qFormat/>
    <w:uiPriority w:val="0"/>
    <w:pPr>
      <w:widowControl/>
      <w:spacing w:before="100" w:beforeAutospacing="1" w:after="100" w:afterAutospacing="1" w:line="360" w:lineRule="auto"/>
      <w:ind w:firstLine="506" w:firstLineChars="200"/>
      <w:jc w:val="left"/>
    </w:pPr>
    <w:rPr>
      <w:rFonts w:ascii="宋体" w:hAnsi="宋体"/>
      <w:kern w:val="0"/>
      <w:sz w:val="24"/>
    </w:rPr>
  </w:style>
  <w:style w:type="character" w:customStyle="1" w:styleId="104">
    <w:name w:val="标题 1 Char"/>
    <w:basedOn w:val="34"/>
    <w:link w:val="2"/>
    <w:qFormat/>
    <w:uiPriority w:val="0"/>
    <w:rPr>
      <w:rFonts w:eastAsia="黑体"/>
      <w:b/>
      <w:bCs/>
      <w:color w:val="000000"/>
      <w:kern w:val="44"/>
      <w:sz w:val="30"/>
      <w:szCs w:val="30"/>
    </w:rPr>
  </w:style>
  <w:style w:type="character" w:customStyle="1" w:styleId="105">
    <w:name w:val="标题 Char"/>
    <w:basedOn w:val="34"/>
    <w:link w:val="27"/>
    <w:qFormat/>
    <w:uiPriority w:val="0"/>
    <w:rPr>
      <w:rFonts w:asciiTheme="majorHAnsi" w:hAnsiTheme="majorHAnsi" w:cstheme="majorBidi"/>
      <w:b/>
      <w:bCs/>
      <w:kern w:val="2"/>
      <w:sz w:val="32"/>
      <w:szCs w:val="32"/>
    </w:rPr>
  </w:style>
  <w:style w:type="paragraph" w:customStyle="1" w:styleId="106">
    <w:name w:val="样式 表格 32 + 首行缩进:  2 字符"/>
    <w:basedOn w:val="1"/>
    <w:qFormat/>
    <w:uiPriority w:val="0"/>
    <w:pPr>
      <w:autoSpaceDE w:val="0"/>
      <w:autoSpaceDN w:val="0"/>
      <w:adjustRightInd w:val="0"/>
      <w:spacing w:line="0" w:lineRule="atLeast"/>
      <w:jc w:val="center"/>
      <w:textAlignment w:val="baseline"/>
    </w:pPr>
    <w:rPr>
      <w:rFonts w:ascii="Calibri" w:hAnsi="Calibri"/>
      <w:kern w:val="0"/>
      <w:szCs w:val="21"/>
    </w:rPr>
  </w:style>
  <w:style w:type="character" w:customStyle="1" w:styleId="107">
    <w:name w:val="font111"/>
    <w:basedOn w:val="34"/>
    <w:qFormat/>
    <w:uiPriority w:val="0"/>
    <w:rPr>
      <w:rFonts w:hint="eastAsia" w:ascii="宋体" w:hAnsi="宋体" w:eastAsia="宋体" w:cs="宋体"/>
      <w:color w:val="000000"/>
      <w:sz w:val="21"/>
      <w:szCs w:val="21"/>
      <w:u w:val="none"/>
    </w:rPr>
  </w:style>
  <w:style w:type="character" w:customStyle="1" w:styleId="108">
    <w:name w:val="font101"/>
    <w:basedOn w:val="34"/>
    <w:qFormat/>
    <w:uiPriority w:val="0"/>
    <w:rPr>
      <w:rFonts w:hint="eastAsia" w:ascii="宋体" w:hAnsi="宋体" w:eastAsia="宋体" w:cs="宋体"/>
      <w:color w:val="000000"/>
      <w:sz w:val="21"/>
      <w:szCs w:val="21"/>
      <w:u w:val="none"/>
    </w:rPr>
  </w:style>
  <w:style w:type="paragraph" w:customStyle="1" w:styleId="109">
    <w:name w:val="0-表、图头"/>
    <w:basedOn w:val="1"/>
    <w:link w:val="119"/>
    <w:qFormat/>
    <w:uiPriority w:val="0"/>
    <w:pPr>
      <w:jc w:val="center"/>
    </w:pPr>
    <w:rPr>
      <w:rFonts w:ascii="Calibri" w:hAnsi="Calibri" w:cs="Tahoma"/>
      <w:b/>
      <w:sz w:val="24"/>
    </w:rPr>
  </w:style>
  <w:style w:type="paragraph" w:customStyle="1" w:styleId="110">
    <w:name w:val="0孟的表格"/>
    <w:basedOn w:val="1"/>
    <w:next w:val="1"/>
    <w:link w:val="114"/>
    <w:qFormat/>
    <w:uiPriority w:val="0"/>
    <w:pPr>
      <w:overflowPunct w:val="0"/>
      <w:snapToGrid w:val="0"/>
      <w:ind w:left="-1" w:leftChars="-1"/>
      <w:jc w:val="center"/>
    </w:pPr>
    <w:rPr>
      <w:rFonts w:ascii="Calibri" w:hAnsi="Calibri"/>
      <w:kern w:val="0"/>
      <w:szCs w:val="20"/>
    </w:rPr>
  </w:style>
  <w:style w:type="paragraph" w:customStyle="1" w:styleId="111">
    <w:name w:val="Char Char5 Char Char Char Char"/>
    <w:basedOn w:val="1"/>
    <w:qFormat/>
    <w:uiPriority w:val="0"/>
  </w:style>
  <w:style w:type="character" w:customStyle="1" w:styleId="112">
    <w:name w:val="mjb2018 Char1"/>
    <w:link w:val="113"/>
    <w:semiHidden/>
    <w:qFormat/>
    <w:uiPriority w:val="0"/>
    <w:rPr>
      <w:kern w:val="2"/>
      <w:szCs w:val="22"/>
    </w:rPr>
  </w:style>
  <w:style w:type="paragraph" w:customStyle="1" w:styleId="113">
    <w:name w:val="mjb2018"/>
    <w:basedOn w:val="1"/>
    <w:next w:val="1"/>
    <w:link w:val="112"/>
    <w:semiHidden/>
    <w:qFormat/>
    <w:uiPriority w:val="0"/>
    <w:pPr>
      <w:spacing w:line="360" w:lineRule="auto"/>
      <w:ind w:firstLine="200" w:firstLineChars="200"/>
    </w:pPr>
    <w:rPr>
      <w:sz w:val="20"/>
      <w:szCs w:val="22"/>
    </w:rPr>
  </w:style>
  <w:style w:type="character" w:customStyle="1" w:styleId="114">
    <w:name w:val="0孟的表格 Char"/>
    <w:link w:val="110"/>
    <w:qFormat/>
    <w:uiPriority w:val="0"/>
    <w:rPr>
      <w:rFonts w:ascii="Calibri" w:hAnsi="Calibri"/>
      <w:sz w:val="21"/>
    </w:rPr>
  </w:style>
  <w:style w:type="paragraph" w:customStyle="1" w:styleId="115">
    <w:name w:val="TOC Heading"/>
    <w:basedOn w:val="2"/>
    <w:next w:val="1"/>
    <w:unhideWhenUsed/>
    <w:qFormat/>
    <w:uiPriority w:val="39"/>
    <w:pPr>
      <w:keepLines/>
      <w:widowControl/>
      <w:overflowPunct/>
      <w:snapToGrid/>
      <w:spacing w:before="480" w:after="0" w:line="276" w:lineRule="auto"/>
      <w:ind w:left="0" w:firstLine="0"/>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116">
    <w:name w:val="纯文本 字符"/>
    <w:qFormat/>
    <w:uiPriority w:val="99"/>
    <w:rPr>
      <w:rFonts w:ascii="宋体" w:hAnsi="Courier New" w:cs="Courier New"/>
      <w:kern w:val="2"/>
      <w:sz w:val="21"/>
      <w:szCs w:val="21"/>
    </w:rPr>
  </w:style>
  <w:style w:type="paragraph" w:customStyle="1" w:styleId="117">
    <w:name w:val="表格内容格式"/>
    <w:basedOn w:val="1"/>
    <w:qFormat/>
    <w:uiPriority w:val="99"/>
    <w:pPr>
      <w:widowControl/>
      <w:adjustRightInd w:val="0"/>
      <w:jc w:val="center"/>
      <w:textAlignment w:val="baseline"/>
    </w:pPr>
    <w:rPr>
      <w:rFonts w:ascii="宋体" w:hAnsi="宋体"/>
      <w:snapToGrid w:val="0"/>
      <w:color w:val="000000"/>
      <w:kern w:val="0"/>
      <w:szCs w:val="20"/>
    </w:rPr>
  </w:style>
  <w:style w:type="paragraph" w:customStyle="1" w:styleId="118">
    <w:name w:val="表头及表尾"/>
    <w:qFormat/>
    <w:uiPriority w:val="99"/>
    <w:pPr>
      <w:tabs>
        <w:tab w:val="center" w:pos="4200"/>
        <w:tab w:val="right" w:pos="8400"/>
      </w:tabs>
      <w:adjustRightInd w:val="0"/>
      <w:snapToGrid w:val="0"/>
      <w:jc w:val="center"/>
    </w:pPr>
    <w:rPr>
      <w:rFonts w:ascii="Times New Roman" w:hAnsi="Times New Roman" w:eastAsia="宋体" w:cs="Times New Roman"/>
      <w:b/>
      <w:snapToGrid w:val="0"/>
      <w:sz w:val="21"/>
      <w:szCs w:val="21"/>
      <w:lang w:val="en-US" w:eastAsia="zh-CN" w:bidi="ar-SA"/>
    </w:rPr>
  </w:style>
  <w:style w:type="character" w:customStyle="1" w:styleId="119">
    <w:name w:val="0-表、图头 Char"/>
    <w:link w:val="109"/>
    <w:qFormat/>
    <w:uiPriority w:val="0"/>
    <w:rPr>
      <w:rFonts w:ascii="Calibri" w:hAnsi="Calibri" w:cs="Tahoma"/>
      <w:b/>
      <w:kern w:val="2"/>
      <w:sz w:val="24"/>
      <w:szCs w:val="24"/>
    </w:rPr>
  </w:style>
  <w:style w:type="paragraph" w:customStyle="1" w:styleId="120">
    <w:name w:val="样式 0-Meng + Calibri 首行缩进:  2 字符"/>
    <w:basedOn w:val="76"/>
    <w:qFormat/>
    <w:uiPriority w:val="0"/>
    <w:pPr>
      <w:snapToGrid/>
      <w:ind w:firstLine="472"/>
    </w:pPr>
    <w:rPr>
      <w:rFonts w:ascii="Times New Roman" w:hAnsi="Times New Roman" w:cs="宋体"/>
      <w:b/>
      <w:color w:val="000000"/>
      <w:spacing w:val="-2"/>
      <w:szCs w:val="20"/>
    </w:rPr>
  </w:style>
  <w:style w:type="paragraph" w:customStyle="1" w:styleId="121">
    <w:name w:val="正文_19"/>
    <w:qFormat/>
    <w:uiPriority w:val="0"/>
    <w:pPr>
      <w:widowControl w:val="0"/>
      <w:jc w:val="both"/>
    </w:pPr>
    <w:rPr>
      <w:rFonts w:ascii="Calibri" w:hAnsi="Calibri" w:eastAsia="宋体" w:cs="Times New Roman"/>
      <w:kern w:val="2"/>
      <w:sz w:val="21"/>
      <w:lang w:val="en-US" w:eastAsia="zh-CN" w:bidi="ar-SA"/>
    </w:rPr>
  </w:style>
  <w:style w:type="paragraph" w:customStyle="1" w:styleId="122">
    <w:name w:val="正文_18"/>
    <w:qFormat/>
    <w:uiPriority w:val="0"/>
    <w:pPr>
      <w:widowControl w:val="0"/>
      <w:jc w:val="both"/>
    </w:pPr>
    <w:rPr>
      <w:rFonts w:ascii="Calibri" w:hAnsi="Calibri" w:eastAsia="宋体" w:cs="Times New Roman"/>
      <w:kern w:val="2"/>
      <w:sz w:val="21"/>
      <w:lang w:val="en-US" w:eastAsia="zh-CN" w:bidi="ar-SA"/>
    </w:rPr>
  </w:style>
  <w:style w:type="paragraph" w:customStyle="1" w:styleId="123">
    <w:name w:val="0-sghks"/>
    <w:basedOn w:val="1"/>
    <w:next w:val="1"/>
    <w:link w:val="139"/>
    <w:qFormat/>
    <w:uiPriority w:val="0"/>
    <w:pPr>
      <w:spacing w:beforeLines="25" w:line="460" w:lineRule="exact"/>
      <w:ind w:firstLine="200" w:firstLineChars="200"/>
      <w:jc w:val="left"/>
    </w:pPr>
    <w:rPr>
      <w:kern w:val="0"/>
      <w:sz w:val="24"/>
      <w:szCs w:val="22"/>
      <w:lang w:eastAsia="en-US"/>
    </w:rPr>
  </w:style>
  <w:style w:type="character" w:customStyle="1" w:styleId="124">
    <w:name w:val="0-sghks Char"/>
    <w:link w:val="123"/>
    <w:qFormat/>
    <w:uiPriority w:val="0"/>
    <w:rPr>
      <w:sz w:val="24"/>
      <w:szCs w:val="22"/>
      <w:lang w:eastAsia="en-US"/>
    </w:rPr>
  </w:style>
  <w:style w:type="paragraph" w:styleId="125">
    <w:name w:val="List Paragraph"/>
    <w:basedOn w:val="1"/>
    <w:qFormat/>
    <w:uiPriority w:val="99"/>
    <w:pPr>
      <w:ind w:firstLine="420" w:firstLineChars="200"/>
    </w:pPr>
    <w:rPr>
      <w:szCs w:val="20"/>
    </w:rPr>
  </w:style>
  <w:style w:type="paragraph" w:customStyle="1" w:styleId="126">
    <w:name w:val="1"/>
    <w:basedOn w:val="1"/>
    <w:next w:val="10"/>
    <w:qFormat/>
    <w:uiPriority w:val="0"/>
    <w:pPr>
      <w:spacing w:line="200" w:lineRule="exact"/>
    </w:pPr>
    <w:rPr>
      <w:sz w:val="18"/>
      <w:szCs w:val="20"/>
    </w:rPr>
  </w:style>
  <w:style w:type="character" w:customStyle="1" w:styleId="127">
    <w:name w:val="正文文本 3 Char"/>
    <w:basedOn w:val="34"/>
    <w:link w:val="10"/>
    <w:qFormat/>
    <w:uiPriority w:val="0"/>
    <w:rPr>
      <w:kern w:val="2"/>
      <w:sz w:val="16"/>
      <w:szCs w:val="16"/>
    </w:rPr>
  </w:style>
  <w:style w:type="paragraph" w:customStyle="1" w:styleId="128">
    <w:name w:val="正文_4"/>
    <w:qFormat/>
    <w:uiPriority w:val="0"/>
    <w:pPr>
      <w:widowControl w:val="0"/>
      <w:jc w:val="both"/>
    </w:pPr>
    <w:rPr>
      <w:rFonts w:ascii="Calibri" w:hAnsi="Calibri" w:eastAsia="宋体" w:cs="Times New Roman"/>
      <w:kern w:val="2"/>
      <w:sz w:val="21"/>
      <w:lang w:val="en-US" w:eastAsia="zh-CN" w:bidi="ar-SA"/>
    </w:rPr>
  </w:style>
  <w:style w:type="paragraph" w:customStyle="1" w:styleId="129">
    <w:name w:val="正文_6"/>
    <w:qFormat/>
    <w:uiPriority w:val="0"/>
    <w:pPr>
      <w:widowControl w:val="0"/>
      <w:jc w:val="both"/>
    </w:pPr>
    <w:rPr>
      <w:rFonts w:ascii="Calibri" w:hAnsi="Calibri" w:eastAsia="宋体" w:cs="Times New Roman"/>
      <w:kern w:val="2"/>
      <w:sz w:val="21"/>
      <w:lang w:val="en-US" w:eastAsia="zh-CN" w:bidi="ar-SA"/>
    </w:rPr>
  </w:style>
  <w:style w:type="paragraph" w:customStyle="1" w:styleId="130">
    <w:name w:val="Table Paragraph"/>
    <w:basedOn w:val="1"/>
    <w:qFormat/>
    <w:uiPriority w:val="0"/>
    <w:pPr>
      <w:jc w:val="left"/>
    </w:pPr>
    <w:rPr>
      <w:rFonts w:asciiTheme="minorHAnsi" w:hAnsiTheme="minorHAnsi" w:eastAsiaTheme="minorEastAsia" w:cstheme="minorBidi"/>
      <w:kern w:val="0"/>
      <w:sz w:val="22"/>
      <w:szCs w:val="22"/>
      <w:lang w:eastAsia="en-US"/>
    </w:rPr>
  </w:style>
  <w:style w:type="character" w:customStyle="1" w:styleId="131">
    <w:name w:val="正文文本 (2)_"/>
    <w:link w:val="132"/>
    <w:qFormat/>
    <w:uiPriority w:val="0"/>
    <w:rPr>
      <w:rFonts w:ascii="MingLiU" w:eastAsia="MingLiU"/>
      <w:kern w:val="0"/>
      <w:sz w:val="26"/>
      <w:szCs w:val="26"/>
    </w:rPr>
  </w:style>
  <w:style w:type="paragraph" w:customStyle="1" w:styleId="132">
    <w:name w:val="正文文本 (2)1"/>
    <w:basedOn w:val="1"/>
    <w:link w:val="131"/>
    <w:qFormat/>
    <w:uiPriority w:val="0"/>
    <w:pPr>
      <w:shd w:val="clear" w:color="auto" w:fill="FFFFFF"/>
      <w:spacing w:line="614" w:lineRule="exact"/>
      <w:jc w:val="center"/>
    </w:pPr>
    <w:rPr>
      <w:rFonts w:ascii="MingLiU" w:eastAsia="MingLiU"/>
      <w:kern w:val="0"/>
      <w:sz w:val="26"/>
      <w:szCs w:val="26"/>
    </w:rPr>
  </w:style>
  <w:style w:type="character" w:customStyle="1" w:styleId="133">
    <w:name w:val="fontstyle01"/>
    <w:qFormat/>
    <w:uiPriority w:val="0"/>
    <w:rPr>
      <w:rFonts w:hint="eastAsia" w:ascii="宋体" w:hAnsi="宋体" w:eastAsia="宋体"/>
      <w:color w:val="000000"/>
      <w:sz w:val="24"/>
      <w:szCs w:val="24"/>
    </w:rPr>
  </w:style>
  <w:style w:type="paragraph" w:customStyle="1" w:styleId="134">
    <w:name w:val="表格内容jophy"/>
    <w:basedOn w:val="1"/>
    <w:qFormat/>
    <w:uiPriority w:val="0"/>
    <w:pPr>
      <w:adjustRightInd w:val="0"/>
      <w:snapToGrid w:val="0"/>
      <w:jc w:val="center"/>
    </w:pPr>
    <w:rPr>
      <w:szCs w:val="18"/>
    </w:rPr>
  </w:style>
  <w:style w:type="character" w:customStyle="1" w:styleId="135">
    <w:name w:val="mjb2019 Char"/>
    <w:link w:val="136"/>
    <w:qFormat/>
    <w:uiPriority w:val="0"/>
    <w:rPr>
      <w:bCs/>
      <w:kern w:val="0"/>
      <w:sz w:val="24"/>
      <w:szCs w:val="32"/>
    </w:rPr>
  </w:style>
  <w:style w:type="paragraph" w:customStyle="1" w:styleId="136">
    <w:name w:val="mjb2019"/>
    <w:basedOn w:val="6"/>
    <w:next w:val="1"/>
    <w:link w:val="135"/>
    <w:qFormat/>
    <w:uiPriority w:val="0"/>
    <w:pPr>
      <w:spacing w:line="360" w:lineRule="auto"/>
      <w:ind w:firstLine="200" w:firstLineChars="200"/>
      <w:jc w:val="left"/>
    </w:pPr>
    <w:rPr>
      <w:bCs/>
      <w:kern w:val="0"/>
      <w:sz w:val="24"/>
      <w:szCs w:val="32"/>
    </w:rPr>
  </w:style>
  <w:style w:type="character" w:customStyle="1" w:styleId="137">
    <w:name w:val="font01"/>
    <w:basedOn w:val="34"/>
    <w:qFormat/>
    <w:uiPriority w:val="0"/>
    <w:rPr>
      <w:rFonts w:hint="default" w:ascii="Times New Roman" w:hAnsi="Times New Roman" w:cs="Times New Roman"/>
      <w:color w:val="000000"/>
      <w:sz w:val="21"/>
      <w:szCs w:val="21"/>
      <w:u w:val="none"/>
      <w:vertAlign w:val="subscript"/>
    </w:rPr>
  </w:style>
  <w:style w:type="paragraph" w:customStyle="1" w:styleId="138">
    <w:name w:val="样式1"/>
    <w:basedOn w:val="5"/>
    <w:qFormat/>
    <w:uiPriority w:val="0"/>
    <w:pPr>
      <w:tabs>
        <w:tab w:val="left" w:pos="2240"/>
      </w:tabs>
      <w:adjustRightInd w:val="0"/>
      <w:spacing w:before="0" w:after="0" w:line="312" w:lineRule="auto"/>
      <w:ind w:left="2240" w:hanging="420"/>
      <w:textAlignment w:val="baseline"/>
    </w:pPr>
    <w:rPr>
      <w:rFonts w:eastAsia="宋体"/>
    </w:rPr>
  </w:style>
  <w:style w:type="character" w:customStyle="1" w:styleId="139">
    <w:name w:val="0-sghks Char Char"/>
    <w:link w:val="123"/>
    <w:qFormat/>
    <w:uiPriority w:val="0"/>
    <w:rPr>
      <w:rFonts w:eastAsia="宋体"/>
      <w:sz w:val="24"/>
      <w:szCs w:val="22"/>
      <w:lang w:val="en-US" w:eastAsia="en-US" w:bidi="ar-SA"/>
    </w:rPr>
  </w:style>
  <w:style w:type="paragraph" w:customStyle="1" w:styleId="140">
    <w:name w:val="列出段落2"/>
    <w:basedOn w:val="1"/>
    <w:qFormat/>
    <w:uiPriority w:val="0"/>
    <w:pPr>
      <w:ind w:firstLine="420" w:firstLineChars="200"/>
    </w:pPr>
    <w:rPr>
      <w:rFonts w:ascii="等线" w:hAnsi="等线" w:eastAsia="等线"/>
    </w:rPr>
  </w:style>
  <w:style w:type="character" w:customStyle="1" w:styleId="141">
    <w:name w:val="font112"/>
    <w:basedOn w:val="34"/>
    <w:qFormat/>
    <w:uiPriority w:val="0"/>
    <w:rPr>
      <w:rFonts w:hint="default" w:ascii="Times New Roman" w:hAnsi="Times New Roman" w:cs="Times New Roman"/>
      <w:color w:val="000000"/>
      <w:sz w:val="21"/>
      <w:szCs w:val="21"/>
      <w:u w:val="none"/>
      <w:vertAlign w:val="superscript"/>
    </w:rPr>
  </w:style>
  <w:style w:type="paragraph" w:customStyle="1" w:styleId="142">
    <w:name w:val="报告正文"/>
    <w:basedOn w:val="1"/>
    <w:qFormat/>
    <w:uiPriority w:val="0"/>
    <w:pPr>
      <w:adjustRightInd w:val="0"/>
      <w:snapToGrid w:val="0"/>
    </w:pPr>
    <w:rPr>
      <w:rFonts w:ascii="楷体_GB2312"/>
      <w:szCs w:val="20"/>
    </w:rPr>
  </w:style>
  <w:style w:type="table" w:customStyle="1" w:styleId="143">
    <w:name w:val="Table Normal"/>
    <w:semiHidden/>
    <w:unhideWhenUsed/>
    <w:qFormat/>
    <w:uiPriority w:val="0"/>
    <w:tblPr>
      <w:tblCellMar>
        <w:top w:w="0" w:type="dxa"/>
        <w:left w:w="0" w:type="dxa"/>
        <w:bottom w:w="0" w:type="dxa"/>
        <w:right w:w="0" w:type="dxa"/>
      </w:tblCellMar>
    </w:tblPr>
  </w:style>
  <w:style w:type="character" w:customStyle="1" w:styleId="144">
    <w:name w:val="样式 首行缩进:  2 字符 Char Char"/>
    <w:qFormat/>
    <w:uiPriority w:val="0"/>
    <w:rPr>
      <w:rFonts w:eastAsia="宋体" w:cs="宋体"/>
      <w:kern w:val="2"/>
      <w:sz w:val="24"/>
      <w:lang w:val="en-US" w:eastAsia="zh-CN" w:bidi="ar-SA"/>
    </w:rPr>
  </w:style>
  <w:style w:type="character" w:customStyle="1" w:styleId="145">
    <w:name w:val="font31"/>
    <w:basedOn w:val="34"/>
    <w:qFormat/>
    <w:uiPriority w:val="0"/>
    <w:rPr>
      <w:rFonts w:hint="default" w:ascii="Times New Roman" w:hAnsi="Times New Roman" w:cs="Times New Roman"/>
      <w:b/>
      <w:bCs/>
      <w:color w:val="000000"/>
      <w:sz w:val="21"/>
      <w:szCs w:val="21"/>
      <w:u w:val="none"/>
    </w:rPr>
  </w:style>
  <w:style w:type="character" w:customStyle="1" w:styleId="146">
    <w:name w:val="font91"/>
    <w:basedOn w:val="34"/>
    <w:qFormat/>
    <w:uiPriority w:val="0"/>
    <w:rPr>
      <w:rFonts w:hint="default" w:ascii="Times New Roman" w:hAnsi="Times New Roman" w:cs="Times New Roman"/>
      <w:b/>
      <w:bCs/>
      <w:color w:val="000000"/>
      <w:sz w:val="21"/>
      <w:szCs w:val="21"/>
      <w:u w:val="none"/>
      <w:vertAlign w:val="superscript"/>
    </w:rPr>
  </w:style>
  <w:style w:type="character" w:customStyle="1" w:styleId="147">
    <w:name w:val="font21"/>
    <w:basedOn w:val="34"/>
    <w:qFormat/>
    <w:uiPriority w:val="0"/>
    <w:rPr>
      <w:rFonts w:hint="default" w:ascii="Times New Roman" w:hAnsi="Times New Roman" w:cs="Times New Roman"/>
      <w:b/>
      <w:bCs/>
      <w:color w:val="000000"/>
      <w:sz w:val="21"/>
      <w:szCs w:val="21"/>
      <w:u w:val="none"/>
    </w:rPr>
  </w:style>
  <w:style w:type="character" w:customStyle="1" w:styleId="148">
    <w:name w:val="font41"/>
    <w:basedOn w:val="34"/>
    <w:qFormat/>
    <w:uiPriority w:val="0"/>
    <w:rPr>
      <w:rFonts w:hint="eastAsia" w:ascii="宋体" w:hAnsi="宋体" w:eastAsia="宋体" w:cs="宋体"/>
      <w:color w:val="000000"/>
      <w:sz w:val="21"/>
      <w:szCs w:val="21"/>
      <w:u w:val="none"/>
    </w:rPr>
  </w:style>
  <w:style w:type="character" w:customStyle="1" w:styleId="149">
    <w:name w:val="font71"/>
    <w:basedOn w:val="34"/>
    <w:qFormat/>
    <w:uiPriority w:val="0"/>
    <w:rPr>
      <w:rFonts w:hint="default" w:ascii="Times New Roman" w:hAnsi="Times New Roman" w:cs="Times New Roman"/>
      <w:color w:val="000000"/>
      <w:sz w:val="21"/>
      <w:szCs w:val="21"/>
      <w:u w:val="none"/>
    </w:rPr>
  </w:style>
  <w:style w:type="paragraph" w:customStyle="1" w:styleId="150">
    <w:name w:val="p0"/>
    <w:basedOn w:val="1"/>
    <w:qFormat/>
    <w:uiPriority w:val="0"/>
    <w:pPr>
      <w:widowControl/>
      <w:snapToGrid w:val="0"/>
      <w:spacing w:line="360" w:lineRule="atLeast"/>
      <w:jc w:val="left"/>
    </w:pPr>
    <w:rPr>
      <w:rFonts w:ascii="Calibri" w:hAnsi="Calibri"/>
      <w:kern w:val="0"/>
      <w:sz w:val="24"/>
    </w:rPr>
  </w:style>
  <w:style w:type="character" w:customStyle="1" w:styleId="151">
    <w:name w:val="font81"/>
    <w:basedOn w:val="34"/>
    <w:qFormat/>
    <w:uiPriority w:val="0"/>
    <w:rPr>
      <w:rFonts w:hint="default" w:ascii="Times New Roman" w:hAnsi="Times New Roman" w:cs="Times New Roman"/>
      <w:b/>
      <w:bCs/>
      <w:color w:val="000000"/>
      <w:sz w:val="21"/>
      <w:szCs w:val="21"/>
      <w:u w:val="none"/>
    </w:rPr>
  </w:style>
  <w:style w:type="character" w:customStyle="1" w:styleId="152">
    <w:name w:val="font121"/>
    <w:basedOn w:val="34"/>
    <w:qFormat/>
    <w:uiPriority w:val="0"/>
    <w:rPr>
      <w:rFonts w:hint="default" w:ascii="Times New Roman" w:hAnsi="Times New Roman" w:cs="Times New Roman"/>
      <w:b/>
      <w:bCs/>
      <w:color w:val="000000"/>
      <w:sz w:val="21"/>
      <w:szCs w:val="21"/>
      <w:u w:val="none"/>
      <w:vertAlign w:val="superscript"/>
    </w:rPr>
  </w:style>
  <w:style w:type="character" w:customStyle="1" w:styleId="153">
    <w:name w:val="font131"/>
    <w:basedOn w:val="34"/>
    <w:qFormat/>
    <w:uiPriority w:val="0"/>
    <w:rPr>
      <w:rFonts w:hint="eastAsia" w:ascii="宋体" w:hAnsi="宋体" w:eastAsia="宋体" w:cs="宋体"/>
      <w:color w:val="000000"/>
      <w:sz w:val="24"/>
      <w:szCs w:val="24"/>
      <w:u w:val="none"/>
    </w:rPr>
  </w:style>
  <w:style w:type="character" w:customStyle="1" w:styleId="154">
    <w:name w:val="font141"/>
    <w:basedOn w:val="34"/>
    <w:qFormat/>
    <w:uiPriority w:val="0"/>
    <w:rPr>
      <w:rFonts w:hint="default" w:ascii="Times New Roman" w:hAnsi="Times New Roman" w:cs="Times New Roman"/>
      <w:color w:val="000000"/>
      <w:sz w:val="21"/>
      <w:szCs w:val="21"/>
      <w:u w:val="none"/>
      <w:vertAlign w:val="subscript"/>
    </w:rPr>
  </w:style>
  <w:style w:type="paragraph" w:customStyle="1" w:styleId="155">
    <w:name w:val="表 内容"/>
    <w:basedOn w:val="1"/>
    <w:qFormat/>
    <w:uiPriority w:val="0"/>
    <w:pPr>
      <w:spacing w:line="240" w:lineRule="atLeast"/>
      <w:jc w:val="center"/>
    </w:pPr>
    <w:rPr>
      <w:szCs w:val="21"/>
    </w:rPr>
  </w:style>
  <w:style w:type="paragraph" w:customStyle="1" w:styleId="156">
    <w:name w:val="Table Text"/>
    <w:basedOn w:val="1"/>
    <w:semiHidden/>
    <w:qFormat/>
    <w:uiPriority w:val="0"/>
    <w:rPr>
      <w:rFonts w:ascii="宋体" w:hAnsi="宋体" w:eastAsia="宋体" w:cs="宋体"/>
      <w:sz w:val="20"/>
      <w:szCs w:val="20"/>
      <w:lang w:val="en-US" w:eastAsia="en-US" w:bidi="ar-SA"/>
    </w:rPr>
  </w:style>
  <w:style w:type="character" w:customStyle="1" w:styleId="157">
    <w:name w:val="font151"/>
    <w:basedOn w:val="34"/>
    <w:qFormat/>
    <w:uiPriority w:val="0"/>
    <w:rPr>
      <w:rFonts w:hint="default" w:ascii="Times New Roman" w:hAnsi="Times New Roman" w:cs="Times New Roman"/>
      <w:color w:val="000000"/>
      <w:sz w:val="18"/>
      <w:szCs w:val="18"/>
      <w:u w:val="none"/>
    </w:rPr>
  </w:style>
  <w:style w:type="paragraph" w:customStyle="1" w:styleId="158">
    <w:name w:val="表格 32"/>
    <w:basedOn w:val="1"/>
    <w:qFormat/>
    <w:uiPriority w:val="0"/>
    <w:pPr>
      <w:autoSpaceDE w:val="0"/>
      <w:autoSpaceDN w:val="0"/>
      <w:adjustRightInd w:val="0"/>
      <w:spacing w:line="240" w:lineRule="auto"/>
      <w:ind w:firstLine="0" w:firstLineChars="0"/>
      <w:jc w:val="center"/>
      <w:textAlignment w:val="baseline"/>
    </w:pPr>
    <w:rPr>
      <w:rFonts w:ascii="楷体_GB2312" w:hAnsi="楷体_GB2312"/>
      <w:kern w:val="0"/>
      <w:sz w:val="21"/>
      <w:szCs w:val="21"/>
    </w:rPr>
  </w:style>
  <w:style w:type="paragraph" w:customStyle="1" w:styleId="159">
    <w:name w:val="正文（小四）"/>
    <w:qFormat/>
    <w:uiPriority w:val="0"/>
    <w:pPr>
      <w:spacing w:line="360" w:lineRule="auto"/>
      <w:ind w:firstLine="200" w:firstLineChars="200"/>
      <w:jc w:val="both"/>
    </w:pPr>
    <w:rPr>
      <w:rFonts w:ascii="Times New Roman" w:hAnsi="Times New Roman" w:eastAsia="宋体" w:cs="Times New Roman"/>
      <w:bCs/>
      <w:kern w:val="2"/>
      <w:sz w:val="24"/>
      <w:szCs w:val="32"/>
      <w:lang w:val="en-US" w:eastAsia="zh-CN" w:bidi="ar-SA"/>
    </w:rPr>
  </w:style>
  <w:style w:type="paragraph" w:customStyle="1" w:styleId="160">
    <w:name w:val="111111111111111111111111111111111"/>
    <w:basedOn w:val="1"/>
    <w:qFormat/>
    <w:uiPriority w:val="0"/>
    <w:rPr>
      <w:sz w:val="28"/>
      <w:szCs w:val="28"/>
    </w:rPr>
  </w:style>
  <w:style w:type="character" w:customStyle="1" w:styleId="161">
    <w:name w:val="font191"/>
    <w:basedOn w:val="34"/>
    <w:qFormat/>
    <w:uiPriority w:val="0"/>
    <w:rPr>
      <w:rFonts w:ascii="宋体" w:hAnsi="宋体" w:eastAsia="宋体" w:cs="宋体"/>
      <w:color w:val="000000"/>
      <w:sz w:val="10"/>
      <w:szCs w:val="10"/>
      <w:u w:val="none"/>
    </w:rPr>
  </w:style>
  <w:style w:type="character" w:customStyle="1" w:styleId="162">
    <w:name w:val="font181"/>
    <w:basedOn w:val="34"/>
    <w:qFormat/>
    <w:uiPriority w:val="0"/>
    <w:rPr>
      <w:rFonts w:ascii="宋体" w:hAnsi="宋体" w:eastAsia="宋体" w:cs="宋体"/>
      <w:color w:val="000000"/>
      <w:sz w:val="8"/>
      <w:szCs w:val="8"/>
      <w:u w:val="none"/>
    </w:rPr>
  </w:style>
  <w:style w:type="character" w:customStyle="1" w:styleId="163">
    <w:name w:val="font161"/>
    <w:basedOn w:val="34"/>
    <w:qFormat/>
    <w:uiPriority w:val="0"/>
    <w:rPr>
      <w:rFonts w:ascii="宋体" w:hAnsi="宋体" w:eastAsia="宋体" w:cs="宋体"/>
      <w:color w:val="000000"/>
      <w:sz w:val="18"/>
      <w:szCs w:val="18"/>
      <w:u w:val="none"/>
    </w:rPr>
  </w:style>
  <w:style w:type="character" w:customStyle="1" w:styleId="164">
    <w:name w:val="font171"/>
    <w:basedOn w:val="34"/>
    <w:qFormat/>
    <w:uiPriority w:val="0"/>
    <w:rPr>
      <w:rFonts w:hint="default" w:ascii="Times New Roman" w:hAnsi="Times New Roman" w:cs="Times New Roman"/>
      <w:color w:val="000000"/>
      <w:sz w:val="18"/>
      <w:szCs w:val="18"/>
      <w:u w:val="none"/>
    </w:rPr>
  </w:style>
  <w:style w:type="character" w:customStyle="1" w:styleId="165">
    <w:name w:val="font122"/>
    <w:basedOn w:val="34"/>
    <w:qFormat/>
    <w:uiPriority w:val="0"/>
    <w:rPr>
      <w:rFonts w:hint="default" w:ascii="Times New Roman" w:hAnsi="Times New Roman" w:cs="Times New Roman"/>
      <w:color w:val="000000"/>
      <w:sz w:val="20"/>
      <w:szCs w:val="20"/>
      <w:u w:val="none"/>
    </w:rPr>
  </w:style>
  <w:style w:type="character" w:customStyle="1" w:styleId="166">
    <w:name w:val="font212"/>
    <w:basedOn w:val="34"/>
    <w:qFormat/>
    <w:uiPriority w:val="0"/>
    <w:rPr>
      <w:rFonts w:hint="default" w:ascii="Times New Roman" w:hAnsi="Times New Roman" w:cs="Times New Roman"/>
      <w:b/>
      <w:bCs/>
      <w:strike/>
      <w:color w:val="000000"/>
      <w:sz w:val="20"/>
      <w:szCs w:val="20"/>
    </w:rPr>
  </w:style>
  <w:style w:type="character" w:customStyle="1" w:styleId="167">
    <w:name w:val="font221"/>
    <w:basedOn w:val="34"/>
    <w:qFormat/>
    <w:uiPriority w:val="0"/>
    <w:rPr>
      <w:rFonts w:hint="default" w:ascii="Arial" w:hAnsi="Arial" w:cs="Arial"/>
      <w:color w:val="000000"/>
      <w:sz w:val="6"/>
      <w:szCs w:val="6"/>
      <w:u w:val="none"/>
    </w:rPr>
  </w:style>
  <w:style w:type="character" w:customStyle="1" w:styleId="168">
    <w:name w:val="font231"/>
    <w:basedOn w:val="34"/>
    <w:qFormat/>
    <w:uiPriority w:val="0"/>
    <w:rPr>
      <w:rFonts w:hint="default" w:ascii="Times New Roman" w:hAnsi="Times New Roman" w:cs="Times New Roman"/>
      <w:b/>
      <w:bCs/>
      <w:color w:val="000000"/>
      <w:sz w:val="20"/>
      <w:szCs w:val="20"/>
      <w:u w:val="single"/>
    </w:rPr>
  </w:style>
  <w:style w:type="character" w:customStyle="1" w:styleId="169">
    <w:name w:val="font201"/>
    <w:basedOn w:val="34"/>
    <w:qFormat/>
    <w:uiPriority w:val="0"/>
    <w:rPr>
      <w:rFonts w:hint="default" w:ascii="Times New Roman" w:hAnsi="Times New Roman" w:cs="Times New Roman"/>
      <w:color w:val="000000"/>
      <w:sz w:val="18"/>
      <w:szCs w:val="18"/>
      <w:u w:val="none"/>
    </w:rPr>
  </w:style>
  <w:style w:type="paragraph" w:customStyle="1" w:styleId="170">
    <w:name w:val="缩进正文"/>
    <w:basedOn w:val="1"/>
    <w:qFormat/>
    <w:uiPriority w:val="0"/>
    <w:pPr>
      <w:adjustRightInd w:val="0"/>
      <w:snapToGrid w:val="0"/>
      <w:spacing w:line="300" w:lineRule="auto"/>
      <w:ind w:firstLine="200"/>
      <w:jc w:val="both"/>
    </w:pPr>
    <w:rPr>
      <w:rFonts w:ascii="宋体"/>
      <w:sz w:val="28"/>
    </w:rPr>
  </w:style>
  <w:style w:type="paragraph" w:customStyle="1" w:styleId="171">
    <w:name w:val="报告表正文"/>
    <w:basedOn w:val="1"/>
    <w:qFormat/>
    <w:uiPriority w:val="0"/>
    <w:pPr>
      <w:spacing w:before="120" w:line="360" w:lineRule="auto"/>
      <w:ind w:right="143" w:firstLine="480" w:firstLineChars="200"/>
    </w:pPr>
    <w:rPr>
      <w:rFonts w:ascii="宋体" w:hAnsi="宋体"/>
      <w:sz w:val="24"/>
      <w:szCs w:val="28"/>
    </w:rPr>
  </w:style>
  <w:style w:type="paragraph" w:customStyle="1" w:styleId="172">
    <w:name w:val="正 文"/>
    <w:basedOn w:val="1"/>
    <w:qFormat/>
    <w:uiPriority w:val="0"/>
    <w:pPr>
      <w:adjustRightInd w:val="0"/>
      <w:snapToGrid w:val="0"/>
      <w:spacing w:line="360" w:lineRule="auto"/>
      <w:ind w:firstLine="480" w:firstLineChars="200"/>
      <w:jc w:val="both"/>
    </w:pPr>
    <w:rPr>
      <w:sz w:val="24"/>
      <w:szCs w:val="24"/>
    </w:rPr>
  </w:style>
  <w:style w:type="paragraph" w:customStyle="1" w:styleId="173">
    <w:name w:val="样式 列表 +"/>
    <w:basedOn w:val="23"/>
    <w:qFormat/>
    <w:uiPriority w:val="0"/>
    <w:rPr>
      <w:kern w:val="0"/>
    </w:rPr>
  </w:style>
  <w:style w:type="paragraph" w:customStyle="1" w:styleId="174">
    <w:name w:val="表格字体"/>
    <w:basedOn w:val="1"/>
    <w:qFormat/>
    <w:uiPriority w:val="0"/>
    <w:pPr>
      <w:tabs>
        <w:tab w:val="left" w:pos="0"/>
      </w:tabs>
      <w:adjustRightInd w:val="0"/>
      <w:spacing w:line="240" w:lineRule="exact"/>
      <w:ind w:firstLine="0" w:firstLineChars="0"/>
      <w:jc w:val="center"/>
    </w:pPr>
    <w:rPr>
      <w:rFonts w:cs="宋体"/>
      <w:color w:val="000000"/>
      <w:sz w:val="21"/>
    </w:rPr>
  </w:style>
  <w:style w:type="paragraph" w:customStyle="1" w:styleId="175">
    <w:name w:val="码头表"/>
    <w:basedOn w:val="1"/>
    <w:qFormat/>
    <w:uiPriority w:val="0"/>
    <w:pPr>
      <w:jc w:val="center"/>
    </w:pPr>
    <w:rPr>
      <w:rFonts w:ascii="方正宋三简体" w:hAnsi="方正宋三简体" w:cs="方正宋三简体"/>
      <w:color w:val="FF0000"/>
      <w:szCs w:val="24"/>
    </w:rPr>
  </w:style>
  <w:style w:type="paragraph" w:customStyle="1" w:styleId="176">
    <w:name w:val="mjb2018 New"/>
    <w:basedOn w:val="177"/>
    <w:next w:val="177"/>
    <w:qFormat/>
    <w:uiPriority w:val="0"/>
    <w:pPr>
      <w:spacing w:line="360" w:lineRule="auto"/>
      <w:ind w:firstLine="200" w:firstLineChars="200"/>
      <w:jc w:val="both"/>
    </w:pPr>
    <w:rPr>
      <w:kern w:val="2"/>
      <w:sz w:val="24"/>
      <w:szCs w:val="22"/>
    </w:rPr>
  </w:style>
  <w:style w:type="paragraph" w:customStyle="1" w:styleId="177">
    <w:name w:val="正文 New New"/>
    <w:qFormat/>
    <w:uiPriority w:val="0"/>
    <w:pPr>
      <w:widowControl w:val="0"/>
      <w:jc w:val="both"/>
    </w:pPr>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9" Type="http://schemas.openxmlformats.org/officeDocument/2006/relationships/fontTable" Target="fontTable.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27.png"/><Relationship Id="rId45" Type="http://schemas.openxmlformats.org/officeDocument/2006/relationships/image" Target="media/image26.png"/><Relationship Id="rId44" Type="http://schemas.openxmlformats.org/officeDocument/2006/relationships/image" Target="media/image25.png"/><Relationship Id="rId43" Type="http://schemas.openxmlformats.org/officeDocument/2006/relationships/image" Target="media/image24.png"/><Relationship Id="rId42" Type="http://schemas.openxmlformats.org/officeDocument/2006/relationships/image" Target="media/image23.png"/><Relationship Id="rId41" Type="http://schemas.openxmlformats.org/officeDocument/2006/relationships/image" Target="media/image22.png"/><Relationship Id="rId40" Type="http://schemas.openxmlformats.org/officeDocument/2006/relationships/image" Target="media/image21.png"/><Relationship Id="rId4" Type="http://schemas.openxmlformats.org/officeDocument/2006/relationships/footer" Target="footer2.xml"/><Relationship Id="rId39" Type="http://schemas.openxmlformats.org/officeDocument/2006/relationships/image" Target="media/image20.png"/><Relationship Id="rId38" Type="http://schemas.openxmlformats.org/officeDocument/2006/relationships/image" Target="media/image19.png"/><Relationship Id="rId37" Type="http://schemas.openxmlformats.org/officeDocument/2006/relationships/image" Target="media/image18.png"/><Relationship Id="rId36" Type="http://schemas.openxmlformats.org/officeDocument/2006/relationships/image" Target="media/image17.png"/><Relationship Id="rId35" Type="http://schemas.openxmlformats.org/officeDocument/2006/relationships/image" Target="media/image16.png"/><Relationship Id="rId34" Type="http://schemas.openxmlformats.org/officeDocument/2006/relationships/image" Target="media/image15.png"/><Relationship Id="rId33" Type="http://schemas.openxmlformats.org/officeDocument/2006/relationships/image" Target="media/image14.jpeg"/><Relationship Id="rId32" Type="http://schemas.openxmlformats.org/officeDocument/2006/relationships/image" Target="media/image13.png"/><Relationship Id="rId31" Type="http://schemas.openxmlformats.org/officeDocument/2006/relationships/image" Target="media/image12.emf"/><Relationship Id="rId30" Type="http://schemas.openxmlformats.org/officeDocument/2006/relationships/oleObject" Target="embeddings/oleObject10.bin"/><Relationship Id="rId3" Type="http://schemas.openxmlformats.org/officeDocument/2006/relationships/footer" Target="footer1.xml"/><Relationship Id="rId29" Type="http://schemas.openxmlformats.org/officeDocument/2006/relationships/image" Target="media/image11.emf"/><Relationship Id="rId28" Type="http://schemas.openxmlformats.org/officeDocument/2006/relationships/oleObject" Target="embeddings/oleObject9.bin"/><Relationship Id="rId27" Type="http://schemas.openxmlformats.org/officeDocument/2006/relationships/image" Target="media/image10.png"/><Relationship Id="rId26" Type="http://schemas.openxmlformats.org/officeDocument/2006/relationships/image" Target="media/image9.wmf"/><Relationship Id="rId25" Type="http://schemas.openxmlformats.org/officeDocument/2006/relationships/oleObject" Target="embeddings/oleObject8.bin"/><Relationship Id="rId24" Type="http://schemas.openxmlformats.org/officeDocument/2006/relationships/image" Target="media/image8.wmf"/><Relationship Id="rId23" Type="http://schemas.openxmlformats.org/officeDocument/2006/relationships/oleObject" Target="embeddings/oleObject7.bin"/><Relationship Id="rId22" Type="http://schemas.openxmlformats.org/officeDocument/2006/relationships/image" Target="media/image7.wmf"/><Relationship Id="rId21" Type="http://schemas.openxmlformats.org/officeDocument/2006/relationships/oleObject" Target="embeddings/oleObject6.bin"/><Relationship Id="rId20" Type="http://schemas.openxmlformats.org/officeDocument/2006/relationships/image" Target="media/image6.wmf"/><Relationship Id="rId2" Type="http://schemas.openxmlformats.org/officeDocument/2006/relationships/settings" Target="settings.xml"/><Relationship Id="rId19" Type="http://schemas.openxmlformats.org/officeDocument/2006/relationships/oleObject" Target="embeddings/oleObject5.bin"/><Relationship Id="rId18" Type="http://schemas.openxmlformats.org/officeDocument/2006/relationships/image" Target="media/image5.wmf"/><Relationship Id="rId17" Type="http://schemas.openxmlformats.org/officeDocument/2006/relationships/oleObject" Target="embeddings/oleObject4.bin"/><Relationship Id="rId16" Type="http://schemas.openxmlformats.org/officeDocument/2006/relationships/image" Target="media/image4.wmf"/><Relationship Id="rId15" Type="http://schemas.openxmlformats.org/officeDocument/2006/relationships/oleObject" Target="embeddings/oleObject3.bin"/><Relationship Id="rId14" Type="http://schemas.openxmlformats.org/officeDocument/2006/relationships/image" Target="media/image3.emf"/><Relationship Id="rId13" Type="http://schemas.openxmlformats.org/officeDocument/2006/relationships/oleObject" Target="embeddings/oleObject2.bin"/><Relationship Id="rId12" Type="http://schemas.openxmlformats.org/officeDocument/2006/relationships/image" Target="media/image2.png"/><Relationship Id="rId11" Type="http://schemas.openxmlformats.org/officeDocument/2006/relationships/image" Target="media/image1.emf"/><Relationship Id="rId10" Type="http://schemas.openxmlformats.org/officeDocument/2006/relationships/oleObject" Target="embeddings/oleObject1.bin"/><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75</Pages>
  <Words>9922</Words>
  <Characters>10415</Characters>
  <Lines>354</Lines>
  <Paragraphs>99</Paragraphs>
  <TotalTime>9</TotalTime>
  <ScaleCrop>false</ScaleCrop>
  <LinksUpToDate>false</LinksUpToDate>
  <CharactersWithSpaces>10512</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2021-03-16T07:35:00Z</dcterms:created>
  <dc:creator>Administrator</dc:creator>
  <cp:lastModifiedBy>冰森瑰子</cp:lastModifiedBy>
  <cp:lastPrinted>2023-05-12T00:29:00Z</cp:lastPrinted>
  <dcterms:modified xsi:type="dcterms:W3CDTF">2025-10-20T07:44:01Z</dcterms:modified>
  <cp:revision>71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70C6FB01EBA44342B5540C6A73F3DCB5_13</vt:lpwstr>
  </property>
  <property fmtid="{D5CDD505-2E9C-101B-9397-08002B2CF9AE}" pid="4" name="KSOTemplateDocerSaveRecord">
    <vt:lpwstr>eyJoZGlkIjoiNDA4ZWQwMTRjOWU5MjgxZTcyYTAyYzZlZTBkMDY2NDciLCJ1c2VySWQiOiI0ODk0MTEzNjUifQ==</vt:lpwstr>
  </property>
</Properties>
</file>